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610F0" w14:textId="77777777" w:rsidR="008E6A56" w:rsidRPr="00FE0B19" w:rsidRDefault="008E6A56" w:rsidP="008E6A56">
      <w:pPr>
        <w:rPr>
          <w:rFonts w:ascii="Verdana" w:hAnsi="Verdana"/>
          <w:b/>
          <w:sz w:val="20"/>
          <w:szCs w:val="20"/>
          <w:lang w:val="en-US"/>
        </w:rPr>
      </w:pPr>
    </w:p>
    <w:p w14:paraId="45049723" w14:textId="77777777" w:rsidR="008E6A56" w:rsidRPr="00FE0B19" w:rsidRDefault="008E6A56" w:rsidP="008E6A56">
      <w:pPr>
        <w:rPr>
          <w:rFonts w:ascii="Verdana" w:hAnsi="Verdana"/>
          <w:b/>
          <w:sz w:val="20"/>
          <w:szCs w:val="20"/>
          <w:lang w:val="en-US"/>
        </w:rPr>
      </w:pPr>
    </w:p>
    <w:p w14:paraId="5C26EC49" w14:textId="77777777" w:rsidR="008E6A56" w:rsidRPr="00FE0B19" w:rsidRDefault="008E6A56" w:rsidP="008E6A56">
      <w:pPr>
        <w:rPr>
          <w:rFonts w:ascii="Verdana" w:hAnsi="Verdana"/>
          <w:b/>
          <w:sz w:val="20"/>
          <w:szCs w:val="20"/>
          <w:lang w:val="en-US"/>
        </w:rPr>
      </w:pPr>
    </w:p>
    <w:p w14:paraId="5C438CCD" w14:textId="77777777" w:rsidR="008E6A56" w:rsidRPr="00FE0B19" w:rsidRDefault="008E6A56" w:rsidP="008E6A56">
      <w:pPr>
        <w:rPr>
          <w:rFonts w:ascii="Verdana" w:hAnsi="Verdana"/>
          <w:b/>
          <w:sz w:val="20"/>
          <w:szCs w:val="20"/>
          <w:lang w:val="en-US"/>
        </w:rPr>
      </w:pPr>
    </w:p>
    <w:p w14:paraId="267D7DF9" w14:textId="77777777" w:rsidR="008E6A56" w:rsidRPr="00FE0B19" w:rsidRDefault="008E6A56" w:rsidP="008E6A56">
      <w:pPr>
        <w:rPr>
          <w:rFonts w:ascii="Verdana" w:hAnsi="Verdana"/>
          <w:b/>
          <w:sz w:val="20"/>
          <w:szCs w:val="20"/>
          <w:lang w:val="en-US"/>
        </w:rPr>
      </w:pPr>
    </w:p>
    <w:p w14:paraId="375689B5" w14:textId="77777777" w:rsidR="008E6A56" w:rsidRPr="00FE0B19" w:rsidRDefault="008E6A56" w:rsidP="008E6A56">
      <w:pPr>
        <w:rPr>
          <w:rFonts w:ascii="Verdana" w:hAnsi="Verdana"/>
          <w:b/>
          <w:sz w:val="20"/>
          <w:szCs w:val="20"/>
          <w:lang w:val="en-US"/>
        </w:rPr>
      </w:pPr>
    </w:p>
    <w:p w14:paraId="0DEDACD7" w14:textId="77777777" w:rsidR="008E6A56" w:rsidRPr="00FE0B19" w:rsidRDefault="008E6A56" w:rsidP="008E6A56">
      <w:pPr>
        <w:jc w:val="center"/>
        <w:rPr>
          <w:rFonts w:ascii="Verdana" w:hAnsi="Verdana"/>
          <w:b/>
          <w:sz w:val="20"/>
          <w:szCs w:val="20"/>
          <w:lang w:val="en-US"/>
        </w:rPr>
      </w:pPr>
    </w:p>
    <w:p w14:paraId="720C5D8A" w14:textId="77777777" w:rsidR="008E6A56" w:rsidRPr="00FE0B19" w:rsidRDefault="008E6A56" w:rsidP="008E6A56">
      <w:pPr>
        <w:jc w:val="center"/>
        <w:rPr>
          <w:rFonts w:ascii="Verdana" w:hAnsi="Verdana"/>
          <w:b/>
          <w:sz w:val="20"/>
          <w:szCs w:val="20"/>
          <w:lang w:val="en-US"/>
        </w:rPr>
      </w:pPr>
    </w:p>
    <w:p w14:paraId="5F6D6221" w14:textId="77777777" w:rsidR="008E6A56" w:rsidRPr="00FE0B19" w:rsidRDefault="008E6A56" w:rsidP="008E6A56">
      <w:pPr>
        <w:jc w:val="center"/>
        <w:rPr>
          <w:rFonts w:ascii="Verdana" w:hAnsi="Verdana"/>
          <w:b/>
          <w:sz w:val="20"/>
          <w:szCs w:val="20"/>
          <w:lang w:val="en-US"/>
        </w:rPr>
      </w:pPr>
    </w:p>
    <w:p w14:paraId="025A7484" w14:textId="77777777" w:rsidR="008E6A56" w:rsidRPr="00FE0B19" w:rsidRDefault="008E6A56" w:rsidP="008E6A56">
      <w:pPr>
        <w:jc w:val="center"/>
        <w:rPr>
          <w:rFonts w:ascii="Verdana" w:hAnsi="Verdana"/>
          <w:b/>
          <w:sz w:val="20"/>
          <w:szCs w:val="20"/>
          <w:lang w:val="en-US"/>
        </w:rPr>
      </w:pPr>
    </w:p>
    <w:p w14:paraId="6334AE56" w14:textId="77777777" w:rsidR="008E6A56" w:rsidRPr="008A3740" w:rsidRDefault="008E6A56" w:rsidP="008E6A56">
      <w:pPr>
        <w:jc w:val="center"/>
        <w:rPr>
          <w:rFonts w:ascii="Verdana" w:hAnsi="Verdana"/>
          <w:b/>
          <w:sz w:val="20"/>
          <w:szCs w:val="20"/>
          <w:lang w:val="en-US"/>
        </w:rPr>
      </w:pPr>
      <w:r w:rsidRPr="008A3740">
        <w:rPr>
          <w:rFonts w:ascii="Verdana" w:hAnsi="Verdana"/>
          <w:b/>
          <w:sz w:val="20"/>
          <w:szCs w:val="20"/>
          <w:lang w:val="en-US"/>
        </w:rPr>
        <w:t>INTER-AMERICAN COURT OF HUMAN RIGHTS</w:t>
      </w:r>
    </w:p>
    <w:p w14:paraId="771116E5" w14:textId="77777777" w:rsidR="008E6A56" w:rsidRPr="008A3740" w:rsidRDefault="008E6A56" w:rsidP="008E6A56">
      <w:pPr>
        <w:rPr>
          <w:rFonts w:ascii="Verdana" w:hAnsi="Verdana"/>
          <w:b/>
          <w:sz w:val="20"/>
          <w:szCs w:val="20"/>
          <w:lang w:val="en-US"/>
        </w:rPr>
      </w:pPr>
    </w:p>
    <w:p w14:paraId="65A8577C" w14:textId="77777777" w:rsidR="008E6A56" w:rsidRPr="008A3740" w:rsidRDefault="008E6A56" w:rsidP="008E6A56">
      <w:pPr>
        <w:tabs>
          <w:tab w:val="left" w:pos="851"/>
          <w:tab w:val="left" w:pos="1701"/>
          <w:tab w:val="left" w:pos="3544"/>
          <w:tab w:val="left" w:pos="3696"/>
        </w:tabs>
        <w:jc w:val="center"/>
        <w:rPr>
          <w:rFonts w:ascii="Verdana" w:hAnsi="Verdana"/>
          <w:b/>
          <w:sz w:val="20"/>
          <w:szCs w:val="20"/>
          <w:lang w:val="en-US"/>
        </w:rPr>
      </w:pPr>
      <w:r w:rsidRPr="008A3740">
        <w:rPr>
          <w:rFonts w:ascii="Verdana" w:hAnsi="Verdana"/>
          <w:b/>
          <w:sz w:val="20"/>
          <w:szCs w:val="20"/>
          <w:lang w:val="en-US"/>
        </w:rPr>
        <w:t xml:space="preserve">CASE OF MUELLE FLORES </w:t>
      </w:r>
      <w:r w:rsidRPr="008A3740">
        <w:rPr>
          <w:rFonts w:ascii="Verdana" w:hAnsi="Verdana"/>
          <w:b/>
          <w:i/>
          <w:sz w:val="20"/>
          <w:szCs w:val="20"/>
          <w:lang w:val="en-US"/>
        </w:rPr>
        <w:t xml:space="preserve">V. </w:t>
      </w:r>
      <w:r w:rsidRPr="008A3740">
        <w:rPr>
          <w:rFonts w:ascii="Verdana" w:hAnsi="Verdana"/>
          <w:b/>
          <w:sz w:val="20"/>
          <w:szCs w:val="20"/>
          <w:lang w:val="en-US"/>
        </w:rPr>
        <w:t>PERU</w:t>
      </w:r>
    </w:p>
    <w:p w14:paraId="0631197A" w14:textId="77777777" w:rsidR="008E6A56" w:rsidRPr="008A3740" w:rsidRDefault="008E6A56" w:rsidP="008E6A56">
      <w:pPr>
        <w:tabs>
          <w:tab w:val="left" w:pos="5580"/>
          <w:tab w:val="left" w:pos="6750"/>
        </w:tabs>
        <w:jc w:val="center"/>
        <w:rPr>
          <w:rFonts w:ascii="Verdana" w:hAnsi="Verdana"/>
          <w:b/>
          <w:sz w:val="20"/>
          <w:szCs w:val="20"/>
          <w:lang w:val="en-US"/>
        </w:rPr>
      </w:pPr>
    </w:p>
    <w:p w14:paraId="24AB003D" w14:textId="77777777" w:rsidR="008E6A56" w:rsidRPr="008A3740" w:rsidRDefault="008E6A56" w:rsidP="008E6A56">
      <w:pPr>
        <w:jc w:val="center"/>
        <w:rPr>
          <w:rFonts w:ascii="Verdana" w:hAnsi="Verdana"/>
          <w:b/>
          <w:sz w:val="20"/>
          <w:szCs w:val="20"/>
          <w:lang w:val="en-US"/>
        </w:rPr>
      </w:pPr>
      <w:r w:rsidRPr="008A3740">
        <w:rPr>
          <w:rFonts w:ascii="Verdana" w:hAnsi="Verdana"/>
          <w:b/>
          <w:sz w:val="20"/>
          <w:szCs w:val="20"/>
          <w:lang w:val="en-US"/>
        </w:rPr>
        <w:t>JUDGMENT OF MARCH 6, 2019</w:t>
      </w:r>
    </w:p>
    <w:p w14:paraId="4F34F05D" w14:textId="77777777" w:rsidR="008E6A56" w:rsidRPr="008A3740" w:rsidRDefault="008E6A56" w:rsidP="008E6A56">
      <w:pPr>
        <w:jc w:val="center"/>
        <w:rPr>
          <w:rFonts w:ascii="Verdana" w:hAnsi="Verdana"/>
          <w:b/>
          <w:sz w:val="20"/>
          <w:szCs w:val="20"/>
          <w:lang w:val="en-US"/>
        </w:rPr>
      </w:pPr>
      <w:r w:rsidRPr="008A3740">
        <w:rPr>
          <w:rFonts w:ascii="Verdana" w:hAnsi="Verdana"/>
          <w:b/>
          <w:sz w:val="20"/>
          <w:szCs w:val="20"/>
          <w:lang w:val="en-US"/>
        </w:rPr>
        <w:t xml:space="preserve"> </w:t>
      </w:r>
    </w:p>
    <w:p w14:paraId="3CF5EF36" w14:textId="77777777" w:rsidR="008E6A56" w:rsidRPr="008A3740" w:rsidRDefault="008E6A56" w:rsidP="008E6A56">
      <w:pPr>
        <w:jc w:val="center"/>
        <w:rPr>
          <w:rFonts w:ascii="Verdana" w:hAnsi="Verdana"/>
          <w:b/>
          <w:sz w:val="20"/>
          <w:szCs w:val="20"/>
          <w:lang w:val="en-US"/>
        </w:rPr>
      </w:pPr>
    </w:p>
    <w:p w14:paraId="41E6B2C6" w14:textId="77777777" w:rsidR="008E6A56" w:rsidRPr="008A3740" w:rsidRDefault="008E6A56" w:rsidP="008E6A56">
      <w:pPr>
        <w:jc w:val="center"/>
        <w:rPr>
          <w:rFonts w:ascii="Verdana" w:hAnsi="Verdana"/>
          <w:b/>
          <w:i/>
          <w:sz w:val="20"/>
          <w:szCs w:val="20"/>
          <w:lang w:val="en-US"/>
        </w:rPr>
      </w:pPr>
      <w:r w:rsidRPr="008A3740">
        <w:rPr>
          <w:rFonts w:ascii="Verdana" w:hAnsi="Verdana"/>
          <w:b/>
          <w:i/>
          <w:sz w:val="20"/>
          <w:szCs w:val="20"/>
          <w:lang w:val="en-US"/>
        </w:rPr>
        <w:t>(Preliminary objections, merits, reparations and costs)</w:t>
      </w:r>
    </w:p>
    <w:p w14:paraId="4A652CB2" w14:textId="77777777" w:rsidR="008E6A56" w:rsidRPr="008A3740" w:rsidRDefault="008E6A56" w:rsidP="008E6A56">
      <w:pPr>
        <w:rPr>
          <w:rFonts w:ascii="Verdana" w:hAnsi="Verdana"/>
          <w:sz w:val="20"/>
          <w:szCs w:val="20"/>
          <w:lang w:val="en-US"/>
        </w:rPr>
      </w:pPr>
    </w:p>
    <w:p w14:paraId="26708F8B" w14:textId="77777777" w:rsidR="008E6A56" w:rsidRPr="008A3740" w:rsidRDefault="008E6A56" w:rsidP="008E6A56">
      <w:pPr>
        <w:rPr>
          <w:rFonts w:ascii="Verdana" w:hAnsi="Verdana"/>
          <w:sz w:val="20"/>
          <w:szCs w:val="20"/>
          <w:lang w:val="en-US"/>
        </w:rPr>
      </w:pPr>
    </w:p>
    <w:p w14:paraId="473F8A08" w14:textId="77777777" w:rsidR="008E6A56" w:rsidRPr="008A3740" w:rsidRDefault="008E6A56" w:rsidP="008E6A56">
      <w:pPr>
        <w:rPr>
          <w:rFonts w:ascii="Verdana" w:hAnsi="Verdana"/>
          <w:sz w:val="20"/>
          <w:szCs w:val="20"/>
          <w:lang w:val="en-US"/>
        </w:rPr>
      </w:pPr>
    </w:p>
    <w:p w14:paraId="6B9F3A22" w14:textId="77777777" w:rsidR="008E6A56" w:rsidRPr="008A3740" w:rsidRDefault="008E6A56" w:rsidP="008E6A56">
      <w:pPr>
        <w:rPr>
          <w:rFonts w:ascii="Verdana" w:hAnsi="Verdana"/>
          <w:sz w:val="20"/>
          <w:szCs w:val="20"/>
          <w:lang w:val="en-US"/>
        </w:rPr>
      </w:pPr>
    </w:p>
    <w:p w14:paraId="56861366" w14:textId="77777777" w:rsidR="008E6A56" w:rsidRPr="008A3740" w:rsidRDefault="008E6A56" w:rsidP="008E6A56">
      <w:pPr>
        <w:rPr>
          <w:rFonts w:ascii="Verdana" w:hAnsi="Verdana"/>
          <w:sz w:val="20"/>
          <w:szCs w:val="20"/>
          <w:lang w:val="en-US"/>
        </w:rPr>
      </w:pPr>
    </w:p>
    <w:p w14:paraId="70A3235E" w14:textId="77777777" w:rsidR="008E6A56" w:rsidRPr="008A3740" w:rsidRDefault="008E6A56" w:rsidP="008E6A56">
      <w:pPr>
        <w:ind w:left="1440" w:hanging="1440"/>
        <w:rPr>
          <w:rFonts w:ascii="Verdana" w:hAnsi="Verdana"/>
          <w:sz w:val="20"/>
          <w:szCs w:val="20"/>
          <w:lang w:val="en-US"/>
        </w:rPr>
      </w:pPr>
      <w:r w:rsidRPr="008A3740">
        <w:rPr>
          <w:rFonts w:ascii="Verdana" w:hAnsi="Verdana"/>
          <w:sz w:val="20"/>
          <w:szCs w:val="20"/>
          <w:lang w:val="en-US"/>
        </w:rPr>
        <w:t xml:space="preserve">In the case of </w:t>
      </w:r>
      <w:r w:rsidRPr="008A3740">
        <w:rPr>
          <w:rFonts w:ascii="Verdana" w:hAnsi="Verdana"/>
          <w:i/>
          <w:sz w:val="20"/>
          <w:szCs w:val="20"/>
          <w:lang w:val="en-US"/>
        </w:rPr>
        <w:t>Muelle Flores</w:t>
      </w:r>
      <w:r w:rsidRPr="008A3740">
        <w:rPr>
          <w:rFonts w:ascii="Verdana" w:hAnsi="Verdana"/>
          <w:sz w:val="20"/>
          <w:szCs w:val="20"/>
          <w:lang w:val="en-US"/>
        </w:rPr>
        <w:t>,</w:t>
      </w:r>
    </w:p>
    <w:p w14:paraId="3D90BBE5" w14:textId="77777777" w:rsidR="008E6A56" w:rsidRPr="008A3740" w:rsidRDefault="008E6A56" w:rsidP="008E6A56">
      <w:pPr>
        <w:rPr>
          <w:rFonts w:ascii="Verdana" w:hAnsi="Verdana"/>
          <w:sz w:val="20"/>
          <w:szCs w:val="20"/>
          <w:lang w:val="en-US"/>
        </w:rPr>
      </w:pPr>
    </w:p>
    <w:p w14:paraId="748505A6"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the Inter-American Court of Human Rights (hereina</w:t>
      </w:r>
      <w:r w:rsidR="006B4B9F" w:rsidRPr="008A3740">
        <w:rPr>
          <w:rFonts w:ascii="Verdana" w:hAnsi="Verdana"/>
          <w:sz w:val="20"/>
          <w:szCs w:val="20"/>
          <w:lang w:val="en-US"/>
        </w:rPr>
        <w:t>fter “the Inter-American Court”</w:t>
      </w:r>
      <w:r w:rsidRPr="008A3740">
        <w:rPr>
          <w:rFonts w:ascii="Verdana" w:hAnsi="Verdana"/>
          <w:sz w:val="20"/>
          <w:szCs w:val="20"/>
          <w:lang w:val="en-US"/>
        </w:rPr>
        <w:t xml:space="preserve"> or “the Court”), comprised of the following </w:t>
      </w:r>
      <w:r w:rsidRPr="008A3740">
        <w:rPr>
          <w:rFonts w:ascii="Verdana" w:hAnsi="Verdana" w:cs="Verdana"/>
          <w:sz w:val="20"/>
          <w:szCs w:val="20"/>
          <w:lang w:val="en-US"/>
        </w:rPr>
        <w:t>judges</w:t>
      </w:r>
      <w:r w:rsidR="006B4B9F" w:rsidRPr="008A3740">
        <w:rPr>
          <w:rFonts w:ascii="Verdana" w:hAnsi="Verdana" w:cs="Verdana"/>
          <w:sz w:val="20"/>
          <w:szCs w:val="20"/>
          <w:lang w:val="en-US"/>
        </w:rPr>
        <w:t>:</w:t>
      </w:r>
      <w:r w:rsidRPr="008A3740">
        <w:rPr>
          <w:rStyle w:val="Refdenotaalpie"/>
          <w:rFonts w:cs="Verdana"/>
          <w:lang w:val="en-US"/>
        </w:rPr>
        <w:footnoteReference w:customMarkFollows="1" w:id="1"/>
        <w:t>*</w:t>
      </w:r>
    </w:p>
    <w:p w14:paraId="2E3699C2" w14:textId="77777777" w:rsidR="008E6A56" w:rsidRPr="008A3740" w:rsidRDefault="008E6A56" w:rsidP="008E6A56">
      <w:pPr>
        <w:rPr>
          <w:rFonts w:ascii="Verdana" w:hAnsi="Verdana"/>
          <w:sz w:val="20"/>
          <w:szCs w:val="20"/>
          <w:lang w:val="en-US"/>
        </w:rPr>
      </w:pPr>
    </w:p>
    <w:p w14:paraId="7FB5630A"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Eduardo Ferrer Mac-Gregor Poisot, President;</w:t>
      </w:r>
    </w:p>
    <w:p w14:paraId="6CA58658"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Eduardo Vio Grossi, Vice President;</w:t>
      </w:r>
    </w:p>
    <w:p w14:paraId="251FC6CC"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Humberto Antonio Sierra Porto, Judge;</w:t>
      </w:r>
    </w:p>
    <w:p w14:paraId="4F1A3815"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Elizabeth Odio Benito, Judge;</w:t>
      </w:r>
    </w:p>
    <w:p w14:paraId="3BE64B68"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Eugenio Raúl Zaffaroni, Judge, and</w:t>
      </w:r>
    </w:p>
    <w:p w14:paraId="0CE79D17"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Patricio Pazmiño Freire, Judge,</w:t>
      </w:r>
    </w:p>
    <w:p w14:paraId="2C8239B3" w14:textId="77777777" w:rsidR="008E6A56" w:rsidRPr="008A3740" w:rsidRDefault="008E6A56" w:rsidP="008E6A56">
      <w:pPr>
        <w:rPr>
          <w:rFonts w:ascii="Verdana" w:hAnsi="Verdana"/>
          <w:sz w:val="20"/>
          <w:szCs w:val="20"/>
          <w:lang w:val="en-US"/>
        </w:rPr>
      </w:pPr>
    </w:p>
    <w:p w14:paraId="1AEC404D"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 xml:space="preserve">also present, </w:t>
      </w:r>
    </w:p>
    <w:p w14:paraId="746B8D41" w14:textId="77777777" w:rsidR="008E6A56" w:rsidRPr="008A3740" w:rsidRDefault="008E6A56" w:rsidP="008E6A56">
      <w:pPr>
        <w:rPr>
          <w:rFonts w:ascii="Verdana" w:hAnsi="Verdana"/>
          <w:sz w:val="20"/>
          <w:szCs w:val="20"/>
          <w:lang w:val="en-US"/>
        </w:rPr>
      </w:pPr>
    </w:p>
    <w:p w14:paraId="5D16FB29"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Pablo Saavedra Alessandri, Secretary,</w:t>
      </w:r>
    </w:p>
    <w:p w14:paraId="55AE3A2C" w14:textId="77777777" w:rsidR="008E6A56" w:rsidRPr="008A3740" w:rsidRDefault="008E6A56" w:rsidP="008E6A56">
      <w:pPr>
        <w:rPr>
          <w:rFonts w:ascii="Verdana" w:hAnsi="Verdana"/>
          <w:sz w:val="20"/>
          <w:szCs w:val="20"/>
          <w:lang w:val="en-US"/>
        </w:rPr>
      </w:pPr>
    </w:p>
    <w:p w14:paraId="17FA8181"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t>Pursuant to Articles 62(3) and 63(1) of the American Convention on Human Rights (hereinafter “the Convention” or “the American Convention”) and with Articles 31, 32, 42, 65 and 67 of the Rules of Procedure of the Court (hereinafter “the Rules of Procedure”), delivers this Judgment, structured as follows:</w:t>
      </w:r>
    </w:p>
    <w:p w14:paraId="0046EB56" w14:textId="77777777" w:rsidR="008E6A56" w:rsidRPr="008A3740" w:rsidRDefault="008E6A56" w:rsidP="008E6A56">
      <w:pPr>
        <w:rPr>
          <w:rFonts w:ascii="Verdana" w:hAnsi="Verdana"/>
          <w:sz w:val="20"/>
          <w:szCs w:val="20"/>
          <w:lang w:val="en-US"/>
        </w:rPr>
      </w:pPr>
    </w:p>
    <w:p w14:paraId="3BBF01EF" w14:textId="77777777" w:rsidR="008E6A56" w:rsidRPr="008A3740" w:rsidRDefault="008E6A56" w:rsidP="008E6A56">
      <w:pPr>
        <w:jc w:val="center"/>
        <w:rPr>
          <w:rFonts w:ascii="Verdana" w:hAnsi="Verdana"/>
          <w:sz w:val="20"/>
          <w:szCs w:val="20"/>
          <w:lang w:val="en-US"/>
        </w:rPr>
      </w:pPr>
    </w:p>
    <w:p w14:paraId="29B9F070" w14:textId="77777777" w:rsidR="008E6A56" w:rsidRPr="008A3740" w:rsidRDefault="008E6A56" w:rsidP="008E6A56">
      <w:pPr>
        <w:rPr>
          <w:rFonts w:ascii="Verdana" w:hAnsi="Verdana"/>
          <w:sz w:val="20"/>
          <w:szCs w:val="20"/>
          <w:lang w:val="en-US"/>
        </w:rPr>
      </w:pPr>
      <w:r w:rsidRPr="008A3740">
        <w:rPr>
          <w:rFonts w:ascii="Verdana" w:hAnsi="Verdana"/>
          <w:sz w:val="20"/>
          <w:szCs w:val="20"/>
          <w:lang w:val="en-US"/>
        </w:rPr>
        <w:br w:type="page"/>
      </w:r>
    </w:p>
    <w:p w14:paraId="5D49CCE8" w14:textId="77777777" w:rsidR="008E6A56" w:rsidRPr="008A3740" w:rsidRDefault="0061633B" w:rsidP="008E6A56">
      <w:pPr>
        <w:pStyle w:val="TtuloTDC"/>
        <w:spacing w:line="240" w:lineRule="auto"/>
        <w:jc w:val="center"/>
        <w:rPr>
          <w:rFonts w:ascii="Verdana" w:hAnsi="Verdana"/>
          <w:color w:val="auto"/>
          <w:sz w:val="20"/>
        </w:rPr>
      </w:pPr>
      <w:r w:rsidRPr="008A3740">
        <w:rPr>
          <w:rFonts w:ascii="Verdana" w:hAnsi="Verdana"/>
          <w:color w:val="auto"/>
          <w:sz w:val="20"/>
        </w:rPr>
        <w:lastRenderedPageBreak/>
        <w:t xml:space="preserve">TABLE OF </w:t>
      </w:r>
      <w:r w:rsidR="008E6A56" w:rsidRPr="008A3740">
        <w:rPr>
          <w:rFonts w:ascii="Verdana" w:hAnsi="Verdana"/>
          <w:color w:val="auto"/>
          <w:sz w:val="20"/>
        </w:rPr>
        <w:t>Content</w:t>
      </w:r>
      <w:r w:rsidRPr="008A3740">
        <w:rPr>
          <w:rFonts w:ascii="Verdana" w:hAnsi="Verdana"/>
          <w:color w:val="auto"/>
          <w:sz w:val="20"/>
        </w:rPr>
        <w:t>S</w:t>
      </w:r>
    </w:p>
    <w:p w14:paraId="7346C069" w14:textId="77777777" w:rsidR="008E6A56" w:rsidRPr="008A3740" w:rsidRDefault="008E6A56" w:rsidP="008E6A56">
      <w:pPr>
        <w:rPr>
          <w:rFonts w:ascii="Verdana" w:hAnsi="Verdana"/>
          <w:sz w:val="20"/>
          <w:szCs w:val="20"/>
          <w:lang w:val="en-US" w:eastAsia="en-US"/>
        </w:rPr>
      </w:pPr>
    </w:p>
    <w:p w14:paraId="7C507E11" w14:textId="0CBBBC85" w:rsidR="008E6A56" w:rsidRPr="008A3740" w:rsidRDefault="008E6A56" w:rsidP="008E6A56">
      <w:pPr>
        <w:pStyle w:val="TDC1"/>
        <w:rPr>
          <w:rFonts w:eastAsia="Times New Roman" w:cs="Times New Roman"/>
          <w:b w:val="0"/>
          <w:caps w:val="0"/>
          <w:noProof w:val="0"/>
          <w:snapToGrid/>
          <w:sz w:val="20"/>
          <w:szCs w:val="20"/>
          <w:lang w:val="en-US"/>
        </w:rPr>
      </w:pPr>
      <w:r w:rsidRPr="008A3740">
        <w:rPr>
          <w:noProof w:val="0"/>
          <w:sz w:val="20"/>
          <w:szCs w:val="20"/>
          <w:lang w:val="en-US"/>
        </w:rPr>
        <w:fldChar w:fldCharType="begin"/>
      </w:r>
      <w:r w:rsidRPr="008A3740">
        <w:rPr>
          <w:noProof w:val="0"/>
          <w:sz w:val="20"/>
          <w:szCs w:val="20"/>
          <w:lang w:val="en-US"/>
        </w:rPr>
        <w:instrText xml:space="preserve"> TOC \o "1-3" \h \z \u </w:instrText>
      </w:r>
      <w:r w:rsidRPr="008A3740">
        <w:rPr>
          <w:noProof w:val="0"/>
          <w:sz w:val="20"/>
          <w:szCs w:val="20"/>
          <w:lang w:val="en-US"/>
        </w:rPr>
        <w:fldChar w:fldCharType="separate"/>
      </w:r>
      <w:hyperlink w:anchor="_Toc5009855" w:history="1">
        <w:r w:rsidR="006B4B9F" w:rsidRPr="008A3740">
          <w:rPr>
            <w:rStyle w:val="Hipervnculo"/>
            <w:noProof w:val="0"/>
            <w:sz w:val="20"/>
            <w:szCs w:val="20"/>
            <w:lang w:val="en-US"/>
          </w:rPr>
          <w:t>I INTRODUCTION of</w:t>
        </w:r>
        <w:r w:rsidRPr="008A3740">
          <w:rPr>
            <w:rStyle w:val="Hipervnculo"/>
            <w:noProof w:val="0"/>
            <w:sz w:val="20"/>
            <w:szCs w:val="20"/>
            <w:lang w:val="en-US"/>
          </w:rPr>
          <w:t xml:space="preserve"> the CA</w:t>
        </w:r>
        <w:r w:rsidR="0061633B" w:rsidRPr="008A3740">
          <w:rPr>
            <w:rStyle w:val="Hipervnculo"/>
            <w:noProof w:val="0"/>
            <w:sz w:val="20"/>
            <w:szCs w:val="20"/>
            <w:lang w:val="en-US"/>
          </w:rPr>
          <w:t xml:space="preserve">SE </w:t>
        </w:r>
        <w:r w:rsidRPr="008A3740">
          <w:rPr>
            <w:rStyle w:val="Hipervnculo"/>
            <w:noProof w:val="0"/>
            <w:sz w:val="20"/>
            <w:szCs w:val="20"/>
            <w:lang w:val="en-US"/>
          </w:rPr>
          <w:t xml:space="preserve">and </w:t>
        </w:r>
        <w:r w:rsidR="0061633B" w:rsidRPr="008A3740">
          <w:rPr>
            <w:rStyle w:val="Hipervnculo"/>
            <w:noProof w:val="0"/>
            <w:sz w:val="20"/>
            <w:szCs w:val="20"/>
            <w:lang w:val="en-US"/>
          </w:rPr>
          <w:t xml:space="preserve">PURPOSE of </w:t>
        </w:r>
        <w:r w:rsidRPr="008A3740">
          <w:rPr>
            <w:rStyle w:val="Hipervnculo"/>
            <w:noProof w:val="0"/>
            <w:sz w:val="20"/>
            <w:szCs w:val="20"/>
            <w:lang w:val="en-US"/>
          </w:rPr>
          <w:t>the DISPUTE</w:t>
        </w:r>
        <w:r w:rsidRPr="008A3740">
          <w:rPr>
            <w:noProof w:val="0"/>
            <w:webHidden/>
            <w:sz w:val="20"/>
            <w:szCs w:val="20"/>
            <w:lang w:val="en-US"/>
          </w:rPr>
          <w:tab/>
        </w:r>
        <w:r w:rsidRPr="008A3740">
          <w:rPr>
            <w:noProof w:val="0"/>
            <w:webHidden/>
            <w:sz w:val="20"/>
            <w:szCs w:val="20"/>
            <w:lang w:val="en-US"/>
          </w:rPr>
          <w:fldChar w:fldCharType="begin"/>
        </w:r>
        <w:r w:rsidRPr="008A3740">
          <w:rPr>
            <w:noProof w:val="0"/>
            <w:webHidden/>
            <w:sz w:val="20"/>
            <w:szCs w:val="20"/>
            <w:lang w:val="en-US"/>
          </w:rPr>
          <w:instrText xml:space="preserve"> PAGEREF _Toc5009855 \h </w:instrText>
        </w:r>
        <w:r w:rsidRPr="008A3740">
          <w:rPr>
            <w:noProof w:val="0"/>
            <w:webHidden/>
            <w:sz w:val="20"/>
            <w:szCs w:val="20"/>
            <w:lang w:val="en-US"/>
          </w:rPr>
        </w:r>
        <w:r w:rsidRPr="008A3740">
          <w:rPr>
            <w:noProof w:val="0"/>
            <w:webHidden/>
            <w:sz w:val="20"/>
            <w:szCs w:val="20"/>
            <w:lang w:val="en-US"/>
          </w:rPr>
          <w:fldChar w:fldCharType="separate"/>
        </w:r>
        <w:r w:rsidR="004E4B49">
          <w:rPr>
            <w:webHidden/>
            <w:sz w:val="20"/>
            <w:szCs w:val="20"/>
            <w:lang w:val="en-US"/>
          </w:rPr>
          <w:t>4</w:t>
        </w:r>
        <w:r w:rsidRPr="008A3740">
          <w:rPr>
            <w:noProof w:val="0"/>
            <w:webHidden/>
            <w:sz w:val="20"/>
            <w:szCs w:val="20"/>
            <w:lang w:val="en-US"/>
          </w:rPr>
          <w:fldChar w:fldCharType="end"/>
        </w:r>
      </w:hyperlink>
    </w:p>
    <w:p w14:paraId="3701512E" w14:textId="7782D12A" w:rsidR="008E6A56" w:rsidRPr="008A3740" w:rsidRDefault="000C43D3" w:rsidP="008E6A56">
      <w:pPr>
        <w:pStyle w:val="TDC1"/>
        <w:rPr>
          <w:rFonts w:eastAsia="Times New Roman" w:cs="Times New Roman"/>
          <w:b w:val="0"/>
          <w:caps w:val="0"/>
          <w:noProof w:val="0"/>
          <w:snapToGrid/>
          <w:sz w:val="20"/>
          <w:szCs w:val="20"/>
          <w:lang w:val="en-US"/>
        </w:rPr>
      </w:pPr>
      <w:hyperlink w:anchor="_Toc5009856" w:history="1">
        <w:r w:rsidR="008E6A56" w:rsidRPr="008A3740">
          <w:rPr>
            <w:rStyle w:val="Hipervnculo"/>
            <w:noProof w:val="0"/>
            <w:sz w:val="20"/>
            <w:szCs w:val="20"/>
            <w:lang w:val="en-US"/>
          </w:rPr>
          <w:t>II PROCEEDING</w:t>
        </w:r>
        <w:r w:rsidR="00461D97" w:rsidRPr="008A3740">
          <w:rPr>
            <w:rStyle w:val="Hipervnculo"/>
            <w:noProof w:val="0"/>
            <w:sz w:val="20"/>
            <w:szCs w:val="20"/>
            <w:lang w:val="en-US"/>
          </w:rPr>
          <w:t>S</w:t>
        </w:r>
        <w:r w:rsidR="008E6A56" w:rsidRPr="008A3740">
          <w:rPr>
            <w:rStyle w:val="Hipervnculo"/>
            <w:noProof w:val="0"/>
            <w:sz w:val="20"/>
            <w:szCs w:val="20"/>
            <w:lang w:val="en-US"/>
          </w:rPr>
          <w:t xml:space="preserve"> before THE COURT</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_Toc5009856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5</w:t>
        </w:r>
        <w:r w:rsidR="008E6A56" w:rsidRPr="008A3740">
          <w:rPr>
            <w:noProof w:val="0"/>
            <w:webHidden/>
            <w:sz w:val="20"/>
            <w:szCs w:val="20"/>
            <w:lang w:val="en-US"/>
          </w:rPr>
          <w:fldChar w:fldCharType="end"/>
        </w:r>
      </w:hyperlink>
    </w:p>
    <w:p w14:paraId="4894270E" w14:textId="2363455D" w:rsidR="008E6A56" w:rsidRPr="008A3740" w:rsidRDefault="000C43D3" w:rsidP="008E6A56">
      <w:pPr>
        <w:pStyle w:val="TDC1"/>
        <w:rPr>
          <w:rFonts w:eastAsia="Times New Roman" w:cs="Times New Roman"/>
          <w:b w:val="0"/>
          <w:caps w:val="0"/>
          <w:noProof w:val="0"/>
          <w:snapToGrid/>
          <w:sz w:val="20"/>
          <w:szCs w:val="20"/>
          <w:lang w:val="en-US"/>
        </w:rPr>
      </w:pPr>
      <w:hyperlink w:anchor="_Toc5009857" w:history="1">
        <w:r w:rsidR="006B4B9F" w:rsidRPr="008A3740">
          <w:rPr>
            <w:rStyle w:val="Hipervnculo"/>
            <w:noProof w:val="0"/>
            <w:sz w:val="20"/>
            <w:szCs w:val="20"/>
            <w:lang w:val="en-US"/>
          </w:rPr>
          <w:t>III JURISDICTION</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_Toc5009857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7</w:t>
        </w:r>
        <w:r w:rsidR="008E6A56" w:rsidRPr="008A3740">
          <w:rPr>
            <w:noProof w:val="0"/>
            <w:webHidden/>
            <w:sz w:val="20"/>
            <w:szCs w:val="20"/>
            <w:lang w:val="en-US"/>
          </w:rPr>
          <w:fldChar w:fldCharType="end"/>
        </w:r>
      </w:hyperlink>
    </w:p>
    <w:p w14:paraId="76AB19A7" w14:textId="77CC6982" w:rsidR="008E6A56" w:rsidRPr="008A3740" w:rsidRDefault="000C43D3" w:rsidP="008E6A56">
      <w:pPr>
        <w:pStyle w:val="TDC1"/>
        <w:rPr>
          <w:rFonts w:eastAsia="Times New Roman" w:cs="Times New Roman"/>
          <w:b w:val="0"/>
          <w:caps w:val="0"/>
          <w:noProof w:val="0"/>
          <w:snapToGrid/>
          <w:sz w:val="20"/>
          <w:szCs w:val="20"/>
          <w:lang w:val="en-US"/>
        </w:rPr>
      </w:pPr>
      <w:hyperlink w:anchor="_Toc5009858" w:history="1">
        <w:r w:rsidR="008E6A56" w:rsidRPr="008A3740">
          <w:rPr>
            <w:rStyle w:val="Hipervnculo"/>
            <w:rFonts w:eastAsia="MS ????"/>
            <w:noProof w:val="0"/>
            <w:sz w:val="20"/>
            <w:szCs w:val="20"/>
            <w:lang w:val="en-US" w:eastAsia="es-ES"/>
          </w:rPr>
          <w:t>IV PRELIMINARY OBJECTIONS</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_Toc5009858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7</w:t>
        </w:r>
        <w:r w:rsidR="008E6A56" w:rsidRPr="008A3740">
          <w:rPr>
            <w:noProof w:val="0"/>
            <w:webHidden/>
            <w:sz w:val="20"/>
            <w:szCs w:val="20"/>
            <w:lang w:val="en-US"/>
          </w:rPr>
          <w:fldChar w:fldCharType="end"/>
        </w:r>
      </w:hyperlink>
    </w:p>
    <w:p w14:paraId="1D040625" w14:textId="14249C45" w:rsidR="008E6A56" w:rsidRPr="008A3740" w:rsidRDefault="000C43D3" w:rsidP="008E6A56">
      <w:pPr>
        <w:pStyle w:val="TDC2"/>
        <w:rPr>
          <w:rFonts w:ascii="Verdana" w:eastAsia="Times New Roman" w:hAnsi="Verdana"/>
          <w:sz w:val="20"/>
          <w:szCs w:val="20"/>
          <w:lang w:val="en-US"/>
        </w:rPr>
      </w:pPr>
      <w:hyperlink w:anchor="_Toc5009859" w:history="1">
        <w:r w:rsidR="008E6A56" w:rsidRPr="008A3740">
          <w:rPr>
            <w:rStyle w:val="Hipervnculo"/>
            <w:rFonts w:ascii="Verdana" w:hAnsi="Verdana"/>
            <w:sz w:val="20"/>
            <w:szCs w:val="20"/>
            <w:lang w:val="en-US"/>
          </w:rPr>
          <w:t>A.</w:t>
        </w:r>
        <w:r w:rsidR="008E6A56" w:rsidRPr="008A3740">
          <w:rPr>
            <w:rFonts w:ascii="Verdana" w:eastAsia="Times New Roman" w:hAnsi="Verdana"/>
            <w:sz w:val="20"/>
            <w:szCs w:val="20"/>
            <w:lang w:val="en-US"/>
          </w:rPr>
          <w:tab/>
        </w:r>
        <w:r w:rsidR="002B57AC" w:rsidRPr="008A3740">
          <w:rPr>
            <w:rStyle w:val="Hipervnculo"/>
            <w:rFonts w:ascii="Verdana" w:hAnsi="Verdana"/>
            <w:sz w:val="20"/>
            <w:szCs w:val="20"/>
            <w:lang w:val="en-US"/>
          </w:rPr>
          <w:t>Objection regarding</w:t>
        </w:r>
        <w:r w:rsidR="008E6A56" w:rsidRPr="008A3740">
          <w:rPr>
            <w:rStyle w:val="Hipervnculo"/>
            <w:rFonts w:ascii="Verdana" w:hAnsi="Verdana"/>
            <w:sz w:val="20"/>
            <w:szCs w:val="20"/>
            <w:lang w:val="en-US"/>
          </w:rPr>
          <w:t xml:space="preserve"> the alleged failure to exhaust domestic remedies</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_Toc5009859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8</w:t>
        </w:r>
        <w:r w:rsidR="008E6A56" w:rsidRPr="008A3740">
          <w:rPr>
            <w:rFonts w:ascii="Verdana" w:hAnsi="Verdana"/>
            <w:webHidden/>
            <w:sz w:val="20"/>
            <w:szCs w:val="20"/>
            <w:lang w:val="en-US"/>
          </w:rPr>
          <w:fldChar w:fldCharType="end"/>
        </w:r>
      </w:hyperlink>
    </w:p>
    <w:p w14:paraId="3E6C7143" w14:textId="1900CE84" w:rsidR="008E6A56" w:rsidRPr="008A3740" w:rsidRDefault="000C43D3" w:rsidP="008E6A56">
      <w:pPr>
        <w:pStyle w:val="TDC3"/>
        <w:rPr>
          <w:rFonts w:ascii="Verdana" w:eastAsia="Times New Roman" w:hAnsi="Verdana"/>
          <w:sz w:val="20"/>
          <w:szCs w:val="20"/>
          <w:lang w:val="en-US"/>
        </w:rPr>
      </w:pPr>
      <w:hyperlink w:anchor="_Toc5009860" w:history="1">
        <w:r w:rsidR="008E6A56" w:rsidRPr="008A3740">
          <w:rPr>
            <w:rStyle w:val="Hipervnculo"/>
            <w:rFonts w:ascii="Verdana" w:hAnsi="Verdana"/>
            <w:sz w:val="20"/>
            <w:szCs w:val="20"/>
            <w:lang w:val="en-US"/>
          </w:rPr>
          <w:t xml:space="preserve">A.1 Arguments of the State and observations </w:t>
        </w:r>
        <w:r w:rsidR="002B57AC" w:rsidRPr="008A3740">
          <w:rPr>
            <w:rStyle w:val="Hipervnculo"/>
            <w:rFonts w:ascii="Verdana" w:hAnsi="Verdana"/>
            <w:sz w:val="20"/>
            <w:szCs w:val="20"/>
            <w:lang w:val="en-US"/>
          </w:rPr>
          <w:t>of the Commission and the r</w:t>
        </w:r>
        <w:r w:rsidR="008E6A56" w:rsidRPr="008A3740">
          <w:rPr>
            <w:rStyle w:val="Hipervnculo"/>
            <w:rFonts w:ascii="Verdana" w:hAnsi="Verdana"/>
            <w:sz w:val="20"/>
            <w:szCs w:val="20"/>
            <w:lang w:val="en-US"/>
          </w:rPr>
          <w:t>epresentatives</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_Toc5009860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8</w:t>
        </w:r>
        <w:r w:rsidR="008E6A56" w:rsidRPr="008A3740">
          <w:rPr>
            <w:rFonts w:ascii="Verdana" w:hAnsi="Verdana"/>
            <w:webHidden/>
            <w:sz w:val="20"/>
            <w:szCs w:val="20"/>
            <w:lang w:val="en-US"/>
          </w:rPr>
          <w:fldChar w:fldCharType="end"/>
        </w:r>
      </w:hyperlink>
    </w:p>
    <w:p w14:paraId="6141FD8A" w14:textId="373C5418" w:rsidR="008E6A56" w:rsidRPr="008A3740" w:rsidRDefault="000C43D3" w:rsidP="008E6A56">
      <w:pPr>
        <w:pStyle w:val="TDC3"/>
        <w:rPr>
          <w:rFonts w:ascii="Verdana" w:eastAsia="Times New Roman" w:hAnsi="Verdana"/>
          <w:sz w:val="20"/>
          <w:szCs w:val="20"/>
          <w:lang w:val="en-US"/>
        </w:rPr>
      </w:pPr>
      <w:hyperlink w:anchor="_Toc5009861" w:history="1">
        <w:r w:rsidR="008E6A56" w:rsidRPr="008A3740">
          <w:rPr>
            <w:rStyle w:val="Hipervnculo"/>
            <w:rFonts w:ascii="Verdana" w:hAnsi="Verdana"/>
            <w:sz w:val="20"/>
            <w:szCs w:val="20"/>
            <w:lang w:val="en-US"/>
          </w:rPr>
          <w:t>A.2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_Toc5009861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9</w:t>
        </w:r>
        <w:r w:rsidR="008E6A56" w:rsidRPr="008A3740">
          <w:rPr>
            <w:rFonts w:ascii="Verdana" w:hAnsi="Verdana"/>
            <w:webHidden/>
            <w:sz w:val="20"/>
            <w:szCs w:val="20"/>
            <w:lang w:val="en-US"/>
          </w:rPr>
          <w:fldChar w:fldCharType="end"/>
        </w:r>
      </w:hyperlink>
    </w:p>
    <w:p w14:paraId="3BA88E0B" w14:textId="75471F2C" w:rsidR="008E6A56" w:rsidRPr="008A3740" w:rsidRDefault="000C43D3" w:rsidP="008E6A56">
      <w:pPr>
        <w:pStyle w:val="TDC2"/>
        <w:rPr>
          <w:rFonts w:ascii="Verdana" w:eastAsia="Times New Roman" w:hAnsi="Verdana"/>
          <w:sz w:val="20"/>
          <w:szCs w:val="20"/>
          <w:lang w:val="en-US"/>
        </w:rPr>
      </w:pPr>
      <w:hyperlink w:anchor="_Toc5009862" w:history="1">
        <w:r w:rsidR="008E6A56" w:rsidRPr="008A3740">
          <w:rPr>
            <w:rStyle w:val="Hipervnculo"/>
            <w:rFonts w:ascii="Verdana" w:hAnsi="Verdana"/>
            <w:sz w:val="20"/>
            <w:szCs w:val="20"/>
            <w:lang w:val="en-US"/>
          </w:rPr>
          <w:t>B.</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 xml:space="preserve">Objection </w:t>
        </w:r>
        <w:r w:rsidR="00136943" w:rsidRPr="008A3740">
          <w:rPr>
            <w:rStyle w:val="Hipervnculo"/>
            <w:rFonts w:ascii="Verdana" w:hAnsi="Verdana"/>
            <w:sz w:val="20"/>
            <w:szCs w:val="20"/>
            <w:lang w:val="en-US"/>
          </w:rPr>
          <w:t xml:space="preserve">regarding </w:t>
        </w:r>
        <w:r w:rsidR="008E6A56" w:rsidRPr="008A3740">
          <w:rPr>
            <w:rStyle w:val="Hipervnculo"/>
            <w:rFonts w:ascii="Verdana" w:hAnsi="Verdana"/>
            <w:sz w:val="20"/>
            <w:szCs w:val="20"/>
            <w:lang w:val="en-US"/>
          </w:rPr>
          <w:t xml:space="preserve">the </w:t>
        </w:r>
        <w:r w:rsidR="00CB7367" w:rsidRPr="008A3740">
          <w:rPr>
            <w:rStyle w:val="Hipervnculo"/>
            <w:rFonts w:ascii="Verdana" w:hAnsi="Verdana"/>
            <w:sz w:val="20"/>
            <w:szCs w:val="20"/>
            <w:lang w:val="en-US"/>
          </w:rPr>
          <w:t xml:space="preserve">Court’s </w:t>
        </w:r>
        <w:r w:rsidR="008E6A56" w:rsidRPr="008A3740">
          <w:rPr>
            <w:rStyle w:val="Hipervnculo"/>
            <w:rFonts w:ascii="Verdana" w:hAnsi="Verdana"/>
            <w:sz w:val="20"/>
            <w:szCs w:val="20"/>
            <w:lang w:val="en-US"/>
          </w:rPr>
          <w:t xml:space="preserve">alleged lack of </w:t>
        </w:r>
        <w:r w:rsidR="000E73BC" w:rsidRPr="008A3740">
          <w:rPr>
            <w:rStyle w:val="Hipervnculo"/>
            <w:rFonts w:ascii="Verdana" w:hAnsi="Verdana"/>
            <w:sz w:val="20"/>
            <w:szCs w:val="20"/>
            <w:lang w:val="en-US"/>
          </w:rPr>
          <w:t xml:space="preserve">jurisdiction </w:t>
        </w:r>
        <w:r w:rsidR="001D5F89" w:rsidRPr="008A3740">
          <w:rPr>
            <w:rStyle w:val="Hipervnculo"/>
            <w:rFonts w:ascii="Verdana" w:hAnsi="Verdana"/>
            <w:b/>
            <w:i/>
            <w:sz w:val="20"/>
            <w:szCs w:val="20"/>
            <w:lang w:val="en-US"/>
          </w:rPr>
          <w:t>ratione materiae</w:t>
        </w:r>
        <w:r w:rsidR="001D5F89" w:rsidRPr="008A3740">
          <w:rPr>
            <w:rStyle w:val="Hipervnculo"/>
            <w:rFonts w:ascii="Verdana" w:hAnsi="Verdana"/>
            <w:sz w:val="20"/>
            <w:szCs w:val="20"/>
            <w:lang w:val="en-US"/>
          </w:rPr>
          <w:t xml:space="preserve"> </w:t>
        </w:r>
        <w:r w:rsidR="002B57AC" w:rsidRPr="008A3740">
          <w:rPr>
            <w:rStyle w:val="Hipervnculo"/>
            <w:rFonts w:ascii="Verdana" w:hAnsi="Verdana"/>
            <w:sz w:val="20"/>
            <w:szCs w:val="20"/>
            <w:lang w:val="en-US"/>
          </w:rPr>
          <w:t xml:space="preserve">and </w:t>
        </w:r>
        <w:r w:rsidR="00CB7367" w:rsidRPr="008A3740">
          <w:rPr>
            <w:rStyle w:val="Hipervnculo"/>
            <w:rFonts w:ascii="Verdana" w:hAnsi="Verdana"/>
            <w:sz w:val="20"/>
            <w:szCs w:val="20"/>
            <w:lang w:val="en-US"/>
          </w:rPr>
          <w:t xml:space="preserve">the </w:t>
        </w:r>
        <w:r w:rsidR="002B57AC" w:rsidRPr="008A3740">
          <w:rPr>
            <w:rStyle w:val="Hipervnculo"/>
            <w:rFonts w:ascii="Verdana" w:hAnsi="Verdana"/>
            <w:sz w:val="20"/>
            <w:szCs w:val="20"/>
            <w:lang w:val="en-US"/>
          </w:rPr>
          <w:t>d</w:t>
        </w:r>
        <w:r w:rsidR="008E6A56" w:rsidRPr="008A3740">
          <w:rPr>
            <w:rStyle w:val="Hipervnculo"/>
            <w:rFonts w:ascii="Verdana" w:hAnsi="Verdana"/>
            <w:sz w:val="20"/>
            <w:szCs w:val="20"/>
            <w:lang w:val="en-US"/>
          </w:rPr>
          <w:t>irect justiciability of Article 26 of the Convention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_Toc5009862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10</w:t>
        </w:r>
        <w:r w:rsidR="008E6A56" w:rsidRPr="008A3740">
          <w:rPr>
            <w:rFonts w:ascii="Verdana" w:hAnsi="Verdana"/>
            <w:webHidden/>
            <w:sz w:val="20"/>
            <w:szCs w:val="20"/>
            <w:lang w:val="en-US"/>
          </w:rPr>
          <w:fldChar w:fldCharType="end"/>
        </w:r>
      </w:hyperlink>
    </w:p>
    <w:p w14:paraId="4C5E1FF3" w14:textId="0D55020A" w:rsidR="008E6A56" w:rsidRPr="008A3740" w:rsidRDefault="000C43D3" w:rsidP="008E6A56">
      <w:pPr>
        <w:pStyle w:val="TDC3"/>
        <w:rPr>
          <w:rFonts w:ascii="Verdana" w:eastAsia="Times New Roman" w:hAnsi="Verdana"/>
          <w:sz w:val="20"/>
          <w:szCs w:val="20"/>
          <w:lang w:val="en-US"/>
        </w:rPr>
      </w:pPr>
      <w:hyperlink w:anchor="_Toc5009863" w:history="1">
        <w:r w:rsidR="008E6A56" w:rsidRPr="008A3740">
          <w:rPr>
            <w:rStyle w:val="Hipervnculo"/>
            <w:rFonts w:ascii="Verdana" w:hAnsi="Verdana"/>
            <w:sz w:val="20"/>
            <w:szCs w:val="20"/>
            <w:lang w:val="en-US"/>
          </w:rPr>
          <w:t>B.1 Arguments of the State and observations of the Commission and the representatives</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_Toc5009863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10</w:t>
        </w:r>
        <w:r w:rsidR="008E6A56" w:rsidRPr="008A3740">
          <w:rPr>
            <w:rFonts w:ascii="Verdana" w:hAnsi="Verdana"/>
            <w:webHidden/>
            <w:sz w:val="20"/>
            <w:szCs w:val="20"/>
            <w:lang w:val="en-US"/>
          </w:rPr>
          <w:fldChar w:fldCharType="end"/>
        </w:r>
      </w:hyperlink>
    </w:p>
    <w:p w14:paraId="51FC92F4" w14:textId="42888268" w:rsidR="008E6A56" w:rsidRPr="008A3740" w:rsidRDefault="000C43D3" w:rsidP="008E6A56">
      <w:pPr>
        <w:pStyle w:val="TDC3"/>
        <w:rPr>
          <w:rFonts w:ascii="Verdana" w:eastAsia="Times New Roman" w:hAnsi="Verdana"/>
          <w:sz w:val="20"/>
          <w:szCs w:val="20"/>
          <w:lang w:val="en-US"/>
        </w:rPr>
      </w:pPr>
      <w:hyperlink w:anchor="_Toc5009864" w:history="1">
        <w:r w:rsidR="008E6A56" w:rsidRPr="008A3740">
          <w:rPr>
            <w:rStyle w:val="Hipervnculo"/>
            <w:rFonts w:ascii="Verdana" w:hAnsi="Verdana"/>
            <w:sz w:val="20"/>
            <w:szCs w:val="20"/>
            <w:lang w:val="en-US"/>
          </w:rPr>
          <w:t>B.2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_Toc5009864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11</w:t>
        </w:r>
        <w:r w:rsidR="008E6A56" w:rsidRPr="008A3740">
          <w:rPr>
            <w:rFonts w:ascii="Verdana" w:hAnsi="Verdana"/>
            <w:webHidden/>
            <w:sz w:val="20"/>
            <w:szCs w:val="20"/>
            <w:lang w:val="en-US"/>
          </w:rPr>
          <w:fldChar w:fldCharType="end"/>
        </w:r>
      </w:hyperlink>
    </w:p>
    <w:p w14:paraId="619E8723" w14:textId="2DD9446E" w:rsidR="008E6A56" w:rsidRPr="008A3740" w:rsidRDefault="000C43D3" w:rsidP="008E6A56">
      <w:pPr>
        <w:pStyle w:val="TDC1"/>
        <w:rPr>
          <w:rFonts w:eastAsia="Times New Roman" w:cs="Times New Roman"/>
          <w:b w:val="0"/>
          <w:caps w:val="0"/>
          <w:noProof w:val="0"/>
          <w:snapToGrid/>
          <w:sz w:val="20"/>
          <w:szCs w:val="20"/>
          <w:lang w:val="en-US"/>
        </w:rPr>
      </w:pPr>
      <w:hyperlink w:anchor="_Toc5009865" w:history="1">
        <w:r w:rsidR="008E6A56" w:rsidRPr="008A3740">
          <w:rPr>
            <w:rStyle w:val="Hipervnculo"/>
            <w:noProof w:val="0"/>
            <w:sz w:val="20"/>
            <w:szCs w:val="20"/>
            <w:lang w:val="en-US"/>
          </w:rPr>
          <w:t>V EVIDENCE</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_Toc5009865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13</w:t>
        </w:r>
        <w:r w:rsidR="008E6A56" w:rsidRPr="008A3740">
          <w:rPr>
            <w:noProof w:val="0"/>
            <w:webHidden/>
            <w:sz w:val="20"/>
            <w:szCs w:val="20"/>
            <w:lang w:val="en-US"/>
          </w:rPr>
          <w:fldChar w:fldCharType="end"/>
        </w:r>
      </w:hyperlink>
    </w:p>
    <w:p w14:paraId="19B32428" w14:textId="6FD1CAF2" w:rsidR="008E6A56" w:rsidRPr="008A3740" w:rsidRDefault="000C43D3" w:rsidP="008E6A56">
      <w:pPr>
        <w:pStyle w:val="TDC2"/>
        <w:rPr>
          <w:rFonts w:ascii="Verdana" w:eastAsia="Times New Roman" w:hAnsi="Verdana"/>
          <w:sz w:val="20"/>
          <w:szCs w:val="20"/>
          <w:lang w:val="en-US"/>
        </w:rPr>
      </w:pPr>
      <w:hyperlink w:anchor="_Toc5009866" w:history="1">
        <w:r w:rsidR="008E6A56" w:rsidRPr="008A3740">
          <w:rPr>
            <w:rStyle w:val="Hipervnculo"/>
            <w:rFonts w:ascii="Verdana" w:hAnsi="Verdana"/>
            <w:sz w:val="20"/>
            <w:szCs w:val="20"/>
            <w:lang w:val="en-US"/>
          </w:rPr>
          <w:t>A.</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Admission of the documentary evidence</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_Toc5009866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13</w:t>
        </w:r>
        <w:r w:rsidR="008E6A56" w:rsidRPr="008A3740">
          <w:rPr>
            <w:rFonts w:ascii="Verdana" w:hAnsi="Verdana"/>
            <w:webHidden/>
            <w:sz w:val="20"/>
            <w:szCs w:val="20"/>
            <w:lang w:val="en-US"/>
          </w:rPr>
          <w:fldChar w:fldCharType="end"/>
        </w:r>
      </w:hyperlink>
    </w:p>
    <w:p w14:paraId="087ECF3A" w14:textId="30645017" w:rsidR="008E6A56" w:rsidRPr="008A3740" w:rsidRDefault="000C43D3" w:rsidP="008E6A56">
      <w:pPr>
        <w:pStyle w:val="TDC2"/>
        <w:rPr>
          <w:rFonts w:ascii="Verdana" w:eastAsia="Times New Roman" w:hAnsi="Verdana"/>
          <w:sz w:val="20"/>
          <w:szCs w:val="20"/>
          <w:lang w:val="en-US"/>
        </w:rPr>
      </w:pPr>
      <w:hyperlink w:anchor="_Toc5009867" w:history="1">
        <w:r w:rsidR="008E6A56" w:rsidRPr="008A3740">
          <w:rPr>
            <w:rStyle w:val="Hipervnculo"/>
            <w:rFonts w:ascii="Verdana" w:hAnsi="Verdana"/>
            <w:sz w:val="20"/>
            <w:szCs w:val="20"/>
            <w:lang w:val="en-US"/>
          </w:rPr>
          <w:t>B.</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Admission of the testimonial and expert evidence</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_Toc5009867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13</w:t>
        </w:r>
        <w:r w:rsidR="008E6A56" w:rsidRPr="008A3740">
          <w:rPr>
            <w:rFonts w:ascii="Verdana" w:hAnsi="Verdana"/>
            <w:webHidden/>
            <w:sz w:val="20"/>
            <w:szCs w:val="20"/>
            <w:lang w:val="en-US"/>
          </w:rPr>
          <w:fldChar w:fldCharType="end"/>
        </w:r>
      </w:hyperlink>
    </w:p>
    <w:p w14:paraId="03E09C7F" w14:textId="1529C93B" w:rsidR="008E6A56" w:rsidRPr="008A3740" w:rsidRDefault="000C43D3" w:rsidP="008E6A56">
      <w:pPr>
        <w:pStyle w:val="TDC1"/>
        <w:rPr>
          <w:rFonts w:eastAsia="Times New Roman" w:cs="Times New Roman"/>
          <w:b w:val="0"/>
          <w:caps w:val="0"/>
          <w:noProof w:val="0"/>
          <w:snapToGrid/>
          <w:sz w:val="20"/>
          <w:szCs w:val="20"/>
          <w:lang w:val="en-US"/>
        </w:rPr>
      </w:pPr>
      <w:hyperlink w:anchor="_Toc5009868" w:history="1">
        <w:r w:rsidR="008E6A56" w:rsidRPr="008A3740">
          <w:rPr>
            <w:rStyle w:val="Hipervnculo"/>
            <w:noProof w:val="0"/>
            <w:sz w:val="20"/>
            <w:szCs w:val="20"/>
            <w:lang w:val="en-US"/>
          </w:rPr>
          <w:t>Vi FACTS</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_Toc5009868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14</w:t>
        </w:r>
        <w:r w:rsidR="008E6A56" w:rsidRPr="008A3740">
          <w:rPr>
            <w:noProof w:val="0"/>
            <w:webHidden/>
            <w:sz w:val="20"/>
            <w:szCs w:val="20"/>
            <w:lang w:val="en-US"/>
          </w:rPr>
          <w:fldChar w:fldCharType="end"/>
        </w:r>
      </w:hyperlink>
    </w:p>
    <w:p w14:paraId="5AE05EFF" w14:textId="77777777" w:rsidR="008E6A56" w:rsidRPr="008A3740" w:rsidRDefault="000C43D3" w:rsidP="008E6A56">
      <w:pPr>
        <w:pStyle w:val="TDC2"/>
        <w:rPr>
          <w:rFonts w:ascii="Verdana" w:eastAsia="Times New Roman" w:hAnsi="Verdana"/>
          <w:sz w:val="20"/>
          <w:szCs w:val="20"/>
          <w:lang w:val="en-US"/>
        </w:rPr>
      </w:pPr>
      <w:hyperlink w:anchor="_Toc5009869" w:history="1">
        <w:r w:rsidR="008E6A56" w:rsidRPr="008A3740">
          <w:rPr>
            <w:rStyle w:val="Hipervnculo"/>
            <w:rFonts w:ascii="Verdana" w:hAnsi="Verdana"/>
            <w:sz w:val="20"/>
            <w:szCs w:val="20"/>
            <w:lang w:val="en-US"/>
          </w:rPr>
          <w:t>C.</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Background</w:t>
        </w:r>
        <w:r w:rsidR="008E6A56" w:rsidRPr="008A3740">
          <w:rPr>
            <w:rFonts w:ascii="Verdana" w:hAnsi="Verdana"/>
            <w:webHidden/>
            <w:sz w:val="20"/>
            <w:szCs w:val="20"/>
            <w:lang w:val="en-US"/>
          </w:rPr>
          <w:tab/>
        </w:r>
        <w:r w:rsidR="00670D3E" w:rsidRPr="008A3740">
          <w:rPr>
            <w:rFonts w:ascii="Verdana" w:hAnsi="Verdana"/>
            <w:webHidden/>
            <w:sz w:val="20"/>
            <w:szCs w:val="20"/>
            <w:lang w:val="en-US"/>
          </w:rPr>
          <w:t>14</w:t>
        </w:r>
      </w:hyperlink>
    </w:p>
    <w:p w14:paraId="6CA93294" w14:textId="16AF2169" w:rsidR="008E6A56" w:rsidRPr="008A3740" w:rsidRDefault="000C43D3" w:rsidP="008E6A56">
      <w:pPr>
        <w:pStyle w:val="TDC2"/>
        <w:rPr>
          <w:rFonts w:ascii="Verdana" w:eastAsia="Times New Roman" w:hAnsi="Verdana"/>
          <w:sz w:val="20"/>
          <w:szCs w:val="20"/>
          <w:lang w:val="en-US"/>
        </w:rPr>
      </w:pPr>
      <w:hyperlink w:anchor="_Toc5009870" w:history="1">
        <w:r w:rsidR="008E6A56" w:rsidRPr="008A3740">
          <w:rPr>
            <w:rStyle w:val="Hipervnculo"/>
            <w:rFonts w:ascii="Verdana" w:hAnsi="Verdana"/>
            <w:sz w:val="20"/>
            <w:szCs w:val="20"/>
            <w:lang w:val="en-US"/>
          </w:rPr>
          <w:t>D.</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 xml:space="preserve">First </w:t>
        </w:r>
        <w:r w:rsidR="005F71DC" w:rsidRPr="008A3740">
          <w:rPr>
            <w:rStyle w:val="Hipervnculo"/>
            <w:rFonts w:ascii="Verdana" w:hAnsi="Verdana"/>
            <w:i/>
            <w:sz w:val="20"/>
            <w:szCs w:val="20"/>
            <w:lang w:val="en-US"/>
          </w:rPr>
          <w:t>a</w:t>
        </w:r>
        <w:r w:rsidR="00136943" w:rsidRPr="008A3740">
          <w:rPr>
            <w:rStyle w:val="Hipervnculo"/>
            <w:rFonts w:ascii="Verdana" w:hAnsi="Verdana"/>
            <w:i/>
            <w:sz w:val="20"/>
            <w:szCs w:val="20"/>
            <w:lang w:val="en-US"/>
          </w:rPr>
          <w:t>mparo</w:t>
        </w:r>
        <w:r w:rsidR="005F71DC" w:rsidRPr="008A3740">
          <w:rPr>
            <w:rStyle w:val="Hipervnculo"/>
            <w:rFonts w:ascii="Verdana" w:hAnsi="Verdana"/>
            <w:sz w:val="20"/>
            <w:szCs w:val="20"/>
            <w:lang w:val="en-US"/>
          </w:rPr>
          <w:t xml:space="preserve"> proceeding</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_Toc5009870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16</w:t>
        </w:r>
        <w:r w:rsidR="008E6A56" w:rsidRPr="008A3740">
          <w:rPr>
            <w:rFonts w:ascii="Verdana" w:hAnsi="Verdana"/>
            <w:webHidden/>
            <w:sz w:val="20"/>
            <w:szCs w:val="20"/>
            <w:lang w:val="en-US"/>
          </w:rPr>
          <w:fldChar w:fldCharType="end"/>
        </w:r>
      </w:hyperlink>
    </w:p>
    <w:p w14:paraId="32063EB8" w14:textId="65FC2B00" w:rsidR="008E6A56" w:rsidRPr="008A3740" w:rsidRDefault="000C43D3" w:rsidP="008E6A56">
      <w:pPr>
        <w:pStyle w:val="TDC2"/>
        <w:rPr>
          <w:rFonts w:ascii="Verdana" w:eastAsia="Times New Roman" w:hAnsi="Verdana"/>
          <w:sz w:val="20"/>
          <w:szCs w:val="20"/>
          <w:lang w:val="en-US"/>
        </w:rPr>
      </w:pPr>
      <w:hyperlink w:anchor="_Toc5009871" w:history="1">
        <w:r w:rsidR="008E6A56" w:rsidRPr="008A3740">
          <w:rPr>
            <w:rStyle w:val="Hipervnculo"/>
            <w:rFonts w:ascii="Verdana" w:hAnsi="Verdana"/>
            <w:sz w:val="20"/>
            <w:szCs w:val="20"/>
            <w:lang w:val="en-US"/>
          </w:rPr>
          <w:t>E.</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 xml:space="preserve">Privatization of  the </w:t>
        </w:r>
        <w:r w:rsidR="005F71DC" w:rsidRPr="008A3740">
          <w:rPr>
            <w:rStyle w:val="Hipervnculo"/>
            <w:rFonts w:ascii="Verdana" w:hAnsi="Verdana"/>
            <w:sz w:val="20"/>
            <w:szCs w:val="20"/>
            <w:lang w:val="en-US"/>
          </w:rPr>
          <w:t>State</w:t>
        </w:r>
        <w:r w:rsidR="00CD437A" w:rsidRPr="008A3740">
          <w:rPr>
            <w:rStyle w:val="Hipervnculo"/>
            <w:rFonts w:ascii="Verdana" w:hAnsi="Verdana"/>
            <w:sz w:val="20"/>
            <w:szCs w:val="20"/>
            <w:lang w:val="en-US"/>
          </w:rPr>
          <w:t>-o</w:t>
        </w:r>
        <w:r w:rsidR="00693179" w:rsidRPr="008A3740">
          <w:rPr>
            <w:rStyle w:val="Hipervnculo"/>
            <w:rFonts w:ascii="Verdana" w:hAnsi="Verdana"/>
            <w:sz w:val="20"/>
            <w:szCs w:val="20"/>
            <w:lang w:val="en-US"/>
          </w:rPr>
          <w:t>wned</w:t>
        </w:r>
        <w:r w:rsidR="005F71DC" w:rsidRPr="008A3740">
          <w:rPr>
            <w:rStyle w:val="Hipervnculo"/>
            <w:rFonts w:ascii="Verdana" w:hAnsi="Verdana"/>
            <w:sz w:val="20"/>
            <w:szCs w:val="20"/>
            <w:lang w:val="en-US"/>
          </w:rPr>
          <w:t xml:space="preserve"> </w:t>
        </w:r>
        <w:r w:rsidR="00693179" w:rsidRPr="008A3740">
          <w:rPr>
            <w:rStyle w:val="Hipervnculo"/>
            <w:rFonts w:ascii="Verdana" w:hAnsi="Verdana"/>
            <w:i/>
            <w:sz w:val="20"/>
            <w:szCs w:val="20"/>
            <w:lang w:val="en-US"/>
          </w:rPr>
          <w:t xml:space="preserve">Empresa </w:t>
        </w:r>
        <w:r w:rsidR="008E6A56" w:rsidRPr="008A3740">
          <w:rPr>
            <w:rStyle w:val="Hipervnculo"/>
            <w:rFonts w:ascii="Verdana" w:hAnsi="Verdana"/>
            <w:i/>
            <w:sz w:val="20"/>
            <w:szCs w:val="20"/>
            <w:lang w:val="en-US"/>
          </w:rPr>
          <w:t>Minera Especial Tintaya S.A</w:t>
        </w:r>
        <w:r w:rsidR="008E6A56" w:rsidRPr="008A3740">
          <w:rPr>
            <w:rStyle w:val="Hipervnculo"/>
            <w:rFonts w:ascii="Verdana" w:hAnsi="Verdana"/>
            <w:sz w:val="20"/>
            <w:szCs w:val="20"/>
            <w:lang w:val="en-US"/>
          </w:rPr>
          <w: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_Toc5009871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17</w:t>
        </w:r>
        <w:r w:rsidR="008E6A56" w:rsidRPr="008A3740">
          <w:rPr>
            <w:rFonts w:ascii="Verdana" w:hAnsi="Verdana"/>
            <w:webHidden/>
            <w:sz w:val="20"/>
            <w:szCs w:val="20"/>
            <w:lang w:val="en-US"/>
          </w:rPr>
          <w:fldChar w:fldCharType="end"/>
        </w:r>
      </w:hyperlink>
    </w:p>
    <w:p w14:paraId="34A0E280" w14:textId="302E63B4" w:rsidR="008E6A56" w:rsidRPr="008A3740" w:rsidRDefault="000C43D3" w:rsidP="008E6A56">
      <w:pPr>
        <w:pStyle w:val="TDC2"/>
        <w:rPr>
          <w:rFonts w:ascii="Verdana" w:eastAsia="Times New Roman" w:hAnsi="Verdana"/>
          <w:sz w:val="20"/>
          <w:szCs w:val="20"/>
          <w:lang w:val="en-US"/>
        </w:rPr>
      </w:pPr>
      <w:hyperlink w:anchor="_Toc5009872" w:history="1">
        <w:r w:rsidR="008E6A56" w:rsidRPr="008A3740">
          <w:rPr>
            <w:rStyle w:val="Hipervnculo"/>
            <w:rFonts w:ascii="Verdana" w:hAnsi="Verdana"/>
            <w:sz w:val="20"/>
            <w:szCs w:val="20"/>
            <w:lang w:val="en-US"/>
          </w:rPr>
          <w:t>F.</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 xml:space="preserve">Second </w:t>
        </w:r>
        <w:r w:rsidR="00136943" w:rsidRPr="008A3740">
          <w:rPr>
            <w:rStyle w:val="Hipervnculo"/>
            <w:rFonts w:ascii="Verdana" w:hAnsi="Verdana"/>
            <w:i/>
            <w:sz w:val="20"/>
            <w:szCs w:val="20"/>
            <w:lang w:val="en-US"/>
          </w:rPr>
          <w:t>amparo</w:t>
        </w:r>
        <w:r w:rsidR="00136943" w:rsidRPr="008A3740">
          <w:rPr>
            <w:rStyle w:val="Hipervnculo"/>
            <w:rFonts w:ascii="Verdana" w:hAnsi="Verdana"/>
            <w:sz w:val="20"/>
            <w:szCs w:val="20"/>
            <w:lang w:val="en-US"/>
          </w:rPr>
          <w:t xml:space="preserve"> </w:t>
        </w:r>
        <w:r w:rsidR="008E6A56" w:rsidRPr="008A3740">
          <w:rPr>
            <w:rStyle w:val="Hipervnculo"/>
            <w:rFonts w:ascii="Verdana" w:hAnsi="Verdana"/>
            <w:sz w:val="20"/>
            <w:szCs w:val="20"/>
            <w:lang w:val="en-US"/>
          </w:rPr>
          <w:t>proce</w:t>
        </w:r>
        <w:r w:rsidR="00136943" w:rsidRPr="008A3740">
          <w:rPr>
            <w:rStyle w:val="Hipervnculo"/>
            <w:rFonts w:ascii="Verdana" w:hAnsi="Verdana"/>
            <w:sz w:val="20"/>
            <w:szCs w:val="20"/>
            <w:lang w:val="en-US"/>
          </w:rPr>
          <w:t>eding</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_Toc5009872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18</w:t>
        </w:r>
        <w:r w:rsidR="008E6A56" w:rsidRPr="008A3740">
          <w:rPr>
            <w:rFonts w:ascii="Verdana" w:hAnsi="Verdana"/>
            <w:webHidden/>
            <w:sz w:val="20"/>
            <w:szCs w:val="20"/>
            <w:lang w:val="en-US"/>
          </w:rPr>
          <w:fldChar w:fldCharType="end"/>
        </w:r>
      </w:hyperlink>
    </w:p>
    <w:p w14:paraId="1B1E112F" w14:textId="4F14F120" w:rsidR="008E6A56" w:rsidRPr="008A3740" w:rsidRDefault="000C43D3" w:rsidP="008E6A56">
      <w:pPr>
        <w:pStyle w:val="TDC2"/>
        <w:rPr>
          <w:rFonts w:ascii="Verdana" w:eastAsia="Times New Roman" w:hAnsi="Verdana"/>
          <w:sz w:val="20"/>
          <w:szCs w:val="20"/>
          <w:lang w:val="en-US"/>
        </w:rPr>
      </w:pPr>
      <w:hyperlink w:anchor="_Toc5009873" w:history="1">
        <w:r w:rsidR="008E6A56" w:rsidRPr="008A3740">
          <w:rPr>
            <w:rStyle w:val="Hipervnculo"/>
            <w:rFonts w:ascii="Verdana" w:hAnsi="Verdana"/>
            <w:sz w:val="20"/>
            <w:szCs w:val="20"/>
            <w:lang w:val="en-US"/>
          </w:rPr>
          <w:t>G.</w:t>
        </w:r>
        <w:r w:rsidR="008E6A56" w:rsidRPr="008A3740">
          <w:rPr>
            <w:rFonts w:ascii="Verdana" w:eastAsia="Times New Roman" w:hAnsi="Verdana"/>
            <w:sz w:val="20"/>
            <w:szCs w:val="20"/>
            <w:lang w:val="en-US"/>
          </w:rPr>
          <w:tab/>
        </w:r>
        <w:r w:rsidR="005F71DC" w:rsidRPr="008A3740">
          <w:rPr>
            <w:rStyle w:val="Hipervnculo"/>
            <w:rFonts w:ascii="Verdana" w:hAnsi="Verdana"/>
            <w:sz w:val="20"/>
            <w:szCs w:val="20"/>
            <w:lang w:val="en-US"/>
          </w:rPr>
          <w:t>C</w:t>
        </w:r>
        <w:r w:rsidR="008E6A56" w:rsidRPr="008A3740">
          <w:rPr>
            <w:rStyle w:val="Hipervnculo"/>
            <w:rFonts w:ascii="Verdana" w:hAnsi="Verdana"/>
            <w:sz w:val="20"/>
            <w:szCs w:val="20"/>
            <w:lang w:val="en-US"/>
          </w:rPr>
          <w:t>onten</w:t>
        </w:r>
        <w:r w:rsidR="005F71DC" w:rsidRPr="008A3740">
          <w:rPr>
            <w:rStyle w:val="Hipervnculo"/>
            <w:rFonts w:ascii="Verdana" w:hAnsi="Verdana"/>
            <w:sz w:val="20"/>
            <w:szCs w:val="20"/>
            <w:lang w:val="en-US"/>
          </w:rPr>
          <w:t>tious-</w:t>
        </w:r>
        <w:r w:rsidR="008E6A56" w:rsidRPr="008A3740">
          <w:rPr>
            <w:rStyle w:val="Hipervnculo"/>
            <w:rFonts w:ascii="Verdana" w:hAnsi="Verdana"/>
            <w:sz w:val="20"/>
            <w:szCs w:val="20"/>
            <w:lang w:val="en-US"/>
          </w:rPr>
          <w:t>administrative</w:t>
        </w:r>
        <w:r w:rsidR="000E73BC" w:rsidRPr="008A3740">
          <w:rPr>
            <w:rStyle w:val="Hipervnculo"/>
            <w:rFonts w:ascii="Verdana" w:hAnsi="Verdana"/>
            <w:sz w:val="20"/>
            <w:szCs w:val="20"/>
            <w:lang w:val="en-US"/>
          </w:rPr>
          <w:t xml:space="preserve"> proceeding</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_Toc5009873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19</w:t>
        </w:r>
        <w:r w:rsidR="008E6A56" w:rsidRPr="008A3740">
          <w:rPr>
            <w:rFonts w:ascii="Verdana" w:hAnsi="Verdana"/>
            <w:webHidden/>
            <w:sz w:val="20"/>
            <w:szCs w:val="20"/>
            <w:lang w:val="en-US"/>
          </w:rPr>
          <w:fldChar w:fldCharType="end"/>
        </w:r>
      </w:hyperlink>
    </w:p>
    <w:p w14:paraId="6B85F2E4" w14:textId="6EAB2B23" w:rsidR="008E6A56" w:rsidRPr="008A3740" w:rsidRDefault="000C43D3" w:rsidP="008E6A56">
      <w:pPr>
        <w:pStyle w:val="TDC2"/>
        <w:rPr>
          <w:rFonts w:ascii="Verdana" w:eastAsia="Times New Roman" w:hAnsi="Verdana"/>
          <w:sz w:val="20"/>
          <w:szCs w:val="20"/>
          <w:lang w:val="en-US"/>
        </w:rPr>
      </w:pPr>
      <w:hyperlink w:anchor="_Toc5009874" w:history="1">
        <w:r w:rsidR="008E6A56" w:rsidRPr="008A3740">
          <w:rPr>
            <w:rStyle w:val="Hipervnculo"/>
            <w:rFonts w:ascii="Verdana" w:hAnsi="Verdana"/>
            <w:sz w:val="20"/>
            <w:szCs w:val="20"/>
            <w:lang w:val="en-US"/>
          </w:rPr>
          <w:t>H.</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Pr</w:t>
        </w:r>
        <w:r w:rsidR="005F71DC" w:rsidRPr="008A3740">
          <w:rPr>
            <w:rStyle w:val="Hipervnculo"/>
            <w:rFonts w:ascii="Verdana" w:hAnsi="Verdana"/>
            <w:sz w:val="20"/>
            <w:szCs w:val="20"/>
            <w:lang w:val="en-US"/>
          </w:rPr>
          <w:t>oceeding for the e</w:t>
        </w:r>
        <w:r w:rsidR="000E73BC" w:rsidRPr="008A3740">
          <w:rPr>
            <w:rStyle w:val="Hipervnculo"/>
            <w:rFonts w:ascii="Verdana" w:hAnsi="Verdana"/>
            <w:sz w:val="20"/>
            <w:szCs w:val="20"/>
            <w:lang w:val="en-US"/>
          </w:rPr>
          <w:t xml:space="preserve">xecution </w:t>
        </w:r>
        <w:r w:rsidR="005F71DC" w:rsidRPr="008A3740">
          <w:rPr>
            <w:rStyle w:val="Hipervnculo"/>
            <w:rFonts w:ascii="Verdana" w:hAnsi="Verdana"/>
            <w:sz w:val="20"/>
            <w:szCs w:val="20"/>
            <w:lang w:val="en-US"/>
          </w:rPr>
          <w:t xml:space="preserve">of </w:t>
        </w:r>
        <w:r w:rsidR="00136943" w:rsidRPr="008A3740">
          <w:rPr>
            <w:rStyle w:val="Hipervnculo"/>
            <w:rFonts w:ascii="Verdana" w:hAnsi="Verdana"/>
            <w:sz w:val="20"/>
            <w:szCs w:val="20"/>
            <w:lang w:val="en-US"/>
          </w:rPr>
          <w:t xml:space="preserve">the </w:t>
        </w:r>
        <w:r w:rsidR="00136943" w:rsidRPr="008A3740">
          <w:rPr>
            <w:rStyle w:val="Hipervnculo"/>
            <w:rFonts w:ascii="Verdana" w:hAnsi="Verdana"/>
            <w:i/>
            <w:sz w:val="20"/>
            <w:szCs w:val="20"/>
            <w:lang w:val="en-US"/>
          </w:rPr>
          <w:t>a</w:t>
        </w:r>
        <w:r w:rsidR="008E6A56" w:rsidRPr="008A3740">
          <w:rPr>
            <w:rStyle w:val="Hipervnculo"/>
            <w:rFonts w:ascii="Verdana" w:hAnsi="Verdana"/>
            <w:i/>
            <w:sz w:val="20"/>
            <w:szCs w:val="20"/>
            <w:lang w:val="en-US"/>
          </w:rPr>
          <w:t>mparo</w:t>
        </w:r>
        <w:r w:rsidR="008E6A56" w:rsidRPr="008A3740">
          <w:rPr>
            <w:rStyle w:val="Hipervnculo"/>
            <w:rFonts w:ascii="Verdana" w:hAnsi="Verdana"/>
            <w:sz w:val="20"/>
            <w:szCs w:val="20"/>
            <w:lang w:val="en-US"/>
          </w:rPr>
          <w:t xml:space="preserve"> judgment of  February 2, 1993</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_Toc5009874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21</w:t>
        </w:r>
        <w:r w:rsidR="008E6A56" w:rsidRPr="008A3740">
          <w:rPr>
            <w:rFonts w:ascii="Verdana" w:hAnsi="Verdana"/>
            <w:webHidden/>
            <w:sz w:val="20"/>
            <w:szCs w:val="20"/>
            <w:lang w:val="en-US"/>
          </w:rPr>
          <w:fldChar w:fldCharType="end"/>
        </w:r>
      </w:hyperlink>
    </w:p>
    <w:p w14:paraId="0CC40539" w14:textId="7C006AF2" w:rsidR="008E6A56" w:rsidRPr="008A3740" w:rsidRDefault="000C43D3" w:rsidP="008E6A56">
      <w:pPr>
        <w:pStyle w:val="TDC2"/>
        <w:rPr>
          <w:rFonts w:ascii="Verdana" w:eastAsia="Times New Roman" w:hAnsi="Verdana"/>
          <w:sz w:val="20"/>
          <w:szCs w:val="20"/>
          <w:lang w:val="en-US"/>
        </w:rPr>
      </w:pPr>
      <w:hyperlink w:anchor="_Toc5009875" w:history="1">
        <w:r w:rsidR="008E6A56" w:rsidRPr="008A3740">
          <w:rPr>
            <w:rStyle w:val="Hipervnculo"/>
            <w:rFonts w:ascii="Verdana" w:hAnsi="Verdana"/>
            <w:sz w:val="20"/>
            <w:szCs w:val="20"/>
            <w:lang w:val="en-US"/>
          </w:rPr>
          <w:t>I.</w:t>
        </w:r>
        <w:r w:rsidR="008E6A56" w:rsidRPr="008A3740">
          <w:rPr>
            <w:rFonts w:ascii="Verdana" w:eastAsia="Times New Roman" w:hAnsi="Verdana"/>
            <w:sz w:val="20"/>
            <w:szCs w:val="20"/>
            <w:lang w:val="en-US"/>
          </w:rPr>
          <w:tab/>
        </w:r>
        <w:r w:rsidR="005F71DC" w:rsidRPr="008A3740">
          <w:rPr>
            <w:rFonts w:ascii="Verdana" w:eastAsia="Times New Roman" w:hAnsi="Verdana"/>
            <w:sz w:val="20"/>
            <w:szCs w:val="20"/>
            <w:lang w:val="en-US"/>
          </w:rPr>
          <w:t xml:space="preserve">Legislation related to </w:t>
        </w:r>
        <w:r w:rsidR="008E6A56" w:rsidRPr="008A3740">
          <w:rPr>
            <w:rStyle w:val="Hipervnculo"/>
            <w:rFonts w:ascii="Verdana" w:hAnsi="Verdana"/>
            <w:sz w:val="20"/>
            <w:szCs w:val="20"/>
            <w:lang w:val="en-US"/>
          </w:rPr>
          <w:t xml:space="preserve">pensions and privatizations </w:t>
        </w:r>
        <w:r w:rsidR="00136943" w:rsidRPr="008A3740">
          <w:rPr>
            <w:rStyle w:val="Hipervnculo"/>
            <w:rFonts w:ascii="Verdana" w:hAnsi="Verdana"/>
            <w:sz w:val="20"/>
            <w:szCs w:val="20"/>
            <w:lang w:val="en-US"/>
          </w:rPr>
          <w:t xml:space="preserve">from </w:t>
        </w:r>
        <w:r w:rsidR="008E6A56" w:rsidRPr="008A3740">
          <w:rPr>
            <w:rStyle w:val="Hipervnculo"/>
            <w:rFonts w:ascii="Verdana" w:hAnsi="Verdana"/>
            <w:sz w:val="20"/>
            <w:szCs w:val="20"/>
            <w:lang w:val="en-US"/>
          </w:rPr>
          <w:t>2002</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_Toc5009875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26</w:t>
        </w:r>
        <w:r w:rsidR="008E6A56" w:rsidRPr="008A3740">
          <w:rPr>
            <w:rFonts w:ascii="Verdana" w:hAnsi="Verdana"/>
            <w:webHidden/>
            <w:sz w:val="20"/>
            <w:szCs w:val="20"/>
            <w:lang w:val="en-US"/>
          </w:rPr>
          <w:fldChar w:fldCharType="end"/>
        </w:r>
      </w:hyperlink>
    </w:p>
    <w:p w14:paraId="570920DD" w14:textId="0B766C4E" w:rsidR="008E6A56" w:rsidRPr="008A3740" w:rsidRDefault="000C43D3" w:rsidP="008E6A56">
      <w:pPr>
        <w:pStyle w:val="TDC1"/>
        <w:rPr>
          <w:rFonts w:eastAsia="Times New Roman" w:cs="Times New Roman"/>
          <w:b w:val="0"/>
          <w:caps w:val="0"/>
          <w:noProof w:val="0"/>
          <w:snapToGrid/>
          <w:sz w:val="20"/>
          <w:szCs w:val="20"/>
          <w:lang w:val="en-US"/>
        </w:rPr>
      </w:pPr>
      <w:hyperlink w:anchor="_Toc5009876" w:history="1">
        <w:r w:rsidR="008E6A56" w:rsidRPr="008A3740">
          <w:rPr>
            <w:rStyle w:val="Hipervnculo"/>
            <w:noProof w:val="0"/>
            <w:sz w:val="20"/>
            <w:szCs w:val="20"/>
            <w:lang w:val="en-US"/>
          </w:rPr>
          <w:t>vIi MERITS</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_Toc5009876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27</w:t>
        </w:r>
        <w:r w:rsidR="008E6A56" w:rsidRPr="008A3740">
          <w:rPr>
            <w:noProof w:val="0"/>
            <w:webHidden/>
            <w:sz w:val="20"/>
            <w:szCs w:val="20"/>
            <w:lang w:val="en-US"/>
          </w:rPr>
          <w:fldChar w:fldCharType="end"/>
        </w:r>
      </w:hyperlink>
    </w:p>
    <w:p w14:paraId="143EB13A" w14:textId="115178AE" w:rsidR="008E6A56" w:rsidRPr="008A3740" w:rsidRDefault="000C43D3" w:rsidP="008E6A56">
      <w:pPr>
        <w:pStyle w:val="TDC1"/>
        <w:rPr>
          <w:rFonts w:eastAsia="Times New Roman" w:cs="Times New Roman"/>
          <w:b w:val="0"/>
          <w:caps w:val="0"/>
          <w:noProof w:val="0"/>
          <w:snapToGrid/>
          <w:sz w:val="20"/>
          <w:szCs w:val="20"/>
          <w:lang w:val="en-US"/>
        </w:rPr>
      </w:pPr>
      <w:hyperlink w:anchor="_Toc5009877" w:history="1">
        <w:r w:rsidR="008E6A56" w:rsidRPr="008A3740">
          <w:rPr>
            <w:rStyle w:val="Hipervnculo"/>
            <w:rFonts w:cs="Arial"/>
            <w:noProof w:val="0"/>
            <w:kern w:val="2"/>
            <w:sz w:val="20"/>
            <w:szCs w:val="20"/>
            <w:lang w:val="en-US" w:eastAsia="en-US"/>
          </w:rPr>
          <w:t>VII rights to</w:t>
        </w:r>
        <w:r w:rsidR="008E6A56" w:rsidRPr="008A3740">
          <w:rPr>
            <w:rStyle w:val="Hipervnculo"/>
            <w:noProof w:val="0"/>
            <w:sz w:val="20"/>
            <w:szCs w:val="20"/>
            <w:lang w:val="en-US"/>
          </w:rPr>
          <w:t xml:space="preserve"> JUDICIAL GUARANTEES, JUDICIAL PROTECTION, SOCIAL SECURITY, PERSONAL INTEGRITY, DIG</w:t>
        </w:r>
        <w:r w:rsidR="009E3080" w:rsidRPr="008A3740">
          <w:rPr>
            <w:rStyle w:val="Hipervnculo"/>
            <w:noProof w:val="0"/>
            <w:sz w:val="20"/>
            <w:szCs w:val="20"/>
            <w:lang w:val="en-US"/>
          </w:rPr>
          <w:t xml:space="preserve">NITY, </w:t>
        </w:r>
        <w:r w:rsidR="00670D3E" w:rsidRPr="008A3740">
          <w:rPr>
            <w:rStyle w:val="Hipervnculo"/>
            <w:noProof w:val="0"/>
            <w:sz w:val="20"/>
            <w:szCs w:val="20"/>
            <w:lang w:val="en-US"/>
          </w:rPr>
          <w:t xml:space="preserve">property, and OBLIGATION </w:t>
        </w:r>
        <w:r w:rsidR="008E6A56" w:rsidRPr="008A3740">
          <w:rPr>
            <w:rStyle w:val="Hipervnculo"/>
            <w:noProof w:val="0"/>
            <w:sz w:val="20"/>
            <w:szCs w:val="20"/>
            <w:lang w:val="en-US"/>
          </w:rPr>
          <w:t xml:space="preserve">TO ADOPT DOMESTIC </w:t>
        </w:r>
        <w:r w:rsidR="002B57AC" w:rsidRPr="008A3740">
          <w:rPr>
            <w:rStyle w:val="Hipervnculo"/>
            <w:noProof w:val="0"/>
            <w:sz w:val="20"/>
            <w:szCs w:val="20"/>
            <w:lang w:val="en-US"/>
          </w:rPr>
          <w:t>LEGAL EFFECTS</w:t>
        </w:r>
        <w:r w:rsidR="008E6A56" w:rsidRPr="008A3740">
          <w:rPr>
            <w:rStyle w:val="Hipervnculo"/>
            <w:noProof w:val="0"/>
            <w:sz w:val="20"/>
            <w:szCs w:val="20"/>
            <w:lang w:val="en-US"/>
          </w:rPr>
          <w:t>, in RELATION TO the OBLIGATIONS TO RESPECT and GUARANTEE RIGHTS (Artic</w:t>
        </w:r>
        <w:r w:rsidR="00136943" w:rsidRPr="008A3740">
          <w:rPr>
            <w:rStyle w:val="Hipervnculo"/>
            <w:noProof w:val="0"/>
            <w:sz w:val="20"/>
            <w:szCs w:val="20"/>
            <w:lang w:val="en-US"/>
          </w:rPr>
          <w:t>les 8(</w:t>
        </w:r>
        <w:r w:rsidR="008E6A56" w:rsidRPr="008A3740">
          <w:rPr>
            <w:rStyle w:val="Hipervnculo"/>
            <w:noProof w:val="0"/>
            <w:sz w:val="20"/>
            <w:szCs w:val="20"/>
            <w:lang w:val="en-US"/>
          </w:rPr>
          <w:t>1</w:t>
        </w:r>
        <w:r w:rsidR="00136943" w:rsidRPr="008A3740">
          <w:rPr>
            <w:rStyle w:val="Hipervnculo"/>
            <w:noProof w:val="0"/>
            <w:sz w:val="20"/>
            <w:szCs w:val="20"/>
            <w:lang w:val="en-US"/>
          </w:rPr>
          <w:t>), 25(1), 25.2.C), 26, 5, 11(</w:t>
        </w:r>
        <w:r w:rsidR="008E6A56" w:rsidRPr="008A3740">
          <w:rPr>
            <w:rStyle w:val="Hipervnculo"/>
            <w:noProof w:val="0"/>
            <w:sz w:val="20"/>
            <w:szCs w:val="20"/>
            <w:lang w:val="en-US"/>
          </w:rPr>
          <w:t>1</w:t>
        </w:r>
        <w:r w:rsidR="00136943" w:rsidRPr="008A3740">
          <w:rPr>
            <w:rStyle w:val="Hipervnculo"/>
            <w:noProof w:val="0"/>
            <w:sz w:val="20"/>
            <w:szCs w:val="20"/>
            <w:lang w:val="en-US"/>
          </w:rPr>
          <w:t>), 21, 1(</w:t>
        </w:r>
        <w:r w:rsidR="008E6A56" w:rsidRPr="008A3740">
          <w:rPr>
            <w:rStyle w:val="Hipervnculo"/>
            <w:noProof w:val="0"/>
            <w:sz w:val="20"/>
            <w:szCs w:val="20"/>
            <w:lang w:val="en-US"/>
          </w:rPr>
          <w:t>1</w:t>
        </w:r>
        <w:r w:rsidR="00136943" w:rsidRPr="008A3740">
          <w:rPr>
            <w:rStyle w:val="Hipervnculo"/>
            <w:noProof w:val="0"/>
            <w:sz w:val="20"/>
            <w:szCs w:val="20"/>
            <w:lang w:val="en-US"/>
          </w:rPr>
          <w:t>)</w:t>
        </w:r>
        <w:r w:rsidR="008E6A56" w:rsidRPr="008A3740">
          <w:rPr>
            <w:rStyle w:val="Hipervnculo"/>
            <w:noProof w:val="0"/>
            <w:sz w:val="20"/>
            <w:szCs w:val="20"/>
            <w:lang w:val="en-US"/>
          </w:rPr>
          <w:t xml:space="preserve"> and 2 of the American Convention)</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_Toc5009877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28</w:t>
        </w:r>
        <w:r w:rsidR="008E6A56" w:rsidRPr="008A3740">
          <w:rPr>
            <w:noProof w:val="0"/>
            <w:webHidden/>
            <w:sz w:val="20"/>
            <w:szCs w:val="20"/>
            <w:lang w:val="en-US"/>
          </w:rPr>
          <w:fldChar w:fldCharType="end"/>
        </w:r>
      </w:hyperlink>
    </w:p>
    <w:p w14:paraId="4421C9F9" w14:textId="01DCA458" w:rsidR="008E6A56" w:rsidRPr="008A3740" w:rsidRDefault="000C43D3" w:rsidP="008E6A56">
      <w:pPr>
        <w:pStyle w:val="TDC2"/>
        <w:rPr>
          <w:rFonts w:ascii="Verdana" w:eastAsia="Times New Roman" w:hAnsi="Verdana"/>
          <w:sz w:val="20"/>
          <w:szCs w:val="20"/>
          <w:lang w:val="en-US"/>
        </w:rPr>
      </w:pPr>
      <w:hyperlink w:anchor="_Toc5009878" w:history="1">
        <w:r w:rsidR="008E6A56" w:rsidRPr="008A3740">
          <w:rPr>
            <w:rStyle w:val="Hipervnculo"/>
            <w:rFonts w:ascii="Verdana" w:hAnsi="Verdana"/>
            <w:sz w:val="20"/>
            <w:szCs w:val="20"/>
            <w:lang w:val="en-US"/>
          </w:rPr>
          <w:t>A.</w:t>
        </w:r>
        <w:r w:rsidR="008E6A56" w:rsidRPr="008A3740">
          <w:rPr>
            <w:rFonts w:ascii="Verdana" w:eastAsia="Times New Roman" w:hAnsi="Verdana"/>
            <w:sz w:val="20"/>
            <w:szCs w:val="20"/>
            <w:lang w:val="en-US"/>
          </w:rPr>
          <w:tab/>
        </w:r>
        <w:r w:rsidR="00136943" w:rsidRPr="008A3740">
          <w:rPr>
            <w:rStyle w:val="Hipervnculo"/>
            <w:rFonts w:ascii="Verdana" w:hAnsi="Verdana"/>
            <w:sz w:val="20"/>
            <w:szCs w:val="20"/>
            <w:lang w:val="en-US"/>
          </w:rPr>
          <w:t xml:space="preserve">Right to </w:t>
        </w:r>
        <w:r w:rsidR="008E6A56" w:rsidRPr="008A3740">
          <w:rPr>
            <w:rStyle w:val="Hipervnculo"/>
            <w:rFonts w:ascii="Verdana" w:hAnsi="Verdana"/>
            <w:sz w:val="20"/>
            <w:szCs w:val="20"/>
            <w:lang w:val="en-US"/>
          </w:rPr>
          <w:t>effective judicial</w:t>
        </w:r>
        <w:r w:rsidR="00670D3E" w:rsidRPr="008A3740">
          <w:rPr>
            <w:rStyle w:val="Hipervnculo"/>
            <w:rFonts w:ascii="Verdana" w:hAnsi="Verdana"/>
            <w:sz w:val="20"/>
            <w:szCs w:val="20"/>
            <w:lang w:val="en-US"/>
          </w:rPr>
          <w:t xml:space="preserve"> protection in the execution of</w:t>
        </w:r>
        <w:r w:rsidR="008E6A56" w:rsidRPr="008A3740">
          <w:rPr>
            <w:rStyle w:val="Hipervnculo"/>
            <w:rFonts w:ascii="Verdana" w:hAnsi="Verdana"/>
            <w:sz w:val="20"/>
            <w:szCs w:val="20"/>
            <w:lang w:val="en-US"/>
          </w:rPr>
          <w:t xml:space="preserve"> judgments and privatization of  companies</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_Toc5009878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29</w:t>
        </w:r>
        <w:r w:rsidR="008E6A56" w:rsidRPr="008A3740">
          <w:rPr>
            <w:rFonts w:ascii="Verdana" w:hAnsi="Verdana"/>
            <w:webHidden/>
            <w:sz w:val="20"/>
            <w:szCs w:val="20"/>
            <w:lang w:val="en-US"/>
          </w:rPr>
          <w:fldChar w:fldCharType="end"/>
        </w:r>
      </w:hyperlink>
    </w:p>
    <w:p w14:paraId="5F4E2F5F" w14:textId="02712320" w:rsidR="008E6A56" w:rsidRPr="008A3740" w:rsidRDefault="000C43D3" w:rsidP="008E6A56">
      <w:pPr>
        <w:pStyle w:val="TDC3"/>
        <w:rPr>
          <w:rFonts w:ascii="Verdana" w:eastAsia="Times New Roman" w:hAnsi="Verdana"/>
          <w:sz w:val="20"/>
          <w:szCs w:val="20"/>
          <w:lang w:val="en-US"/>
        </w:rPr>
      </w:pPr>
      <w:hyperlink w:anchor="_Toc5009879" w:history="1">
        <w:r w:rsidR="00670D3E" w:rsidRPr="008A3740">
          <w:rPr>
            <w:rStyle w:val="Hipervnculo"/>
            <w:rFonts w:ascii="Verdana" w:hAnsi="Verdana"/>
            <w:sz w:val="20"/>
            <w:szCs w:val="20"/>
            <w:lang w:val="en-US"/>
          </w:rPr>
          <w:t xml:space="preserve">A.1 Arguments of </w:t>
        </w:r>
        <w:r w:rsidR="008E6A56" w:rsidRPr="008A3740">
          <w:rPr>
            <w:rStyle w:val="Hipervnculo"/>
            <w:rFonts w:ascii="Verdana" w:hAnsi="Verdana"/>
            <w:sz w:val="20"/>
            <w:szCs w:val="20"/>
            <w:lang w:val="en-US"/>
          </w:rPr>
          <w:t>the parties and of the Commission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_Toc5009879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29</w:t>
        </w:r>
        <w:r w:rsidR="008E6A56" w:rsidRPr="008A3740">
          <w:rPr>
            <w:rFonts w:ascii="Verdana" w:hAnsi="Verdana"/>
            <w:webHidden/>
            <w:sz w:val="20"/>
            <w:szCs w:val="20"/>
            <w:lang w:val="en-US"/>
          </w:rPr>
          <w:fldChar w:fldCharType="end"/>
        </w:r>
      </w:hyperlink>
    </w:p>
    <w:p w14:paraId="557C2827" w14:textId="1A833B86" w:rsidR="008E6A56" w:rsidRPr="008A3740" w:rsidRDefault="000C43D3" w:rsidP="008E6A56">
      <w:pPr>
        <w:pStyle w:val="TDC3"/>
        <w:rPr>
          <w:rFonts w:ascii="Verdana" w:eastAsia="Times New Roman" w:hAnsi="Verdana"/>
          <w:sz w:val="20"/>
          <w:szCs w:val="20"/>
          <w:lang w:val="en-US"/>
        </w:rPr>
      </w:pPr>
      <w:hyperlink w:anchor="_Toc5009880" w:history="1">
        <w:r w:rsidR="008E6A56" w:rsidRPr="008A3740">
          <w:rPr>
            <w:rStyle w:val="Hipervnculo"/>
            <w:rFonts w:ascii="Verdana" w:hAnsi="Verdana"/>
            <w:sz w:val="20"/>
            <w:szCs w:val="20"/>
            <w:lang w:val="en-US"/>
          </w:rPr>
          <w:t>A.2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_Toc5009880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32</w:t>
        </w:r>
        <w:r w:rsidR="008E6A56" w:rsidRPr="008A3740">
          <w:rPr>
            <w:rFonts w:ascii="Verdana" w:hAnsi="Verdana"/>
            <w:webHidden/>
            <w:sz w:val="20"/>
            <w:szCs w:val="20"/>
            <w:lang w:val="en-US"/>
          </w:rPr>
          <w:fldChar w:fldCharType="end"/>
        </w:r>
      </w:hyperlink>
    </w:p>
    <w:p w14:paraId="171D3570" w14:textId="0CFEA2CD" w:rsidR="008E6A56" w:rsidRPr="008A3740" w:rsidRDefault="000C43D3" w:rsidP="008E6A56">
      <w:pPr>
        <w:pStyle w:val="TDC3"/>
        <w:rPr>
          <w:rFonts w:ascii="Verdana" w:eastAsia="Times New Roman" w:hAnsi="Verdana"/>
          <w:sz w:val="20"/>
          <w:szCs w:val="20"/>
          <w:lang w:val="en-US"/>
        </w:rPr>
      </w:pPr>
      <w:hyperlink w:anchor="_Toc5009881" w:history="1">
        <w:r w:rsidR="008E6A56" w:rsidRPr="008A3740">
          <w:rPr>
            <w:rStyle w:val="Hipervnculo"/>
            <w:rFonts w:ascii="Verdana" w:hAnsi="Verdana"/>
            <w:sz w:val="20"/>
            <w:szCs w:val="20"/>
            <w:lang w:val="en-US"/>
          </w:rPr>
          <w:t>A.3 Conclusion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_Toc5009881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39</w:t>
        </w:r>
        <w:r w:rsidR="008E6A56" w:rsidRPr="008A3740">
          <w:rPr>
            <w:rFonts w:ascii="Verdana" w:hAnsi="Verdana"/>
            <w:webHidden/>
            <w:sz w:val="20"/>
            <w:szCs w:val="20"/>
            <w:lang w:val="en-US"/>
          </w:rPr>
          <w:fldChar w:fldCharType="end"/>
        </w:r>
      </w:hyperlink>
    </w:p>
    <w:p w14:paraId="5697D849" w14:textId="09D463B8" w:rsidR="008E6A56" w:rsidRPr="008A3740" w:rsidRDefault="000C43D3" w:rsidP="008E6A56">
      <w:pPr>
        <w:pStyle w:val="TDC2"/>
        <w:rPr>
          <w:rFonts w:ascii="Verdana" w:eastAsia="Times New Roman" w:hAnsi="Verdana"/>
          <w:sz w:val="20"/>
          <w:szCs w:val="20"/>
          <w:lang w:val="en-US"/>
        </w:rPr>
      </w:pPr>
      <w:hyperlink w:anchor="_Toc5009882" w:history="1">
        <w:r w:rsidR="008E6A56" w:rsidRPr="008A3740">
          <w:rPr>
            <w:rStyle w:val="Hipervnculo"/>
            <w:rFonts w:ascii="Verdana" w:hAnsi="Verdana"/>
            <w:sz w:val="20"/>
            <w:szCs w:val="20"/>
            <w:lang w:val="en-US"/>
          </w:rPr>
          <w:t>B.</w:t>
        </w:r>
        <w:r w:rsidR="008E6A56" w:rsidRPr="008A3740">
          <w:rPr>
            <w:rFonts w:ascii="Verdana" w:eastAsia="Times New Roman" w:hAnsi="Verdana"/>
            <w:sz w:val="20"/>
            <w:szCs w:val="20"/>
            <w:lang w:val="en-US"/>
          </w:rPr>
          <w:tab/>
        </w:r>
        <w:r w:rsidR="005E5FED" w:rsidRPr="008A3740">
          <w:rPr>
            <w:rStyle w:val="Hipervnculo"/>
            <w:rFonts w:ascii="Verdana" w:hAnsi="Verdana"/>
            <w:sz w:val="20"/>
            <w:szCs w:val="20"/>
            <w:lang w:val="en-US"/>
          </w:rPr>
          <w:t>Reasonable time</w:t>
        </w:r>
        <w:r w:rsidR="00CB7367" w:rsidRPr="008A3740">
          <w:rPr>
            <w:rStyle w:val="Hipervnculo"/>
            <w:rFonts w:ascii="Verdana" w:hAnsi="Verdana"/>
            <w:sz w:val="20"/>
            <w:szCs w:val="20"/>
            <w:lang w:val="en-US"/>
          </w:rPr>
          <w:t>.</w:t>
        </w:r>
        <w:r w:rsidR="008E6A56" w:rsidRPr="008A3740">
          <w:rPr>
            <w:rFonts w:ascii="Verdana" w:hAnsi="Verdana"/>
            <w:webHidden/>
            <w:sz w:val="20"/>
            <w:szCs w:val="20"/>
            <w:lang w:val="en-US"/>
          </w:rPr>
          <w:tab/>
        </w:r>
        <w:r w:rsidR="00461D97" w:rsidRPr="008A3740">
          <w:rPr>
            <w:rFonts w:ascii="Verdana" w:hAnsi="Verdana"/>
            <w:webHidden/>
            <w:sz w:val="20"/>
            <w:szCs w:val="20"/>
            <w:lang w:val="en-US"/>
          </w:rPr>
          <w:t xml:space="preserve"> </w:t>
        </w:r>
        <w:r w:rsidR="001F5C26">
          <w:rPr>
            <w:rFonts w:ascii="Verdana" w:hAnsi="Verdana"/>
            <w:webHidden/>
            <w:sz w:val="20"/>
            <w:szCs w:val="20"/>
            <w:lang w:val="en-US"/>
          </w:rPr>
          <w:t>38</w:t>
        </w:r>
      </w:hyperlink>
    </w:p>
    <w:p w14:paraId="1A51571E" w14:textId="7B68EC8F" w:rsidR="008E6A56" w:rsidRPr="008A3740" w:rsidRDefault="000C43D3" w:rsidP="008E6A56">
      <w:pPr>
        <w:pStyle w:val="TDC3"/>
        <w:rPr>
          <w:rFonts w:ascii="Verdana" w:eastAsia="Times New Roman" w:hAnsi="Verdana"/>
          <w:sz w:val="20"/>
          <w:szCs w:val="20"/>
          <w:lang w:val="en-US"/>
        </w:rPr>
      </w:pPr>
      <w:hyperlink w:anchor="_Toc5009883" w:history="1">
        <w:r w:rsidR="008E6A56" w:rsidRPr="008A3740">
          <w:rPr>
            <w:rStyle w:val="Hipervnculo"/>
            <w:rFonts w:ascii="Verdana" w:hAnsi="Verdana"/>
            <w:sz w:val="20"/>
            <w:szCs w:val="20"/>
            <w:lang w:val="en-US"/>
          </w:rPr>
          <w:t>B.1 Arguments of the parties and of the Commission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_Toc5009883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39</w:t>
        </w:r>
        <w:r w:rsidR="008E6A56" w:rsidRPr="008A3740">
          <w:rPr>
            <w:rFonts w:ascii="Verdana" w:hAnsi="Verdana"/>
            <w:webHidden/>
            <w:sz w:val="20"/>
            <w:szCs w:val="20"/>
            <w:lang w:val="en-US"/>
          </w:rPr>
          <w:fldChar w:fldCharType="end"/>
        </w:r>
      </w:hyperlink>
    </w:p>
    <w:p w14:paraId="3D87D145" w14:textId="009A61F5" w:rsidR="008E6A56" w:rsidRPr="008A3740" w:rsidRDefault="000C43D3" w:rsidP="008E6A56">
      <w:pPr>
        <w:pStyle w:val="TDC3"/>
        <w:rPr>
          <w:rFonts w:ascii="Verdana" w:eastAsia="Times New Roman" w:hAnsi="Verdana"/>
          <w:sz w:val="20"/>
          <w:szCs w:val="20"/>
          <w:lang w:val="en-US"/>
        </w:rPr>
      </w:pPr>
      <w:hyperlink w:anchor="_Toc5009884" w:history="1">
        <w:r w:rsidR="008E6A56" w:rsidRPr="008A3740">
          <w:rPr>
            <w:rStyle w:val="Hipervnculo"/>
            <w:rFonts w:ascii="Verdana" w:hAnsi="Verdana"/>
            <w:sz w:val="20"/>
            <w:szCs w:val="20"/>
            <w:lang w:val="en-US"/>
          </w:rPr>
          <w:t>B.2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_Toc5009884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41</w:t>
        </w:r>
        <w:r w:rsidR="008E6A56" w:rsidRPr="008A3740">
          <w:rPr>
            <w:rFonts w:ascii="Verdana" w:hAnsi="Verdana"/>
            <w:webHidden/>
            <w:sz w:val="20"/>
            <w:szCs w:val="20"/>
            <w:lang w:val="en-US"/>
          </w:rPr>
          <w:fldChar w:fldCharType="end"/>
        </w:r>
      </w:hyperlink>
    </w:p>
    <w:p w14:paraId="1E7426D3" w14:textId="25B00AB0" w:rsidR="008E6A56" w:rsidRPr="008A3740" w:rsidRDefault="000C43D3" w:rsidP="008E6A56">
      <w:pPr>
        <w:pStyle w:val="TDC2"/>
        <w:rPr>
          <w:rFonts w:ascii="Verdana" w:eastAsia="Times New Roman" w:hAnsi="Verdana"/>
          <w:sz w:val="20"/>
          <w:szCs w:val="20"/>
          <w:lang w:val="en-US"/>
        </w:rPr>
      </w:pPr>
      <w:hyperlink w:anchor="_Toc5009885" w:history="1">
        <w:r w:rsidR="008E6A56" w:rsidRPr="008A3740">
          <w:rPr>
            <w:rStyle w:val="Hipervnculo"/>
            <w:rFonts w:ascii="Verdana" w:hAnsi="Verdana"/>
            <w:sz w:val="20"/>
            <w:szCs w:val="20"/>
            <w:lang w:val="en-US"/>
          </w:rPr>
          <w:t>C.</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Right to social security</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_Toc5009885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44</w:t>
        </w:r>
        <w:r w:rsidR="008E6A56" w:rsidRPr="008A3740">
          <w:rPr>
            <w:rFonts w:ascii="Verdana" w:hAnsi="Verdana"/>
            <w:webHidden/>
            <w:sz w:val="20"/>
            <w:szCs w:val="20"/>
            <w:lang w:val="en-US"/>
          </w:rPr>
          <w:fldChar w:fldCharType="end"/>
        </w:r>
      </w:hyperlink>
    </w:p>
    <w:p w14:paraId="69022F90" w14:textId="4D272DBC" w:rsidR="008E6A56" w:rsidRPr="008A3740" w:rsidRDefault="000C43D3" w:rsidP="008E6A56">
      <w:pPr>
        <w:pStyle w:val="TDC3"/>
        <w:rPr>
          <w:rFonts w:ascii="Verdana" w:eastAsia="Times New Roman" w:hAnsi="Verdana"/>
          <w:sz w:val="20"/>
          <w:szCs w:val="20"/>
          <w:lang w:val="en-US"/>
        </w:rPr>
      </w:pPr>
      <w:hyperlink w:anchor="_Toc5009886" w:history="1">
        <w:r w:rsidR="008E6A56" w:rsidRPr="008A3740">
          <w:rPr>
            <w:rStyle w:val="Hipervnculo"/>
            <w:rFonts w:ascii="Verdana" w:hAnsi="Verdana"/>
            <w:sz w:val="20"/>
            <w:szCs w:val="20"/>
            <w:lang w:val="en-US"/>
          </w:rPr>
          <w:t>C.1 Arguments of the parties and of the Commission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_Toc5009886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44</w:t>
        </w:r>
        <w:r w:rsidR="008E6A56" w:rsidRPr="008A3740">
          <w:rPr>
            <w:rFonts w:ascii="Verdana" w:hAnsi="Verdana"/>
            <w:webHidden/>
            <w:sz w:val="20"/>
            <w:szCs w:val="20"/>
            <w:lang w:val="en-US"/>
          </w:rPr>
          <w:fldChar w:fldCharType="end"/>
        </w:r>
      </w:hyperlink>
    </w:p>
    <w:p w14:paraId="13E78906" w14:textId="24260463" w:rsidR="008E6A56" w:rsidRPr="008A3740" w:rsidRDefault="000C43D3" w:rsidP="008E6A56">
      <w:pPr>
        <w:pStyle w:val="TDC3"/>
        <w:rPr>
          <w:rFonts w:ascii="Verdana" w:eastAsia="Times New Roman" w:hAnsi="Verdana"/>
          <w:sz w:val="20"/>
          <w:szCs w:val="20"/>
          <w:lang w:val="en-US"/>
        </w:rPr>
      </w:pPr>
      <w:hyperlink w:anchor="_Toc5009887" w:history="1">
        <w:r w:rsidR="008E6A56" w:rsidRPr="008A3740">
          <w:rPr>
            <w:rStyle w:val="Hipervnculo"/>
            <w:rFonts w:ascii="Verdana" w:hAnsi="Verdana"/>
            <w:sz w:val="20"/>
            <w:szCs w:val="20"/>
            <w:lang w:val="en-US"/>
          </w:rPr>
          <w:t>C.2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_Toc5009887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44</w:t>
        </w:r>
        <w:r w:rsidR="008E6A56" w:rsidRPr="008A3740">
          <w:rPr>
            <w:rFonts w:ascii="Verdana" w:hAnsi="Verdana"/>
            <w:webHidden/>
            <w:sz w:val="20"/>
            <w:szCs w:val="20"/>
            <w:lang w:val="en-US"/>
          </w:rPr>
          <w:fldChar w:fldCharType="end"/>
        </w:r>
      </w:hyperlink>
    </w:p>
    <w:p w14:paraId="34805943" w14:textId="7C4F868B" w:rsidR="008E6A56" w:rsidRPr="008A3740" w:rsidRDefault="000C43D3" w:rsidP="008E6A56">
      <w:pPr>
        <w:pStyle w:val="TDC3"/>
        <w:rPr>
          <w:rFonts w:ascii="Verdana" w:eastAsia="Times New Roman" w:hAnsi="Verdana"/>
          <w:sz w:val="20"/>
          <w:szCs w:val="20"/>
          <w:lang w:val="en-US"/>
        </w:rPr>
      </w:pPr>
      <w:hyperlink w:anchor="_Toc5009888" w:history="1">
        <w:r w:rsidR="008E6A56" w:rsidRPr="008A3740">
          <w:rPr>
            <w:rStyle w:val="Hipervnculo"/>
            <w:rFonts w:ascii="Verdana" w:hAnsi="Verdana"/>
            <w:sz w:val="20"/>
            <w:szCs w:val="20"/>
            <w:lang w:val="en-US"/>
          </w:rPr>
          <w:t>C.3 Conclusion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_Toc5009888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56</w:t>
        </w:r>
        <w:r w:rsidR="008E6A56" w:rsidRPr="008A3740">
          <w:rPr>
            <w:rFonts w:ascii="Verdana" w:hAnsi="Verdana"/>
            <w:webHidden/>
            <w:sz w:val="20"/>
            <w:szCs w:val="20"/>
            <w:lang w:val="en-US"/>
          </w:rPr>
          <w:fldChar w:fldCharType="end"/>
        </w:r>
      </w:hyperlink>
    </w:p>
    <w:p w14:paraId="3AED2E04" w14:textId="44F4AE09" w:rsidR="008E6A56" w:rsidRPr="008A3740" w:rsidRDefault="000C43D3" w:rsidP="008E6A56">
      <w:pPr>
        <w:pStyle w:val="TDC2"/>
        <w:rPr>
          <w:rFonts w:ascii="Verdana" w:eastAsia="Times New Roman" w:hAnsi="Verdana"/>
          <w:sz w:val="20"/>
          <w:szCs w:val="20"/>
          <w:lang w:val="en-US"/>
        </w:rPr>
      </w:pPr>
      <w:hyperlink w:anchor="_Toc5009889" w:history="1">
        <w:r w:rsidR="008E6A56" w:rsidRPr="008A3740">
          <w:rPr>
            <w:rStyle w:val="Hipervnculo"/>
            <w:rFonts w:ascii="Verdana" w:hAnsi="Verdana"/>
            <w:sz w:val="20"/>
            <w:szCs w:val="20"/>
            <w:lang w:val="en-US"/>
          </w:rPr>
          <w:t>D.</w:t>
        </w:r>
        <w:r w:rsidR="008E6A56" w:rsidRPr="008A3740">
          <w:rPr>
            <w:rFonts w:ascii="Verdana" w:eastAsia="Times New Roman" w:hAnsi="Verdana"/>
            <w:sz w:val="20"/>
            <w:szCs w:val="20"/>
            <w:lang w:val="en-US"/>
          </w:rPr>
          <w:tab/>
        </w:r>
        <w:r w:rsidR="00670D3E" w:rsidRPr="008A3740">
          <w:rPr>
            <w:rStyle w:val="Hipervnculo"/>
            <w:rFonts w:ascii="Verdana" w:hAnsi="Verdana"/>
            <w:sz w:val="20"/>
            <w:szCs w:val="20"/>
            <w:lang w:val="en-US"/>
          </w:rPr>
          <w:t xml:space="preserve">Right to </w:t>
        </w:r>
        <w:r w:rsidR="008E6A56" w:rsidRPr="008A3740">
          <w:rPr>
            <w:rStyle w:val="Hipervnculo"/>
            <w:rFonts w:ascii="Verdana" w:hAnsi="Verdana"/>
            <w:sz w:val="20"/>
            <w:szCs w:val="20"/>
            <w:lang w:val="en-US"/>
          </w:rPr>
          <w:t>property</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_Toc5009889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56</w:t>
        </w:r>
        <w:r w:rsidR="008E6A56" w:rsidRPr="008A3740">
          <w:rPr>
            <w:rFonts w:ascii="Verdana" w:hAnsi="Verdana"/>
            <w:webHidden/>
            <w:sz w:val="20"/>
            <w:szCs w:val="20"/>
            <w:lang w:val="en-US"/>
          </w:rPr>
          <w:fldChar w:fldCharType="end"/>
        </w:r>
      </w:hyperlink>
    </w:p>
    <w:p w14:paraId="380B1EA7" w14:textId="247B1310" w:rsidR="008E6A56" w:rsidRPr="008A3740" w:rsidRDefault="000C43D3" w:rsidP="008E6A56">
      <w:pPr>
        <w:pStyle w:val="TDC3"/>
        <w:rPr>
          <w:rFonts w:ascii="Verdana" w:eastAsia="Times New Roman" w:hAnsi="Verdana"/>
          <w:sz w:val="20"/>
          <w:szCs w:val="20"/>
          <w:lang w:val="en-US"/>
        </w:rPr>
      </w:pPr>
      <w:hyperlink w:anchor="_Toc5009890" w:history="1">
        <w:r w:rsidR="008E6A56" w:rsidRPr="008A3740">
          <w:rPr>
            <w:rStyle w:val="Hipervnculo"/>
            <w:rFonts w:ascii="Verdana" w:hAnsi="Verdana"/>
            <w:sz w:val="20"/>
            <w:szCs w:val="20"/>
            <w:lang w:val="en-US"/>
          </w:rPr>
          <w:t>D.1 Arguments of the parties and of the Commission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_Toc5009890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56</w:t>
        </w:r>
        <w:r w:rsidR="008E6A56" w:rsidRPr="008A3740">
          <w:rPr>
            <w:rFonts w:ascii="Verdana" w:hAnsi="Verdana"/>
            <w:webHidden/>
            <w:sz w:val="20"/>
            <w:szCs w:val="20"/>
            <w:lang w:val="en-US"/>
          </w:rPr>
          <w:fldChar w:fldCharType="end"/>
        </w:r>
      </w:hyperlink>
    </w:p>
    <w:p w14:paraId="1DA3C649" w14:textId="5EB048FF" w:rsidR="008E6A56" w:rsidRPr="008A3740" w:rsidRDefault="000C43D3" w:rsidP="008E6A56">
      <w:pPr>
        <w:pStyle w:val="TDC3"/>
        <w:rPr>
          <w:rFonts w:ascii="Verdana" w:eastAsia="Times New Roman" w:hAnsi="Verdana"/>
          <w:sz w:val="20"/>
          <w:szCs w:val="20"/>
          <w:lang w:val="en-US"/>
        </w:rPr>
      </w:pPr>
      <w:hyperlink w:anchor="_Toc5009891" w:history="1">
        <w:r w:rsidR="008E6A56" w:rsidRPr="008A3740">
          <w:rPr>
            <w:rStyle w:val="Hipervnculo"/>
            <w:rFonts w:ascii="Verdana" w:hAnsi="Verdana"/>
            <w:sz w:val="20"/>
            <w:szCs w:val="20"/>
            <w:lang w:val="en-US"/>
          </w:rPr>
          <w:t>D.2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_Toc5009891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57</w:t>
        </w:r>
        <w:r w:rsidR="008E6A56" w:rsidRPr="008A3740">
          <w:rPr>
            <w:rFonts w:ascii="Verdana" w:hAnsi="Verdana"/>
            <w:webHidden/>
            <w:sz w:val="20"/>
            <w:szCs w:val="20"/>
            <w:lang w:val="en-US"/>
          </w:rPr>
          <w:fldChar w:fldCharType="end"/>
        </w:r>
      </w:hyperlink>
    </w:p>
    <w:p w14:paraId="2EFA9B4A" w14:textId="4B147E85" w:rsidR="008E6A56" w:rsidRPr="008A3740" w:rsidRDefault="000C43D3" w:rsidP="008E6A56">
      <w:pPr>
        <w:pStyle w:val="TDC2"/>
        <w:rPr>
          <w:rFonts w:ascii="Verdana" w:eastAsia="Times New Roman" w:hAnsi="Verdana"/>
          <w:sz w:val="20"/>
          <w:szCs w:val="20"/>
          <w:lang w:val="en-US"/>
        </w:rPr>
      </w:pPr>
      <w:hyperlink w:anchor="_Toc5009892" w:history="1">
        <w:r w:rsidR="008E6A56" w:rsidRPr="008A3740">
          <w:rPr>
            <w:rStyle w:val="Hipervnculo"/>
            <w:rFonts w:ascii="Verdana" w:hAnsi="Verdana"/>
            <w:sz w:val="20"/>
            <w:szCs w:val="20"/>
            <w:lang w:val="en-US"/>
          </w:rPr>
          <w:t>E.</w:t>
        </w:r>
        <w:r w:rsidR="008E6A56" w:rsidRPr="008A3740">
          <w:rPr>
            <w:rFonts w:ascii="Verdana" w:eastAsia="Times New Roman" w:hAnsi="Verdana"/>
            <w:sz w:val="20"/>
            <w:szCs w:val="20"/>
            <w:lang w:val="en-US"/>
          </w:rPr>
          <w:tab/>
        </w:r>
        <w:r w:rsidR="00670D3E" w:rsidRPr="008A3740">
          <w:rPr>
            <w:rStyle w:val="Hipervnculo"/>
            <w:rFonts w:ascii="Verdana" w:hAnsi="Verdana"/>
            <w:sz w:val="20"/>
            <w:szCs w:val="20"/>
            <w:lang w:val="en-US"/>
          </w:rPr>
          <w:t>Conclusion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_Toc5009892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58</w:t>
        </w:r>
        <w:r w:rsidR="008E6A56" w:rsidRPr="008A3740">
          <w:rPr>
            <w:rFonts w:ascii="Verdana" w:hAnsi="Verdana"/>
            <w:webHidden/>
            <w:sz w:val="20"/>
            <w:szCs w:val="20"/>
            <w:lang w:val="en-US"/>
          </w:rPr>
          <w:fldChar w:fldCharType="end"/>
        </w:r>
      </w:hyperlink>
    </w:p>
    <w:p w14:paraId="5F242545" w14:textId="77777777" w:rsidR="00E845BC" w:rsidRPr="008A3740" w:rsidRDefault="00E845BC" w:rsidP="008E6A56">
      <w:pPr>
        <w:pStyle w:val="TDC1"/>
        <w:rPr>
          <w:rStyle w:val="Hipervnculo"/>
          <w:noProof w:val="0"/>
          <w:sz w:val="20"/>
          <w:szCs w:val="20"/>
          <w:lang w:val="en-US"/>
        </w:rPr>
      </w:pPr>
    </w:p>
    <w:p w14:paraId="08B6BB89" w14:textId="6B2156AF" w:rsidR="008E6A56" w:rsidRPr="008A3740" w:rsidRDefault="000C43D3" w:rsidP="008E6A56">
      <w:pPr>
        <w:pStyle w:val="TDC1"/>
        <w:rPr>
          <w:rFonts w:eastAsia="Times New Roman" w:cs="Times New Roman"/>
          <w:b w:val="0"/>
          <w:caps w:val="0"/>
          <w:noProof w:val="0"/>
          <w:snapToGrid/>
          <w:sz w:val="20"/>
          <w:szCs w:val="20"/>
          <w:lang w:val="en-US"/>
        </w:rPr>
      </w:pPr>
      <w:hyperlink w:anchor="_Toc5009893" w:history="1">
        <w:r w:rsidR="008E6A56" w:rsidRPr="008A3740">
          <w:rPr>
            <w:rStyle w:val="Hipervnculo"/>
            <w:noProof w:val="0"/>
            <w:sz w:val="20"/>
            <w:szCs w:val="20"/>
            <w:lang w:val="en-US"/>
          </w:rPr>
          <w:t>VIII REPARATIONS (Application OF Article 63(1) of the American Convention)</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_Toc5009893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58</w:t>
        </w:r>
        <w:r w:rsidR="008E6A56" w:rsidRPr="008A3740">
          <w:rPr>
            <w:noProof w:val="0"/>
            <w:webHidden/>
            <w:sz w:val="20"/>
            <w:szCs w:val="20"/>
            <w:lang w:val="en-US"/>
          </w:rPr>
          <w:fldChar w:fldCharType="end"/>
        </w:r>
      </w:hyperlink>
    </w:p>
    <w:p w14:paraId="654526B9" w14:textId="77777777" w:rsidR="008E6A56" w:rsidRPr="008A3740" w:rsidRDefault="000C43D3" w:rsidP="008E6A56">
      <w:pPr>
        <w:pStyle w:val="TDC2"/>
        <w:rPr>
          <w:rFonts w:ascii="Verdana" w:eastAsia="Times New Roman" w:hAnsi="Verdana"/>
          <w:sz w:val="20"/>
          <w:szCs w:val="20"/>
          <w:lang w:val="en-US"/>
        </w:rPr>
      </w:pPr>
      <w:hyperlink w:anchor="_Toc5009894" w:history="1">
        <w:r w:rsidR="008E6A56" w:rsidRPr="008A3740">
          <w:rPr>
            <w:rStyle w:val="Hipervnculo"/>
            <w:rFonts w:ascii="Verdana" w:hAnsi="Verdana"/>
            <w:sz w:val="20"/>
            <w:szCs w:val="20"/>
            <w:lang w:val="en-US"/>
          </w:rPr>
          <w:t>A.</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Injured Party</w:t>
        </w:r>
        <w:r w:rsidR="008E6A56" w:rsidRPr="008A3740">
          <w:rPr>
            <w:rFonts w:ascii="Verdana" w:hAnsi="Verdana"/>
            <w:webHidden/>
            <w:sz w:val="20"/>
            <w:szCs w:val="20"/>
            <w:lang w:val="en-US"/>
          </w:rPr>
          <w:tab/>
        </w:r>
        <w:r w:rsidR="00670D3E" w:rsidRPr="008A3740">
          <w:rPr>
            <w:rFonts w:ascii="Verdana" w:hAnsi="Verdana"/>
            <w:webHidden/>
            <w:sz w:val="20"/>
            <w:szCs w:val="20"/>
            <w:lang w:val="en-US"/>
          </w:rPr>
          <w:t>57</w:t>
        </w:r>
      </w:hyperlink>
    </w:p>
    <w:p w14:paraId="28EB6AA3" w14:textId="29609A88" w:rsidR="008E6A56" w:rsidRPr="008A3740" w:rsidRDefault="000C43D3" w:rsidP="008E6A56">
      <w:pPr>
        <w:pStyle w:val="TDC2"/>
        <w:rPr>
          <w:rFonts w:ascii="Verdana" w:eastAsia="Times New Roman" w:hAnsi="Verdana"/>
          <w:sz w:val="20"/>
          <w:szCs w:val="20"/>
          <w:lang w:val="en-US"/>
        </w:rPr>
      </w:pPr>
      <w:hyperlink w:anchor="_Toc5009895" w:history="1">
        <w:r w:rsidR="008E6A56" w:rsidRPr="008A3740">
          <w:rPr>
            <w:rStyle w:val="Hipervnculo"/>
            <w:rFonts w:ascii="Verdana" w:hAnsi="Verdana"/>
            <w:sz w:val="20"/>
            <w:szCs w:val="20"/>
            <w:lang w:val="en-US"/>
          </w:rPr>
          <w:t>B.</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Restoration</w:t>
        </w:r>
        <w:r w:rsidR="00670D3E" w:rsidRPr="008A3740">
          <w:rPr>
            <w:rStyle w:val="Hipervnculo"/>
            <w:rFonts w:ascii="Verdana" w:hAnsi="Verdana"/>
            <w:sz w:val="20"/>
            <w:szCs w:val="20"/>
            <w:lang w:val="en-US"/>
          </w:rPr>
          <w:t xml:space="preserve"> of Mr. Muelle Flores’ pension:compliance with </w:t>
        </w:r>
        <w:r w:rsidR="008E6A56" w:rsidRPr="008A3740">
          <w:rPr>
            <w:rStyle w:val="Hipervnculo"/>
            <w:rFonts w:ascii="Verdana" w:hAnsi="Verdana"/>
            <w:sz w:val="20"/>
            <w:szCs w:val="20"/>
            <w:lang w:val="en-US"/>
          </w:rPr>
          <w:t>the judgments of the domestic courts</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_Toc5009895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59</w:t>
        </w:r>
        <w:r w:rsidR="008E6A56" w:rsidRPr="008A3740">
          <w:rPr>
            <w:rFonts w:ascii="Verdana" w:hAnsi="Verdana"/>
            <w:webHidden/>
            <w:sz w:val="20"/>
            <w:szCs w:val="20"/>
            <w:lang w:val="en-US"/>
          </w:rPr>
          <w:fldChar w:fldCharType="end"/>
        </w:r>
      </w:hyperlink>
    </w:p>
    <w:p w14:paraId="6A66CA7A" w14:textId="171436FA" w:rsidR="008E6A56" w:rsidRPr="008A3740" w:rsidRDefault="000C43D3" w:rsidP="008E6A56">
      <w:pPr>
        <w:pStyle w:val="TDC3"/>
        <w:rPr>
          <w:rFonts w:ascii="Verdana" w:eastAsia="Times New Roman" w:hAnsi="Verdana"/>
          <w:sz w:val="20"/>
          <w:szCs w:val="20"/>
          <w:lang w:val="en-US"/>
        </w:rPr>
      </w:pPr>
      <w:hyperlink w:anchor="_Toc5009896" w:history="1">
        <w:r w:rsidR="008E6A56" w:rsidRPr="008A3740">
          <w:rPr>
            <w:rStyle w:val="Hipervnculo"/>
            <w:rFonts w:ascii="Verdana" w:hAnsi="Verdana"/>
            <w:sz w:val="20"/>
            <w:szCs w:val="20"/>
            <w:lang w:val="en-US"/>
          </w:rPr>
          <w:t>B.1. Arguments of the Commission and of the parties</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_Toc5009896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59</w:t>
        </w:r>
        <w:r w:rsidR="008E6A56" w:rsidRPr="008A3740">
          <w:rPr>
            <w:rFonts w:ascii="Verdana" w:hAnsi="Verdana"/>
            <w:webHidden/>
            <w:sz w:val="20"/>
            <w:szCs w:val="20"/>
            <w:lang w:val="en-US"/>
          </w:rPr>
          <w:fldChar w:fldCharType="end"/>
        </w:r>
      </w:hyperlink>
    </w:p>
    <w:p w14:paraId="04728D4E" w14:textId="47B0AA96" w:rsidR="008E6A56" w:rsidRPr="008A3740" w:rsidRDefault="000C43D3" w:rsidP="008E6A56">
      <w:pPr>
        <w:pStyle w:val="TDC3"/>
        <w:rPr>
          <w:rFonts w:ascii="Verdana" w:eastAsia="Times New Roman" w:hAnsi="Verdana"/>
          <w:sz w:val="20"/>
          <w:szCs w:val="20"/>
          <w:lang w:val="en-US"/>
        </w:rPr>
      </w:pPr>
      <w:hyperlink w:anchor="_Toc5009897" w:history="1">
        <w:r w:rsidR="008E6A56" w:rsidRPr="008A3740">
          <w:rPr>
            <w:rStyle w:val="Hipervnculo"/>
            <w:rFonts w:ascii="Verdana" w:hAnsi="Verdana"/>
            <w:sz w:val="20"/>
            <w:szCs w:val="20"/>
            <w:lang w:val="en-US"/>
          </w:rPr>
          <w:t>B.2. Considerations of the Court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_Toc5009897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60</w:t>
        </w:r>
        <w:r w:rsidR="008E6A56" w:rsidRPr="008A3740">
          <w:rPr>
            <w:rFonts w:ascii="Verdana" w:hAnsi="Verdana"/>
            <w:webHidden/>
            <w:sz w:val="20"/>
            <w:szCs w:val="20"/>
            <w:lang w:val="en-US"/>
          </w:rPr>
          <w:fldChar w:fldCharType="end"/>
        </w:r>
      </w:hyperlink>
    </w:p>
    <w:p w14:paraId="39A39ACA" w14:textId="41F2144F" w:rsidR="008E6A56" w:rsidRPr="008A3740" w:rsidRDefault="000C43D3" w:rsidP="008E6A56">
      <w:pPr>
        <w:pStyle w:val="TDC2"/>
        <w:rPr>
          <w:rFonts w:ascii="Verdana" w:eastAsia="Times New Roman" w:hAnsi="Verdana"/>
          <w:sz w:val="20"/>
          <w:szCs w:val="20"/>
          <w:lang w:val="en-US"/>
        </w:rPr>
      </w:pPr>
      <w:hyperlink w:anchor="_Toc5009898" w:history="1">
        <w:r w:rsidR="008E6A56" w:rsidRPr="008A3740">
          <w:rPr>
            <w:rStyle w:val="Hipervnculo"/>
            <w:rFonts w:ascii="Verdana" w:hAnsi="Verdana"/>
            <w:sz w:val="20"/>
            <w:szCs w:val="20"/>
            <w:lang w:val="en-US"/>
          </w:rPr>
          <w:t>C.</w:t>
        </w:r>
        <w:r w:rsidR="008E6A56" w:rsidRPr="008A3740">
          <w:rPr>
            <w:rFonts w:ascii="Verdana" w:eastAsia="Times New Roman" w:hAnsi="Verdana"/>
            <w:sz w:val="20"/>
            <w:szCs w:val="20"/>
            <w:lang w:val="en-US"/>
          </w:rPr>
          <w:tab/>
        </w:r>
        <w:r w:rsidR="00136943" w:rsidRPr="008A3740">
          <w:rPr>
            <w:rStyle w:val="Hipervnculo"/>
            <w:rFonts w:ascii="Verdana" w:hAnsi="Verdana"/>
            <w:sz w:val="20"/>
            <w:szCs w:val="20"/>
            <w:lang w:val="en-US"/>
          </w:rPr>
          <w:t xml:space="preserve">Measures of </w:t>
        </w:r>
        <w:r w:rsidR="008E6A56" w:rsidRPr="008A3740">
          <w:rPr>
            <w:rStyle w:val="Hipervnculo"/>
            <w:rFonts w:ascii="Verdana" w:hAnsi="Verdana"/>
            <w:sz w:val="20"/>
            <w:szCs w:val="20"/>
            <w:lang w:val="en-US"/>
          </w:rPr>
          <w:t>satisfaction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_Toc5009898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62</w:t>
        </w:r>
        <w:r w:rsidR="008E6A56" w:rsidRPr="008A3740">
          <w:rPr>
            <w:rFonts w:ascii="Verdana" w:hAnsi="Verdana"/>
            <w:webHidden/>
            <w:sz w:val="20"/>
            <w:szCs w:val="20"/>
            <w:lang w:val="en-US"/>
          </w:rPr>
          <w:fldChar w:fldCharType="end"/>
        </w:r>
      </w:hyperlink>
    </w:p>
    <w:p w14:paraId="54760CBA" w14:textId="0B8D4719" w:rsidR="008E6A56" w:rsidRPr="008A3740" w:rsidRDefault="000C43D3" w:rsidP="008E6A56">
      <w:pPr>
        <w:pStyle w:val="TDC3"/>
        <w:rPr>
          <w:rFonts w:ascii="Verdana" w:eastAsia="Times New Roman" w:hAnsi="Verdana"/>
          <w:sz w:val="20"/>
          <w:szCs w:val="20"/>
          <w:lang w:val="en-US"/>
        </w:rPr>
      </w:pPr>
      <w:hyperlink w:anchor="_Toc5009899" w:history="1">
        <w:r w:rsidR="008E6A56" w:rsidRPr="008A3740">
          <w:rPr>
            <w:rStyle w:val="Hipervnculo"/>
            <w:rFonts w:ascii="Verdana" w:hAnsi="Verdana"/>
            <w:sz w:val="20"/>
            <w:szCs w:val="20"/>
            <w:lang w:val="en-US"/>
          </w:rPr>
          <w:t>a) Publication of the Judgment</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_Toc5009899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62</w:t>
        </w:r>
        <w:r w:rsidR="008E6A56" w:rsidRPr="008A3740">
          <w:rPr>
            <w:rFonts w:ascii="Verdana" w:hAnsi="Verdana"/>
            <w:webHidden/>
            <w:sz w:val="20"/>
            <w:szCs w:val="20"/>
            <w:lang w:val="en-US"/>
          </w:rPr>
          <w:fldChar w:fldCharType="end"/>
        </w:r>
      </w:hyperlink>
    </w:p>
    <w:p w14:paraId="4FD31123" w14:textId="3A2E5F4F" w:rsidR="008E6A56" w:rsidRPr="008A3740" w:rsidRDefault="000C43D3" w:rsidP="008E6A56">
      <w:pPr>
        <w:pStyle w:val="TDC2"/>
        <w:rPr>
          <w:rFonts w:ascii="Verdana" w:eastAsia="Times New Roman" w:hAnsi="Verdana"/>
          <w:sz w:val="20"/>
          <w:szCs w:val="20"/>
          <w:lang w:val="en-US"/>
        </w:rPr>
      </w:pPr>
      <w:hyperlink w:anchor="_Toc5009900" w:history="1">
        <w:r w:rsidR="008E6A56" w:rsidRPr="008A3740">
          <w:rPr>
            <w:rStyle w:val="Hipervnculo"/>
            <w:rFonts w:ascii="Verdana" w:hAnsi="Verdana"/>
            <w:sz w:val="20"/>
            <w:szCs w:val="20"/>
            <w:lang w:val="en-US"/>
          </w:rPr>
          <w:t>D.</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Other measures requested</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_Toc5009900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62</w:t>
        </w:r>
        <w:r w:rsidR="008E6A56" w:rsidRPr="008A3740">
          <w:rPr>
            <w:rFonts w:ascii="Verdana" w:hAnsi="Verdana"/>
            <w:webHidden/>
            <w:sz w:val="20"/>
            <w:szCs w:val="20"/>
            <w:lang w:val="en-US"/>
          </w:rPr>
          <w:fldChar w:fldCharType="end"/>
        </w:r>
      </w:hyperlink>
    </w:p>
    <w:p w14:paraId="6F45562F" w14:textId="6A3AB5FD" w:rsidR="008E6A56" w:rsidRPr="008A3740" w:rsidRDefault="000C43D3" w:rsidP="008E6A56">
      <w:pPr>
        <w:pStyle w:val="TDC2"/>
        <w:rPr>
          <w:rFonts w:ascii="Verdana" w:eastAsia="Times New Roman" w:hAnsi="Verdana"/>
          <w:sz w:val="20"/>
          <w:szCs w:val="20"/>
          <w:lang w:val="en-US"/>
        </w:rPr>
      </w:pPr>
      <w:hyperlink w:anchor="_Toc5009901" w:history="1">
        <w:r w:rsidR="008E6A56" w:rsidRPr="008A3740">
          <w:rPr>
            <w:rStyle w:val="Hipervnculo"/>
            <w:rFonts w:ascii="Verdana" w:hAnsi="Verdana"/>
            <w:sz w:val="20"/>
            <w:szCs w:val="20"/>
            <w:lang w:val="en-US"/>
          </w:rPr>
          <w:t>E.</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Compensation</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_Toc5009901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63</w:t>
        </w:r>
        <w:r w:rsidR="008E6A56" w:rsidRPr="008A3740">
          <w:rPr>
            <w:rFonts w:ascii="Verdana" w:hAnsi="Verdana"/>
            <w:webHidden/>
            <w:sz w:val="20"/>
            <w:szCs w:val="20"/>
            <w:lang w:val="en-US"/>
          </w:rPr>
          <w:fldChar w:fldCharType="end"/>
        </w:r>
      </w:hyperlink>
    </w:p>
    <w:p w14:paraId="52084D8C" w14:textId="5627C7A7" w:rsidR="008E6A56" w:rsidRPr="008A3740" w:rsidRDefault="000C43D3" w:rsidP="008E6A56">
      <w:pPr>
        <w:pStyle w:val="TDC3"/>
        <w:rPr>
          <w:rFonts w:ascii="Verdana" w:eastAsia="Times New Roman" w:hAnsi="Verdana"/>
          <w:sz w:val="20"/>
          <w:szCs w:val="20"/>
          <w:lang w:val="en-US"/>
        </w:rPr>
      </w:pPr>
      <w:hyperlink w:anchor="_Toc5009902" w:history="1">
        <w:r w:rsidR="008E6A56" w:rsidRPr="008A3740">
          <w:rPr>
            <w:rStyle w:val="Hipervnculo"/>
            <w:rFonts w:ascii="Verdana" w:hAnsi="Verdana"/>
            <w:sz w:val="20"/>
            <w:szCs w:val="20"/>
            <w:lang w:val="en-US"/>
          </w:rPr>
          <w:t>D.1 Pecuniary damage</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_Toc5009902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63</w:t>
        </w:r>
        <w:r w:rsidR="008E6A56" w:rsidRPr="008A3740">
          <w:rPr>
            <w:rFonts w:ascii="Verdana" w:hAnsi="Verdana"/>
            <w:webHidden/>
            <w:sz w:val="20"/>
            <w:szCs w:val="20"/>
            <w:lang w:val="en-US"/>
          </w:rPr>
          <w:fldChar w:fldCharType="end"/>
        </w:r>
      </w:hyperlink>
    </w:p>
    <w:p w14:paraId="2393D318" w14:textId="174DFD9A" w:rsidR="008E6A56" w:rsidRPr="008A3740" w:rsidRDefault="000C43D3" w:rsidP="008E6A56">
      <w:pPr>
        <w:pStyle w:val="TDC3"/>
        <w:rPr>
          <w:rFonts w:ascii="Verdana" w:eastAsia="Times New Roman" w:hAnsi="Verdana"/>
          <w:sz w:val="20"/>
          <w:szCs w:val="20"/>
          <w:lang w:val="en-US"/>
        </w:rPr>
      </w:pPr>
      <w:hyperlink w:anchor="_Toc5009903" w:history="1">
        <w:r w:rsidR="008E6A56" w:rsidRPr="008A3740">
          <w:rPr>
            <w:rStyle w:val="Hipervnculo"/>
            <w:rFonts w:ascii="Verdana" w:hAnsi="Verdana"/>
            <w:sz w:val="20"/>
            <w:szCs w:val="20"/>
            <w:lang w:val="en-US"/>
          </w:rPr>
          <w:t>D.2</w:t>
        </w:r>
        <w:r w:rsidR="008E6A56" w:rsidRPr="008A3740">
          <w:rPr>
            <w:rFonts w:ascii="Verdana" w:eastAsia="Times New Roman" w:hAnsi="Verdana"/>
            <w:sz w:val="20"/>
            <w:szCs w:val="20"/>
            <w:lang w:val="en-US"/>
          </w:rPr>
          <w:t>.Non-pecuniary damage</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_Toc5009903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67</w:t>
        </w:r>
        <w:r w:rsidR="008E6A56" w:rsidRPr="008A3740">
          <w:rPr>
            <w:rFonts w:ascii="Verdana" w:hAnsi="Verdana"/>
            <w:webHidden/>
            <w:sz w:val="20"/>
            <w:szCs w:val="20"/>
            <w:lang w:val="en-US"/>
          </w:rPr>
          <w:fldChar w:fldCharType="end"/>
        </w:r>
      </w:hyperlink>
    </w:p>
    <w:p w14:paraId="79161462" w14:textId="77777777" w:rsidR="008E6A56" w:rsidRPr="008A3740" w:rsidRDefault="000C43D3" w:rsidP="008E6A56">
      <w:pPr>
        <w:pStyle w:val="TDC2"/>
        <w:rPr>
          <w:rFonts w:ascii="Verdana" w:eastAsia="Times New Roman" w:hAnsi="Verdana"/>
          <w:sz w:val="20"/>
          <w:szCs w:val="20"/>
          <w:lang w:val="en-US"/>
        </w:rPr>
      </w:pPr>
      <w:hyperlink w:anchor="_Toc5009904" w:history="1">
        <w:r w:rsidR="008E6A56" w:rsidRPr="008A3740">
          <w:rPr>
            <w:rStyle w:val="Hipervnculo"/>
            <w:rFonts w:ascii="Verdana" w:hAnsi="Verdana"/>
            <w:sz w:val="20"/>
            <w:szCs w:val="20"/>
            <w:lang w:val="en-US"/>
          </w:rPr>
          <w:t>F.</w:t>
        </w:r>
        <w:r w:rsidR="008E6A56" w:rsidRPr="008A3740">
          <w:rPr>
            <w:rFonts w:ascii="Verdana" w:eastAsia="Times New Roman" w:hAnsi="Verdana"/>
            <w:sz w:val="20"/>
            <w:szCs w:val="20"/>
            <w:lang w:val="en-US"/>
          </w:rPr>
          <w:tab/>
        </w:r>
        <w:r w:rsidR="008E6A56" w:rsidRPr="008A3740">
          <w:rPr>
            <w:rStyle w:val="Hipervnculo"/>
            <w:rFonts w:ascii="Verdana" w:hAnsi="Verdana"/>
            <w:sz w:val="20"/>
            <w:szCs w:val="20"/>
            <w:lang w:val="en-US"/>
          </w:rPr>
          <w:t>Costs and Expenses</w:t>
        </w:r>
        <w:r w:rsidR="008E6A56" w:rsidRPr="008A3740">
          <w:rPr>
            <w:rFonts w:ascii="Verdana" w:hAnsi="Verdana"/>
            <w:webHidden/>
            <w:sz w:val="20"/>
            <w:szCs w:val="20"/>
            <w:lang w:val="en-US"/>
          </w:rPr>
          <w:tab/>
        </w:r>
        <w:r w:rsidR="00670D3E" w:rsidRPr="008A3740">
          <w:rPr>
            <w:rFonts w:ascii="Verdana" w:hAnsi="Verdana"/>
            <w:webHidden/>
            <w:sz w:val="20"/>
            <w:szCs w:val="20"/>
            <w:lang w:val="en-US"/>
          </w:rPr>
          <w:t>67</w:t>
        </w:r>
      </w:hyperlink>
    </w:p>
    <w:p w14:paraId="5F18FD8B" w14:textId="6CB8CDBA" w:rsidR="008E6A56" w:rsidRPr="008A3740" w:rsidRDefault="000C43D3" w:rsidP="008E6A56">
      <w:pPr>
        <w:pStyle w:val="TDC2"/>
        <w:rPr>
          <w:rFonts w:ascii="Verdana" w:eastAsia="Times New Roman" w:hAnsi="Verdana"/>
          <w:sz w:val="20"/>
          <w:szCs w:val="20"/>
          <w:lang w:val="en-US"/>
        </w:rPr>
      </w:pPr>
      <w:hyperlink w:anchor="_Toc5009905" w:history="1">
        <w:r w:rsidR="008E6A56" w:rsidRPr="008A3740">
          <w:rPr>
            <w:rStyle w:val="Hipervnculo"/>
            <w:szCs w:val="20"/>
            <w:lang w:val="en-US"/>
          </w:rPr>
          <w:t>G.</w:t>
        </w:r>
        <w:r w:rsidR="008E6A56" w:rsidRPr="008A3740">
          <w:rPr>
            <w:rFonts w:ascii="Verdana" w:eastAsia="Times New Roman" w:hAnsi="Verdana"/>
            <w:sz w:val="20"/>
            <w:szCs w:val="20"/>
            <w:lang w:val="en-US"/>
          </w:rPr>
          <w:tab/>
        </w:r>
        <w:r w:rsidR="00670D3E" w:rsidRPr="008A3740">
          <w:rPr>
            <w:rStyle w:val="Hipervnculo"/>
            <w:szCs w:val="20"/>
            <w:lang w:val="en-US"/>
          </w:rPr>
          <w:t xml:space="preserve">Reimbursement of  costs and </w:t>
        </w:r>
        <w:r w:rsidR="008E6A56" w:rsidRPr="008A3740">
          <w:rPr>
            <w:rStyle w:val="Hipervnculo"/>
            <w:szCs w:val="20"/>
            <w:lang w:val="en-US"/>
          </w:rPr>
          <w:t>expenses to the Victims’ Legal Assistance Fund</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_Toc5009905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70</w:t>
        </w:r>
        <w:r w:rsidR="008E6A56" w:rsidRPr="008A3740">
          <w:rPr>
            <w:rFonts w:ascii="Verdana" w:hAnsi="Verdana"/>
            <w:webHidden/>
            <w:sz w:val="20"/>
            <w:szCs w:val="20"/>
            <w:lang w:val="en-US"/>
          </w:rPr>
          <w:fldChar w:fldCharType="end"/>
        </w:r>
      </w:hyperlink>
    </w:p>
    <w:p w14:paraId="5CC3A6C5" w14:textId="483C44F0" w:rsidR="008E6A56" w:rsidRPr="008A3740" w:rsidRDefault="000C43D3" w:rsidP="008E6A56">
      <w:pPr>
        <w:pStyle w:val="TDC2"/>
        <w:rPr>
          <w:rFonts w:ascii="Verdana" w:eastAsia="Times New Roman" w:hAnsi="Verdana"/>
          <w:sz w:val="20"/>
          <w:szCs w:val="20"/>
          <w:lang w:val="en-US"/>
        </w:rPr>
      </w:pPr>
      <w:hyperlink w:anchor="_Toc5009906" w:history="1">
        <w:r w:rsidR="008E6A56" w:rsidRPr="008A3740">
          <w:rPr>
            <w:rStyle w:val="Hipervnculo"/>
            <w:szCs w:val="20"/>
            <w:lang w:val="en-US"/>
          </w:rPr>
          <w:t>H.</w:t>
        </w:r>
        <w:r w:rsidR="008E6A56" w:rsidRPr="008A3740">
          <w:rPr>
            <w:rFonts w:ascii="Verdana" w:eastAsia="Times New Roman" w:hAnsi="Verdana"/>
            <w:sz w:val="20"/>
            <w:szCs w:val="20"/>
            <w:lang w:val="en-US"/>
          </w:rPr>
          <w:tab/>
        </w:r>
        <w:r w:rsidR="008E6A56" w:rsidRPr="008A3740">
          <w:rPr>
            <w:rStyle w:val="Hipervnculo"/>
            <w:szCs w:val="20"/>
            <w:lang w:val="en-US"/>
          </w:rPr>
          <w:t>Method of compliance with the payments ordered</w:t>
        </w:r>
        <w:r w:rsidR="008E6A56" w:rsidRPr="008A3740">
          <w:rPr>
            <w:rFonts w:ascii="Verdana" w:hAnsi="Verdana"/>
            <w:webHidden/>
            <w:sz w:val="20"/>
            <w:szCs w:val="20"/>
            <w:lang w:val="en-US"/>
          </w:rPr>
          <w:tab/>
        </w:r>
        <w:r w:rsidR="008E6A56" w:rsidRPr="008A3740">
          <w:rPr>
            <w:rFonts w:ascii="Verdana" w:hAnsi="Verdana"/>
            <w:webHidden/>
            <w:sz w:val="20"/>
            <w:szCs w:val="20"/>
            <w:lang w:val="en-US"/>
          </w:rPr>
          <w:fldChar w:fldCharType="begin"/>
        </w:r>
        <w:r w:rsidR="008E6A56" w:rsidRPr="008A3740">
          <w:rPr>
            <w:rFonts w:ascii="Verdana" w:hAnsi="Verdana"/>
            <w:webHidden/>
            <w:sz w:val="20"/>
            <w:szCs w:val="20"/>
            <w:lang w:val="en-US"/>
          </w:rPr>
          <w:instrText xml:space="preserve"> PAGEREF _Toc5009906 \h </w:instrText>
        </w:r>
        <w:r w:rsidR="008E6A56" w:rsidRPr="008A3740">
          <w:rPr>
            <w:rFonts w:ascii="Verdana" w:hAnsi="Verdana"/>
            <w:webHidden/>
            <w:sz w:val="20"/>
            <w:szCs w:val="20"/>
            <w:lang w:val="en-US"/>
          </w:rPr>
        </w:r>
        <w:r w:rsidR="008E6A56" w:rsidRPr="008A3740">
          <w:rPr>
            <w:rFonts w:ascii="Verdana" w:hAnsi="Verdana"/>
            <w:webHidden/>
            <w:sz w:val="20"/>
            <w:szCs w:val="20"/>
            <w:lang w:val="en-US"/>
          </w:rPr>
          <w:fldChar w:fldCharType="separate"/>
        </w:r>
        <w:r w:rsidR="004E4B49">
          <w:rPr>
            <w:rFonts w:ascii="Verdana" w:hAnsi="Verdana"/>
            <w:noProof/>
            <w:webHidden/>
            <w:sz w:val="20"/>
            <w:szCs w:val="20"/>
            <w:lang w:val="en-US"/>
          </w:rPr>
          <w:t>70</w:t>
        </w:r>
        <w:r w:rsidR="008E6A56" w:rsidRPr="008A3740">
          <w:rPr>
            <w:rFonts w:ascii="Verdana" w:hAnsi="Verdana"/>
            <w:webHidden/>
            <w:sz w:val="20"/>
            <w:szCs w:val="20"/>
            <w:lang w:val="en-US"/>
          </w:rPr>
          <w:fldChar w:fldCharType="end"/>
        </w:r>
      </w:hyperlink>
    </w:p>
    <w:p w14:paraId="58E1B546" w14:textId="2B72196F" w:rsidR="008E6A56" w:rsidRPr="008A3740" w:rsidRDefault="000C43D3" w:rsidP="008E6A56">
      <w:pPr>
        <w:pStyle w:val="TDC1"/>
        <w:rPr>
          <w:rFonts w:eastAsia="Times New Roman" w:cs="Times New Roman"/>
          <w:b w:val="0"/>
          <w:caps w:val="0"/>
          <w:noProof w:val="0"/>
          <w:snapToGrid/>
          <w:sz w:val="20"/>
          <w:szCs w:val="20"/>
          <w:lang w:val="en-US"/>
        </w:rPr>
      </w:pPr>
      <w:hyperlink w:anchor="_Toc5009907" w:history="1">
        <w:r w:rsidR="008E6A56" w:rsidRPr="008A3740">
          <w:rPr>
            <w:rStyle w:val="Hipervnculo"/>
            <w:noProof w:val="0"/>
            <w:spacing w:val="-4"/>
            <w:szCs w:val="20"/>
            <w:lang w:val="en-US"/>
          </w:rPr>
          <w:t>IX OPERATIVE PARAGRAPHS</w:t>
        </w:r>
        <w:r w:rsidR="008E6A56" w:rsidRPr="008A3740">
          <w:rPr>
            <w:noProof w:val="0"/>
            <w:webHidden/>
            <w:sz w:val="20"/>
            <w:szCs w:val="20"/>
            <w:lang w:val="en-US"/>
          </w:rPr>
          <w:tab/>
        </w:r>
        <w:r w:rsidR="008E6A56" w:rsidRPr="008A3740">
          <w:rPr>
            <w:noProof w:val="0"/>
            <w:webHidden/>
            <w:sz w:val="20"/>
            <w:szCs w:val="20"/>
            <w:lang w:val="en-US"/>
          </w:rPr>
          <w:fldChar w:fldCharType="begin"/>
        </w:r>
        <w:r w:rsidR="008E6A56" w:rsidRPr="008A3740">
          <w:rPr>
            <w:noProof w:val="0"/>
            <w:webHidden/>
            <w:sz w:val="20"/>
            <w:szCs w:val="20"/>
            <w:lang w:val="en-US"/>
          </w:rPr>
          <w:instrText xml:space="preserve"> PAGEREF _Toc5009907 \h </w:instrText>
        </w:r>
        <w:r w:rsidR="008E6A56" w:rsidRPr="008A3740">
          <w:rPr>
            <w:noProof w:val="0"/>
            <w:webHidden/>
            <w:sz w:val="20"/>
            <w:szCs w:val="20"/>
            <w:lang w:val="en-US"/>
          </w:rPr>
        </w:r>
        <w:r w:rsidR="008E6A56" w:rsidRPr="008A3740">
          <w:rPr>
            <w:noProof w:val="0"/>
            <w:webHidden/>
            <w:sz w:val="20"/>
            <w:szCs w:val="20"/>
            <w:lang w:val="en-US"/>
          </w:rPr>
          <w:fldChar w:fldCharType="separate"/>
        </w:r>
        <w:r w:rsidR="004E4B49">
          <w:rPr>
            <w:webHidden/>
            <w:sz w:val="20"/>
            <w:szCs w:val="20"/>
            <w:lang w:val="en-US"/>
          </w:rPr>
          <w:t>71</w:t>
        </w:r>
        <w:r w:rsidR="008E6A56" w:rsidRPr="008A3740">
          <w:rPr>
            <w:noProof w:val="0"/>
            <w:webHidden/>
            <w:sz w:val="20"/>
            <w:szCs w:val="20"/>
            <w:lang w:val="en-US"/>
          </w:rPr>
          <w:fldChar w:fldCharType="end"/>
        </w:r>
      </w:hyperlink>
    </w:p>
    <w:p w14:paraId="65F412DF" w14:textId="77777777" w:rsidR="008E6A56" w:rsidRPr="008A3740" w:rsidRDefault="008E6A56" w:rsidP="008E6A56">
      <w:pPr>
        <w:rPr>
          <w:rFonts w:ascii="Verdana" w:hAnsi="Verdana"/>
          <w:sz w:val="20"/>
          <w:szCs w:val="20"/>
          <w:lang w:val="en-US"/>
        </w:rPr>
      </w:pPr>
      <w:r w:rsidRPr="008A3740">
        <w:rPr>
          <w:rFonts w:ascii="Verdana" w:hAnsi="Verdana"/>
          <w:b/>
          <w:bCs/>
          <w:sz w:val="20"/>
          <w:szCs w:val="20"/>
          <w:lang w:val="en-US"/>
        </w:rPr>
        <w:fldChar w:fldCharType="end"/>
      </w:r>
    </w:p>
    <w:p w14:paraId="5F84EA0C" w14:textId="77777777" w:rsidR="008E6A56" w:rsidRPr="008A3740" w:rsidRDefault="008E6A56" w:rsidP="008E6A56">
      <w:pPr>
        <w:pStyle w:val="Ttulo"/>
        <w:rPr>
          <w:lang w:val="en-US"/>
        </w:rPr>
      </w:pPr>
      <w:bookmarkStart w:id="0" w:name="_Toc390328152"/>
      <w:bookmarkStart w:id="1" w:name="_Toc498333468"/>
    </w:p>
    <w:p w14:paraId="0913C3ED" w14:textId="77777777" w:rsidR="008E6A56" w:rsidRPr="008A3740" w:rsidRDefault="008E6A56" w:rsidP="008E6A56">
      <w:pPr>
        <w:widowControl/>
        <w:adjustRightInd/>
        <w:spacing w:after="200" w:line="276" w:lineRule="auto"/>
        <w:jc w:val="left"/>
        <w:textAlignment w:val="auto"/>
        <w:rPr>
          <w:rFonts w:ascii="Verdana" w:eastAsia="Times New Roman" w:hAnsi="Verdana" w:cs="Verdana"/>
          <w:b/>
          <w:bCs/>
          <w:caps/>
          <w:snapToGrid w:val="0"/>
          <w:sz w:val="20"/>
          <w:szCs w:val="20"/>
          <w:lang w:val="en-US"/>
        </w:rPr>
      </w:pPr>
      <w:r w:rsidRPr="008A3740">
        <w:rPr>
          <w:rFonts w:ascii="Verdana" w:hAnsi="Verdana"/>
          <w:sz w:val="20"/>
          <w:szCs w:val="20"/>
          <w:lang w:val="en-US"/>
        </w:rPr>
        <w:br w:type="page"/>
      </w:r>
    </w:p>
    <w:p w14:paraId="56500E59" w14:textId="77777777" w:rsidR="008E6A56" w:rsidRPr="008A3740" w:rsidRDefault="008E6A56" w:rsidP="008E6A56">
      <w:pPr>
        <w:pStyle w:val="Ttulo"/>
        <w:rPr>
          <w:lang w:val="en-US"/>
        </w:rPr>
      </w:pPr>
    </w:p>
    <w:p w14:paraId="58434F76" w14:textId="77777777" w:rsidR="008E6A56" w:rsidRPr="008A3740" w:rsidRDefault="008E6A56" w:rsidP="008E6A56">
      <w:pPr>
        <w:pStyle w:val="Ttulo"/>
        <w:rPr>
          <w:lang w:val="en-US"/>
        </w:rPr>
      </w:pPr>
      <w:bookmarkStart w:id="2" w:name="_Toc5009855"/>
      <w:r w:rsidRPr="008A3740">
        <w:rPr>
          <w:lang w:val="en-US"/>
        </w:rPr>
        <w:t>I</w:t>
      </w:r>
      <w:r w:rsidRPr="008A3740">
        <w:rPr>
          <w:lang w:val="en-US"/>
        </w:rPr>
        <w:br/>
      </w:r>
      <w:bookmarkEnd w:id="0"/>
      <w:r w:rsidR="00DF1B67" w:rsidRPr="008A3740">
        <w:rPr>
          <w:lang w:val="en-US"/>
        </w:rPr>
        <w:t xml:space="preserve">INTRODUCTION </w:t>
      </w:r>
      <w:r w:rsidRPr="008A3740">
        <w:rPr>
          <w:lang w:val="en-US"/>
        </w:rPr>
        <w:t>O</w:t>
      </w:r>
      <w:r w:rsidR="00DF1B67" w:rsidRPr="008A3740">
        <w:rPr>
          <w:lang w:val="en-US"/>
        </w:rPr>
        <w:t>F</w:t>
      </w:r>
      <w:r w:rsidRPr="008A3740">
        <w:rPr>
          <w:lang w:val="en-US"/>
        </w:rPr>
        <w:t xml:space="preserve"> THE CASE AND PURPOSE OF THE DISPUTE </w:t>
      </w:r>
      <w:bookmarkEnd w:id="1"/>
      <w:bookmarkEnd w:id="2"/>
    </w:p>
    <w:p w14:paraId="294C479F"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eastAsia="Verdana" w:hAnsi="Verdana" w:cs="Verdana"/>
          <w:i/>
          <w:sz w:val="20"/>
          <w:szCs w:val="20"/>
          <w:lang w:val="en-US"/>
        </w:rPr>
        <w:t xml:space="preserve">The case submitted to the Court. – </w:t>
      </w:r>
      <w:r w:rsidRPr="008A3740">
        <w:rPr>
          <w:rFonts w:ascii="Verdana" w:hAnsi="Verdana"/>
          <w:sz w:val="20"/>
          <w:szCs w:val="20"/>
          <w:lang w:val="en-US"/>
        </w:rPr>
        <w:t>On July 13, 2017</w:t>
      </w:r>
      <w:r w:rsidR="00E845BC" w:rsidRPr="008A3740">
        <w:rPr>
          <w:rFonts w:ascii="Verdana" w:hAnsi="Verdana"/>
          <w:sz w:val="20"/>
          <w:szCs w:val="20"/>
          <w:lang w:val="en-US"/>
        </w:rPr>
        <w:t>,</w:t>
      </w:r>
      <w:r w:rsidRPr="008A3740">
        <w:rPr>
          <w:rFonts w:ascii="Verdana" w:hAnsi="Verdana"/>
          <w:sz w:val="20"/>
          <w:szCs w:val="20"/>
          <w:lang w:val="en-US"/>
        </w:rPr>
        <w:t xml:space="preserve"> the Inter-American Commissi</w:t>
      </w:r>
      <w:r w:rsidR="00E845BC" w:rsidRPr="008A3740">
        <w:rPr>
          <w:rFonts w:ascii="Verdana" w:hAnsi="Verdana"/>
          <w:sz w:val="20"/>
          <w:szCs w:val="20"/>
          <w:lang w:val="en-US"/>
        </w:rPr>
        <w:t xml:space="preserve">on on Human Rights (hereinafter </w:t>
      </w:r>
      <w:r w:rsidRPr="008A3740">
        <w:rPr>
          <w:rFonts w:ascii="Verdana" w:hAnsi="Verdana"/>
          <w:sz w:val="20"/>
          <w:szCs w:val="20"/>
          <w:lang w:val="en-US"/>
        </w:rPr>
        <w:t>“the Inter-American Commission” or “</w:t>
      </w:r>
      <w:r w:rsidR="00E845BC" w:rsidRPr="008A3740">
        <w:rPr>
          <w:rFonts w:ascii="Verdana" w:hAnsi="Verdana"/>
          <w:sz w:val="20"/>
          <w:szCs w:val="20"/>
          <w:lang w:val="en-US"/>
        </w:rPr>
        <w:t xml:space="preserve">the Commission”) submitted to </w:t>
      </w:r>
      <w:r w:rsidRPr="008A3740">
        <w:rPr>
          <w:rFonts w:ascii="Verdana" w:hAnsi="Verdana"/>
          <w:sz w:val="20"/>
          <w:szCs w:val="20"/>
          <w:lang w:val="en-US"/>
        </w:rPr>
        <w:t xml:space="preserve">the jurisdiction of the Court the case of </w:t>
      </w:r>
      <w:r w:rsidRPr="008A3740">
        <w:rPr>
          <w:rFonts w:ascii="Verdana" w:hAnsi="Verdana"/>
          <w:i/>
          <w:sz w:val="20"/>
          <w:szCs w:val="20"/>
          <w:lang w:val="en-US"/>
        </w:rPr>
        <w:t xml:space="preserve">Muelle Flores </w:t>
      </w:r>
      <w:r w:rsidRPr="008A3740">
        <w:rPr>
          <w:rFonts w:ascii="Verdana" w:hAnsi="Verdana"/>
          <w:sz w:val="20"/>
          <w:szCs w:val="20"/>
          <w:lang w:val="en-US"/>
        </w:rPr>
        <w:t xml:space="preserve">against the Republic of Peru (hereinafter “the State” or “Peru”). According to the Commission, the case concerns </w:t>
      </w:r>
      <w:r w:rsidRPr="008A3740">
        <w:rPr>
          <w:rFonts w:ascii="Verdana" w:hAnsi="Verdana" w:cs="Arial"/>
          <w:sz w:val="20"/>
          <w:szCs w:val="20"/>
          <w:lang w:val="en-US"/>
        </w:rPr>
        <w:t xml:space="preserve">the alleged violation of the right to effective judicial protection as a consequence of the </w:t>
      </w:r>
      <w:r w:rsidR="00E845BC" w:rsidRPr="008A3740">
        <w:rPr>
          <w:rFonts w:ascii="Verdana" w:hAnsi="Verdana" w:cs="Arial"/>
          <w:sz w:val="20"/>
          <w:szCs w:val="20"/>
          <w:lang w:val="en-US"/>
        </w:rPr>
        <w:t xml:space="preserve">State’s </w:t>
      </w:r>
      <w:r w:rsidR="00612446" w:rsidRPr="008A3740">
        <w:rPr>
          <w:rFonts w:ascii="Verdana" w:hAnsi="Verdana" w:cs="Arial"/>
          <w:sz w:val="20"/>
          <w:szCs w:val="20"/>
          <w:lang w:val="en-US"/>
        </w:rPr>
        <w:t>failure to comply</w:t>
      </w:r>
      <w:r w:rsidRPr="008A3740">
        <w:rPr>
          <w:rFonts w:ascii="Verdana" w:hAnsi="Verdana" w:cs="Arial"/>
          <w:sz w:val="20"/>
          <w:szCs w:val="20"/>
          <w:lang w:val="en-US"/>
        </w:rPr>
        <w:t xml:space="preserve">, during </w:t>
      </w:r>
      <w:r w:rsidRPr="008A3740">
        <w:rPr>
          <w:rFonts w:ascii="Verdana" w:hAnsi="Verdana"/>
          <w:sz w:val="20"/>
          <w:szCs w:val="20"/>
          <w:lang w:val="en-US"/>
        </w:rPr>
        <w:t xml:space="preserve">24 </w:t>
      </w:r>
      <w:r w:rsidRPr="008A3740">
        <w:rPr>
          <w:rFonts w:ascii="Verdana" w:hAnsi="Verdana" w:cs="Arial"/>
          <w:sz w:val="20"/>
          <w:szCs w:val="20"/>
          <w:lang w:val="en-US"/>
        </w:rPr>
        <w:t xml:space="preserve">years, </w:t>
      </w:r>
      <w:r w:rsidR="00E845BC" w:rsidRPr="008A3740">
        <w:rPr>
          <w:rFonts w:ascii="Verdana" w:hAnsi="Verdana" w:cs="Arial"/>
          <w:sz w:val="20"/>
          <w:szCs w:val="20"/>
          <w:lang w:val="en-US"/>
        </w:rPr>
        <w:t xml:space="preserve">with </w:t>
      </w:r>
      <w:r w:rsidRPr="008A3740">
        <w:rPr>
          <w:rFonts w:ascii="Verdana" w:hAnsi="Verdana" w:cs="Arial"/>
          <w:sz w:val="20"/>
          <w:szCs w:val="20"/>
          <w:lang w:val="en-US"/>
        </w:rPr>
        <w:t xml:space="preserve">a judgment </w:t>
      </w:r>
      <w:r w:rsidR="00E845BC" w:rsidRPr="008A3740">
        <w:rPr>
          <w:rFonts w:ascii="Verdana" w:hAnsi="Verdana" w:cs="Arial"/>
          <w:sz w:val="20"/>
          <w:szCs w:val="20"/>
          <w:lang w:val="en-US"/>
        </w:rPr>
        <w:t xml:space="preserve">issued </w:t>
      </w:r>
      <w:r w:rsidRPr="008A3740">
        <w:rPr>
          <w:rFonts w:ascii="Verdana" w:hAnsi="Verdana" w:cs="Arial"/>
          <w:sz w:val="20"/>
          <w:szCs w:val="20"/>
          <w:lang w:val="en-US"/>
        </w:rPr>
        <w:t>in favor of Mr. Muelle Flores</w:t>
      </w:r>
      <w:r w:rsidR="00E845BC" w:rsidRPr="008A3740">
        <w:rPr>
          <w:rFonts w:ascii="Verdana" w:hAnsi="Verdana" w:cs="Arial"/>
          <w:sz w:val="20"/>
          <w:szCs w:val="20"/>
          <w:lang w:val="en-US"/>
        </w:rPr>
        <w:t>,</w:t>
      </w:r>
      <w:r w:rsidRPr="008A3740">
        <w:rPr>
          <w:rFonts w:ascii="Verdana" w:hAnsi="Verdana" w:cs="Arial"/>
          <w:sz w:val="20"/>
          <w:szCs w:val="20"/>
          <w:lang w:val="en-US"/>
        </w:rPr>
        <w:t xml:space="preserve"> in the context of a</w:t>
      </w:r>
      <w:r w:rsidR="00CD4B5A" w:rsidRPr="008A3740">
        <w:rPr>
          <w:rFonts w:ascii="Verdana" w:hAnsi="Verdana" w:cs="Arial"/>
          <w:sz w:val="20"/>
          <w:szCs w:val="20"/>
          <w:lang w:val="en-US"/>
        </w:rPr>
        <w:t>n application for</w:t>
      </w:r>
      <w:r w:rsidRPr="008A3740">
        <w:rPr>
          <w:rFonts w:ascii="Verdana" w:hAnsi="Verdana" w:cs="Arial"/>
          <w:sz w:val="20"/>
          <w:szCs w:val="20"/>
          <w:lang w:val="en-US"/>
        </w:rPr>
        <w:t xml:space="preserve"> </w:t>
      </w:r>
      <w:r w:rsidRPr="008A3740">
        <w:rPr>
          <w:rFonts w:ascii="Verdana" w:hAnsi="Verdana" w:cs="Arial"/>
          <w:i/>
          <w:sz w:val="20"/>
          <w:szCs w:val="20"/>
          <w:lang w:val="en-US"/>
        </w:rPr>
        <w:t>amparo</w:t>
      </w:r>
      <w:r w:rsidR="00E845BC" w:rsidRPr="008A3740">
        <w:rPr>
          <w:rFonts w:ascii="Verdana" w:hAnsi="Verdana" w:cs="Arial"/>
          <w:sz w:val="20"/>
          <w:szCs w:val="20"/>
          <w:lang w:val="en-US"/>
        </w:rPr>
        <w:t>,</w:t>
      </w:r>
      <w:r w:rsidRPr="008A3740">
        <w:rPr>
          <w:rFonts w:ascii="Verdana" w:hAnsi="Verdana" w:cs="Arial"/>
          <w:sz w:val="20"/>
          <w:szCs w:val="20"/>
          <w:lang w:val="en-US"/>
        </w:rPr>
        <w:t xml:space="preserve"> which ordered his rein</w:t>
      </w:r>
      <w:r w:rsidR="00E845BC" w:rsidRPr="008A3740">
        <w:rPr>
          <w:rFonts w:ascii="Verdana" w:hAnsi="Verdana" w:cs="Arial"/>
          <w:sz w:val="20"/>
          <w:szCs w:val="20"/>
          <w:lang w:val="en-US"/>
        </w:rPr>
        <w:t xml:space="preserve">statement in a </w:t>
      </w:r>
      <w:r w:rsidRPr="008A3740">
        <w:rPr>
          <w:rFonts w:ascii="Verdana" w:hAnsi="Verdana" w:cs="Arial"/>
          <w:sz w:val="20"/>
          <w:szCs w:val="20"/>
          <w:lang w:val="en-US"/>
        </w:rPr>
        <w:t xml:space="preserve">pension scheme </w:t>
      </w:r>
      <w:r w:rsidR="00E845BC" w:rsidRPr="008A3740">
        <w:rPr>
          <w:rFonts w:ascii="Verdana" w:hAnsi="Verdana" w:cs="Arial"/>
          <w:sz w:val="20"/>
          <w:szCs w:val="20"/>
          <w:lang w:val="en-US"/>
        </w:rPr>
        <w:t xml:space="preserve">implemented under </w:t>
      </w:r>
      <w:r w:rsidRPr="008A3740">
        <w:rPr>
          <w:rFonts w:ascii="Verdana" w:hAnsi="Verdana" w:cs="Arial"/>
          <w:sz w:val="20"/>
          <w:szCs w:val="20"/>
          <w:lang w:val="en-US"/>
        </w:rPr>
        <w:t xml:space="preserve">Decree Law </w:t>
      </w:r>
      <w:r w:rsidRPr="008A3740">
        <w:rPr>
          <w:rFonts w:ascii="Verdana" w:hAnsi="Verdana"/>
          <w:sz w:val="20"/>
          <w:szCs w:val="20"/>
          <w:lang w:val="en-US"/>
        </w:rPr>
        <w:t xml:space="preserve">N° 20530. </w:t>
      </w:r>
      <w:r w:rsidRPr="008A3740">
        <w:rPr>
          <w:rFonts w:ascii="Verdana" w:hAnsi="Verdana" w:cs="Arial"/>
          <w:sz w:val="20"/>
          <w:szCs w:val="20"/>
          <w:lang w:val="en-US"/>
        </w:rPr>
        <w:t xml:space="preserve">The Commission determined that the State of Peru was internationally responsible, </w:t>
      </w:r>
      <w:r w:rsidR="00612446" w:rsidRPr="008A3740">
        <w:rPr>
          <w:rFonts w:ascii="Verdana" w:hAnsi="Verdana" w:cs="Arial"/>
          <w:sz w:val="20"/>
          <w:szCs w:val="20"/>
          <w:lang w:val="en-US"/>
        </w:rPr>
        <w:t>in the first place</w:t>
      </w:r>
      <w:r w:rsidR="00E845BC" w:rsidRPr="008A3740">
        <w:rPr>
          <w:rFonts w:ascii="Verdana" w:hAnsi="Verdana" w:cs="Arial"/>
          <w:sz w:val="20"/>
          <w:szCs w:val="20"/>
          <w:lang w:val="en-US"/>
        </w:rPr>
        <w:t xml:space="preserve">, </w:t>
      </w:r>
      <w:r w:rsidRPr="008A3740">
        <w:rPr>
          <w:rFonts w:ascii="Verdana" w:hAnsi="Verdana" w:cs="Arial"/>
          <w:sz w:val="20"/>
          <w:szCs w:val="20"/>
          <w:lang w:val="en-US"/>
        </w:rPr>
        <w:t xml:space="preserve">because its own authorities </w:t>
      </w:r>
      <w:r w:rsidR="004C2591" w:rsidRPr="008A3740">
        <w:rPr>
          <w:rFonts w:ascii="Verdana" w:hAnsi="Verdana" w:cs="Arial"/>
          <w:sz w:val="20"/>
          <w:szCs w:val="20"/>
          <w:lang w:val="en-US"/>
        </w:rPr>
        <w:t>failed to e</w:t>
      </w:r>
      <w:r w:rsidR="00CD4B5A" w:rsidRPr="008A3740">
        <w:rPr>
          <w:rFonts w:ascii="Verdana" w:hAnsi="Verdana" w:cs="Arial"/>
          <w:sz w:val="20"/>
          <w:szCs w:val="20"/>
          <w:lang w:val="en-US"/>
        </w:rPr>
        <w:t>xecute a</w:t>
      </w:r>
      <w:r w:rsidRPr="008A3740">
        <w:rPr>
          <w:rFonts w:ascii="Verdana" w:hAnsi="Verdana" w:cs="Arial"/>
          <w:sz w:val="20"/>
          <w:szCs w:val="20"/>
          <w:lang w:val="en-US"/>
        </w:rPr>
        <w:t xml:space="preserve"> judicial ruling </w:t>
      </w:r>
      <w:r w:rsidR="00E845BC" w:rsidRPr="008A3740">
        <w:rPr>
          <w:rFonts w:ascii="Verdana" w:hAnsi="Verdana" w:cs="Arial"/>
          <w:sz w:val="20"/>
          <w:szCs w:val="20"/>
          <w:lang w:val="en-US"/>
        </w:rPr>
        <w:t xml:space="preserve">favorable to Mr. Muelle and, </w:t>
      </w:r>
      <w:r w:rsidRPr="008A3740">
        <w:rPr>
          <w:rFonts w:ascii="Verdana" w:hAnsi="Verdana" w:cs="Arial"/>
          <w:sz w:val="20"/>
          <w:szCs w:val="20"/>
          <w:lang w:val="en-US"/>
        </w:rPr>
        <w:t>second</w:t>
      </w:r>
      <w:r w:rsidR="00E845BC" w:rsidRPr="008A3740">
        <w:rPr>
          <w:rFonts w:ascii="Verdana" w:hAnsi="Verdana" w:cs="Arial"/>
          <w:sz w:val="20"/>
          <w:szCs w:val="20"/>
          <w:lang w:val="en-US"/>
        </w:rPr>
        <w:t>ly</w:t>
      </w:r>
      <w:r w:rsidRPr="008A3740">
        <w:rPr>
          <w:rFonts w:ascii="Verdana" w:hAnsi="Verdana" w:cs="Arial"/>
          <w:sz w:val="20"/>
          <w:szCs w:val="20"/>
          <w:lang w:val="en-US"/>
        </w:rPr>
        <w:t xml:space="preserve">, </w:t>
      </w:r>
      <w:r w:rsidR="00CD4B5A" w:rsidRPr="008A3740">
        <w:rPr>
          <w:rFonts w:ascii="Verdana" w:hAnsi="Verdana" w:cs="Arial"/>
          <w:sz w:val="20"/>
          <w:szCs w:val="20"/>
          <w:lang w:val="en-US"/>
        </w:rPr>
        <w:t xml:space="preserve">owing </w:t>
      </w:r>
      <w:r w:rsidRPr="008A3740">
        <w:rPr>
          <w:rFonts w:ascii="Verdana" w:hAnsi="Verdana" w:cs="Arial"/>
          <w:sz w:val="20"/>
          <w:szCs w:val="20"/>
          <w:lang w:val="en-US"/>
        </w:rPr>
        <w:t xml:space="preserve">to the ineffectiveness of the judicial mechanisms subsequently </w:t>
      </w:r>
      <w:r w:rsidR="00E845BC" w:rsidRPr="008A3740">
        <w:rPr>
          <w:rFonts w:ascii="Verdana" w:hAnsi="Verdana" w:cs="Arial"/>
          <w:sz w:val="20"/>
          <w:szCs w:val="20"/>
          <w:lang w:val="en-US"/>
        </w:rPr>
        <w:t xml:space="preserve">activated </w:t>
      </w:r>
      <w:r w:rsidRPr="008A3740">
        <w:rPr>
          <w:rFonts w:ascii="Verdana" w:hAnsi="Verdana" w:cs="Arial"/>
          <w:sz w:val="20"/>
          <w:szCs w:val="20"/>
          <w:lang w:val="en-US"/>
        </w:rPr>
        <w:t xml:space="preserve">to achieve that compliance. </w:t>
      </w:r>
      <w:r w:rsidR="00C85301" w:rsidRPr="008A3740">
        <w:rPr>
          <w:rFonts w:ascii="Verdana" w:hAnsi="Verdana" w:cs="Arial"/>
          <w:sz w:val="20"/>
          <w:szCs w:val="20"/>
          <w:lang w:val="en-US"/>
        </w:rPr>
        <w:t xml:space="preserve">The </w:t>
      </w:r>
      <w:r w:rsidRPr="008A3740">
        <w:rPr>
          <w:rFonts w:ascii="Verdana" w:hAnsi="Verdana" w:cs="Arial"/>
          <w:sz w:val="20"/>
          <w:szCs w:val="20"/>
          <w:lang w:val="en-US"/>
        </w:rPr>
        <w:t xml:space="preserve">Commission </w:t>
      </w:r>
      <w:r w:rsidR="00C85301" w:rsidRPr="008A3740">
        <w:rPr>
          <w:rFonts w:ascii="Verdana" w:hAnsi="Verdana" w:cs="Arial"/>
          <w:sz w:val="20"/>
          <w:szCs w:val="20"/>
          <w:lang w:val="en-US"/>
        </w:rPr>
        <w:t xml:space="preserve">also </w:t>
      </w:r>
      <w:r w:rsidRPr="008A3740">
        <w:rPr>
          <w:rFonts w:ascii="Verdana" w:hAnsi="Verdana" w:cs="Arial"/>
          <w:sz w:val="20"/>
          <w:szCs w:val="20"/>
          <w:lang w:val="en-US"/>
        </w:rPr>
        <w:t xml:space="preserve">declared that the facts of the instant case constituted a violation of the guarantee of </w:t>
      </w:r>
      <w:r w:rsidR="005E5FED" w:rsidRPr="008A3740">
        <w:rPr>
          <w:rFonts w:ascii="Verdana" w:hAnsi="Verdana" w:cs="Arial"/>
          <w:sz w:val="20"/>
          <w:szCs w:val="20"/>
          <w:lang w:val="en-US"/>
        </w:rPr>
        <w:t>reasonable time</w:t>
      </w:r>
      <w:r w:rsidRPr="008A3740">
        <w:rPr>
          <w:rFonts w:ascii="Verdana" w:hAnsi="Verdana" w:cs="Arial"/>
          <w:sz w:val="20"/>
          <w:szCs w:val="20"/>
          <w:lang w:val="en-US"/>
        </w:rPr>
        <w:t xml:space="preserve"> and the right to property, </w:t>
      </w:r>
      <w:r w:rsidR="00C85301" w:rsidRPr="008A3740">
        <w:rPr>
          <w:rFonts w:ascii="Verdana" w:hAnsi="Verdana" w:cs="Arial"/>
          <w:sz w:val="20"/>
          <w:szCs w:val="20"/>
          <w:lang w:val="en-US"/>
        </w:rPr>
        <w:t xml:space="preserve">given that </w:t>
      </w:r>
      <w:r w:rsidRPr="008A3740">
        <w:rPr>
          <w:rFonts w:ascii="Verdana" w:hAnsi="Verdana" w:cs="Arial"/>
          <w:sz w:val="20"/>
          <w:szCs w:val="20"/>
          <w:lang w:val="en-US"/>
        </w:rPr>
        <w:t>the equalized pe</w:t>
      </w:r>
      <w:r w:rsidR="00C85301" w:rsidRPr="008A3740">
        <w:rPr>
          <w:rFonts w:ascii="Verdana" w:hAnsi="Verdana" w:cs="Arial"/>
          <w:sz w:val="20"/>
          <w:szCs w:val="20"/>
          <w:lang w:val="en-US"/>
        </w:rPr>
        <w:t>nsion</w:t>
      </w:r>
      <w:r w:rsidRPr="008A3740">
        <w:rPr>
          <w:rFonts w:ascii="Verdana" w:hAnsi="Verdana" w:cs="Arial"/>
          <w:sz w:val="20"/>
          <w:szCs w:val="20"/>
          <w:lang w:val="en-US"/>
        </w:rPr>
        <w:t xml:space="preserve"> </w:t>
      </w:r>
      <w:r w:rsidR="00C85301" w:rsidRPr="008A3740">
        <w:rPr>
          <w:rFonts w:ascii="Verdana" w:hAnsi="Verdana" w:cs="Arial"/>
          <w:sz w:val="20"/>
          <w:szCs w:val="20"/>
          <w:lang w:val="en-US"/>
        </w:rPr>
        <w:t xml:space="preserve">to </w:t>
      </w:r>
      <w:r w:rsidR="00597EE2" w:rsidRPr="008A3740">
        <w:rPr>
          <w:rFonts w:ascii="Verdana" w:hAnsi="Verdana" w:cs="Arial"/>
          <w:sz w:val="20"/>
          <w:szCs w:val="20"/>
          <w:lang w:val="en-US"/>
        </w:rPr>
        <w:t xml:space="preserve">which </w:t>
      </w:r>
      <w:r w:rsidR="00C85301" w:rsidRPr="008A3740">
        <w:rPr>
          <w:rFonts w:ascii="Verdana" w:hAnsi="Verdana" w:cs="Arial"/>
          <w:sz w:val="20"/>
          <w:szCs w:val="20"/>
          <w:lang w:val="en-US"/>
        </w:rPr>
        <w:t xml:space="preserve">Mr. Muelle Flores </w:t>
      </w:r>
      <w:r w:rsidR="00597EE2" w:rsidRPr="008A3740">
        <w:rPr>
          <w:rFonts w:ascii="Verdana" w:hAnsi="Verdana" w:cs="Arial"/>
          <w:sz w:val="20"/>
          <w:szCs w:val="20"/>
          <w:lang w:val="en-US"/>
        </w:rPr>
        <w:t xml:space="preserve">was entitled </w:t>
      </w:r>
      <w:r w:rsidR="00E845BC" w:rsidRPr="008A3740">
        <w:rPr>
          <w:rFonts w:ascii="Verdana" w:hAnsi="Verdana" w:cs="Arial"/>
          <w:sz w:val="20"/>
          <w:szCs w:val="20"/>
          <w:lang w:val="en-US"/>
        </w:rPr>
        <w:t xml:space="preserve">under </w:t>
      </w:r>
      <w:r w:rsidR="00C85301" w:rsidRPr="008A3740">
        <w:rPr>
          <w:rFonts w:ascii="Verdana" w:hAnsi="Verdana" w:cs="Arial"/>
          <w:sz w:val="20"/>
          <w:szCs w:val="20"/>
          <w:lang w:val="en-US"/>
        </w:rPr>
        <w:t>the said Decree</w:t>
      </w:r>
      <w:r w:rsidRPr="008A3740">
        <w:rPr>
          <w:rFonts w:ascii="Verdana" w:hAnsi="Verdana" w:cs="Arial"/>
          <w:sz w:val="20"/>
          <w:szCs w:val="20"/>
          <w:lang w:val="en-US"/>
        </w:rPr>
        <w:t xml:space="preserve"> </w:t>
      </w:r>
      <w:r w:rsidR="00597EE2" w:rsidRPr="008A3740">
        <w:rPr>
          <w:rFonts w:ascii="Verdana" w:hAnsi="Verdana" w:cs="Arial"/>
          <w:sz w:val="20"/>
          <w:szCs w:val="20"/>
          <w:lang w:val="en-US"/>
        </w:rPr>
        <w:t xml:space="preserve">became </w:t>
      </w:r>
      <w:r w:rsidRPr="008A3740">
        <w:rPr>
          <w:rFonts w:ascii="Verdana" w:hAnsi="Verdana" w:cs="Arial"/>
          <w:sz w:val="20"/>
          <w:szCs w:val="20"/>
          <w:lang w:val="en-US"/>
        </w:rPr>
        <w:t xml:space="preserve">part of </w:t>
      </w:r>
      <w:r w:rsidR="00C85301" w:rsidRPr="008A3740">
        <w:rPr>
          <w:rFonts w:ascii="Verdana" w:hAnsi="Verdana" w:cs="Arial"/>
          <w:sz w:val="20"/>
          <w:szCs w:val="20"/>
          <w:lang w:val="en-US"/>
        </w:rPr>
        <w:t xml:space="preserve">his </w:t>
      </w:r>
      <w:r w:rsidRPr="008A3740">
        <w:rPr>
          <w:rFonts w:ascii="Verdana" w:hAnsi="Verdana" w:cs="Arial"/>
          <w:sz w:val="20"/>
          <w:szCs w:val="20"/>
          <w:lang w:val="en-US"/>
        </w:rPr>
        <w:t>p</w:t>
      </w:r>
      <w:r w:rsidR="00597EE2" w:rsidRPr="008A3740">
        <w:rPr>
          <w:rFonts w:ascii="Verdana" w:hAnsi="Verdana" w:cs="Arial"/>
          <w:sz w:val="20"/>
          <w:szCs w:val="20"/>
          <w:lang w:val="en-US"/>
        </w:rPr>
        <w:t>roperty</w:t>
      </w:r>
      <w:r w:rsidR="00C85301" w:rsidRPr="008A3740">
        <w:rPr>
          <w:rFonts w:ascii="Verdana" w:hAnsi="Verdana" w:cs="Arial"/>
          <w:sz w:val="20"/>
          <w:szCs w:val="20"/>
          <w:lang w:val="en-US"/>
        </w:rPr>
        <w:t>,</w:t>
      </w:r>
      <w:r w:rsidRPr="008A3740">
        <w:rPr>
          <w:rFonts w:ascii="Verdana" w:hAnsi="Verdana" w:cs="Arial"/>
          <w:sz w:val="20"/>
          <w:szCs w:val="20"/>
          <w:lang w:val="en-US"/>
        </w:rPr>
        <w:t xml:space="preserve"> </w:t>
      </w:r>
      <w:r w:rsidR="00612446" w:rsidRPr="008A3740">
        <w:rPr>
          <w:rFonts w:ascii="Verdana" w:hAnsi="Verdana" w:cs="Arial"/>
          <w:sz w:val="20"/>
          <w:szCs w:val="20"/>
          <w:lang w:val="en-US"/>
        </w:rPr>
        <w:t>in accordance with the favorable judicial decision, and yet he was unable to enjoy that right</w:t>
      </w:r>
      <w:r w:rsidR="00597EE2" w:rsidRPr="008A3740">
        <w:rPr>
          <w:rFonts w:ascii="Verdana" w:hAnsi="Verdana" w:cs="Arial"/>
          <w:sz w:val="20"/>
          <w:szCs w:val="20"/>
          <w:lang w:val="en-US"/>
        </w:rPr>
        <w:t xml:space="preserve">. </w:t>
      </w:r>
    </w:p>
    <w:p w14:paraId="6E646BDC" w14:textId="77777777" w:rsidR="008E6A56" w:rsidRPr="008A3740" w:rsidRDefault="008E6A56" w:rsidP="008E6A56">
      <w:pPr>
        <w:tabs>
          <w:tab w:val="left" w:pos="567"/>
        </w:tabs>
        <w:rPr>
          <w:rFonts w:ascii="Verdana" w:hAnsi="Verdana" w:cs="Arial"/>
          <w:sz w:val="20"/>
          <w:szCs w:val="20"/>
          <w:lang w:val="en-US"/>
        </w:rPr>
      </w:pPr>
    </w:p>
    <w:p w14:paraId="1D8AD39B"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i/>
          <w:sz w:val="20"/>
          <w:szCs w:val="20"/>
          <w:lang w:val="en-US"/>
        </w:rPr>
        <w:t>Proceeding</w:t>
      </w:r>
      <w:r w:rsidR="00597EE2" w:rsidRPr="008A3740">
        <w:rPr>
          <w:rFonts w:ascii="Verdana" w:hAnsi="Verdana"/>
          <w:i/>
          <w:sz w:val="20"/>
          <w:szCs w:val="20"/>
          <w:lang w:val="en-US"/>
        </w:rPr>
        <w:t>s</w:t>
      </w:r>
      <w:r w:rsidRPr="008A3740">
        <w:rPr>
          <w:rFonts w:ascii="Verdana" w:hAnsi="Verdana"/>
          <w:i/>
          <w:sz w:val="20"/>
          <w:szCs w:val="20"/>
          <w:lang w:val="en-US"/>
        </w:rPr>
        <w:t xml:space="preserve"> before the Commission</w:t>
      </w:r>
      <w:r w:rsidRPr="008A3740">
        <w:rPr>
          <w:rFonts w:ascii="Verdana" w:hAnsi="Verdana"/>
          <w:sz w:val="20"/>
          <w:szCs w:val="20"/>
          <w:lang w:val="en-US"/>
        </w:rPr>
        <w:t>. – The proceeding</w:t>
      </w:r>
      <w:r w:rsidR="00597EE2" w:rsidRPr="008A3740">
        <w:rPr>
          <w:rFonts w:ascii="Verdana" w:hAnsi="Verdana"/>
          <w:sz w:val="20"/>
          <w:szCs w:val="20"/>
          <w:lang w:val="en-US"/>
        </w:rPr>
        <w:t>s</w:t>
      </w:r>
      <w:r w:rsidRPr="008A3740">
        <w:rPr>
          <w:rFonts w:ascii="Verdana" w:hAnsi="Verdana"/>
          <w:sz w:val="20"/>
          <w:szCs w:val="20"/>
          <w:lang w:val="en-US"/>
        </w:rPr>
        <w:t xml:space="preserve"> before the Commission w</w:t>
      </w:r>
      <w:r w:rsidR="00597EE2" w:rsidRPr="008A3740">
        <w:rPr>
          <w:rFonts w:ascii="Verdana" w:hAnsi="Verdana"/>
          <w:sz w:val="20"/>
          <w:szCs w:val="20"/>
          <w:lang w:val="en-US"/>
        </w:rPr>
        <w:t>ere</w:t>
      </w:r>
      <w:r w:rsidRPr="008A3740">
        <w:rPr>
          <w:rFonts w:ascii="Verdana" w:hAnsi="Verdana"/>
          <w:sz w:val="20"/>
          <w:szCs w:val="20"/>
          <w:lang w:val="en-US"/>
        </w:rPr>
        <w:t xml:space="preserve"> as follows: </w:t>
      </w:r>
    </w:p>
    <w:p w14:paraId="71E49E5F" w14:textId="77777777" w:rsidR="008E6A56" w:rsidRPr="008A3740" w:rsidRDefault="008E6A56" w:rsidP="008E6A56">
      <w:pPr>
        <w:pStyle w:val="Prrafodelista"/>
        <w:rPr>
          <w:rFonts w:ascii="Verdana" w:hAnsi="Verdana"/>
          <w:i/>
          <w:sz w:val="20"/>
          <w:szCs w:val="20"/>
          <w:lang w:val="en-US"/>
        </w:rPr>
      </w:pPr>
    </w:p>
    <w:p w14:paraId="6A9CA423" w14:textId="77777777" w:rsidR="008E6A56" w:rsidRPr="008A3740" w:rsidRDefault="008E6A56" w:rsidP="008E6A56">
      <w:pPr>
        <w:pStyle w:val="Prrafodelista"/>
        <w:numPr>
          <w:ilvl w:val="0"/>
          <w:numId w:val="2"/>
        </w:numPr>
        <w:autoSpaceDE w:val="0"/>
        <w:autoSpaceDN w:val="0"/>
        <w:rPr>
          <w:rFonts w:ascii="Verdana" w:hAnsi="Verdana" w:cs="Arial"/>
          <w:sz w:val="20"/>
          <w:szCs w:val="20"/>
          <w:lang w:val="en-US"/>
        </w:rPr>
      </w:pPr>
      <w:r w:rsidRPr="008A3740">
        <w:rPr>
          <w:rFonts w:ascii="Verdana" w:hAnsi="Verdana"/>
          <w:i/>
          <w:sz w:val="20"/>
          <w:szCs w:val="20"/>
          <w:lang w:val="en-US"/>
        </w:rPr>
        <w:t>Petition</w:t>
      </w:r>
      <w:r w:rsidR="00597EE2" w:rsidRPr="008A3740">
        <w:rPr>
          <w:rFonts w:ascii="Verdana" w:hAnsi="Verdana"/>
          <w:sz w:val="20"/>
          <w:szCs w:val="20"/>
          <w:lang w:val="en-US"/>
        </w:rPr>
        <w:t xml:space="preserve">. </w:t>
      </w:r>
      <w:r w:rsidRPr="008A3740">
        <w:rPr>
          <w:rFonts w:ascii="Verdana" w:hAnsi="Verdana"/>
          <w:sz w:val="20"/>
          <w:szCs w:val="20"/>
          <w:lang w:val="en-US"/>
        </w:rPr>
        <w:t>On April 8, 1998</w:t>
      </w:r>
      <w:r w:rsidR="00597EE2" w:rsidRPr="008A3740">
        <w:rPr>
          <w:rFonts w:ascii="Verdana" w:hAnsi="Verdana"/>
          <w:sz w:val="20"/>
          <w:szCs w:val="20"/>
          <w:lang w:val="en-US"/>
        </w:rPr>
        <w:t>,</w:t>
      </w:r>
      <w:r w:rsidRPr="008A3740">
        <w:rPr>
          <w:rFonts w:ascii="Verdana" w:hAnsi="Verdana"/>
          <w:sz w:val="20"/>
          <w:szCs w:val="20"/>
          <w:lang w:val="en-US"/>
        </w:rPr>
        <w:t xml:space="preserve"> the Commission received a petition </w:t>
      </w:r>
      <w:r w:rsidR="00A01730" w:rsidRPr="008A3740">
        <w:rPr>
          <w:rFonts w:ascii="Verdana" w:hAnsi="Verdana"/>
          <w:sz w:val="20"/>
          <w:szCs w:val="20"/>
          <w:lang w:val="en-US"/>
        </w:rPr>
        <w:t xml:space="preserve">submitted </w:t>
      </w:r>
      <w:r w:rsidRPr="008A3740">
        <w:rPr>
          <w:rFonts w:ascii="Verdana" w:hAnsi="Verdana"/>
          <w:sz w:val="20"/>
          <w:szCs w:val="20"/>
          <w:lang w:val="en-US"/>
        </w:rPr>
        <w:t>by the presumed victim</w:t>
      </w:r>
      <w:r w:rsidR="00510282" w:rsidRPr="008A3740">
        <w:rPr>
          <w:rFonts w:ascii="Verdana" w:hAnsi="Verdana"/>
          <w:sz w:val="20"/>
          <w:szCs w:val="20"/>
          <w:lang w:val="en-US"/>
        </w:rPr>
        <w:t>,</w:t>
      </w:r>
      <w:r w:rsidRPr="008A3740">
        <w:rPr>
          <w:rFonts w:ascii="Verdana" w:hAnsi="Verdana" w:cs="Arial"/>
          <w:sz w:val="20"/>
          <w:szCs w:val="20"/>
          <w:lang w:val="en-US"/>
        </w:rPr>
        <w:t xml:space="preserve"> Oscar Muelle Flores</w:t>
      </w:r>
      <w:r w:rsidR="00510282" w:rsidRPr="008A3740">
        <w:rPr>
          <w:rFonts w:ascii="Verdana" w:hAnsi="Verdana" w:cs="Arial"/>
          <w:sz w:val="20"/>
          <w:szCs w:val="20"/>
          <w:lang w:val="en-US"/>
        </w:rPr>
        <w:t>,</w:t>
      </w:r>
      <w:r w:rsidRPr="008A3740">
        <w:rPr>
          <w:rFonts w:ascii="Verdana" w:hAnsi="Verdana" w:cs="Arial"/>
          <w:sz w:val="20"/>
          <w:szCs w:val="20"/>
          <w:lang w:val="en-US"/>
        </w:rPr>
        <w:t xml:space="preserve"> </w:t>
      </w:r>
      <w:r w:rsidR="00510282" w:rsidRPr="008A3740">
        <w:rPr>
          <w:rFonts w:ascii="Verdana" w:hAnsi="Verdana" w:cs="Arial"/>
          <w:sz w:val="20"/>
          <w:szCs w:val="20"/>
          <w:lang w:val="en-US"/>
        </w:rPr>
        <w:t xml:space="preserve">in which he alleged </w:t>
      </w:r>
      <w:r w:rsidRPr="008A3740">
        <w:rPr>
          <w:rFonts w:ascii="Verdana" w:hAnsi="Verdana" w:cs="Arial"/>
          <w:sz w:val="20"/>
          <w:szCs w:val="20"/>
          <w:lang w:val="en-US"/>
        </w:rPr>
        <w:t xml:space="preserve">that the State was responsible for </w:t>
      </w:r>
      <w:r w:rsidR="00510282" w:rsidRPr="008A3740">
        <w:rPr>
          <w:rFonts w:ascii="Verdana" w:hAnsi="Verdana" w:cs="Arial"/>
          <w:sz w:val="20"/>
          <w:szCs w:val="20"/>
          <w:lang w:val="en-US"/>
        </w:rPr>
        <w:t xml:space="preserve">non-compliance with </w:t>
      </w:r>
      <w:r w:rsidRPr="008A3740">
        <w:rPr>
          <w:rFonts w:ascii="Verdana" w:hAnsi="Verdana" w:cs="Arial"/>
          <w:sz w:val="20"/>
          <w:szCs w:val="20"/>
          <w:lang w:val="en-US"/>
        </w:rPr>
        <w:t xml:space="preserve">two </w:t>
      </w:r>
      <w:r w:rsidRPr="008A3740">
        <w:rPr>
          <w:rFonts w:ascii="Verdana" w:hAnsi="Verdana" w:cs="Arial"/>
          <w:i/>
          <w:sz w:val="20"/>
          <w:szCs w:val="20"/>
          <w:lang w:val="en-US"/>
        </w:rPr>
        <w:t>amparo</w:t>
      </w:r>
      <w:r w:rsidRPr="008A3740">
        <w:rPr>
          <w:rFonts w:ascii="Verdana" w:hAnsi="Verdana" w:cs="Arial"/>
          <w:sz w:val="20"/>
          <w:szCs w:val="20"/>
          <w:lang w:val="en-US"/>
        </w:rPr>
        <w:t xml:space="preserve"> judgments </w:t>
      </w:r>
      <w:r w:rsidR="00A01730" w:rsidRPr="008A3740">
        <w:rPr>
          <w:rFonts w:ascii="Verdana" w:hAnsi="Verdana" w:cs="Arial"/>
          <w:sz w:val="20"/>
          <w:szCs w:val="20"/>
          <w:lang w:val="en-US"/>
        </w:rPr>
        <w:t xml:space="preserve">that </w:t>
      </w:r>
      <w:r w:rsidRPr="008A3740">
        <w:rPr>
          <w:rFonts w:ascii="Verdana" w:hAnsi="Verdana" w:cs="Arial"/>
          <w:sz w:val="20"/>
          <w:szCs w:val="20"/>
          <w:lang w:val="en-US"/>
        </w:rPr>
        <w:t xml:space="preserve">recognized </w:t>
      </w:r>
      <w:r w:rsidR="00510282" w:rsidRPr="008A3740">
        <w:rPr>
          <w:rFonts w:ascii="Verdana" w:hAnsi="Verdana" w:cs="Arial"/>
          <w:sz w:val="20"/>
          <w:szCs w:val="20"/>
          <w:lang w:val="en-US"/>
        </w:rPr>
        <w:t xml:space="preserve">his </w:t>
      </w:r>
      <w:r w:rsidRPr="008A3740">
        <w:rPr>
          <w:rFonts w:ascii="Verdana" w:hAnsi="Verdana" w:cs="Arial"/>
          <w:sz w:val="20"/>
          <w:szCs w:val="20"/>
          <w:lang w:val="en-US"/>
        </w:rPr>
        <w:t>pension</w:t>
      </w:r>
      <w:r w:rsidR="00510282" w:rsidRPr="008A3740">
        <w:rPr>
          <w:rFonts w:ascii="Verdana" w:hAnsi="Verdana" w:cs="Arial"/>
          <w:sz w:val="20"/>
          <w:szCs w:val="20"/>
          <w:lang w:val="en-US"/>
        </w:rPr>
        <w:t xml:space="preserve"> </w:t>
      </w:r>
      <w:r w:rsidR="000E73BC" w:rsidRPr="008A3740">
        <w:rPr>
          <w:rFonts w:ascii="Verdana" w:hAnsi="Verdana" w:cs="Arial"/>
          <w:sz w:val="20"/>
          <w:szCs w:val="20"/>
          <w:lang w:val="en-US"/>
        </w:rPr>
        <w:t xml:space="preserve">rights </w:t>
      </w:r>
      <w:r w:rsidR="00510282" w:rsidRPr="008A3740">
        <w:rPr>
          <w:rFonts w:ascii="Verdana" w:hAnsi="Verdana" w:cs="Arial"/>
          <w:sz w:val="20"/>
          <w:szCs w:val="20"/>
          <w:lang w:val="en-US"/>
        </w:rPr>
        <w:t xml:space="preserve">as a </w:t>
      </w:r>
      <w:r w:rsidRPr="008A3740">
        <w:rPr>
          <w:rFonts w:ascii="Verdana" w:hAnsi="Verdana" w:cs="Arial"/>
          <w:sz w:val="20"/>
          <w:szCs w:val="20"/>
          <w:lang w:val="en-US"/>
        </w:rPr>
        <w:t xml:space="preserve">former employee of the State-owned mining Company Tintaya, </w:t>
      </w:r>
      <w:r w:rsidR="00A01730" w:rsidRPr="008A3740">
        <w:rPr>
          <w:rFonts w:ascii="Verdana" w:hAnsi="Verdana" w:cs="Arial"/>
          <w:sz w:val="20"/>
          <w:szCs w:val="20"/>
          <w:lang w:val="en-US"/>
        </w:rPr>
        <w:t xml:space="preserve">together with his inclusion </w:t>
      </w:r>
      <w:r w:rsidR="00C922EC" w:rsidRPr="008A3740">
        <w:rPr>
          <w:rFonts w:ascii="Verdana" w:hAnsi="Verdana" w:cs="Arial"/>
          <w:sz w:val="20"/>
          <w:szCs w:val="20"/>
          <w:lang w:val="en-US"/>
        </w:rPr>
        <w:t xml:space="preserve">under the pension and </w:t>
      </w:r>
      <w:r w:rsidR="000E73BC" w:rsidRPr="008A3740">
        <w:rPr>
          <w:rFonts w:ascii="Verdana" w:hAnsi="Verdana" w:cs="Arial"/>
          <w:sz w:val="20"/>
          <w:szCs w:val="20"/>
          <w:lang w:val="en-US"/>
        </w:rPr>
        <w:t xml:space="preserve">benefits </w:t>
      </w:r>
      <w:r w:rsidR="00C922EC" w:rsidRPr="008A3740">
        <w:rPr>
          <w:rFonts w:ascii="Verdana" w:hAnsi="Verdana" w:cs="Arial"/>
          <w:sz w:val="20"/>
          <w:szCs w:val="20"/>
          <w:lang w:val="en-US"/>
        </w:rPr>
        <w:t xml:space="preserve">system </w:t>
      </w:r>
      <w:r w:rsidR="000158BF" w:rsidRPr="008A3740">
        <w:rPr>
          <w:rFonts w:ascii="Verdana" w:hAnsi="Verdana" w:cs="Arial"/>
          <w:sz w:val="20"/>
          <w:szCs w:val="20"/>
          <w:lang w:val="en-US"/>
        </w:rPr>
        <w:t xml:space="preserve">stipulated </w:t>
      </w:r>
      <w:r w:rsidR="00C922EC" w:rsidRPr="008A3740">
        <w:rPr>
          <w:rFonts w:ascii="Verdana" w:hAnsi="Verdana" w:cs="Arial"/>
          <w:sz w:val="20"/>
          <w:szCs w:val="20"/>
          <w:lang w:val="en-US"/>
        </w:rPr>
        <w:t xml:space="preserve">in </w:t>
      </w:r>
      <w:r w:rsidRPr="008A3740">
        <w:rPr>
          <w:rFonts w:ascii="Verdana" w:hAnsi="Verdana" w:cs="Arial"/>
          <w:sz w:val="20"/>
          <w:szCs w:val="20"/>
          <w:lang w:val="en-US"/>
        </w:rPr>
        <w:t>Decree Law No. 20530</w:t>
      </w:r>
      <w:r w:rsidR="00C922EC" w:rsidRPr="008A3740">
        <w:rPr>
          <w:rFonts w:ascii="Verdana" w:hAnsi="Verdana" w:cs="Arial"/>
          <w:sz w:val="20"/>
          <w:szCs w:val="20"/>
          <w:lang w:val="en-US"/>
        </w:rPr>
        <w:t>,</w:t>
      </w:r>
      <w:r w:rsidRPr="008A3740">
        <w:rPr>
          <w:rFonts w:ascii="Verdana" w:hAnsi="Verdana" w:cs="Arial"/>
          <w:sz w:val="20"/>
          <w:szCs w:val="20"/>
          <w:lang w:val="en-US"/>
        </w:rPr>
        <w:t xml:space="preserve"> and the renewable payment of his </w:t>
      </w:r>
      <w:r w:rsidR="00C922EC" w:rsidRPr="008A3740">
        <w:rPr>
          <w:rFonts w:ascii="Verdana" w:hAnsi="Verdana" w:cs="Arial"/>
          <w:sz w:val="20"/>
          <w:szCs w:val="20"/>
          <w:lang w:val="en-US"/>
        </w:rPr>
        <w:t xml:space="preserve">retirement </w:t>
      </w:r>
      <w:r w:rsidRPr="008A3740">
        <w:rPr>
          <w:rFonts w:ascii="Verdana" w:hAnsi="Verdana" w:cs="Arial"/>
          <w:sz w:val="20"/>
          <w:szCs w:val="20"/>
          <w:lang w:val="en-US"/>
        </w:rPr>
        <w:t xml:space="preserve">pension. The petitioner </w:t>
      </w:r>
      <w:r w:rsidR="000158BF" w:rsidRPr="008A3740">
        <w:rPr>
          <w:rFonts w:ascii="Verdana" w:hAnsi="Verdana" w:cs="Arial"/>
          <w:sz w:val="20"/>
          <w:szCs w:val="20"/>
          <w:lang w:val="en-US"/>
        </w:rPr>
        <w:t xml:space="preserve">also </w:t>
      </w:r>
      <w:r w:rsidRPr="008A3740">
        <w:rPr>
          <w:rFonts w:ascii="Verdana" w:hAnsi="Verdana" w:cs="Arial"/>
          <w:sz w:val="20"/>
          <w:szCs w:val="20"/>
          <w:lang w:val="en-US"/>
        </w:rPr>
        <w:t xml:space="preserve">alleged that </w:t>
      </w:r>
      <w:r w:rsidR="00510282" w:rsidRPr="008A3740">
        <w:rPr>
          <w:rFonts w:ascii="Verdana" w:hAnsi="Verdana" w:cs="Arial"/>
          <w:sz w:val="20"/>
          <w:szCs w:val="20"/>
          <w:lang w:val="en-US"/>
        </w:rPr>
        <w:t xml:space="preserve">the </w:t>
      </w:r>
      <w:r w:rsidR="00C922EC" w:rsidRPr="008A3740">
        <w:rPr>
          <w:rFonts w:ascii="Verdana" w:hAnsi="Verdana" w:cs="Arial"/>
          <w:sz w:val="20"/>
          <w:szCs w:val="20"/>
          <w:lang w:val="en-US"/>
        </w:rPr>
        <w:t xml:space="preserve">State of Peru </w:t>
      </w:r>
      <w:r w:rsidRPr="008A3740">
        <w:rPr>
          <w:rFonts w:ascii="Verdana" w:hAnsi="Verdana" w:cs="Arial"/>
          <w:sz w:val="20"/>
          <w:szCs w:val="20"/>
          <w:lang w:val="en-US"/>
        </w:rPr>
        <w:t xml:space="preserve">had </w:t>
      </w:r>
      <w:r w:rsidR="00C922EC" w:rsidRPr="008A3740">
        <w:rPr>
          <w:rFonts w:ascii="Verdana" w:hAnsi="Verdana" w:cs="Arial"/>
          <w:sz w:val="20"/>
          <w:szCs w:val="20"/>
          <w:lang w:val="en-US"/>
        </w:rPr>
        <w:t xml:space="preserve">not complied with its </w:t>
      </w:r>
      <w:r w:rsidRPr="008A3740">
        <w:rPr>
          <w:rFonts w:ascii="Verdana" w:hAnsi="Verdana" w:cs="Arial"/>
          <w:sz w:val="20"/>
          <w:szCs w:val="20"/>
          <w:lang w:val="en-US"/>
        </w:rPr>
        <w:t>obligation to execute the jud</w:t>
      </w:r>
      <w:r w:rsidR="000E73BC" w:rsidRPr="008A3740">
        <w:rPr>
          <w:rFonts w:ascii="Verdana" w:hAnsi="Verdana" w:cs="Arial"/>
          <w:sz w:val="20"/>
          <w:szCs w:val="20"/>
          <w:lang w:val="en-US"/>
        </w:rPr>
        <w:t xml:space="preserve">gments </w:t>
      </w:r>
      <w:r w:rsidR="00C922EC" w:rsidRPr="008A3740">
        <w:rPr>
          <w:rFonts w:ascii="Verdana" w:hAnsi="Verdana" w:cs="Arial"/>
          <w:sz w:val="20"/>
          <w:szCs w:val="20"/>
          <w:lang w:val="en-US"/>
        </w:rPr>
        <w:t xml:space="preserve">of </w:t>
      </w:r>
      <w:r w:rsidRPr="008A3740">
        <w:rPr>
          <w:rFonts w:ascii="Verdana" w:hAnsi="Verdana" w:cs="Arial"/>
          <w:sz w:val="20"/>
          <w:szCs w:val="20"/>
          <w:lang w:val="en-US"/>
        </w:rPr>
        <w:t xml:space="preserve">the </w:t>
      </w:r>
      <w:r w:rsidR="00C922EC" w:rsidRPr="008A3740">
        <w:rPr>
          <w:rFonts w:ascii="Verdana" w:hAnsi="Verdana" w:cs="Arial"/>
          <w:sz w:val="20"/>
          <w:szCs w:val="20"/>
          <w:lang w:val="en-US"/>
        </w:rPr>
        <w:t xml:space="preserve">Supreme Court of Justice and the Constitutional Court, in violation of </w:t>
      </w:r>
      <w:r w:rsidRPr="008A3740">
        <w:rPr>
          <w:rFonts w:ascii="Verdana" w:hAnsi="Verdana" w:cs="Arial"/>
          <w:sz w:val="20"/>
          <w:szCs w:val="20"/>
          <w:lang w:val="en-US"/>
        </w:rPr>
        <w:t>the rights e</w:t>
      </w:r>
      <w:r w:rsidR="00C922EC" w:rsidRPr="008A3740">
        <w:rPr>
          <w:rFonts w:ascii="Verdana" w:hAnsi="Verdana" w:cs="Arial"/>
          <w:sz w:val="20"/>
          <w:szCs w:val="20"/>
          <w:lang w:val="en-US"/>
        </w:rPr>
        <w:t xml:space="preserve">stablished </w:t>
      </w:r>
      <w:r w:rsidRPr="008A3740">
        <w:rPr>
          <w:rFonts w:ascii="Verdana" w:hAnsi="Verdana" w:cs="Arial"/>
          <w:sz w:val="20"/>
          <w:szCs w:val="20"/>
          <w:lang w:val="en-US"/>
        </w:rPr>
        <w:t>in Articles 24 and 25 of the American Convention.</w:t>
      </w:r>
      <w:r w:rsidRPr="008A3740">
        <w:rPr>
          <w:rFonts w:ascii="Verdana" w:hAnsi="Verdana"/>
          <w:sz w:val="20"/>
          <w:szCs w:val="20"/>
          <w:lang w:val="en-US"/>
        </w:rPr>
        <w:t xml:space="preserve"> </w:t>
      </w:r>
    </w:p>
    <w:p w14:paraId="1651B5D9" w14:textId="77777777" w:rsidR="008E6A56" w:rsidRPr="008A3740" w:rsidRDefault="008E6A56" w:rsidP="008E6A56">
      <w:pPr>
        <w:rPr>
          <w:rFonts w:ascii="Verdana" w:hAnsi="Verdana"/>
          <w:sz w:val="20"/>
          <w:szCs w:val="20"/>
          <w:lang w:val="en-US"/>
        </w:rPr>
      </w:pPr>
    </w:p>
    <w:p w14:paraId="57BA0538" w14:textId="77777777" w:rsidR="008E6A56" w:rsidRPr="008A3740" w:rsidRDefault="008E6A56" w:rsidP="008E6A56">
      <w:pPr>
        <w:pStyle w:val="Prrafodelista"/>
        <w:numPr>
          <w:ilvl w:val="0"/>
          <w:numId w:val="2"/>
        </w:numPr>
        <w:tabs>
          <w:tab w:val="left" w:pos="720"/>
        </w:tabs>
        <w:autoSpaceDE w:val="0"/>
        <w:autoSpaceDN w:val="0"/>
        <w:rPr>
          <w:rFonts w:ascii="Verdana" w:hAnsi="Verdana" w:cs="Arial"/>
          <w:sz w:val="20"/>
          <w:szCs w:val="20"/>
          <w:lang w:val="en-US"/>
        </w:rPr>
      </w:pPr>
      <w:r w:rsidRPr="008A3740">
        <w:rPr>
          <w:rFonts w:ascii="Verdana" w:hAnsi="Verdana"/>
          <w:i/>
          <w:sz w:val="20"/>
          <w:szCs w:val="20"/>
          <w:lang w:val="en-US"/>
        </w:rPr>
        <w:t>Admissibility</w:t>
      </w:r>
      <w:r w:rsidR="00510282" w:rsidRPr="008A3740">
        <w:rPr>
          <w:rFonts w:ascii="Verdana" w:hAnsi="Verdana"/>
          <w:i/>
          <w:sz w:val="20"/>
          <w:szCs w:val="20"/>
          <w:lang w:val="en-US"/>
        </w:rPr>
        <w:t xml:space="preserve"> Report</w:t>
      </w:r>
      <w:r w:rsidRPr="008A3740">
        <w:rPr>
          <w:rFonts w:ascii="Verdana" w:hAnsi="Verdana"/>
          <w:i/>
          <w:sz w:val="20"/>
          <w:szCs w:val="20"/>
          <w:lang w:val="en-US"/>
        </w:rPr>
        <w:t>.</w:t>
      </w:r>
      <w:r w:rsidR="00510282" w:rsidRPr="008A3740">
        <w:rPr>
          <w:rFonts w:ascii="Verdana" w:hAnsi="Verdana"/>
          <w:sz w:val="20"/>
          <w:szCs w:val="20"/>
          <w:lang w:val="en-US"/>
        </w:rPr>
        <w:t xml:space="preserve"> </w:t>
      </w:r>
      <w:r w:rsidRPr="008A3740">
        <w:rPr>
          <w:rFonts w:ascii="Verdana" w:hAnsi="Verdana"/>
          <w:sz w:val="20"/>
          <w:szCs w:val="20"/>
          <w:lang w:val="en-US"/>
        </w:rPr>
        <w:t>On July 16, 2010</w:t>
      </w:r>
      <w:r w:rsidR="00510282" w:rsidRPr="008A3740">
        <w:rPr>
          <w:rFonts w:ascii="Verdana" w:hAnsi="Verdana"/>
          <w:sz w:val="20"/>
          <w:szCs w:val="20"/>
          <w:lang w:val="en-US"/>
        </w:rPr>
        <w:t xml:space="preserve">, the Commission issued </w:t>
      </w:r>
      <w:r w:rsidRPr="008A3740">
        <w:rPr>
          <w:rFonts w:ascii="Verdana" w:hAnsi="Verdana"/>
          <w:sz w:val="20"/>
          <w:szCs w:val="20"/>
          <w:lang w:val="en-US"/>
        </w:rPr>
        <w:t xml:space="preserve">Admissibility </w:t>
      </w:r>
      <w:r w:rsidR="00510282" w:rsidRPr="008A3740">
        <w:rPr>
          <w:rFonts w:ascii="Verdana" w:hAnsi="Verdana"/>
          <w:sz w:val="20"/>
          <w:szCs w:val="20"/>
          <w:lang w:val="en-US"/>
        </w:rPr>
        <w:t xml:space="preserve">Report </w:t>
      </w:r>
      <w:r w:rsidRPr="008A3740">
        <w:rPr>
          <w:rFonts w:ascii="Verdana" w:hAnsi="Verdana"/>
          <w:sz w:val="20"/>
          <w:szCs w:val="20"/>
          <w:lang w:val="en-US"/>
        </w:rPr>
        <w:t xml:space="preserve">No.106/10 (hereinafter </w:t>
      </w:r>
      <w:r w:rsidR="0014317A" w:rsidRPr="008A3740">
        <w:rPr>
          <w:rFonts w:ascii="Verdana" w:hAnsi="Verdana"/>
          <w:sz w:val="20"/>
          <w:szCs w:val="20"/>
          <w:lang w:val="en-US"/>
        </w:rPr>
        <w:t xml:space="preserve">the </w:t>
      </w:r>
      <w:r w:rsidRPr="008A3740">
        <w:rPr>
          <w:rFonts w:ascii="Verdana" w:hAnsi="Verdana"/>
          <w:sz w:val="20"/>
          <w:szCs w:val="20"/>
          <w:lang w:val="en-US"/>
        </w:rPr>
        <w:t xml:space="preserve">“Admissibility Report”), in </w:t>
      </w:r>
      <w:r w:rsidR="00510282" w:rsidRPr="008A3740">
        <w:rPr>
          <w:rFonts w:ascii="Verdana" w:hAnsi="Verdana"/>
          <w:sz w:val="20"/>
          <w:szCs w:val="20"/>
          <w:lang w:val="en-US"/>
        </w:rPr>
        <w:t xml:space="preserve">which it </w:t>
      </w:r>
      <w:r w:rsidRPr="008A3740">
        <w:rPr>
          <w:rFonts w:ascii="Verdana" w:hAnsi="Verdana"/>
          <w:sz w:val="20"/>
          <w:szCs w:val="20"/>
          <w:lang w:val="en-US"/>
        </w:rPr>
        <w:t xml:space="preserve">concluded that Petition No. 147-98 was admissible in relation to Articles </w:t>
      </w:r>
      <w:r w:rsidRPr="008A3740">
        <w:rPr>
          <w:rFonts w:ascii="Verdana" w:hAnsi="Verdana" w:cs="Arial"/>
          <w:sz w:val="20"/>
          <w:szCs w:val="20"/>
          <w:lang w:val="en-US"/>
        </w:rPr>
        <w:t xml:space="preserve">8(1), 21 and 25(2)(c) of the </w:t>
      </w:r>
      <w:r w:rsidR="0014317A" w:rsidRPr="008A3740">
        <w:rPr>
          <w:rFonts w:ascii="Verdana" w:hAnsi="Verdana" w:cs="Arial"/>
          <w:sz w:val="20"/>
          <w:szCs w:val="20"/>
          <w:lang w:val="en-US"/>
        </w:rPr>
        <w:t xml:space="preserve">American </w:t>
      </w:r>
      <w:r w:rsidRPr="008A3740">
        <w:rPr>
          <w:rFonts w:ascii="Verdana" w:hAnsi="Verdana" w:cs="Arial"/>
          <w:sz w:val="20"/>
          <w:szCs w:val="20"/>
          <w:lang w:val="en-US"/>
        </w:rPr>
        <w:t xml:space="preserve">Convention. </w:t>
      </w:r>
      <w:r w:rsidR="0014317A" w:rsidRPr="008A3740">
        <w:rPr>
          <w:rFonts w:ascii="Verdana" w:hAnsi="Verdana" w:cs="Arial"/>
          <w:sz w:val="20"/>
          <w:szCs w:val="20"/>
          <w:lang w:val="en-US"/>
        </w:rPr>
        <w:t>However</w:t>
      </w:r>
      <w:r w:rsidRPr="008A3740">
        <w:rPr>
          <w:rFonts w:ascii="Verdana" w:hAnsi="Verdana" w:cs="Arial"/>
          <w:sz w:val="20"/>
          <w:szCs w:val="20"/>
          <w:lang w:val="en-US"/>
        </w:rPr>
        <w:t xml:space="preserve">, it declared </w:t>
      </w:r>
      <w:r w:rsidR="0014317A" w:rsidRPr="008A3740">
        <w:rPr>
          <w:rFonts w:ascii="Verdana" w:hAnsi="Verdana" w:cs="Arial"/>
          <w:sz w:val="20"/>
          <w:szCs w:val="20"/>
          <w:lang w:val="en-US"/>
        </w:rPr>
        <w:t xml:space="preserve">the petition </w:t>
      </w:r>
      <w:r w:rsidRPr="008A3740">
        <w:rPr>
          <w:rFonts w:ascii="Verdana" w:hAnsi="Verdana" w:cs="Arial"/>
          <w:sz w:val="20"/>
          <w:szCs w:val="20"/>
          <w:lang w:val="en-US"/>
        </w:rPr>
        <w:t xml:space="preserve">inadmissible </w:t>
      </w:r>
      <w:r w:rsidR="0014317A" w:rsidRPr="008A3740">
        <w:rPr>
          <w:rFonts w:ascii="Verdana" w:hAnsi="Verdana" w:cs="Arial"/>
          <w:sz w:val="20"/>
          <w:szCs w:val="20"/>
          <w:lang w:val="en-US"/>
        </w:rPr>
        <w:t xml:space="preserve">with regard to </w:t>
      </w:r>
      <w:r w:rsidRPr="008A3740">
        <w:rPr>
          <w:rFonts w:ascii="Verdana" w:hAnsi="Verdana" w:cs="Arial"/>
          <w:sz w:val="20"/>
          <w:szCs w:val="20"/>
          <w:lang w:val="en-US"/>
        </w:rPr>
        <w:t xml:space="preserve">Article 24 thereof. </w:t>
      </w:r>
    </w:p>
    <w:p w14:paraId="166728D0" w14:textId="77777777" w:rsidR="008E6A56" w:rsidRPr="008A3740" w:rsidRDefault="008E6A56" w:rsidP="008E6A56">
      <w:pPr>
        <w:pStyle w:val="Prrafodelista"/>
        <w:rPr>
          <w:rFonts w:ascii="Verdana" w:hAnsi="Verdana" w:cs="Arial"/>
          <w:sz w:val="20"/>
          <w:szCs w:val="20"/>
          <w:lang w:val="en-US"/>
        </w:rPr>
      </w:pPr>
    </w:p>
    <w:p w14:paraId="0E956385" w14:textId="77777777" w:rsidR="008E6A56" w:rsidRPr="008A3740" w:rsidRDefault="008E6A56" w:rsidP="008E6A56">
      <w:pPr>
        <w:pStyle w:val="Prrafodelista"/>
        <w:numPr>
          <w:ilvl w:val="0"/>
          <w:numId w:val="2"/>
        </w:numPr>
        <w:rPr>
          <w:rFonts w:ascii="Verdana" w:hAnsi="Verdana"/>
          <w:sz w:val="20"/>
          <w:szCs w:val="20"/>
          <w:lang w:val="en-US"/>
        </w:rPr>
      </w:pPr>
      <w:r w:rsidRPr="008A3740">
        <w:rPr>
          <w:rFonts w:ascii="Verdana" w:hAnsi="Verdana"/>
          <w:i/>
          <w:sz w:val="20"/>
          <w:szCs w:val="20"/>
          <w:lang w:val="en-US"/>
        </w:rPr>
        <w:t xml:space="preserve">Report on </w:t>
      </w:r>
      <w:r w:rsidR="0014317A" w:rsidRPr="008A3740">
        <w:rPr>
          <w:rFonts w:ascii="Verdana" w:hAnsi="Verdana"/>
          <w:i/>
          <w:sz w:val="20"/>
          <w:szCs w:val="20"/>
          <w:lang w:val="en-US"/>
        </w:rPr>
        <w:t xml:space="preserve">the </w:t>
      </w:r>
      <w:r w:rsidRPr="008A3740">
        <w:rPr>
          <w:rFonts w:ascii="Verdana" w:hAnsi="Verdana"/>
          <w:i/>
          <w:sz w:val="20"/>
          <w:szCs w:val="20"/>
          <w:lang w:val="en-US"/>
        </w:rPr>
        <w:t>Merits.</w:t>
      </w:r>
      <w:r w:rsidR="007854EA" w:rsidRPr="008A3740">
        <w:rPr>
          <w:rFonts w:ascii="Verdana" w:hAnsi="Verdana"/>
          <w:sz w:val="20"/>
          <w:szCs w:val="20"/>
          <w:lang w:val="en-US"/>
        </w:rPr>
        <w:t xml:space="preserve"> </w:t>
      </w:r>
      <w:r w:rsidRPr="008A3740">
        <w:rPr>
          <w:rFonts w:ascii="Verdana" w:hAnsi="Verdana"/>
          <w:sz w:val="20"/>
          <w:szCs w:val="20"/>
          <w:lang w:val="en-US"/>
        </w:rPr>
        <w:t>On January 27, 2017</w:t>
      </w:r>
      <w:r w:rsidR="0014317A" w:rsidRPr="008A3740">
        <w:rPr>
          <w:rFonts w:ascii="Verdana" w:hAnsi="Verdana"/>
          <w:sz w:val="20"/>
          <w:szCs w:val="20"/>
          <w:lang w:val="en-US"/>
        </w:rPr>
        <w:t>,</w:t>
      </w:r>
      <w:r w:rsidRPr="008A3740">
        <w:rPr>
          <w:rFonts w:ascii="Verdana" w:hAnsi="Verdana"/>
          <w:sz w:val="20"/>
          <w:szCs w:val="20"/>
          <w:lang w:val="en-US"/>
        </w:rPr>
        <w:t xml:space="preserve"> the Commission approved the Report on </w:t>
      </w:r>
      <w:r w:rsidR="0014317A" w:rsidRPr="008A3740">
        <w:rPr>
          <w:rFonts w:ascii="Verdana" w:hAnsi="Verdana"/>
          <w:sz w:val="20"/>
          <w:szCs w:val="20"/>
          <w:lang w:val="en-US"/>
        </w:rPr>
        <w:t xml:space="preserve">the </w:t>
      </w:r>
      <w:r w:rsidR="004F758D" w:rsidRPr="008A3740">
        <w:rPr>
          <w:rFonts w:ascii="Verdana" w:hAnsi="Verdana"/>
          <w:sz w:val="20"/>
          <w:szCs w:val="20"/>
          <w:lang w:val="en-US"/>
        </w:rPr>
        <w:t xml:space="preserve">Merits No. 3/17 </w:t>
      </w:r>
      <w:r w:rsidRPr="008A3740">
        <w:rPr>
          <w:rFonts w:ascii="Verdana" w:hAnsi="Verdana"/>
          <w:sz w:val="20"/>
          <w:szCs w:val="20"/>
          <w:lang w:val="en-US"/>
        </w:rPr>
        <w:t xml:space="preserve">(hereinafter “Merits Report” or “Report No. 3/17”), </w:t>
      </w:r>
      <w:r w:rsidR="004F758D" w:rsidRPr="008A3740">
        <w:rPr>
          <w:rFonts w:ascii="Verdana" w:hAnsi="Verdana"/>
          <w:sz w:val="20"/>
          <w:szCs w:val="20"/>
          <w:lang w:val="en-US"/>
        </w:rPr>
        <w:t xml:space="preserve">pursuant to Article 50 of the American Convention, </w:t>
      </w:r>
      <w:r w:rsidRPr="008A3740">
        <w:rPr>
          <w:rFonts w:ascii="Verdana" w:hAnsi="Verdana"/>
          <w:sz w:val="20"/>
          <w:szCs w:val="20"/>
          <w:lang w:val="en-US"/>
        </w:rPr>
        <w:t xml:space="preserve">in which </w:t>
      </w:r>
      <w:r w:rsidR="0014317A" w:rsidRPr="008A3740">
        <w:rPr>
          <w:rFonts w:ascii="Verdana" w:hAnsi="Verdana"/>
          <w:sz w:val="20"/>
          <w:szCs w:val="20"/>
          <w:lang w:val="en-US"/>
        </w:rPr>
        <w:t xml:space="preserve">it </w:t>
      </w:r>
      <w:r w:rsidRPr="008A3740">
        <w:rPr>
          <w:rFonts w:ascii="Verdana" w:hAnsi="Verdana"/>
          <w:sz w:val="20"/>
          <w:szCs w:val="20"/>
          <w:lang w:val="en-US"/>
        </w:rPr>
        <w:t xml:space="preserve">concluded that the State of Peru was responsible for the violation of the rights to judicial guarantees, property and judicial protection, </w:t>
      </w:r>
      <w:r w:rsidR="004F758D" w:rsidRPr="008A3740">
        <w:rPr>
          <w:rFonts w:ascii="Verdana" w:hAnsi="Verdana"/>
          <w:sz w:val="20"/>
          <w:szCs w:val="20"/>
          <w:lang w:val="en-US"/>
        </w:rPr>
        <w:t xml:space="preserve">recognized </w:t>
      </w:r>
      <w:r w:rsidRPr="008A3740">
        <w:rPr>
          <w:rFonts w:ascii="Verdana" w:hAnsi="Verdana"/>
          <w:sz w:val="20"/>
          <w:szCs w:val="20"/>
          <w:lang w:val="en-US"/>
        </w:rPr>
        <w:t>in Art</w:t>
      </w:r>
      <w:r w:rsidR="004F758D" w:rsidRPr="008A3740">
        <w:rPr>
          <w:rFonts w:ascii="Verdana" w:hAnsi="Verdana"/>
          <w:sz w:val="20"/>
          <w:szCs w:val="20"/>
          <w:lang w:val="en-US"/>
        </w:rPr>
        <w:t>icles 8(1), 21, 25(1) and 25(2)</w:t>
      </w:r>
      <w:r w:rsidRPr="008A3740">
        <w:rPr>
          <w:rFonts w:ascii="Verdana" w:hAnsi="Verdana"/>
          <w:sz w:val="20"/>
          <w:szCs w:val="20"/>
          <w:lang w:val="en-US"/>
        </w:rPr>
        <w:t xml:space="preserve">(c) of the American Convention, in relation to the obligations </w:t>
      </w:r>
      <w:r w:rsidR="004F758D" w:rsidRPr="008A3740">
        <w:rPr>
          <w:rFonts w:ascii="Verdana" w:hAnsi="Verdana"/>
          <w:sz w:val="20"/>
          <w:szCs w:val="20"/>
          <w:lang w:val="en-US"/>
        </w:rPr>
        <w:t xml:space="preserve">contained </w:t>
      </w:r>
      <w:r w:rsidRPr="008A3740">
        <w:rPr>
          <w:rFonts w:ascii="Verdana" w:hAnsi="Verdana"/>
          <w:sz w:val="20"/>
          <w:szCs w:val="20"/>
          <w:lang w:val="en-US"/>
        </w:rPr>
        <w:t xml:space="preserve">in Article 1(1) thereof, to the detriment of Oscar Muelle Flores. </w:t>
      </w:r>
      <w:r w:rsidR="004F758D" w:rsidRPr="008A3740">
        <w:rPr>
          <w:rFonts w:ascii="Verdana" w:hAnsi="Verdana"/>
          <w:sz w:val="20"/>
          <w:szCs w:val="20"/>
          <w:lang w:val="en-US"/>
        </w:rPr>
        <w:t>T</w:t>
      </w:r>
      <w:r w:rsidRPr="008A3740">
        <w:rPr>
          <w:rFonts w:ascii="Verdana" w:hAnsi="Verdana"/>
          <w:sz w:val="20"/>
          <w:szCs w:val="20"/>
          <w:lang w:val="en-US"/>
        </w:rPr>
        <w:t xml:space="preserve">he Commission </w:t>
      </w:r>
      <w:r w:rsidR="004F758D" w:rsidRPr="008A3740">
        <w:rPr>
          <w:rFonts w:ascii="Verdana" w:hAnsi="Verdana"/>
          <w:sz w:val="20"/>
          <w:szCs w:val="20"/>
          <w:lang w:val="en-US"/>
        </w:rPr>
        <w:t xml:space="preserve">likewise </w:t>
      </w:r>
      <w:r w:rsidRPr="008A3740">
        <w:rPr>
          <w:rFonts w:ascii="Verdana" w:hAnsi="Verdana"/>
          <w:sz w:val="20"/>
          <w:szCs w:val="20"/>
          <w:lang w:val="en-US"/>
        </w:rPr>
        <w:t xml:space="preserve">concluded that the State failed to </w:t>
      </w:r>
      <w:r w:rsidR="004F758D" w:rsidRPr="008A3740">
        <w:rPr>
          <w:rFonts w:ascii="Verdana" w:hAnsi="Verdana"/>
          <w:sz w:val="20"/>
          <w:szCs w:val="20"/>
          <w:lang w:val="en-US"/>
        </w:rPr>
        <w:t xml:space="preserve">meet its </w:t>
      </w:r>
      <w:r w:rsidRPr="008A3740">
        <w:rPr>
          <w:rFonts w:ascii="Verdana" w:hAnsi="Verdana"/>
          <w:sz w:val="20"/>
          <w:szCs w:val="20"/>
          <w:lang w:val="en-US"/>
        </w:rPr>
        <w:t xml:space="preserve">obligations </w:t>
      </w:r>
      <w:r w:rsidR="004F758D" w:rsidRPr="008A3740">
        <w:rPr>
          <w:rFonts w:ascii="Verdana" w:hAnsi="Verdana"/>
          <w:sz w:val="20"/>
          <w:szCs w:val="20"/>
          <w:lang w:val="en-US"/>
        </w:rPr>
        <w:t xml:space="preserve">under </w:t>
      </w:r>
      <w:r w:rsidRPr="008A3740">
        <w:rPr>
          <w:rFonts w:ascii="Verdana" w:hAnsi="Verdana"/>
          <w:sz w:val="20"/>
          <w:szCs w:val="20"/>
          <w:lang w:val="en-US"/>
        </w:rPr>
        <w:t xml:space="preserve">Article 2 </w:t>
      </w:r>
      <w:r w:rsidR="005968D1" w:rsidRPr="008A3740">
        <w:rPr>
          <w:rFonts w:ascii="Verdana" w:hAnsi="Verdana"/>
          <w:sz w:val="20"/>
          <w:szCs w:val="20"/>
          <w:lang w:val="en-US"/>
        </w:rPr>
        <w:t xml:space="preserve">of the Convention </w:t>
      </w:r>
      <w:r w:rsidRPr="008A3740">
        <w:rPr>
          <w:rFonts w:ascii="Verdana" w:hAnsi="Verdana"/>
          <w:sz w:val="20"/>
          <w:szCs w:val="20"/>
          <w:lang w:val="en-US"/>
        </w:rPr>
        <w:t>and made several recommendations to the State.</w:t>
      </w:r>
      <w:r w:rsidRPr="008A3740">
        <w:rPr>
          <w:rStyle w:val="Refdenotaalpie"/>
          <w:szCs w:val="20"/>
          <w:lang w:val="en-US"/>
        </w:rPr>
        <w:footnoteReference w:id="2"/>
      </w:r>
    </w:p>
    <w:p w14:paraId="1417A263" w14:textId="77777777" w:rsidR="008E6A56" w:rsidRPr="008A3740" w:rsidRDefault="008346EC" w:rsidP="008E6A56">
      <w:pPr>
        <w:pStyle w:val="Prrafodelista"/>
        <w:numPr>
          <w:ilvl w:val="0"/>
          <w:numId w:val="2"/>
        </w:numPr>
        <w:rPr>
          <w:rFonts w:ascii="Verdana" w:eastAsia="Verdana" w:hAnsi="Verdana" w:cs="Verdana"/>
          <w:sz w:val="20"/>
          <w:szCs w:val="20"/>
          <w:lang w:val="en-US"/>
        </w:rPr>
      </w:pPr>
      <w:r w:rsidRPr="008A3740">
        <w:rPr>
          <w:rFonts w:ascii="Verdana" w:hAnsi="Verdana"/>
          <w:i/>
          <w:sz w:val="20"/>
          <w:szCs w:val="20"/>
          <w:lang w:val="en-US"/>
        </w:rPr>
        <w:lastRenderedPageBreak/>
        <w:t xml:space="preserve">Notification to the State. </w:t>
      </w:r>
      <w:r w:rsidR="008E6A56" w:rsidRPr="008A3740">
        <w:rPr>
          <w:rFonts w:ascii="Verdana" w:hAnsi="Verdana"/>
          <w:sz w:val="20"/>
          <w:szCs w:val="20"/>
          <w:lang w:val="en-US"/>
        </w:rPr>
        <w:t>On February 13, 2017</w:t>
      </w:r>
      <w:r w:rsidRPr="008A3740">
        <w:rPr>
          <w:rFonts w:ascii="Verdana" w:hAnsi="Verdana"/>
          <w:sz w:val="20"/>
          <w:szCs w:val="20"/>
          <w:lang w:val="en-US"/>
        </w:rPr>
        <w:t>,</w:t>
      </w:r>
      <w:r w:rsidR="008E6A56" w:rsidRPr="008A3740">
        <w:rPr>
          <w:rFonts w:ascii="Verdana" w:hAnsi="Verdana"/>
          <w:sz w:val="20"/>
          <w:szCs w:val="20"/>
          <w:lang w:val="en-US"/>
        </w:rPr>
        <w:t xml:space="preserve"> the Commission notified the Merits Report to the State, granting it two months to report on its compliance with the recomme</w:t>
      </w:r>
      <w:r w:rsidRPr="008A3740">
        <w:rPr>
          <w:rFonts w:ascii="Verdana" w:hAnsi="Verdana"/>
          <w:sz w:val="20"/>
          <w:szCs w:val="20"/>
          <w:lang w:val="en-US"/>
        </w:rPr>
        <w:t xml:space="preserve">ndations. The State requested an initial </w:t>
      </w:r>
      <w:r w:rsidR="008E6A56" w:rsidRPr="008A3740">
        <w:rPr>
          <w:rFonts w:ascii="Verdana" w:hAnsi="Verdana"/>
          <w:sz w:val="20"/>
          <w:szCs w:val="20"/>
          <w:lang w:val="en-US"/>
        </w:rPr>
        <w:t>extension of 60 days, which was granted by the Commission</w:t>
      </w:r>
      <w:r w:rsidR="008E6A56" w:rsidRPr="008A3740">
        <w:rPr>
          <w:rFonts w:ascii="Verdana" w:hAnsi="Verdana"/>
          <w:b/>
          <w:sz w:val="20"/>
          <w:szCs w:val="20"/>
          <w:lang w:val="en-US"/>
        </w:rPr>
        <w:t xml:space="preserve">. </w:t>
      </w:r>
      <w:r w:rsidR="008E6A56" w:rsidRPr="008A3740">
        <w:rPr>
          <w:rFonts w:ascii="Verdana" w:hAnsi="Verdana"/>
          <w:sz w:val="20"/>
          <w:szCs w:val="20"/>
          <w:lang w:val="en-US"/>
        </w:rPr>
        <w:t xml:space="preserve">However, </w:t>
      </w:r>
      <w:r w:rsidRPr="008A3740">
        <w:rPr>
          <w:rFonts w:ascii="Verdana" w:hAnsi="Verdana"/>
          <w:sz w:val="20"/>
          <w:szCs w:val="20"/>
          <w:lang w:val="en-US"/>
        </w:rPr>
        <w:t xml:space="preserve">in the absence of </w:t>
      </w:r>
      <w:r w:rsidR="008E6A56" w:rsidRPr="008A3740">
        <w:rPr>
          <w:rFonts w:ascii="Verdana" w:hAnsi="Verdana"/>
          <w:sz w:val="20"/>
          <w:szCs w:val="20"/>
          <w:lang w:val="en-US"/>
        </w:rPr>
        <w:t xml:space="preserve">substantive information on </w:t>
      </w:r>
      <w:r w:rsidRPr="008A3740">
        <w:rPr>
          <w:rFonts w:ascii="Verdana" w:hAnsi="Verdana"/>
          <w:sz w:val="20"/>
          <w:szCs w:val="20"/>
          <w:lang w:val="en-US"/>
        </w:rPr>
        <w:t xml:space="preserve">its progress in complying with </w:t>
      </w:r>
      <w:r w:rsidR="008E6A56" w:rsidRPr="008A3740">
        <w:rPr>
          <w:rFonts w:ascii="Verdana" w:hAnsi="Verdana"/>
          <w:sz w:val="20"/>
          <w:szCs w:val="20"/>
          <w:lang w:val="en-US"/>
        </w:rPr>
        <w:t xml:space="preserve">the recommendations of the Merits Report, the </w:t>
      </w:r>
      <w:r w:rsidRPr="008A3740">
        <w:rPr>
          <w:rFonts w:ascii="Verdana" w:hAnsi="Verdana"/>
          <w:sz w:val="20"/>
          <w:szCs w:val="20"/>
          <w:lang w:val="en-US"/>
        </w:rPr>
        <w:t xml:space="preserve">Commission decided not to grant </w:t>
      </w:r>
      <w:r w:rsidR="008E6A56" w:rsidRPr="008A3740">
        <w:rPr>
          <w:rFonts w:ascii="Verdana" w:hAnsi="Verdana"/>
          <w:sz w:val="20"/>
          <w:szCs w:val="20"/>
          <w:lang w:val="en-US"/>
        </w:rPr>
        <w:t xml:space="preserve">the </w:t>
      </w:r>
      <w:r w:rsidRPr="008A3740">
        <w:rPr>
          <w:rFonts w:ascii="Verdana" w:hAnsi="Verdana"/>
          <w:sz w:val="20"/>
          <w:szCs w:val="20"/>
          <w:lang w:val="en-US"/>
        </w:rPr>
        <w:t xml:space="preserve">State a </w:t>
      </w:r>
      <w:r w:rsidR="008E6A56" w:rsidRPr="008A3740">
        <w:rPr>
          <w:rFonts w:ascii="Verdana" w:hAnsi="Verdana"/>
          <w:sz w:val="20"/>
          <w:szCs w:val="20"/>
          <w:lang w:val="en-US"/>
        </w:rPr>
        <w:t xml:space="preserve">second extension </w:t>
      </w:r>
      <w:r w:rsidRPr="008A3740">
        <w:rPr>
          <w:rFonts w:ascii="Verdana" w:hAnsi="Verdana"/>
          <w:sz w:val="20"/>
          <w:szCs w:val="20"/>
          <w:lang w:val="en-US"/>
        </w:rPr>
        <w:t xml:space="preserve">as </w:t>
      </w:r>
      <w:r w:rsidR="008E6A56" w:rsidRPr="008A3740">
        <w:rPr>
          <w:rFonts w:ascii="Verdana" w:hAnsi="Verdana"/>
          <w:sz w:val="20"/>
          <w:szCs w:val="20"/>
          <w:lang w:val="en-US"/>
        </w:rPr>
        <w:t>requested and, the</w:t>
      </w:r>
      <w:r w:rsidRPr="008A3740">
        <w:rPr>
          <w:rFonts w:ascii="Verdana" w:hAnsi="Verdana"/>
          <w:sz w:val="20"/>
          <w:szCs w:val="20"/>
          <w:lang w:val="en-US"/>
        </w:rPr>
        <w:t xml:space="preserve">refore, to </w:t>
      </w:r>
      <w:r w:rsidR="008E6A56" w:rsidRPr="008A3740">
        <w:rPr>
          <w:rFonts w:ascii="Verdana" w:hAnsi="Verdana"/>
          <w:sz w:val="20"/>
          <w:szCs w:val="20"/>
          <w:lang w:val="en-US"/>
        </w:rPr>
        <w:t>submit the case to the jurisdiction of the Court.</w:t>
      </w:r>
      <w:r w:rsidR="008E6A56" w:rsidRPr="008A3740">
        <w:rPr>
          <w:rFonts w:ascii="Verdana" w:hAnsi="Verdana"/>
          <w:b/>
          <w:sz w:val="20"/>
          <w:szCs w:val="20"/>
          <w:lang w:val="en-US"/>
        </w:rPr>
        <w:t xml:space="preserve"> </w:t>
      </w:r>
    </w:p>
    <w:p w14:paraId="69BD64DD" w14:textId="77777777" w:rsidR="008E6A56" w:rsidRPr="008A3740" w:rsidRDefault="008E6A56" w:rsidP="008E6A56">
      <w:pPr>
        <w:ind w:left="708"/>
        <w:rPr>
          <w:rFonts w:ascii="Verdana" w:hAnsi="Verdana"/>
          <w:i/>
          <w:sz w:val="20"/>
          <w:szCs w:val="20"/>
          <w:lang w:val="en-US"/>
        </w:rPr>
      </w:pPr>
    </w:p>
    <w:p w14:paraId="21D35545"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i/>
          <w:sz w:val="20"/>
          <w:szCs w:val="20"/>
          <w:lang w:val="en-US"/>
        </w:rPr>
        <w:t>Submission to the Court.</w:t>
      </w:r>
      <w:r w:rsidR="008346EC" w:rsidRPr="008A3740">
        <w:rPr>
          <w:rFonts w:ascii="Verdana" w:hAnsi="Verdana"/>
          <w:sz w:val="20"/>
          <w:szCs w:val="20"/>
          <w:lang w:val="en-US"/>
        </w:rPr>
        <w:t xml:space="preserve"> </w:t>
      </w:r>
      <w:r w:rsidRPr="008A3740">
        <w:rPr>
          <w:rFonts w:ascii="Verdana" w:hAnsi="Verdana"/>
          <w:sz w:val="20"/>
          <w:szCs w:val="20"/>
          <w:lang w:val="en-US"/>
        </w:rPr>
        <w:t>On July 13, 2017, the Commission submit</w:t>
      </w:r>
      <w:r w:rsidR="008346EC" w:rsidRPr="008A3740">
        <w:rPr>
          <w:rFonts w:ascii="Verdana" w:hAnsi="Verdana"/>
          <w:sz w:val="20"/>
          <w:szCs w:val="20"/>
          <w:lang w:val="en-US"/>
        </w:rPr>
        <w:t>ted</w:t>
      </w:r>
      <w:r w:rsidRPr="008A3740">
        <w:rPr>
          <w:rFonts w:ascii="Verdana" w:hAnsi="Verdana"/>
          <w:sz w:val="20"/>
          <w:szCs w:val="20"/>
          <w:lang w:val="en-US"/>
        </w:rPr>
        <w:t xml:space="preserve"> the case to the Inter-American Court</w:t>
      </w:r>
      <w:r w:rsidR="004F4557" w:rsidRPr="008A3740">
        <w:rPr>
          <w:rFonts w:ascii="Verdana" w:hAnsi="Verdana"/>
          <w:sz w:val="20"/>
          <w:szCs w:val="20"/>
          <w:lang w:val="en-US"/>
        </w:rPr>
        <w:t>,</w:t>
      </w:r>
      <w:r w:rsidRPr="008A3740">
        <w:rPr>
          <w:rFonts w:ascii="Verdana" w:hAnsi="Verdana"/>
          <w:sz w:val="20"/>
          <w:szCs w:val="20"/>
          <w:lang w:val="en-US"/>
        </w:rPr>
        <w:t xml:space="preserve"> given the need to obtain justice for the victim.</w:t>
      </w:r>
    </w:p>
    <w:p w14:paraId="437AE985" w14:textId="77777777" w:rsidR="008E6A56" w:rsidRPr="008A3740" w:rsidRDefault="008E6A56" w:rsidP="008E6A56">
      <w:pPr>
        <w:tabs>
          <w:tab w:val="left" w:pos="567"/>
        </w:tabs>
        <w:rPr>
          <w:rFonts w:ascii="Verdana" w:hAnsi="Verdana"/>
          <w:sz w:val="20"/>
          <w:szCs w:val="20"/>
          <w:lang w:val="en-US"/>
        </w:rPr>
      </w:pPr>
    </w:p>
    <w:p w14:paraId="5D5D68A9"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i/>
          <w:sz w:val="20"/>
          <w:szCs w:val="20"/>
          <w:lang w:val="en-US"/>
        </w:rPr>
        <w:t>Requests of the Inter-American Commission.</w:t>
      </w:r>
      <w:r w:rsidR="008346EC" w:rsidRPr="008A3740">
        <w:rPr>
          <w:rFonts w:ascii="Verdana" w:hAnsi="Verdana"/>
          <w:sz w:val="20"/>
          <w:szCs w:val="20"/>
          <w:lang w:val="en-US"/>
        </w:rPr>
        <w:t xml:space="preserve"> </w:t>
      </w:r>
      <w:r w:rsidRPr="008A3740">
        <w:rPr>
          <w:rFonts w:ascii="Verdana" w:hAnsi="Verdana"/>
          <w:sz w:val="20"/>
          <w:szCs w:val="20"/>
          <w:lang w:val="en-US"/>
        </w:rPr>
        <w:t xml:space="preserve">Based on the foregoing, the Commission asked the Court to declare </w:t>
      </w:r>
      <w:r w:rsidRPr="008A3740">
        <w:rPr>
          <w:rFonts w:ascii="Verdana" w:hAnsi="Verdana" w:cs="Arial"/>
          <w:sz w:val="20"/>
          <w:szCs w:val="20"/>
          <w:lang w:val="en-US"/>
        </w:rPr>
        <w:t xml:space="preserve">the State’s international responsibility for the same violations indicated </w:t>
      </w:r>
      <w:r w:rsidRPr="008A3740">
        <w:rPr>
          <w:rFonts w:ascii="Verdana" w:hAnsi="Verdana"/>
          <w:sz w:val="20"/>
          <w:szCs w:val="20"/>
          <w:lang w:val="en-US"/>
        </w:rPr>
        <w:t xml:space="preserve">in its Merits Report </w:t>
      </w:r>
      <w:r w:rsidRPr="008A3740">
        <w:rPr>
          <w:rFonts w:ascii="Verdana" w:hAnsi="Verdana" w:cs="Verdana"/>
          <w:sz w:val="20"/>
          <w:szCs w:val="20"/>
          <w:lang w:val="en-US"/>
        </w:rPr>
        <w:t>(</w:t>
      </w:r>
      <w:r w:rsidRPr="008A3740">
        <w:rPr>
          <w:rFonts w:ascii="Verdana" w:hAnsi="Verdana" w:cs="Verdana"/>
          <w:i/>
          <w:iCs/>
          <w:sz w:val="20"/>
          <w:szCs w:val="20"/>
          <w:lang w:val="en-US"/>
        </w:rPr>
        <w:t xml:space="preserve">supra </w:t>
      </w:r>
      <w:r w:rsidRPr="008A3740">
        <w:rPr>
          <w:rFonts w:ascii="Verdana" w:hAnsi="Verdana" w:cs="Verdana"/>
          <w:sz w:val="20"/>
          <w:szCs w:val="20"/>
          <w:lang w:val="en-US"/>
        </w:rPr>
        <w:t>para. 1)</w:t>
      </w:r>
      <w:r w:rsidRPr="008A3740">
        <w:rPr>
          <w:rFonts w:ascii="Verdana" w:hAnsi="Verdana"/>
          <w:sz w:val="20"/>
          <w:szCs w:val="20"/>
          <w:lang w:val="en-US"/>
        </w:rPr>
        <w:t>, to the detriment of Mr. Oscar Muelle Flores. In addition, it asked the Court</w:t>
      </w:r>
      <w:r w:rsidRPr="008A3740">
        <w:rPr>
          <w:rFonts w:ascii="Verdana" w:eastAsia="Verdana" w:hAnsi="Verdana" w:cs="Verdana"/>
          <w:sz w:val="20"/>
          <w:szCs w:val="20"/>
          <w:lang w:val="en-US"/>
        </w:rPr>
        <w:t xml:space="preserve"> to order the State to </w:t>
      </w:r>
      <w:r w:rsidR="008346EC" w:rsidRPr="008A3740">
        <w:rPr>
          <w:rFonts w:ascii="Verdana" w:eastAsia="Verdana" w:hAnsi="Verdana" w:cs="Verdana"/>
          <w:sz w:val="20"/>
          <w:szCs w:val="20"/>
          <w:lang w:val="en-US"/>
        </w:rPr>
        <w:t xml:space="preserve">implement </w:t>
      </w:r>
      <w:r w:rsidRPr="008A3740">
        <w:rPr>
          <w:rFonts w:ascii="Verdana" w:eastAsia="Verdana" w:hAnsi="Verdana" w:cs="Verdana"/>
          <w:sz w:val="20"/>
          <w:szCs w:val="20"/>
          <w:lang w:val="en-US"/>
        </w:rPr>
        <w:t>certain measures of reparation, which are specified and analyzed in Chapter VIII of this Judgment.</w:t>
      </w:r>
      <w:r w:rsidRPr="008A3740">
        <w:rPr>
          <w:rFonts w:ascii="Verdana" w:hAnsi="Verdana"/>
          <w:sz w:val="20"/>
          <w:szCs w:val="20"/>
          <w:lang w:val="en-US"/>
        </w:rPr>
        <w:t xml:space="preserve"> </w:t>
      </w:r>
    </w:p>
    <w:p w14:paraId="6384F0F6" w14:textId="77777777" w:rsidR="008E6A56" w:rsidRPr="008A3740" w:rsidRDefault="008E6A56" w:rsidP="008E6A56">
      <w:pPr>
        <w:pStyle w:val="Ttulo"/>
        <w:rPr>
          <w:lang w:val="en-US"/>
        </w:rPr>
      </w:pPr>
    </w:p>
    <w:p w14:paraId="7E1CF7D6" w14:textId="77777777" w:rsidR="008E6A56" w:rsidRPr="008A3740" w:rsidRDefault="008E6A56" w:rsidP="008E6A56">
      <w:pPr>
        <w:pStyle w:val="Ttulo"/>
        <w:rPr>
          <w:lang w:val="en-US"/>
        </w:rPr>
      </w:pPr>
      <w:bookmarkStart w:id="3" w:name="_Toc498333469"/>
      <w:bookmarkStart w:id="4" w:name="_Toc5009856"/>
      <w:r w:rsidRPr="008A3740">
        <w:rPr>
          <w:lang w:val="en-US"/>
        </w:rPr>
        <w:t>II</w:t>
      </w:r>
      <w:r w:rsidRPr="008A3740">
        <w:rPr>
          <w:lang w:val="en-US"/>
        </w:rPr>
        <w:br/>
        <w:t>PROCEEDINGS BEFORE THE COURT</w:t>
      </w:r>
      <w:bookmarkEnd w:id="3"/>
      <w:bookmarkEnd w:id="4"/>
    </w:p>
    <w:p w14:paraId="385CD137" w14:textId="77777777" w:rsidR="008E6A56" w:rsidRPr="008A3740" w:rsidRDefault="008E6A56" w:rsidP="008E6A56">
      <w:pPr>
        <w:pStyle w:val="Prrafodelista"/>
        <w:ind w:left="0"/>
        <w:rPr>
          <w:rFonts w:ascii="Verdana" w:hAnsi="Verdana"/>
          <w:sz w:val="20"/>
          <w:szCs w:val="20"/>
          <w:lang w:val="en-US"/>
        </w:rPr>
      </w:pPr>
    </w:p>
    <w:p w14:paraId="5BD30A37" w14:textId="77777777" w:rsidR="008E6A56" w:rsidRPr="008A3740" w:rsidRDefault="008E6A56" w:rsidP="00D17A65">
      <w:pPr>
        <w:numPr>
          <w:ilvl w:val="0"/>
          <w:numId w:val="3"/>
        </w:numPr>
        <w:tabs>
          <w:tab w:val="left" w:pos="567"/>
          <w:tab w:val="num" w:pos="12305"/>
        </w:tabs>
        <w:ind w:left="0" w:firstLine="0"/>
        <w:rPr>
          <w:rFonts w:ascii="Verdana" w:eastAsia="Verdana" w:hAnsi="Verdana"/>
          <w:sz w:val="20"/>
          <w:szCs w:val="20"/>
          <w:lang w:val="en-US"/>
        </w:rPr>
      </w:pPr>
      <w:r w:rsidRPr="008A3740">
        <w:rPr>
          <w:rFonts w:ascii="Verdana" w:hAnsi="Verdana"/>
          <w:i/>
          <w:snapToGrid w:val="0"/>
          <w:sz w:val="20"/>
          <w:szCs w:val="20"/>
          <w:lang w:val="en-US"/>
        </w:rPr>
        <w:t>Designation of Inter-American Public Defenders</w:t>
      </w:r>
      <w:r w:rsidR="008346EC"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On </w:t>
      </w:r>
      <w:r w:rsidRPr="008A3740">
        <w:rPr>
          <w:rFonts w:ascii="Verdana" w:hAnsi="Verdana"/>
          <w:sz w:val="20"/>
          <w:szCs w:val="20"/>
          <w:lang w:val="en-US"/>
        </w:rPr>
        <w:t xml:space="preserve">September 8, 2017, Mr. Oscar Muelle requested that the Court </w:t>
      </w:r>
      <w:r w:rsidR="008346EC" w:rsidRPr="008A3740">
        <w:rPr>
          <w:rFonts w:ascii="Verdana" w:hAnsi="Verdana"/>
          <w:sz w:val="20"/>
          <w:szCs w:val="20"/>
          <w:lang w:val="en-US"/>
        </w:rPr>
        <w:t xml:space="preserve">appoint </w:t>
      </w:r>
      <w:r w:rsidRPr="008A3740">
        <w:rPr>
          <w:rFonts w:ascii="Verdana" w:hAnsi="Verdana"/>
          <w:snapToGrid w:val="0"/>
          <w:sz w:val="20"/>
          <w:szCs w:val="20"/>
          <w:lang w:val="en-US"/>
        </w:rPr>
        <w:t>an Inter-American Public Defender</w:t>
      </w:r>
      <w:r w:rsidRPr="008A3740">
        <w:rPr>
          <w:rFonts w:ascii="Verdana" w:hAnsi="Verdana"/>
          <w:sz w:val="20"/>
          <w:szCs w:val="20"/>
          <w:lang w:val="en-US"/>
        </w:rPr>
        <w:t xml:space="preserve">. Following the </w:t>
      </w:r>
      <w:r w:rsidR="008346EC" w:rsidRPr="008A3740">
        <w:rPr>
          <w:rFonts w:ascii="Verdana" w:hAnsi="Verdana"/>
          <w:sz w:val="20"/>
          <w:szCs w:val="20"/>
          <w:lang w:val="en-US"/>
        </w:rPr>
        <w:t xml:space="preserve">relevant </w:t>
      </w:r>
      <w:r w:rsidRPr="008A3740">
        <w:rPr>
          <w:rFonts w:ascii="Verdana" w:hAnsi="Verdana"/>
          <w:sz w:val="20"/>
          <w:szCs w:val="20"/>
          <w:lang w:val="en-US"/>
        </w:rPr>
        <w:t xml:space="preserve">communications with the </w:t>
      </w:r>
      <w:r w:rsidRPr="008A3740">
        <w:rPr>
          <w:rFonts w:ascii="Verdana" w:hAnsi="Verdana" w:cs="Tahoma"/>
          <w:sz w:val="20"/>
          <w:szCs w:val="20"/>
          <w:shd w:val="clear" w:color="auto" w:fill="FFFFFF"/>
          <w:lang w:val="en-US"/>
        </w:rPr>
        <w:t>Inter-American Association of Public Defenders</w:t>
      </w:r>
      <w:r w:rsidRPr="008A3740">
        <w:rPr>
          <w:rFonts w:ascii="Verdana" w:hAnsi="Verdana"/>
          <w:sz w:val="20"/>
          <w:szCs w:val="20"/>
          <w:lang w:val="en-US"/>
        </w:rPr>
        <w:t xml:space="preserve"> (hereinafter “AIDEF”)</w:t>
      </w:r>
      <w:r w:rsidR="008346EC" w:rsidRPr="008A3740">
        <w:rPr>
          <w:rFonts w:ascii="Verdana" w:hAnsi="Verdana"/>
          <w:sz w:val="20"/>
          <w:szCs w:val="20"/>
          <w:lang w:val="en-US"/>
        </w:rPr>
        <w:t>,</w:t>
      </w:r>
      <w:r w:rsidRPr="008A3740">
        <w:rPr>
          <w:rStyle w:val="Refdenotaalpie"/>
          <w:szCs w:val="20"/>
          <w:lang w:val="en-US"/>
        </w:rPr>
        <w:footnoteReference w:id="3"/>
      </w:r>
      <w:r w:rsidRPr="008A3740">
        <w:rPr>
          <w:rFonts w:ascii="Verdana" w:hAnsi="Verdana"/>
          <w:sz w:val="20"/>
          <w:szCs w:val="20"/>
          <w:lang w:val="en-US"/>
        </w:rPr>
        <w:t xml:space="preserve"> on September 20, 2017, the Association’s General Coordinator informed the Court that Renée Mariño Álvarez (Uruguay) and Isabel Penido de Campos Machado (Brazil) had been designated as Inter-American Public Defenders to act as legal representatives (hereinafter, “the representatives”)</w:t>
      </w:r>
      <w:r w:rsidRPr="008A3740">
        <w:rPr>
          <w:rStyle w:val="Refdenotaalpie"/>
          <w:szCs w:val="20"/>
          <w:lang w:val="en-US"/>
        </w:rPr>
        <w:footnoteReference w:id="4"/>
      </w:r>
      <w:r w:rsidR="008346EC" w:rsidRPr="008A3740">
        <w:rPr>
          <w:rFonts w:ascii="Verdana" w:hAnsi="Verdana"/>
          <w:sz w:val="20"/>
          <w:szCs w:val="20"/>
          <w:lang w:val="en-US"/>
        </w:rPr>
        <w:t xml:space="preserve"> of the alleged victim</w:t>
      </w:r>
      <w:r w:rsidRPr="008A3740">
        <w:rPr>
          <w:rFonts w:ascii="Verdana" w:hAnsi="Verdana"/>
          <w:sz w:val="20"/>
          <w:szCs w:val="20"/>
          <w:lang w:val="en-US"/>
        </w:rPr>
        <w:t xml:space="preserve"> in this case.</w:t>
      </w:r>
    </w:p>
    <w:p w14:paraId="4A3BB4A6" w14:textId="77777777" w:rsidR="008E6A56" w:rsidRPr="008A3740" w:rsidRDefault="008E6A56" w:rsidP="008E6A56">
      <w:pPr>
        <w:pStyle w:val="PrrafodeSentencia"/>
        <w:numPr>
          <w:ilvl w:val="0"/>
          <w:numId w:val="0"/>
        </w:numPr>
        <w:rPr>
          <w:rFonts w:eastAsia="Verdana"/>
          <w:lang w:val="en-US"/>
        </w:rPr>
      </w:pPr>
    </w:p>
    <w:p w14:paraId="6F8E27E2" w14:textId="77777777" w:rsidR="008E6A56" w:rsidRPr="008A3740" w:rsidRDefault="008E6A56" w:rsidP="00D17A65">
      <w:pPr>
        <w:numPr>
          <w:ilvl w:val="0"/>
          <w:numId w:val="3"/>
        </w:numPr>
        <w:tabs>
          <w:tab w:val="left" w:pos="567"/>
          <w:tab w:val="num" w:pos="12305"/>
        </w:tabs>
        <w:ind w:left="0" w:firstLine="0"/>
        <w:rPr>
          <w:rFonts w:ascii="Verdana" w:eastAsia="Batang" w:hAnsi="Verdana"/>
          <w:sz w:val="20"/>
          <w:szCs w:val="20"/>
          <w:lang w:val="en-US"/>
        </w:rPr>
      </w:pPr>
      <w:r w:rsidRPr="008A3740">
        <w:rPr>
          <w:rFonts w:ascii="Verdana" w:hAnsi="Verdana"/>
          <w:i/>
          <w:sz w:val="20"/>
          <w:szCs w:val="20"/>
          <w:lang w:val="en-US"/>
        </w:rPr>
        <w:t xml:space="preserve">Notification to the </w:t>
      </w:r>
      <w:r w:rsidR="004F4557" w:rsidRPr="008A3740">
        <w:rPr>
          <w:rFonts w:ascii="Verdana" w:hAnsi="Verdana"/>
          <w:i/>
          <w:sz w:val="20"/>
          <w:szCs w:val="20"/>
          <w:lang w:val="en-US"/>
        </w:rPr>
        <w:t xml:space="preserve">State and to the </w:t>
      </w:r>
      <w:r w:rsidRPr="008A3740">
        <w:rPr>
          <w:rFonts w:ascii="Verdana" w:hAnsi="Verdana"/>
          <w:i/>
          <w:sz w:val="20"/>
          <w:szCs w:val="20"/>
          <w:lang w:val="en-US"/>
        </w:rPr>
        <w:t>repr</w:t>
      </w:r>
      <w:r w:rsidR="005C5315" w:rsidRPr="008A3740">
        <w:rPr>
          <w:rFonts w:ascii="Verdana" w:hAnsi="Verdana"/>
          <w:i/>
          <w:sz w:val="20"/>
          <w:szCs w:val="20"/>
          <w:lang w:val="en-US"/>
        </w:rPr>
        <w:t xml:space="preserve">esentatives. </w:t>
      </w:r>
      <w:r w:rsidRPr="008A3740">
        <w:rPr>
          <w:rFonts w:ascii="Verdana" w:hAnsi="Verdana"/>
          <w:sz w:val="20"/>
          <w:szCs w:val="20"/>
          <w:lang w:val="en-US"/>
        </w:rPr>
        <w:t xml:space="preserve">The </w:t>
      </w:r>
      <w:r w:rsidR="004F4557" w:rsidRPr="008A3740">
        <w:rPr>
          <w:rFonts w:ascii="Verdana" w:hAnsi="Verdana"/>
          <w:sz w:val="20"/>
          <w:szCs w:val="20"/>
          <w:lang w:val="en-US"/>
        </w:rPr>
        <w:t xml:space="preserve">Court notified the Commission’s </w:t>
      </w:r>
      <w:r w:rsidRPr="008A3740">
        <w:rPr>
          <w:rFonts w:ascii="Verdana" w:hAnsi="Verdana"/>
          <w:sz w:val="20"/>
          <w:szCs w:val="20"/>
          <w:lang w:val="en-US"/>
        </w:rPr>
        <w:t xml:space="preserve">submission of the case to the State of Peru on October 9, 2017 and to the Inter-American Public Defenders of the alleged victim on October 17, 2017. </w:t>
      </w:r>
    </w:p>
    <w:p w14:paraId="3B9CF24D" w14:textId="77777777" w:rsidR="008E6A56" w:rsidRPr="008A3740" w:rsidRDefault="008E6A56" w:rsidP="008E6A56">
      <w:pPr>
        <w:rPr>
          <w:rFonts w:ascii="Verdana" w:hAnsi="Verdana"/>
          <w:sz w:val="20"/>
          <w:szCs w:val="20"/>
          <w:lang w:val="en-US"/>
        </w:rPr>
      </w:pPr>
    </w:p>
    <w:p w14:paraId="0F084EB7" w14:textId="77777777" w:rsidR="008E6A56" w:rsidRPr="008A3740" w:rsidRDefault="008E6A56" w:rsidP="00D17A65">
      <w:pPr>
        <w:numPr>
          <w:ilvl w:val="0"/>
          <w:numId w:val="3"/>
        </w:numPr>
        <w:tabs>
          <w:tab w:val="left" w:pos="567"/>
          <w:tab w:val="num" w:pos="12305"/>
        </w:tabs>
        <w:ind w:left="0" w:firstLine="0"/>
        <w:rPr>
          <w:rFonts w:ascii="Verdana" w:eastAsia="Batang" w:hAnsi="Verdana"/>
          <w:sz w:val="20"/>
          <w:szCs w:val="20"/>
          <w:u w:val="single"/>
          <w:lang w:val="en-US"/>
        </w:rPr>
      </w:pPr>
      <w:r w:rsidRPr="008A3740">
        <w:rPr>
          <w:rFonts w:ascii="Verdana" w:hAnsi="Verdana"/>
          <w:i/>
          <w:sz w:val="20"/>
          <w:szCs w:val="20"/>
          <w:lang w:val="en-US"/>
        </w:rPr>
        <w:t>Brief of ple</w:t>
      </w:r>
      <w:r w:rsidR="004F4557" w:rsidRPr="008A3740">
        <w:rPr>
          <w:rFonts w:ascii="Verdana" w:hAnsi="Verdana"/>
          <w:i/>
          <w:sz w:val="20"/>
          <w:szCs w:val="20"/>
          <w:lang w:val="en-US"/>
        </w:rPr>
        <w:t xml:space="preserve">adings, motions and evidence. </w:t>
      </w:r>
      <w:r w:rsidRPr="008A3740">
        <w:rPr>
          <w:rFonts w:ascii="Verdana" w:hAnsi="Verdana"/>
          <w:sz w:val="20"/>
          <w:szCs w:val="20"/>
          <w:lang w:val="en-US"/>
        </w:rPr>
        <w:t xml:space="preserve">On December 10, 2017, the representatives </w:t>
      </w:r>
      <w:r w:rsidR="004F4557" w:rsidRPr="008A3740">
        <w:rPr>
          <w:rFonts w:ascii="Verdana" w:hAnsi="Verdana"/>
          <w:sz w:val="20"/>
          <w:szCs w:val="20"/>
          <w:lang w:val="en-US"/>
        </w:rPr>
        <w:t xml:space="preserve">filed </w:t>
      </w:r>
      <w:r w:rsidRPr="008A3740">
        <w:rPr>
          <w:rFonts w:ascii="Verdana" w:hAnsi="Verdana"/>
          <w:sz w:val="20"/>
          <w:szCs w:val="20"/>
          <w:lang w:val="en-US"/>
        </w:rPr>
        <w:t xml:space="preserve">their brief of pleadings, motions and evidence </w:t>
      </w:r>
      <w:r w:rsidR="004F4557" w:rsidRPr="008A3740">
        <w:rPr>
          <w:rFonts w:ascii="Verdana" w:hAnsi="Verdana"/>
          <w:sz w:val="20"/>
          <w:szCs w:val="20"/>
          <w:lang w:val="en-US"/>
        </w:rPr>
        <w:t xml:space="preserve">before the Court </w:t>
      </w:r>
      <w:r w:rsidRPr="008A3740">
        <w:rPr>
          <w:rFonts w:ascii="Verdana" w:hAnsi="Verdana"/>
          <w:sz w:val="20"/>
          <w:szCs w:val="20"/>
          <w:lang w:val="en-US"/>
        </w:rPr>
        <w:t xml:space="preserve">(hereinafter “pleadings and motions brief”). </w:t>
      </w:r>
      <w:r w:rsidR="004F4557" w:rsidRPr="008A3740">
        <w:rPr>
          <w:rFonts w:ascii="Verdana" w:hAnsi="Verdana"/>
          <w:sz w:val="20"/>
          <w:szCs w:val="20"/>
          <w:lang w:val="en-US"/>
        </w:rPr>
        <w:t>Overall, t</w:t>
      </w:r>
      <w:r w:rsidRPr="008A3740">
        <w:rPr>
          <w:rFonts w:ascii="Verdana" w:hAnsi="Verdana"/>
          <w:sz w:val="20"/>
          <w:szCs w:val="20"/>
          <w:lang w:val="en-US"/>
        </w:rPr>
        <w:t>he representatives agreed with the a</w:t>
      </w:r>
      <w:r w:rsidR="004F4557" w:rsidRPr="008A3740">
        <w:rPr>
          <w:rFonts w:ascii="Verdana" w:hAnsi="Verdana"/>
          <w:sz w:val="20"/>
          <w:szCs w:val="20"/>
          <w:lang w:val="en-US"/>
        </w:rPr>
        <w:t xml:space="preserve">llegations presented by </w:t>
      </w:r>
      <w:r w:rsidRPr="008A3740">
        <w:rPr>
          <w:rFonts w:ascii="Verdana" w:hAnsi="Verdana"/>
          <w:sz w:val="20"/>
          <w:szCs w:val="20"/>
          <w:lang w:val="en-US"/>
        </w:rPr>
        <w:t xml:space="preserve">the Commission. In addition to the </w:t>
      </w:r>
      <w:r w:rsidR="004F4557" w:rsidRPr="008A3740">
        <w:rPr>
          <w:rFonts w:ascii="Verdana" w:hAnsi="Verdana"/>
          <w:sz w:val="20"/>
          <w:szCs w:val="20"/>
          <w:lang w:val="en-US"/>
        </w:rPr>
        <w:t xml:space="preserve">violations </w:t>
      </w:r>
      <w:r w:rsidRPr="008A3740">
        <w:rPr>
          <w:rFonts w:ascii="Verdana" w:hAnsi="Verdana"/>
          <w:sz w:val="20"/>
          <w:szCs w:val="20"/>
          <w:lang w:val="en-US"/>
        </w:rPr>
        <w:t xml:space="preserve">alleged by the Commission, </w:t>
      </w:r>
      <w:r w:rsidR="004F4557" w:rsidRPr="008A3740">
        <w:rPr>
          <w:rFonts w:ascii="Verdana" w:hAnsi="Verdana"/>
          <w:sz w:val="20"/>
          <w:szCs w:val="20"/>
          <w:lang w:val="en-US"/>
        </w:rPr>
        <w:t xml:space="preserve">they </w:t>
      </w:r>
      <w:r w:rsidRPr="008A3740">
        <w:rPr>
          <w:rFonts w:ascii="Verdana" w:hAnsi="Verdana"/>
          <w:sz w:val="20"/>
          <w:szCs w:val="20"/>
          <w:lang w:val="en-US"/>
        </w:rPr>
        <w:t xml:space="preserve">presented </w:t>
      </w:r>
      <w:r w:rsidR="004F4557" w:rsidRPr="008A3740">
        <w:rPr>
          <w:rFonts w:ascii="Verdana" w:hAnsi="Verdana"/>
          <w:sz w:val="20"/>
          <w:szCs w:val="20"/>
          <w:lang w:val="en-US"/>
        </w:rPr>
        <w:t xml:space="preserve">further </w:t>
      </w:r>
      <w:r w:rsidRPr="008A3740">
        <w:rPr>
          <w:rFonts w:ascii="Verdana" w:hAnsi="Verdana"/>
          <w:sz w:val="20"/>
          <w:szCs w:val="20"/>
          <w:lang w:val="en-US"/>
        </w:rPr>
        <w:t xml:space="preserve">arguments </w:t>
      </w:r>
      <w:r w:rsidR="004F4557" w:rsidRPr="008A3740">
        <w:rPr>
          <w:rFonts w:ascii="Verdana" w:hAnsi="Verdana"/>
          <w:sz w:val="20"/>
          <w:szCs w:val="20"/>
          <w:lang w:val="en-US"/>
        </w:rPr>
        <w:t xml:space="preserve">regarding the </w:t>
      </w:r>
      <w:r w:rsidRPr="008A3740">
        <w:rPr>
          <w:rFonts w:ascii="Verdana" w:hAnsi="Verdana"/>
          <w:sz w:val="20"/>
          <w:szCs w:val="20"/>
          <w:lang w:val="en-US"/>
        </w:rPr>
        <w:t>alleged violation of the rights to</w:t>
      </w:r>
      <w:r w:rsidRPr="008A3740">
        <w:rPr>
          <w:rFonts w:ascii="Verdana" w:hAnsi="Verdana" w:cs="Arial"/>
          <w:sz w:val="20"/>
          <w:szCs w:val="20"/>
          <w:lang w:val="en-US"/>
        </w:rPr>
        <w:t xml:space="preserve"> judicial guarantees and judicial protection recognized in Articles 8(1) and 25(1) of the Convention, in relation to Articles 1(1) and 2 thereof, as well as </w:t>
      </w:r>
      <w:r w:rsidR="004F4557" w:rsidRPr="008A3740">
        <w:rPr>
          <w:rFonts w:ascii="Verdana" w:hAnsi="Verdana" w:cs="Arial"/>
          <w:sz w:val="20"/>
          <w:szCs w:val="20"/>
          <w:lang w:val="en-US"/>
        </w:rPr>
        <w:t>the alleged violation of economic, social and cultural r</w:t>
      </w:r>
      <w:r w:rsidRPr="008A3740">
        <w:rPr>
          <w:rFonts w:ascii="Verdana" w:hAnsi="Verdana" w:cs="Arial"/>
          <w:sz w:val="20"/>
          <w:szCs w:val="20"/>
          <w:lang w:val="en-US"/>
        </w:rPr>
        <w:t xml:space="preserve">ights (Article 26), </w:t>
      </w:r>
      <w:r w:rsidR="004F4557" w:rsidRPr="008A3740">
        <w:rPr>
          <w:rFonts w:ascii="Verdana" w:hAnsi="Verdana" w:cs="Arial"/>
          <w:sz w:val="20"/>
          <w:szCs w:val="20"/>
          <w:lang w:val="en-US"/>
        </w:rPr>
        <w:t xml:space="preserve">specifically </w:t>
      </w:r>
      <w:r w:rsidRPr="008A3740">
        <w:rPr>
          <w:rFonts w:ascii="Verdana" w:hAnsi="Verdana" w:cs="Arial"/>
          <w:sz w:val="20"/>
          <w:szCs w:val="20"/>
          <w:lang w:val="en-US"/>
        </w:rPr>
        <w:t xml:space="preserve">pension rights, in relation to Article 1(1) of the Convention. </w:t>
      </w:r>
    </w:p>
    <w:p w14:paraId="4CC074AF" w14:textId="77777777" w:rsidR="008E6A56" w:rsidRPr="008A3740" w:rsidRDefault="008E6A56" w:rsidP="008E6A56">
      <w:pPr>
        <w:tabs>
          <w:tab w:val="left" w:pos="567"/>
        </w:tabs>
        <w:rPr>
          <w:rFonts w:ascii="Verdana" w:hAnsi="Verdana"/>
          <w:sz w:val="20"/>
          <w:szCs w:val="20"/>
          <w:lang w:val="en-US"/>
        </w:rPr>
      </w:pPr>
    </w:p>
    <w:p w14:paraId="0E492BE1" w14:textId="77777777" w:rsidR="008E6A56" w:rsidRPr="008A3740" w:rsidRDefault="008E6A56" w:rsidP="00D17A65">
      <w:pPr>
        <w:numPr>
          <w:ilvl w:val="0"/>
          <w:numId w:val="3"/>
        </w:numPr>
        <w:tabs>
          <w:tab w:val="left" w:pos="567"/>
          <w:tab w:val="num" w:pos="12305"/>
        </w:tabs>
        <w:ind w:left="0" w:firstLine="0"/>
        <w:rPr>
          <w:rFonts w:ascii="Verdana" w:hAnsi="Verdana"/>
          <w:b/>
          <w:sz w:val="20"/>
          <w:szCs w:val="20"/>
          <w:lang w:val="en-US"/>
        </w:rPr>
      </w:pPr>
      <w:r w:rsidRPr="008A3740">
        <w:rPr>
          <w:rFonts w:ascii="Verdana" w:hAnsi="Verdana"/>
          <w:i/>
          <w:sz w:val="20"/>
          <w:szCs w:val="20"/>
          <w:lang w:val="en-US"/>
        </w:rPr>
        <w:lastRenderedPageBreak/>
        <w:t>Answering brief.</w:t>
      </w:r>
      <w:r w:rsidR="00FD33EC" w:rsidRPr="008A3740">
        <w:rPr>
          <w:rFonts w:ascii="Verdana" w:hAnsi="Verdana"/>
          <w:sz w:val="20"/>
          <w:szCs w:val="20"/>
          <w:lang w:val="en-US"/>
        </w:rPr>
        <w:t xml:space="preserve"> </w:t>
      </w:r>
      <w:r w:rsidRPr="008A3740">
        <w:rPr>
          <w:rFonts w:ascii="Verdana" w:hAnsi="Verdana"/>
          <w:sz w:val="20"/>
          <w:szCs w:val="20"/>
          <w:lang w:val="en-US"/>
        </w:rPr>
        <w:t>On April 2, 2018</w:t>
      </w:r>
      <w:r w:rsidR="00CB291C" w:rsidRPr="008A3740">
        <w:rPr>
          <w:rFonts w:ascii="Verdana" w:hAnsi="Verdana"/>
          <w:sz w:val="20"/>
          <w:szCs w:val="20"/>
          <w:lang w:val="en-US"/>
        </w:rPr>
        <w:t>,</w:t>
      </w:r>
      <w:r w:rsidRPr="008A3740">
        <w:rPr>
          <w:rFonts w:ascii="Verdana" w:hAnsi="Verdana"/>
          <w:sz w:val="20"/>
          <w:szCs w:val="20"/>
          <w:lang w:val="en-US"/>
        </w:rPr>
        <w:t xml:space="preserve"> the State</w:t>
      </w:r>
      <w:r w:rsidRPr="008A3740">
        <w:rPr>
          <w:rStyle w:val="Refdenotaalpie"/>
          <w:szCs w:val="20"/>
          <w:lang w:val="en-US"/>
        </w:rPr>
        <w:footnoteReference w:id="5"/>
      </w:r>
      <w:r w:rsidRPr="008A3740">
        <w:rPr>
          <w:rFonts w:ascii="Verdana" w:hAnsi="Verdana"/>
          <w:sz w:val="20"/>
          <w:szCs w:val="20"/>
          <w:lang w:val="en-US"/>
        </w:rPr>
        <w:t xml:space="preserve"> </w:t>
      </w:r>
      <w:r w:rsidR="00CB291C" w:rsidRPr="008A3740">
        <w:rPr>
          <w:rFonts w:ascii="Verdana" w:hAnsi="Verdana"/>
          <w:sz w:val="20"/>
          <w:szCs w:val="20"/>
          <w:lang w:val="en-US"/>
        </w:rPr>
        <w:t xml:space="preserve">submitted to </w:t>
      </w:r>
      <w:r w:rsidRPr="008A3740">
        <w:rPr>
          <w:rFonts w:ascii="Verdana" w:hAnsi="Verdana"/>
          <w:sz w:val="20"/>
          <w:szCs w:val="20"/>
          <w:lang w:val="en-US"/>
        </w:rPr>
        <w:t>the Court its answer to the brief</w:t>
      </w:r>
      <w:r w:rsidR="00CB291C" w:rsidRPr="008A3740">
        <w:rPr>
          <w:rFonts w:ascii="Verdana" w:hAnsi="Verdana"/>
          <w:sz w:val="20"/>
          <w:szCs w:val="20"/>
          <w:lang w:val="en-US"/>
        </w:rPr>
        <w:t xml:space="preserve"> submitting the case and to the </w:t>
      </w:r>
      <w:r w:rsidRPr="008A3740">
        <w:rPr>
          <w:rFonts w:ascii="Verdana" w:hAnsi="Verdana"/>
          <w:sz w:val="20"/>
          <w:szCs w:val="20"/>
          <w:lang w:val="en-US"/>
        </w:rPr>
        <w:t xml:space="preserve">observations </w:t>
      </w:r>
      <w:r w:rsidR="00CB291C" w:rsidRPr="008A3740">
        <w:rPr>
          <w:rFonts w:ascii="Verdana" w:hAnsi="Verdana"/>
          <w:sz w:val="20"/>
          <w:szCs w:val="20"/>
          <w:lang w:val="en-US"/>
        </w:rPr>
        <w:t xml:space="preserve">made </w:t>
      </w:r>
      <w:r w:rsidRPr="008A3740">
        <w:rPr>
          <w:rFonts w:ascii="Verdana" w:hAnsi="Verdana"/>
          <w:sz w:val="20"/>
          <w:szCs w:val="20"/>
          <w:lang w:val="en-US"/>
        </w:rPr>
        <w:t xml:space="preserve">to the brief of pleadings, motions and evidence (hereinafter “answering brief”). In its </w:t>
      </w:r>
      <w:r w:rsidR="00CB291C" w:rsidRPr="008A3740">
        <w:rPr>
          <w:rFonts w:ascii="Verdana" w:hAnsi="Verdana"/>
          <w:sz w:val="20"/>
          <w:szCs w:val="20"/>
          <w:lang w:val="en-US"/>
        </w:rPr>
        <w:t xml:space="preserve">answering </w:t>
      </w:r>
      <w:r w:rsidRPr="008A3740">
        <w:rPr>
          <w:rFonts w:ascii="Verdana" w:hAnsi="Verdana"/>
          <w:sz w:val="20"/>
          <w:szCs w:val="20"/>
          <w:lang w:val="en-US"/>
        </w:rPr>
        <w:t>brief</w:t>
      </w:r>
      <w:r w:rsidR="00CB291C" w:rsidRPr="008A3740">
        <w:rPr>
          <w:rFonts w:ascii="Verdana" w:hAnsi="Verdana"/>
          <w:sz w:val="20"/>
          <w:szCs w:val="20"/>
          <w:lang w:val="en-US"/>
        </w:rPr>
        <w:t>,</w:t>
      </w:r>
      <w:r w:rsidRPr="008A3740">
        <w:rPr>
          <w:rFonts w:ascii="Verdana" w:hAnsi="Verdana"/>
          <w:sz w:val="20"/>
          <w:szCs w:val="20"/>
          <w:lang w:val="en-US"/>
        </w:rPr>
        <w:t xml:space="preserve"> the State </w:t>
      </w:r>
      <w:r w:rsidR="00CB291C" w:rsidRPr="008A3740">
        <w:rPr>
          <w:rFonts w:ascii="Verdana" w:hAnsi="Verdana"/>
          <w:sz w:val="20"/>
          <w:szCs w:val="20"/>
          <w:lang w:val="en-US"/>
        </w:rPr>
        <w:t xml:space="preserve">referred to </w:t>
      </w:r>
      <w:r w:rsidRPr="008A3740">
        <w:rPr>
          <w:rFonts w:ascii="Verdana" w:hAnsi="Verdana"/>
          <w:sz w:val="20"/>
          <w:szCs w:val="20"/>
          <w:lang w:val="en-US"/>
        </w:rPr>
        <w:t>a series of “procedural matters</w:t>
      </w:r>
      <w:r w:rsidR="00CB291C" w:rsidRPr="008A3740">
        <w:rPr>
          <w:rFonts w:ascii="Verdana" w:hAnsi="Verdana"/>
          <w:sz w:val="20"/>
          <w:szCs w:val="20"/>
          <w:lang w:val="en-US"/>
        </w:rPr>
        <w:t>,”</w:t>
      </w:r>
      <w:r w:rsidRPr="008A3740">
        <w:rPr>
          <w:rFonts w:ascii="Verdana" w:hAnsi="Verdana"/>
          <w:sz w:val="20"/>
          <w:szCs w:val="20"/>
          <w:lang w:val="en-US"/>
        </w:rPr>
        <w:t xml:space="preserve"> </w:t>
      </w:r>
      <w:r w:rsidR="00CB291C" w:rsidRPr="008A3740">
        <w:rPr>
          <w:rFonts w:ascii="Verdana" w:hAnsi="Verdana"/>
          <w:sz w:val="20"/>
          <w:szCs w:val="20"/>
          <w:lang w:val="en-US"/>
        </w:rPr>
        <w:t xml:space="preserve">including </w:t>
      </w:r>
      <w:r w:rsidRPr="008A3740">
        <w:rPr>
          <w:rFonts w:ascii="Verdana" w:hAnsi="Verdana"/>
          <w:sz w:val="20"/>
          <w:szCs w:val="20"/>
          <w:lang w:val="en-US"/>
        </w:rPr>
        <w:t xml:space="preserve">“the failure to exhaust domestic remedies” and “observations </w:t>
      </w:r>
      <w:r w:rsidR="000E73BC" w:rsidRPr="008A3740">
        <w:rPr>
          <w:rFonts w:ascii="Verdana" w:hAnsi="Verdana"/>
          <w:sz w:val="20"/>
          <w:szCs w:val="20"/>
          <w:lang w:val="en-US"/>
        </w:rPr>
        <w:t xml:space="preserve">regarding </w:t>
      </w:r>
      <w:r w:rsidRPr="008A3740">
        <w:rPr>
          <w:rFonts w:ascii="Verdana" w:hAnsi="Verdana"/>
          <w:sz w:val="20"/>
          <w:szCs w:val="20"/>
          <w:lang w:val="en-US"/>
        </w:rPr>
        <w:t>the i</w:t>
      </w:r>
      <w:r w:rsidR="000E73BC" w:rsidRPr="008A3740">
        <w:rPr>
          <w:rFonts w:ascii="Verdana" w:hAnsi="Verdana"/>
          <w:sz w:val="20"/>
          <w:szCs w:val="20"/>
          <w:lang w:val="en-US"/>
        </w:rPr>
        <w:t xml:space="preserve">nappropriate </w:t>
      </w:r>
      <w:r w:rsidRPr="008A3740">
        <w:rPr>
          <w:rFonts w:ascii="Verdana" w:hAnsi="Verdana"/>
          <w:sz w:val="20"/>
          <w:szCs w:val="20"/>
          <w:lang w:val="en-US"/>
        </w:rPr>
        <w:t xml:space="preserve">inclusion of Article 26” by the representatives, and claimed that the State was not responsible for the alleged violation of the rights mentioned by the Commission and the representatives. </w:t>
      </w:r>
    </w:p>
    <w:p w14:paraId="28250319" w14:textId="77777777" w:rsidR="008E6A56" w:rsidRPr="008A3740" w:rsidRDefault="008E6A56" w:rsidP="008E6A56">
      <w:pPr>
        <w:pStyle w:val="Prrafodelista"/>
        <w:ind w:left="0"/>
        <w:rPr>
          <w:rFonts w:ascii="Verdana" w:hAnsi="Verdana"/>
          <w:b/>
          <w:sz w:val="20"/>
          <w:szCs w:val="20"/>
          <w:lang w:val="en-US"/>
        </w:rPr>
      </w:pPr>
    </w:p>
    <w:p w14:paraId="2EF49DF1"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i/>
          <w:sz w:val="20"/>
          <w:szCs w:val="20"/>
          <w:lang w:val="en-US"/>
        </w:rPr>
        <w:t>Observations to the preliminary objections.</w:t>
      </w:r>
      <w:r w:rsidR="00CB291C" w:rsidRPr="008A3740">
        <w:rPr>
          <w:rFonts w:ascii="Verdana" w:hAnsi="Verdana"/>
          <w:sz w:val="20"/>
          <w:szCs w:val="20"/>
          <w:lang w:val="en-US"/>
        </w:rPr>
        <w:t xml:space="preserve"> </w:t>
      </w:r>
      <w:r w:rsidRPr="008A3740">
        <w:rPr>
          <w:rFonts w:ascii="Verdana" w:hAnsi="Verdana"/>
          <w:sz w:val="20"/>
          <w:szCs w:val="20"/>
          <w:lang w:val="en-US"/>
        </w:rPr>
        <w:t>On June 4 and 5, 2018, the Commission and the representatives</w:t>
      </w:r>
      <w:r w:rsidR="00CB291C" w:rsidRPr="008A3740">
        <w:rPr>
          <w:rFonts w:ascii="Verdana" w:hAnsi="Verdana"/>
          <w:sz w:val="20"/>
          <w:szCs w:val="20"/>
          <w:lang w:val="en-US"/>
        </w:rPr>
        <w:t>, respectively,</w:t>
      </w:r>
      <w:r w:rsidRPr="008A3740">
        <w:rPr>
          <w:rFonts w:ascii="Verdana" w:hAnsi="Verdana"/>
          <w:sz w:val="20"/>
          <w:szCs w:val="20"/>
          <w:lang w:val="en-US"/>
        </w:rPr>
        <w:t xml:space="preserve"> forwarded their observations to the preliminar</w:t>
      </w:r>
      <w:r w:rsidR="00CB291C" w:rsidRPr="008A3740">
        <w:rPr>
          <w:rFonts w:ascii="Verdana" w:hAnsi="Verdana"/>
          <w:sz w:val="20"/>
          <w:szCs w:val="20"/>
          <w:lang w:val="en-US"/>
        </w:rPr>
        <w:t>y objections filed by the State.</w:t>
      </w:r>
      <w:r w:rsidRPr="008A3740">
        <w:rPr>
          <w:rFonts w:ascii="Verdana" w:hAnsi="Verdana"/>
          <w:sz w:val="20"/>
          <w:szCs w:val="20"/>
          <w:lang w:val="en-US"/>
        </w:rPr>
        <w:t xml:space="preserve"> </w:t>
      </w:r>
      <w:r w:rsidRPr="008A3740">
        <w:rPr>
          <w:rFonts w:ascii="Verdana" w:eastAsia="Verdana" w:hAnsi="Verdana" w:cs="Verdana"/>
          <w:sz w:val="20"/>
          <w:szCs w:val="20"/>
          <w:lang w:val="en-US"/>
        </w:rPr>
        <w:t xml:space="preserve">The representatives also referred to other aspects of the State’s answering brief, which </w:t>
      </w:r>
      <w:r w:rsidR="00CB291C" w:rsidRPr="008A3740">
        <w:rPr>
          <w:rFonts w:ascii="Verdana" w:eastAsia="Verdana" w:hAnsi="Verdana" w:cs="Verdana"/>
          <w:sz w:val="20"/>
          <w:szCs w:val="20"/>
          <w:lang w:val="en-US"/>
        </w:rPr>
        <w:t>were not requested.</w:t>
      </w:r>
      <w:r w:rsidRPr="008A3740">
        <w:rPr>
          <w:rFonts w:ascii="Verdana" w:eastAsia="Verdana" w:hAnsi="Verdana" w:cs="Verdana"/>
          <w:sz w:val="20"/>
          <w:szCs w:val="20"/>
          <w:lang w:val="en-US"/>
        </w:rPr>
        <w:t xml:space="preserve"> </w:t>
      </w:r>
      <w:r w:rsidR="00CB291C" w:rsidRPr="008A3740">
        <w:rPr>
          <w:rFonts w:ascii="Verdana" w:eastAsia="Verdana" w:hAnsi="Verdana" w:cs="Verdana"/>
          <w:sz w:val="20"/>
          <w:szCs w:val="20"/>
          <w:lang w:val="en-US"/>
        </w:rPr>
        <w:t>T</w:t>
      </w:r>
      <w:r w:rsidRPr="008A3740">
        <w:rPr>
          <w:rFonts w:ascii="Verdana" w:eastAsia="Verdana" w:hAnsi="Verdana" w:cs="Verdana"/>
          <w:sz w:val="20"/>
          <w:szCs w:val="20"/>
          <w:lang w:val="en-US"/>
        </w:rPr>
        <w:t>herefore</w:t>
      </w:r>
      <w:r w:rsidR="00CB291C" w:rsidRPr="008A3740">
        <w:rPr>
          <w:rFonts w:ascii="Verdana" w:eastAsia="Verdana" w:hAnsi="Verdana" w:cs="Verdana"/>
          <w:sz w:val="20"/>
          <w:szCs w:val="20"/>
          <w:lang w:val="en-US"/>
        </w:rPr>
        <w:t>, the Court will not consider</w:t>
      </w:r>
      <w:r w:rsidRPr="008A3740">
        <w:rPr>
          <w:rFonts w:ascii="Verdana" w:eastAsia="Verdana" w:hAnsi="Verdana" w:cs="Verdana"/>
          <w:sz w:val="20"/>
          <w:szCs w:val="20"/>
          <w:lang w:val="en-US"/>
        </w:rPr>
        <w:t xml:space="preserve"> </w:t>
      </w:r>
      <w:r w:rsidR="000E73BC" w:rsidRPr="008A3740">
        <w:rPr>
          <w:rFonts w:ascii="Verdana" w:eastAsia="Verdana" w:hAnsi="Verdana" w:cs="Verdana"/>
          <w:sz w:val="20"/>
          <w:szCs w:val="20"/>
          <w:lang w:val="en-US"/>
        </w:rPr>
        <w:t>tho</w:t>
      </w:r>
      <w:r w:rsidR="00CB291C" w:rsidRPr="008A3740">
        <w:rPr>
          <w:rFonts w:ascii="Verdana" w:eastAsia="Verdana" w:hAnsi="Verdana" w:cs="Verdana"/>
          <w:sz w:val="20"/>
          <w:szCs w:val="20"/>
          <w:lang w:val="en-US"/>
        </w:rPr>
        <w:t xml:space="preserve">se aspects, since they were </w:t>
      </w:r>
      <w:r w:rsidRPr="008A3740">
        <w:rPr>
          <w:rFonts w:ascii="Verdana" w:eastAsia="Verdana" w:hAnsi="Verdana" w:cs="Verdana"/>
          <w:sz w:val="20"/>
          <w:szCs w:val="20"/>
          <w:lang w:val="en-US"/>
        </w:rPr>
        <w:t xml:space="preserve">not submitted at the proper procedural moment, </w:t>
      </w:r>
      <w:r w:rsidR="00CB291C" w:rsidRPr="008A3740">
        <w:rPr>
          <w:rFonts w:ascii="Verdana" w:eastAsia="Verdana" w:hAnsi="Verdana" w:cs="Verdana"/>
          <w:sz w:val="20"/>
          <w:szCs w:val="20"/>
          <w:lang w:val="en-US"/>
        </w:rPr>
        <w:t xml:space="preserve">with the exception of the arguments </w:t>
      </w:r>
      <w:r w:rsidRPr="008A3740">
        <w:rPr>
          <w:rFonts w:ascii="Verdana" w:eastAsia="Verdana" w:hAnsi="Verdana" w:cs="Verdana"/>
          <w:sz w:val="20"/>
          <w:szCs w:val="20"/>
          <w:lang w:val="en-US"/>
        </w:rPr>
        <w:t>related to the preliminary objections.</w:t>
      </w:r>
    </w:p>
    <w:p w14:paraId="795BE171" w14:textId="77777777" w:rsidR="008E6A56" w:rsidRPr="008A3740" w:rsidRDefault="008E6A56" w:rsidP="008E6A56">
      <w:pPr>
        <w:pStyle w:val="Prrafodelista"/>
        <w:ind w:left="0"/>
        <w:rPr>
          <w:rFonts w:ascii="Verdana" w:hAnsi="Verdana"/>
          <w:sz w:val="20"/>
          <w:szCs w:val="20"/>
          <w:lang w:val="en-US"/>
        </w:rPr>
      </w:pPr>
    </w:p>
    <w:p w14:paraId="54E4A369" w14:textId="77777777" w:rsidR="008E6A56" w:rsidRPr="008A3740" w:rsidRDefault="008E6A56" w:rsidP="00D17A65">
      <w:pPr>
        <w:numPr>
          <w:ilvl w:val="0"/>
          <w:numId w:val="3"/>
        </w:numPr>
        <w:tabs>
          <w:tab w:val="left" w:pos="567"/>
          <w:tab w:val="num" w:pos="12305"/>
        </w:tabs>
        <w:autoSpaceDE w:val="0"/>
        <w:autoSpaceDN w:val="0"/>
        <w:ind w:left="0" w:firstLine="0"/>
        <w:rPr>
          <w:rFonts w:ascii="Verdana" w:eastAsia="Verdana" w:hAnsi="Verdana" w:cs="Verdana"/>
          <w:sz w:val="20"/>
          <w:szCs w:val="20"/>
          <w:lang w:val="en-US"/>
        </w:rPr>
      </w:pPr>
      <w:r w:rsidRPr="008A3740">
        <w:rPr>
          <w:rFonts w:ascii="Verdana" w:hAnsi="Verdana"/>
          <w:i/>
          <w:sz w:val="20"/>
          <w:szCs w:val="20"/>
          <w:lang w:val="en-US"/>
        </w:rPr>
        <w:t>Final written proceeding</w:t>
      </w:r>
      <w:r w:rsidR="00CB291C" w:rsidRPr="008A3740">
        <w:rPr>
          <w:rFonts w:ascii="Verdana" w:hAnsi="Verdana"/>
          <w:sz w:val="20"/>
          <w:szCs w:val="20"/>
          <w:lang w:val="en-US"/>
        </w:rPr>
        <w:t xml:space="preserve">. </w:t>
      </w:r>
      <w:r w:rsidR="0056038D" w:rsidRPr="008A3740">
        <w:rPr>
          <w:rFonts w:ascii="Verdana" w:hAnsi="Verdana"/>
          <w:sz w:val="20"/>
          <w:szCs w:val="20"/>
          <w:lang w:val="en-US"/>
        </w:rPr>
        <w:t>After assessing</w:t>
      </w:r>
      <w:r w:rsidRPr="008A3740">
        <w:rPr>
          <w:rFonts w:ascii="Verdana" w:hAnsi="Verdana"/>
          <w:sz w:val="20"/>
          <w:szCs w:val="20"/>
          <w:lang w:val="en-US"/>
        </w:rPr>
        <w:t xml:space="preserve"> the main briefs </w:t>
      </w:r>
      <w:r w:rsidR="0056038D" w:rsidRPr="008A3740">
        <w:rPr>
          <w:rFonts w:ascii="Verdana" w:hAnsi="Verdana"/>
          <w:sz w:val="20"/>
          <w:szCs w:val="20"/>
          <w:lang w:val="en-US"/>
        </w:rPr>
        <w:t xml:space="preserve">submitted </w:t>
      </w:r>
      <w:r w:rsidRPr="008A3740">
        <w:rPr>
          <w:rFonts w:ascii="Verdana" w:hAnsi="Verdana"/>
          <w:sz w:val="20"/>
          <w:szCs w:val="20"/>
          <w:lang w:val="en-US"/>
        </w:rPr>
        <w:t xml:space="preserve">by the Commission and the parties, and in light of the provisions of Articles 15, 45 and 50(1) of the </w:t>
      </w:r>
      <w:r w:rsidR="0056038D" w:rsidRPr="008A3740">
        <w:rPr>
          <w:rFonts w:ascii="Verdana" w:hAnsi="Verdana"/>
          <w:sz w:val="20"/>
          <w:szCs w:val="20"/>
          <w:lang w:val="en-US"/>
        </w:rPr>
        <w:t xml:space="preserve">Court’s </w:t>
      </w:r>
      <w:r w:rsidRPr="008A3740">
        <w:rPr>
          <w:rFonts w:ascii="Verdana" w:hAnsi="Verdana"/>
          <w:sz w:val="20"/>
          <w:szCs w:val="20"/>
          <w:lang w:val="en-US"/>
        </w:rPr>
        <w:t>Rules of Procedure, the President, in consultation with the plenary of the Court, decided that it was not necessary to call a public hearing in the present case for reasons of procedural economy</w:t>
      </w:r>
      <w:r w:rsidR="00A013B5" w:rsidRPr="008A3740">
        <w:rPr>
          <w:rFonts w:ascii="Verdana" w:hAnsi="Verdana" w:cs="Verdana"/>
          <w:sz w:val="20"/>
          <w:szCs w:val="20"/>
          <w:lang w:val="en-US"/>
        </w:rPr>
        <w:t>. This</w:t>
      </w:r>
      <w:r w:rsidRPr="008A3740">
        <w:rPr>
          <w:rFonts w:ascii="Verdana" w:hAnsi="Verdana" w:cs="Verdana"/>
          <w:sz w:val="20"/>
          <w:szCs w:val="20"/>
          <w:lang w:val="en-US"/>
        </w:rPr>
        <w:t xml:space="preserve"> </w:t>
      </w:r>
      <w:r w:rsidRPr="008A3740">
        <w:rPr>
          <w:rFonts w:ascii="Verdana" w:hAnsi="Verdana"/>
          <w:sz w:val="20"/>
          <w:szCs w:val="20"/>
          <w:lang w:val="en-US"/>
        </w:rPr>
        <w:t>decision was communicated</w:t>
      </w:r>
      <w:r w:rsidR="00A013B5" w:rsidRPr="008A3740">
        <w:rPr>
          <w:rFonts w:ascii="Verdana" w:hAnsi="Verdana"/>
          <w:sz w:val="20"/>
          <w:szCs w:val="20"/>
          <w:lang w:val="en-US"/>
        </w:rPr>
        <w:t xml:space="preserve"> in an</w:t>
      </w:r>
      <w:r w:rsidRPr="008A3740">
        <w:rPr>
          <w:rFonts w:ascii="Verdana" w:hAnsi="Verdana"/>
          <w:sz w:val="20"/>
          <w:szCs w:val="20"/>
          <w:lang w:val="en-US"/>
        </w:rPr>
        <w:t xml:space="preserve"> Order of the President </w:t>
      </w:r>
      <w:r w:rsidR="00A013B5" w:rsidRPr="008A3740">
        <w:rPr>
          <w:rFonts w:ascii="Verdana" w:hAnsi="Verdana"/>
          <w:sz w:val="20"/>
          <w:szCs w:val="20"/>
          <w:lang w:val="en-US"/>
        </w:rPr>
        <w:t xml:space="preserve">of the Court </w:t>
      </w:r>
      <w:r w:rsidR="00B60DBC" w:rsidRPr="008A3740">
        <w:rPr>
          <w:rFonts w:ascii="Verdana" w:hAnsi="Verdana"/>
          <w:sz w:val="20"/>
          <w:szCs w:val="20"/>
          <w:lang w:val="en-US"/>
        </w:rPr>
        <w:t>on</w:t>
      </w:r>
      <w:r w:rsidRPr="008A3740">
        <w:rPr>
          <w:rFonts w:ascii="Verdana" w:hAnsi="Verdana"/>
          <w:sz w:val="20"/>
          <w:szCs w:val="20"/>
          <w:lang w:val="en-US"/>
        </w:rPr>
        <w:t xml:space="preserve"> July 27, 2018.</w:t>
      </w:r>
      <w:r w:rsidRPr="008A3740">
        <w:rPr>
          <w:rStyle w:val="Refdenotaalpie"/>
          <w:szCs w:val="20"/>
          <w:lang w:val="en-US"/>
        </w:rPr>
        <w:footnoteReference w:id="6"/>
      </w:r>
      <w:r w:rsidRPr="008A3740">
        <w:rPr>
          <w:rFonts w:ascii="Verdana" w:hAnsi="Verdana"/>
          <w:sz w:val="20"/>
          <w:szCs w:val="20"/>
          <w:lang w:val="en-US"/>
        </w:rPr>
        <w:t xml:space="preserve"> </w:t>
      </w:r>
    </w:p>
    <w:p w14:paraId="625DDA9E" w14:textId="77777777" w:rsidR="008E6A56" w:rsidRPr="008A3740" w:rsidRDefault="008E6A56" w:rsidP="008E6A56">
      <w:pPr>
        <w:tabs>
          <w:tab w:val="left" w:pos="567"/>
        </w:tabs>
        <w:autoSpaceDE w:val="0"/>
        <w:autoSpaceDN w:val="0"/>
        <w:rPr>
          <w:rFonts w:ascii="Verdana" w:hAnsi="Verdana" w:cs="Verdana"/>
          <w:color w:val="000000"/>
          <w:sz w:val="20"/>
          <w:szCs w:val="20"/>
          <w:lang w:val="en-US"/>
        </w:rPr>
      </w:pPr>
    </w:p>
    <w:p w14:paraId="4598D9AE"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i/>
          <w:sz w:val="20"/>
          <w:szCs w:val="20"/>
          <w:lang w:val="en-US"/>
        </w:rPr>
        <w:t>Final written arguments and observations.</w:t>
      </w:r>
      <w:r w:rsidR="00B60DBC" w:rsidRPr="008A3740">
        <w:rPr>
          <w:rFonts w:ascii="Verdana" w:hAnsi="Verdana"/>
          <w:sz w:val="20"/>
          <w:szCs w:val="20"/>
          <w:lang w:val="en-US"/>
        </w:rPr>
        <w:t xml:space="preserve"> </w:t>
      </w:r>
      <w:r w:rsidRPr="008A3740">
        <w:rPr>
          <w:rFonts w:ascii="Verdana" w:hAnsi="Verdana"/>
          <w:sz w:val="20"/>
          <w:szCs w:val="20"/>
          <w:lang w:val="en-US"/>
        </w:rPr>
        <w:t>On September 27, 2018</w:t>
      </w:r>
      <w:r w:rsidR="00B60DBC" w:rsidRPr="008A3740">
        <w:rPr>
          <w:rFonts w:ascii="Verdana" w:hAnsi="Verdana"/>
          <w:sz w:val="20"/>
          <w:szCs w:val="20"/>
          <w:lang w:val="en-US"/>
        </w:rPr>
        <w:t>,</w:t>
      </w:r>
      <w:r w:rsidRPr="008A3740">
        <w:rPr>
          <w:rFonts w:ascii="Verdana" w:hAnsi="Verdana"/>
          <w:sz w:val="20"/>
          <w:szCs w:val="20"/>
          <w:lang w:val="en-US"/>
        </w:rPr>
        <w:t xml:space="preserve"> the representatives and the State forwarded their respective final written arguments, and the Commission presented its final written observations. </w:t>
      </w:r>
      <w:r w:rsidR="00B60DBC" w:rsidRPr="008A3740">
        <w:rPr>
          <w:rFonts w:ascii="Verdana" w:hAnsi="Verdana"/>
          <w:sz w:val="20"/>
          <w:szCs w:val="20"/>
          <w:lang w:val="en-US"/>
        </w:rPr>
        <w:t>Together with their</w:t>
      </w:r>
      <w:r w:rsidRPr="008A3740">
        <w:rPr>
          <w:rFonts w:ascii="Verdana" w:hAnsi="Verdana"/>
          <w:sz w:val="20"/>
          <w:szCs w:val="20"/>
          <w:lang w:val="en-US"/>
        </w:rPr>
        <w:t xml:space="preserve"> brief of final arguments, the representatives presented </w:t>
      </w:r>
      <w:r w:rsidR="00B60DBC" w:rsidRPr="008A3740">
        <w:rPr>
          <w:rFonts w:ascii="Verdana" w:hAnsi="Verdana"/>
          <w:sz w:val="20"/>
          <w:szCs w:val="20"/>
          <w:lang w:val="en-US"/>
        </w:rPr>
        <w:t xml:space="preserve">various </w:t>
      </w:r>
      <w:r w:rsidRPr="008A3740">
        <w:rPr>
          <w:rFonts w:ascii="Verdana" w:hAnsi="Verdana"/>
          <w:sz w:val="20"/>
          <w:szCs w:val="20"/>
          <w:lang w:val="en-US"/>
        </w:rPr>
        <w:t xml:space="preserve">annexes </w:t>
      </w:r>
      <w:r w:rsidRPr="008A3740">
        <w:rPr>
          <w:rFonts w:ascii="Verdana" w:eastAsia="Verdana" w:hAnsi="Verdana" w:cs="Verdana"/>
          <w:sz w:val="20"/>
          <w:szCs w:val="20"/>
          <w:lang w:val="en-US"/>
        </w:rPr>
        <w:t>(</w:t>
      </w:r>
      <w:r w:rsidRPr="008A3740">
        <w:rPr>
          <w:rFonts w:ascii="Verdana" w:eastAsia="Verdana" w:hAnsi="Verdana" w:cs="Verdana"/>
          <w:i/>
          <w:sz w:val="20"/>
          <w:szCs w:val="20"/>
          <w:lang w:val="en-US"/>
        </w:rPr>
        <w:t>infra</w:t>
      </w:r>
      <w:r w:rsidRPr="008A3740">
        <w:rPr>
          <w:rFonts w:ascii="Verdana" w:eastAsia="Verdana" w:hAnsi="Verdana" w:cs="Verdana"/>
          <w:sz w:val="20"/>
          <w:szCs w:val="20"/>
          <w:lang w:val="en-US"/>
        </w:rPr>
        <w:t xml:space="preserve"> para. 39).</w:t>
      </w:r>
    </w:p>
    <w:p w14:paraId="13E3D2D6" w14:textId="77777777" w:rsidR="008E6A56" w:rsidRPr="008A3740" w:rsidRDefault="008E6A56" w:rsidP="008E6A56">
      <w:pPr>
        <w:pStyle w:val="Prrafodelista"/>
        <w:ind w:left="0"/>
        <w:rPr>
          <w:rFonts w:ascii="Verdana" w:hAnsi="Verdana"/>
          <w:sz w:val="20"/>
          <w:szCs w:val="20"/>
          <w:lang w:val="en-US"/>
        </w:rPr>
      </w:pPr>
    </w:p>
    <w:p w14:paraId="261C216D" w14:textId="77777777" w:rsidR="008E6A56" w:rsidRPr="008A3740" w:rsidRDefault="008E6A56" w:rsidP="00D17A65">
      <w:pPr>
        <w:numPr>
          <w:ilvl w:val="0"/>
          <w:numId w:val="3"/>
        </w:numPr>
        <w:tabs>
          <w:tab w:val="left" w:pos="567"/>
          <w:tab w:val="num" w:pos="12305"/>
        </w:tabs>
        <w:ind w:left="0" w:firstLine="0"/>
        <w:rPr>
          <w:rFonts w:ascii="Verdana" w:hAnsi="Verdana"/>
          <w:i/>
          <w:sz w:val="20"/>
          <w:szCs w:val="20"/>
          <w:lang w:val="en-US"/>
        </w:rPr>
      </w:pPr>
      <w:r w:rsidRPr="008A3740">
        <w:rPr>
          <w:rFonts w:ascii="Verdana" w:hAnsi="Verdana"/>
          <w:i/>
          <w:sz w:val="20"/>
          <w:szCs w:val="20"/>
          <w:lang w:val="en-US"/>
        </w:rPr>
        <w:t xml:space="preserve">Request for provisional measures. </w:t>
      </w:r>
      <w:r w:rsidRPr="008A3740">
        <w:rPr>
          <w:rFonts w:ascii="Verdana" w:hAnsi="Verdana"/>
          <w:sz w:val="20"/>
          <w:szCs w:val="20"/>
          <w:lang w:val="en-US"/>
        </w:rPr>
        <w:t>On September 27, 2018</w:t>
      </w:r>
      <w:r w:rsidR="00B60DBC" w:rsidRPr="008A3740">
        <w:rPr>
          <w:rFonts w:ascii="Verdana" w:hAnsi="Verdana"/>
          <w:sz w:val="20"/>
          <w:szCs w:val="20"/>
          <w:lang w:val="en-US"/>
        </w:rPr>
        <w:t>,</w:t>
      </w:r>
      <w:r w:rsidRPr="008A3740">
        <w:rPr>
          <w:rFonts w:ascii="Verdana" w:hAnsi="Verdana"/>
          <w:sz w:val="20"/>
          <w:szCs w:val="20"/>
          <w:lang w:val="en-US"/>
        </w:rPr>
        <w:t xml:space="preserve"> the representatives asked the Court</w:t>
      </w:r>
      <w:r w:rsidR="009E2C03" w:rsidRPr="008A3740">
        <w:rPr>
          <w:rFonts w:ascii="Verdana" w:hAnsi="Verdana"/>
          <w:sz w:val="20"/>
          <w:szCs w:val="20"/>
          <w:lang w:val="en-US"/>
        </w:rPr>
        <w:t xml:space="preserve"> </w:t>
      </w:r>
      <w:r w:rsidRPr="008A3740">
        <w:rPr>
          <w:rFonts w:ascii="Verdana" w:hAnsi="Verdana"/>
          <w:sz w:val="20"/>
          <w:szCs w:val="20"/>
          <w:lang w:val="en-US"/>
        </w:rPr>
        <w:t>to adopt provisional measures</w:t>
      </w:r>
      <w:r w:rsidR="009E2C03" w:rsidRPr="008A3740">
        <w:rPr>
          <w:rFonts w:ascii="Verdana" w:hAnsi="Verdana"/>
          <w:sz w:val="20"/>
          <w:szCs w:val="20"/>
          <w:lang w:val="en-US"/>
        </w:rPr>
        <w:t xml:space="preserve">, pursuant to Article 63(2) of the Convention, </w:t>
      </w:r>
      <w:r w:rsidR="0066171C" w:rsidRPr="008A3740">
        <w:rPr>
          <w:rFonts w:ascii="Verdana" w:hAnsi="Verdana"/>
          <w:sz w:val="20"/>
          <w:szCs w:val="20"/>
          <w:lang w:val="en-US"/>
        </w:rPr>
        <w:t xml:space="preserve">citing </w:t>
      </w:r>
      <w:r w:rsidRPr="008A3740">
        <w:rPr>
          <w:rFonts w:ascii="Verdana" w:hAnsi="Verdana"/>
          <w:sz w:val="20"/>
          <w:szCs w:val="20"/>
          <w:lang w:val="en-US"/>
        </w:rPr>
        <w:t xml:space="preserve">the extreme gravity and urgency </w:t>
      </w:r>
      <w:r w:rsidR="009E2C03" w:rsidRPr="008A3740">
        <w:rPr>
          <w:rFonts w:ascii="Verdana" w:hAnsi="Verdana"/>
          <w:sz w:val="20"/>
          <w:szCs w:val="20"/>
          <w:lang w:val="en-US"/>
        </w:rPr>
        <w:t xml:space="preserve">of </w:t>
      </w:r>
      <w:r w:rsidRPr="008A3740">
        <w:rPr>
          <w:rFonts w:ascii="Verdana" w:hAnsi="Verdana"/>
          <w:sz w:val="20"/>
          <w:szCs w:val="20"/>
          <w:lang w:val="en-US"/>
        </w:rPr>
        <w:t>Mr. Muelle Flores</w:t>
      </w:r>
      <w:r w:rsidR="0066171C" w:rsidRPr="008A3740">
        <w:rPr>
          <w:rFonts w:ascii="Verdana" w:hAnsi="Verdana"/>
          <w:sz w:val="20"/>
          <w:szCs w:val="20"/>
          <w:lang w:val="en-US"/>
        </w:rPr>
        <w:t>’ situation and the need to</w:t>
      </w:r>
      <w:r w:rsidR="009E2C03" w:rsidRPr="008A3740">
        <w:rPr>
          <w:rFonts w:ascii="Verdana" w:hAnsi="Verdana"/>
          <w:sz w:val="20"/>
          <w:szCs w:val="20"/>
          <w:lang w:val="en-US"/>
        </w:rPr>
        <w:t xml:space="preserve"> avoid irreparable harm to him</w:t>
      </w:r>
      <w:r w:rsidRPr="008A3740">
        <w:rPr>
          <w:rFonts w:ascii="Verdana" w:hAnsi="Verdana"/>
          <w:sz w:val="20"/>
          <w:szCs w:val="20"/>
          <w:lang w:val="en-US" w:eastAsia="en-US"/>
        </w:rPr>
        <w:t>. On November 23, 2018, the Plenary of t</w:t>
      </w:r>
      <w:r w:rsidR="009E2C03" w:rsidRPr="008A3740">
        <w:rPr>
          <w:rFonts w:ascii="Verdana" w:hAnsi="Verdana"/>
          <w:sz w:val="20"/>
          <w:szCs w:val="20"/>
          <w:lang w:val="en-US" w:eastAsia="en-US"/>
        </w:rPr>
        <w:t>he Court decided to postpone a</w:t>
      </w:r>
      <w:r w:rsidRPr="008A3740">
        <w:rPr>
          <w:rFonts w:ascii="Verdana" w:hAnsi="Verdana"/>
          <w:sz w:val="20"/>
          <w:szCs w:val="20"/>
          <w:lang w:val="en-US" w:eastAsia="en-US"/>
        </w:rPr>
        <w:t xml:space="preserve"> decision on that request.</w:t>
      </w:r>
    </w:p>
    <w:p w14:paraId="203B2997" w14:textId="77777777" w:rsidR="008E6A56" w:rsidRPr="008A3740" w:rsidRDefault="008E6A56" w:rsidP="008E6A56">
      <w:pPr>
        <w:pStyle w:val="Prrafodelista"/>
        <w:ind w:left="0"/>
        <w:rPr>
          <w:rFonts w:ascii="Verdana" w:hAnsi="Verdana"/>
          <w:sz w:val="20"/>
          <w:szCs w:val="20"/>
          <w:lang w:val="en-US"/>
        </w:rPr>
      </w:pPr>
    </w:p>
    <w:p w14:paraId="18B75B47"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i/>
          <w:sz w:val="20"/>
          <w:szCs w:val="20"/>
          <w:lang w:val="en-US"/>
        </w:rPr>
        <w:t>Observations to the Annexes of the representatives</w:t>
      </w:r>
      <w:r w:rsidR="0066171C" w:rsidRPr="008A3740">
        <w:rPr>
          <w:rFonts w:ascii="Verdana" w:hAnsi="Verdana"/>
          <w:i/>
          <w:sz w:val="20"/>
          <w:szCs w:val="20"/>
          <w:lang w:val="en-US"/>
        </w:rPr>
        <w:t>.</w:t>
      </w:r>
      <w:r w:rsidR="0066171C" w:rsidRPr="008A3740">
        <w:rPr>
          <w:rFonts w:ascii="Verdana" w:hAnsi="Verdana"/>
          <w:sz w:val="20"/>
          <w:szCs w:val="20"/>
          <w:lang w:val="en-US"/>
        </w:rPr>
        <w:t xml:space="preserve"> </w:t>
      </w:r>
      <w:r w:rsidRPr="008A3740">
        <w:rPr>
          <w:rFonts w:ascii="Verdana" w:hAnsi="Verdana"/>
          <w:sz w:val="20"/>
          <w:szCs w:val="20"/>
          <w:lang w:val="en-US"/>
        </w:rPr>
        <w:t xml:space="preserve">On October 12, 2018, the State forwarded its observations to the annexes </w:t>
      </w:r>
      <w:r w:rsidR="0066171C" w:rsidRPr="008A3740">
        <w:rPr>
          <w:rFonts w:ascii="Verdana" w:hAnsi="Verdana"/>
          <w:sz w:val="20"/>
          <w:szCs w:val="20"/>
          <w:lang w:val="en-US"/>
        </w:rPr>
        <w:t xml:space="preserve">submitted </w:t>
      </w:r>
      <w:r w:rsidRPr="008A3740">
        <w:rPr>
          <w:rFonts w:ascii="Verdana" w:hAnsi="Verdana"/>
          <w:sz w:val="20"/>
          <w:szCs w:val="20"/>
          <w:lang w:val="en-US"/>
        </w:rPr>
        <w:t xml:space="preserve">by the representatives. </w:t>
      </w:r>
    </w:p>
    <w:p w14:paraId="4D3568F7" w14:textId="77777777" w:rsidR="008E6A56" w:rsidRPr="008A3740" w:rsidRDefault="008E6A56" w:rsidP="008E6A56">
      <w:pPr>
        <w:pStyle w:val="Prrafodelista"/>
        <w:rPr>
          <w:rFonts w:ascii="Verdana" w:hAnsi="Verdana"/>
          <w:sz w:val="20"/>
          <w:szCs w:val="20"/>
          <w:lang w:val="en-US"/>
        </w:rPr>
      </w:pPr>
    </w:p>
    <w:p w14:paraId="1508B21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i/>
          <w:sz w:val="20"/>
          <w:szCs w:val="20"/>
          <w:lang w:val="en-US"/>
        </w:rPr>
        <w:t>Helpful evidence</w:t>
      </w:r>
      <w:r w:rsidR="0005664B" w:rsidRPr="008A3740">
        <w:rPr>
          <w:rFonts w:ascii="Verdana" w:hAnsi="Verdana"/>
          <w:i/>
          <w:sz w:val="20"/>
          <w:szCs w:val="20"/>
          <w:lang w:val="en-US"/>
        </w:rPr>
        <w:t xml:space="preserve">. </w:t>
      </w:r>
      <w:r w:rsidR="0005664B" w:rsidRPr="008A3740">
        <w:rPr>
          <w:rFonts w:ascii="Verdana" w:hAnsi="Verdana"/>
          <w:sz w:val="20"/>
          <w:szCs w:val="20"/>
          <w:lang w:val="en-US"/>
        </w:rPr>
        <w:t>On November 16 and</w:t>
      </w:r>
      <w:r w:rsidRPr="008A3740">
        <w:rPr>
          <w:rFonts w:ascii="Verdana" w:hAnsi="Verdana"/>
          <w:sz w:val="20"/>
          <w:szCs w:val="20"/>
          <w:lang w:val="en-US"/>
        </w:rPr>
        <w:t xml:space="preserve"> December </w:t>
      </w:r>
      <w:r w:rsidR="0005664B" w:rsidRPr="008A3740">
        <w:rPr>
          <w:rFonts w:ascii="Verdana" w:hAnsi="Verdana"/>
          <w:sz w:val="20"/>
          <w:szCs w:val="20"/>
          <w:lang w:val="en-US"/>
        </w:rPr>
        <w:t xml:space="preserve">3, </w:t>
      </w:r>
      <w:r w:rsidRPr="008A3740">
        <w:rPr>
          <w:rFonts w:ascii="Verdana" w:hAnsi="Verdana"/>
          <w:sz w:val="20"/>
          <w:szCs w:val="20"/>
          <w:lang w:val="en-US"/>
        </w:rPr>
        <w:t>2018, the President of the Court asked the State to provide helpful evidence. Peru presented th</w:t>
      </w:r>
      <w:r w:rsidR="0005664B" w:rsidRPr="008A3740">
        <w:rPr>
          <w:rFonts w:ascii="Verdana" w:hAnsi="Verdana"/>
          <w:sz w:val="20"/>
          <w:szCs w:val="20"/>
          <w:lang w:val="en-US"/>
        </w:rPr>
        <w:t xml:space="preserve">e requested </w:t>
      </w:r>
      <w:r w:rsidRPr="008A3740">
        <w:rPr>
          <w:rFonts w:ascii="Verdana" w:hAnsi="Verdana"/>
          <w:sz w:val="20"/>
          <w:szCs w:val="20"/>
          <w:lang w:val="en-US"/>
        </w:rPr>
        <w:t xml:space="preserve">documentation on November 30, and December 11, 2018, respectively. </w:t>
      </w:r>
      <w:r w:rsidR="0005664B" w:rsidRPr="008A3740">
        <w:rPr>
          <w:rFonts w:ascii="Verdana" w:hAnsi="Verdana"/>
          <w:sz w:val="20"/>
          <w:szCs w:val="20"/>
          <w:lang w:val="en-US"/>
        </w:rPr>
        <w:t>Also</w:t>
      </w:r>
      <w:r w:rsidRPr="008A3740">
        <w:rPr>
          <w:rFonts w:ascii="Verdana" w:hAnsi="Verdana"/>
          <w:sz w:val="20"/>
          <w:szCs w:val="20"/>
          <w:lang w:val="en-US"/>
        </w:rPr>
        <w:t>, in a b</w:t>
      </w:r>
      <w:r w:rsidR="0005664B" w:rsidRPr="008A3740">
        <w:rPr>
          <w:rFonts w:ascii="Verdana" w:hAnsi="Verdana"/>
          <w:sz w:val="20"/>
          <w:szCs w:val="20"/>
          <w:lang w:val="en-US"/>
        </w:rPr>
        <w:t>rief dated December 20, 2018, the State</w:t>
      </w:r>
      <w:r w:rsidRPr="008A3740">
        <w:rPr>
          <w:rFonts w:ascii="Verdana" w:hAnsi="Verdana"/>
          <w:sz w:val="20"/>
          <w:szCs w:val="20"/>
          <w:lang w:val="en-US"/>
        </w:rPr>
        <w:t xml:space="preserve"> announced its decision to restore </w:t>
      </w:r>
      <w:r w:rsidRPr="008A3740">
        <w:rPr>
          <w:rFonts w:ascii="Verdana" w:hAnsi="Verdana"/>
          <w:i/>
          <w:sz w:val="20"/>
          <w:szCs w:val="20"/>
          <w:lang w:val="en-US"/>
        </w:rPr>
        <w:t>ex officio</w:t>
      </w:r>
      <w:r w:rsidRPr="008A3740">
        <w:rPr>
          <w:rFonts w:ascii="Verdana" w:hAnsi="Verdana"/>
          <w:sz w:val="20"/>
          <w:szCs w:val="20"/>
          <w:lang w:val="en-US"/>
        </w:rPr>
        <w:t xml:space="preserve">, and on a provisional basis, the pension of Mr. Muelle Flores, </w:t>
      </w:r>
      <w:r w:rsidR="00B55732" w:rsidRPr="008A3740">
        <w:rPr>
          <w:rFonts w:ascii="Verdana" w:hAnsi="Verdana"/>
          <w:sz w:val="20"/>
          <w:szCs w:val="20"/>
          <w:lang w:val="en-US"/>
        </w:rPr>
        <w:t xml:space="preserve">together with </w:t>
      </w:r>
      <w:r w:rsidR="009E2C03" w:rsidRPr="008A3740">
        <w:rPr>
          <w:rFonts w:ascii="Verdana" w:hAnsi="Verdana"/>
          <w:sz w:val="20"/>
          <w:szCs w:val="20"/>
          <w:lang w:val="en-US"/>
        </w:rPr>
        <w:t xml:space="preserve">his access to </w:t>
      </w:r>
      <w:r w:rsidRPr="008A3740">
        <w:rPr>
          <w:rFonts w:ascii="Verdana" w:hAnsi="Verdana"/>
          <w:sz w:val="20"/>
          <w:szCs w:val="20"/>
          <w:lang w:val="en-US"/>
        </w:rPr>
        <w:t xml:space="preserve">medical </w:t>
      </w:r>
      <w:r w:rsidR="009E2C03" w:rsidRPr="008A3740">
        <w:rPr>
          <w:rFonts w:ascii="Verdana" w:hAnsi="Verdana"/>
          <w:sz w:val="20"/>
          <w:szCs w:val="20"/>
          <w:lang w:val="en-US"/>
        </w:rPr>
        <w:t xml:space="preserve">care through the </w:t>
      </w:r>
      <w:r w:rsidRPr="008A3740">
        <w:rPr>
          <w:rFonts w:ascii="Verdana" w:hAnsi="Verdana"/>
          <w:sz w:val="20"/>
          <w:szCs w:val="20"/>
          <w:lang w:val="en-US"/>
        </w:rPr>
        <w:t>social health insurance</w:t>
      </w:r>
      <w:r w:rsidR="009E2C03" w:rsidRPr="008A3740">
        <w:rPr>
          <w:rFonts w:ascii="Verdana" w:hAnsi="Verdana"/>
          <w:sz w:val="20"/>
          <w:szCs w:val="20"/>
          <w:lang w:val="en-US"/>
        </w:rPr>
        <w:t xml:space="preserve"> system</w:t>
      </w:r>
      <w:r w:rsidRPr="008A3740">
        <w:rPr>
          <w:rFonts w:ascii="Verdana" w:hAnsi="Verdana"/>
          <w:sz w:val="20"/>
          <w:szCs w:val="20"/>
          <w:lang w:val="en-US"/>
        </w:rPr>
        <w:t xml:space="preserve">, and informed </w:t>
      </w:r>
      <w:r w:rsidR="009E2C03" w:rsidRPr="008A3740">
        <w:rPr>
          <w:rFonts w:ascii="Verdana" w:hAnsi="Verdana"/>
          <w:sz w:val="20"/>
          <w:szCs w:val="20"/>
          <w:lang w:val="en-US"/>
        </w:rPr>
        <w:t xml:space="preserve">the Court of </w:t>
      </w:r>
      <w:r w:rsidRPr="008A3740">
        <w:rPr>
          <w:rFonts w:ascii="Verdana" w:hAnsi="Verdana"/>
          <w:sz w:val="20"/>
          <w:szCs w:val="20"/>
          <w:lang w:val="en-US"/>
        </w:rPr>
        <w:t xml:space="preserve">its decision to make an advance payment of the amounts </w:t>
      </w:r>
      <w:r w:rsidR="009E2C03" w:rsidRPr="008A3740">
        <w:rPr>
          <w:rFonts w:ascii="Verdana" w:hAnsi="Verdana"/>
          <w:sz w:val="20"/>
          <w:szCs w:val="20"/>
          <w:lang w:val="en-US"/>
        </w:rPr>
        <w:t>owed in</w:t>
      </w:r>
      <w:r w:rsidRPr="008A3740">
        <w:rPr>
          <w:rFonts w:ascii="Verdana" w:hAnsi="Verdana"/>
          <w:sz w:val="20"/>
          <w:szCs w:val="20"/>
          <w:lang w:val="en-US"/>
        </w:rPr>
        <w:t xml:space="preserve"> pension </w:t>
      </w:r>
      <w:r w:rsidR="00B55732" w:rsidRPr="008A3740">
        <w:rPr>
          <w:rFonts w:ascii="Verdana" w:hAnsi="Verdana"/>
          <w:sz w:val="20"/>
          <w:szCs w:val="20"/>
          <w:lang w:val="en-US"/>
        </w:rPr>
        <w:lastRenderedPageBreak/>
        <w:t xml:space="preserve">allowances </w:t>
      </w:r>
      <w:r w:rsidRPr="008A3740">
        <w:rPr>
          <w:rFonts w:ascii="Verdana" w:hAnsi="Verdana"/>
          <w:sz w:val="20"/>
          <w:szCs w:val="20"/>
          <w:lang w:val="en-US"/>
        </w:rPr>
        <w:t>to Mr. Muelle Flores.</w:t>
      </w:r>
    </w:p>
    <w:p w14:paraId="09A4AE1E" w14:textId="77777777" w:rsidR="008E6A56" w:rsidRPr="008A3740" w:rsidRDefault="008E6A56" w:rsidP="008E6A56">
      <w:pPr>
        <w:tabs>
          <w:tab w:val="left" w:pos="567"/>
        </w:tabs>
        <w:rPr>
          <w:rFonts w:ascii="Verdana" w:hAnsi="Verdana"/>
          <w:sz w:val="20"/>
          <w:szCs w:val="20"/>
          <w:lang w:val="en-US"/>
        </w:rPr>
      </w:pPr>
    </w:p>
    <w:p w14:paraId="0DB86A40" w14:textId="77777777" w:rsidR="008E6A56" w:rsidRPr="008A3740" w:rsidRDefault="008E6A56" w:rsidP="00D17A65">
      <w:pPr>
        <w:numPr>
          <w:ilvl w:val="0"/>
          <w:numId w:val="3"/>
        </w:numPr>
        <w:tabs>
          <w:tab w:val="left" w:pos="567"/>
          <w:tab w:val="num" w:pos="12305"/>
        </w:tabs>
        <w:ind w:left="0" w:firstLine="0"/>
        <w:rPr>
          <w:rFonts w:ascii="Verdana" w:hAnsi="Verdana"/>
          <w:snapToGrid w:val="0"/>
          <w:sz w:val="20"/>
          <w:szCs w:val="20"/>
          <w:lang w:val="en-US"/>
        </w:rPr>
      </w:pPr>
      <w:bookmarkStart w:id="5" w:name="_Ref313990861"/>
      <w:r w:rsidRPr="008A3740">
        <w:rPr>
          <w:rFonts w:ascii="Verdana" w:hAnsi="Verdana"/>
          <w:i/>
          <w:sz w:val="20"/>
          <w:szCs w:val="20"/>
          <w:lang w:val="en-US"/>
        </w:rPr>
        <w:t>Observations</w:t>
      </w:r>
      <w:r w:rsidRPr="008A3740">
        <w:rPr>
          <w:rFonts w:ascii="Verdana" w:hAnsi="Verdana"/>
          <w:i/>
          <w:snapToGrid w:val="0"/>
          <w:sz w:val="20"/>
          <w:szCs w:val="20"/>
          <w:lang w:val="en-US"/>
        </w:rPr>
        <w:t xml:space="preserve"> of the representatives and the Commission.</w:t>
      </w:r>
      <w:bookmarkEnd w:id="5"/>
      <w:r w:rsidR="005C5AD9" w:rsidRPr="008A3740">
        <w:rPr>
          <w:rFonts w:ascii="Verdana" w:hAnsi="Verdana"/>
          <w:i/>
          <w:snapToGrid w:val="0"/>
          <w:sz w:val="20"/>
          <w:szCs w:val="20"/>
          <w:lang w:val="en-US"/>
        </w:rPr>
        <w:t xml:space="preserve"> </w:t>
      </w:r>
      <w:r w:rsidRPr="008A3740">
        <w:rPr>
          <w:rFonts w:ascii="Verdana" w:hAnsi="Verdana"/>
          <w:snapToGrid w:val="0"/>
          <w:sz w:val="20"/>
          <w:szCs w:val="20"/>
          <w:lang w:val="en-US"/>
        </w:rPr>
        <w:t xml:space="preserve">The President granted the representatives and the Commission a period of time to present any observations deemed pertinent to the helpful evidence forwarded by the State and to the report of December 20, 2018. On </w:t>
      </w:r>
      <w:r w:rsidRPr="008A3740">
        <w:rPr>
          <w:rFonts w:ascii="Verdana" w:eastAsia="Times" w:hAnsi="Verdana"/>
          <w:sz w:val="20"/>
          <w:szCs w:val="20"/>
          <w:lang w:val="en-US"/>
        </w:rPr>
        <w:t>December 5 and 17, 2018, as well as on January 7, 2019, the Commission indicated that it had no observations to mak</w:t>
      </w:r>
      <w:r w:rsidR="00ED6877" w:rsidRPr="008A3740">
        <w:rPr>
          <w:rFonts w:ascii="Verdana" w:eastAsia="Times" w:hAnsi="Verdana"/>
          <w:sz w:val="20"/>
          <w:szCs w:val="20"/>
          <w:lang w:val="en-US"/>
        </w:rPr>
        <w:t xml:space="preserve">e. After </w:t>
      </w:r>
      <w:r w:rsidRPr="008A3740">
        <w:rPr>
          <w:rFonts w:ascii="Verdana" w:eastAsia="Times" w:hAnsi="Verdana"/>
          <w:sz w:val="20"/>
          <w:szCs w:val="20"/>
          <w:lang w:val="en-US"/>
        </w:rPr>
        <w:t>request</w:t>
      </w:r>
      <w:r w:rsidR="00ED6877" w:rsidRPr="008A3740">
        <w:rPr>
          <w:rFonts w:ascii="Verdana" w:eastAsia="Times" w:hAnsi="Verdana"/>
          <w:sz w:val="20"/>
          <w:szCs w:val="20"/>
          <w:lang w:val="en-US"/>
        </w:rPr>
        <w:t>ing</w:t>
      </w:r>
      <w:r w:rsidRPr="008A3740">
        <w:rPr>
          <w:rFonts w:ascii="Verdana" w:eastAsia="Times" w:hAnsi="Verdana"/>
          <w:sz w:val="20"/>
          <w:szCs w:val="20"/>
          <w:lang w:val="en-US"/>
        </w:rPr>
        <w:t xml:space="preserve"> an extension on December 18, 2018, </w:t>
      </w:r>
      <w:r w:rsidR="00ED6877" w:rsidRPr="008A3740">
        <w:rPr>
          <w:rFonts w:ascii="Verdana" w:eastAsia="Times" w:hAnsi="Verdana"/>
          <w:sz w:val="20"/>
          <w:szCs w:val="20"/>
          <w:lang w:val="en-US"/>
        </w:rPr>
        <w:t xml:space="preserve">the representatives </w:t>
      </w:r>
      <w:r w:rsidRPr="008A3740">
        <w:rPr>
          <w:rFonts w:ascii="Verdana" w:eastAsia="Times" w:hAnsi="Verdana"/>
          <w:sz w:val="20"/>
          <w:szCs w:val="20"/>
          <w:lang w:val="en-US"/>
        </w:rPr>
        <w:t xml:space="preserve">presented their observations to the helpful </w:t>
      </w:r>
      <w:r w:rsidR="00ED6877" w:rsidRPr="008A3740">
        <w:rPr>
          <w:rFonts w:ascii="Verdana" w:eastAsia="Times" w:hAnsi="Verdana"/>
          <w:sz w:val="20"/>
          <w:szCs w:val="20"/>
          <w:lang w:val="en-US"/>
        </w:rPr>
        <w:t xml:space="preserve">evidence </w:t>
      </w:r>
      <w:r w:rsidRPr="008A3740">
        <w:rPr>
          <w:rFonts w:ascii="Verdana" w:eastAsia="Times" w:hAnsi="Verdana"/>
          <w:sz w:val="20"/>
          <w:szCs w:val="20"/>
          <w:lang w:val="en-US"/>
        </w:rPr>
        <w:t>pr</w:t>
      </w:r>
      <w:r w:rsidR="00ED6877" w:rsidRPr="008A3740">
        <w:rPr>
          <w:rFonts w:ascii="Verdana" w:eastAsia="Times" w:hAnsi="Verdana"/>
          <w:sz w:val="20"/>
          <w:szCs w:val="20"/>
          <w:lang w:val="en-US"/>
        </w:rPr>
        <w:t xml:space="preserve">ovided </w:t>
      </w:r>
      <w:r w:rsidRPr="008A3740">
        <w:rPr>
          <w:rFonts w:ascii="Verdana" w:eastAsia="Times" w:hAnsi="Verdana"/>
          <w:sz w:val="20"/>
          <w:szCs w:val="20"/>
          <w:lang w:val="en-US"/>
        </w:rPr>
        <w:t>by the State</w:t>
      </w:r>
      <w:r w:rsidRPr="008A3740">
        <w:rPr>
          <w:rFonts w:ascii="Verdana" w:hAnsi="Verdana"/>
          <w:sz w:val="20"/>
          <w:szCs w:val="20"/>
          <w:lang w:val="en-US"/>
        </w:rPr>
        <w:t xml:space="preserve"> and on the report of December 20, 2018.</w:t>
      </w:r>
    </w:p>
    <w:p w14:paraId="76D0D950" w14:textId="77777777" w:rsidR="008E6A56" w:rsidRPr="008A3740" w:rsidRDefault="008E6A56" w:rsidP="008E6A56">
      <w:pPr>
        <w:tabs>
          <w:tab w:val="left" w:pos="567"/>
          <w:tab w:val="left" w:pos="1134"/>
          <w:tab w:val="num" w:pos="6042"/>
        </w:tabs>
        <w:autoSpaceDE w:val="0"/>
        <w:autoSpaceDN w:val="0"/>
        <w:rPr>
          <w:rFonts w:ascii="Verdana" w:hAnsi="Verdana" w:cs="Verdana"/>
          <w:snapToGrid w:val="0"/>
          <w:sz w:val="20"/>
          <w:szCs w:val="20"/>
          <w:lang w:val="en-US" w:eastAsia="es-ES"/>
        </w:rPr>
      </w:pPr>
    </w:p>
    <w:p w14:paraId="452DB784" w14:textId="77777777" w:rsidR="008E6A56" w:rsidRPr="008A3740" w:rsidRDefault="008E6A56" w:rsidP="00D17A65">
      <w:pPr>
        <w:numPr>
          <w:ilvl w:val="0"/>
          <w:numId w:val="3"/>
        </w:numPr>
        <w:tabs>
          <w:tab w:val="left" w:pos="567"/>
          <w:tab w:val="num" w:pos="12305"/>
        </w:tabs>
        <w:ind w:left="0" w:firstLine="0"/>
        <w:rPr>
          <w:rFonts w:ascii="Verdana" w:hAnsi="Verdana"/>
          <w:snapToGrid w:val="0"/>
          <w:sz w:val="20"/>
          <w:szCs w:val="20"/>
          <w:lang w:val="en-US"/>
        </w:rPr>
      </w:pPr>
      <w:r w:rsidRPr="008A3740">
        <w:rPr>
          <w:rFonts w:ascii="Verdana" w:hAnsi="Verdana"/>
          <w:i/>
          <w:snapToGrid w:val="0"/>
          <w:sz w:val="20"/>
          <w:szCs w:val="20"/>
          <w:lang w:val="en-US"/>
        </w:rPr>
        <w:t>Disbursements in application of the Victims’ Assistance Fund.</w:t>
      </w:r>
      <w:r w:rsidR="00ED6877" w:rsidRPr="008A3740">
        <w:rPr>
          <w:rFonts w:ascii="Verdana" w:hAnsi="Verdana"/>
          <w:i/>
          <w:snapToGrid w:val="0"/>
          <w:sz w:val="20"/>
          <w:szCs w:val="20"/>
          <w:lang w:val="en-US"/>
        </w:rPr>
        <w:t xml:space="preserve"> </w:t>
      </w:r>
      <w:r w:rsidRPr="008A3740">
        <w:rPr>
          <w:rFonts w:ascii="Verdana" w:hAnsi="Verdana"/>
          <w:snapToGrid w:val="0"/>
          <w:sz w:val="20"/>
          <w:szCs w:val="20"/>
          <w:lang w:val="en-US"/>
        </w:rPr>
        <w:t xml:space="preserve">On November 14, 2018, the Secretariat, following the instructions of the President of the Court, forwarded information to the State </w:t>
      </w:r>
      <w:r w:rsidR="00ED6877" w:rsidRPr="008A3740">
        <w:rPr>
          <w:rFonts w:ascii="Verdana" w:hAnsi="Verdana"/>
          <w:snapToGrid w:val="0"/>
          <w:sz w:val="20"/>
          <w:szCs w:val="20"/>
          <w:lang w:val="en-US"/>
        </w:rPr>
        <w:t xml:space="preserve">regarding </w:t>
      </w:r>
      <w:r w:rsidRPr="008A3740">
        <w:rPr>
          <w:rFonts w:ascii="Verdana" w:hAnsi="Verdana"/>
          <w:snapToGrid w:val="0"/>
          <w:sz w:val="20"/>
          <w:szCs w:val="20"/>
          <w:lang w:val="en-US"/>
        </w:rPr>
        <w:t xml:space="preserve">the disbursements made in application of the </w:t>
      </w:r>
      <w:r w:rsidRPr="008A3740">
        <w:rPr>
          <w:rFonts w:ascii="Verdana" w:hAnsi="Verdana"/>
          <w:sz w:val="20"/>
          <w:szCs w:val="20"/>
          <w:lang w:val="en-US"/>
        </w:rPr>
        <w:t xml:space="preserve">Victims’ Legal Assistance Fund of the Inter-American Court (hereinafter the “Assistance Fund of the Court” or the “Fund”) in the </w:t>
      </w:r>
      <w:r w:rsidRPr="008A3740">
        <w:rPr>
          <w:rFonts w:ascii="Verdana" w:hAnsi="Verdana"/>
          <w:snapToGrid w:val="0"/>
          <w:sz w:val="20"/>
          <w:szCs w:val="20"/>
          <w:lang w:val="en-US"/>
        </w:rPr>
        <w:t>present case</w:t>
      </w:r>
      <w:r w:rsidRPr="008A3740" w:rsidDel="00703FA8">
        <w:rPr>
          <w:rFonts w:ascii="Verdana" w:hAnsi="Verdana"/>
          <w:snapToGrid w:val="0"/>
          <w:sz w:val="20"/>
          <w:szCs w:val="20"/>
          <w:lang w:val="en-US"/>
        </w:rPr>
        <w:t xml:space="preserve"> </w:t>
      </w:r>
      <w:r w:rsidRPr="008A3740">
        <w:rPr>
          <w:rFonts w:ascii="Verdana" w:hAnsi="Verdana"/>
          <w:snapToGrid w:val="0"/>
          <w:sz w:val="20"/>
          <w:szCs w:val="20"/>
          <w:lang w:val="en-US"/>
        </w:rPr>
        <w:t xml:space="preserve">and, pursuant to Article 5 of the </w:t>
      </w:r>
      <w:r w:rsidR="00ED6877" w:rsidRPr="008A3740">
        <w:rPr>
          <w:rFonts w:ascii="Verdana" w:hAnsi="Verdana"/>
          <w:snapToGrid w:val="0"/>
          <w:sz w:val="20"/>
          <w:szCs w:val="20"/>
          <w:lang w:val="en-US"/>
        </w:rPr>
        <w:t xml:space="preserve">Rules for the </w:t>
      </w:r>
      <w:r w:rsidRPr="008A3740">
        <w:rPr>
          <w:rFonts w:ascii="Verdana" w:hAnsi="Verdana"/>
          <w:snapToGrid w:val="0"/>
          <w:sz w:val="20"/>
          <w:szCs w:val="20"/>
          <w:lang w:val="en-US"/>
        </w:rPr>
        <w:t xml:space="preserve">Operation of </w:t>
      </w:r>
      <w:r w:rsidR="00ED6877" w:rsidRPr="008A3740">
        <w:rPr>
          <w:rFonts w:ascii="Verdana" w:hAnsi="Verdana"/>
          <w:snapToGrid w:val="0"/>
          <w:sz w:val="20"/>
          <w:szCs w:val="20"/>
          <w:lang w:val="en-US"/>
        </w:rPr>
        <w:t xml:space="preserve">said </w:t>
      </w:r>
      <w:r w:rsidRPr="008A3740">
        <w:rPr>
          <w:rFonts w:ascii="Verdana" w:hAnsi="Verdana"/>
          <w:snapToGrid w:val="0"/>
          <w:sz w:val="20"/>
          <w:szCs w:val="20"/>
          <w:lang w:val="en-US"/>
        </w:rPr>
        <w:t xml:space="preserve">Fund, granted </w:t>
      </w:r>
      <w:r w:rsidR="00ED6877" w:rsidRPr="008A3740">
        <w:rPr>
          <w:rFonts w:ascii="Verdana" w:hAnsi="Verdana"/>
          <w:snapToGrid w:val="0"/>
          <w:sz w:val="20"/>
          <w:szCs w:val="20"/>
          <w:lang w:val="en-US"/>
        </w:rPr>
        <w:t xml:space="preserve">it </w:t>
      </w:r>
      <w:r w:rsidRPr="008A3740">
        <w:rPr>
          <w:rFonts w:ascii="Verdana" w:hAnsi="Verdana"/>
          <w:snapToGrid w:val="0"/>
          <w:sz w:val="20"/>
          <w:szCs w:val="20"/>
          <w:lang w:val="en-US"/>
        </w:rPr>
        <w:t xml:space="preserve">a </w:t>
      </w:r>
      <w:r w:rsidR="00ED6877" w:rsidRPr="008A3740">
        <w:rPr>
          <w:rFonts w:ascii="Verdana" w:hAnsi="Verdana"/>
          <w:snapToGrid w:val="0"/>
          <w:sz w:val="20"/>
          <w:szCs w:val="20"/>
          <w:lang w:val="en-US"/>
        </w:rPr>
        <w:t xml:space="preserve">period </w:t>
      </w:r>
      <w:r w:rsidRPr="008A3740">
        <w:rPr>
          <w:rFonts w:ascii="Verdana" w:hAnsi="Verdana"/>
          <w:snapToGrid w:val="0"/>
          <w:sz w:val="20"/>
          <w:szCs w:val="20"/>
          <w:lang w:val="en-US"/>
        </w:rPr>
        <w:t xml:space="preserve">to present any observations deemed pertinent. On November 28, 2018 the State indicated that it had no observations to make regarding the cited report. </w:t>
      </w:r>
    </w:p>
    <w:p w14:paraId="05E61AB3" w14:textId="77777777" w:rsidR="008E6A56" w:rsidRPr="008A3740" w:rsidRDefault="008E6A56" w:rsidP="008E6A56">
      <w:pPr>
        <w:pStyle w:val="Prrafodelista"/>
        <w:rPr>
          <w:rFonts w:ascii="Verdana" w:hAnsi="Verdana"/>
          <w:snapToGrid w:val="0"/>
          <w:sz w:val="20"/>
          <w:szCs w:val="20"/>
          <w:lang w:val="en-US"/>
        </w:rPr>
      </w:pPr>
    </w:p>
    <w:p w14:paraId="679AED09" w14:textId="77777777" w:rsidR="008E6A56" w:rsidRPr="008A3740" w:rsidRDefault="008E6A56" w:rsidP="00D17A65">
      <w:pPr>
        <w:numPr>
          <w:ilvl w:val="0"/>
          <w:numId w:val="3"/>
        </w:numPr>
        <w:tabs>
          <w:tab w:val="left" w:pos="567"/>
          <w:tab w:val="num" w:pos="12305"/>
        </w:tabs>
        <w:ind w:left="0" w:firstLine="0"/>
        <w:rPr>
          <w:rFonts w:ascii="Verdana" w:hAnsi="Verdana"/>
          <w:b/>
          <w:snapToGrid w:val="0"/>
          <w:sz w:val="20"/>
          <w:szCs w:val="20"/>
          <w:lang w:val="en-US"/>
        </w:rPr>
      </w:pPr>
      <w:r w:rsidRPr="008A3740">
        <w:rPr>
          <w:rFonts w:ascii="Verdana" w:hAnsi="Verdana"/>
          <w:i/>
          <w:sz w:val="20"/>
          <w:szCs w:val="20"/>
          <w:lang w:val="en-US"/>
        </w:rPr>
        <w:t>Deliberation of the instant case.</w:t>
      </w:r>
      <w:r w:rsidRPr="008A3740">
        <w:rPr>
          <w:rFonts w:ascii="Verdana" w:hAnsi="Verdana"/>
          <w:sz w:val="20"/>
          <w:szCs w:val="20"/>
          <w:lang w:val="en-US"/>
        </w:rPr>
        <w:t xml:space="preserve"> The Court began its deliberation of this Judgment on February 5, 2019.</w:t>
      </w:r>
    </w:p>
    <w:p w14:paraId="3D847253" w14:textId="77777777" w:rsidR="008E6A56" w:rsidRPr="008A3740" w:rsidRDefault="008E6A56" w:rsidP="008E6A56">
      <w:pPr>
        <w:pStyle w:val="Prrafodelista"/>
        <w:rPr>
          <w:rFonts w:ascii="Verdana" w:hAnsi="Verdana"/>
          <w:b/>
          <w:sz w:val="20"/>
          <w:szCs w:val="20"/>
          <w:lang w:val="en-US"/>
        </w:rPr>
      </w:pPr>
    </w:p>
    <w:p w14:paraId="1D229DE4" w14:textId="77777777" w:rsidR="008E6A56" w:rsidRPr="008A3740" w:rsidRDefault="008E6A56" w:rsidP="008E6A56">
      <w:pPr>
        <w:pStyle w:val="Ttulo"/>
        <w:rPr>
          <w:lang w:val="en-US"/>
        </w:rPr>
      </w:pPr>
      <w:bookmarkStart w:id="6" w:name="_Toc437960385"/>
      <w:bookmarkStart w:id="7" w:name="_Toc498333470"/>
      <w:bookmarkStart w:id="8" w:name="_Toc5009857"/>
      <w:r w:rsidRPr="008A3740">
        <w:rPr>
          <w:lang w:val="en-US"/>
        </w:rPr>
        <w:t>III</w:t>
      </w:r>
      <w:r w:rsidRPr="008A3740">
        <w:rPr>
          <w:lang w:val="en-US"/>
        </w:rPr>
        <w:br/>
        <w:t xml:space="preserve">JURISDICTION </w:t>
      </w:r>
      <w:bookmarkEnd w:id="6"/>
      <w:bookmarkEnd w:id="7"/>
      <w:bookmarkEnd w:id="8"/>
    </w:p>
    <w:p w14:paraId="540FEF18" w14:textId="77777777" w:rsidR="008E6A56" w:rsidRPr="008A3740" w:rsidRDefault="008E6A56" w:rsidP="008E6A56">
      <w:pPr>
        <w:rPr>
          <w:rFonts w:ascii="Verdana" w:hAnsi="Verdana"/>
          <w:sz w:val="20"/>
          <w:szCs w:val="20"/>
          <w:lang w:val="en-US"/>
        </w:rPr>
      </w:pPr>
    </w:p>
    <w:p w14:paraId="02545F90"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The Court</w:t>
      </w:r>
      <w:r w:rsidRPr="008A3740">
        <w:rPr>
          <w:rFonts w:ascii="Verdana" w:eastAsia="Times New Roman" w:hAnsi="Verdana"/>
          <w:sz w:val="20"/>
          <w:szCs w:val="20"/>
          <w:lang w:val="en-US"/>
        </w:rPr>
        <w:t xml:space="preserve"> is competent to hear this case</w:t>
      </w:r>
      <w:r w:rsidR="00ED6877" w:rsidRPr="008A3740">
        <w:rPr>
          <w:rFonts w:ascii="Verdana" w:eastAsia="Times New Roman" w:hAnsi="Verdana"/>
          <w:sz w:val="20"/>
          <w:szCs w:val="20"/>
          <w:lang w:val="en-US"/>
        </w:rPr>
        <w:t>,</w:t>
      </w:r>
      <w:r w:rsidRPr="008A3740">
        <w:rPr>
          <w:rFonts w:ascii="Verdana" w:eastAsia="Times New Roman" w:hAnsi="Verdana"/>
          <w:sz w:val="20"/>
          <w:szCs w:val="20"/>
          <w:lang w:val="en-US"/>
        </w:rPr>
        <w:t xml:space="preserve"> </w:t>
      </w:r>
      <w:r w:rsidR="00ED6877" w:rsidRPr="008A3740">
        <w:rPr>
          <w:rFonts w:ascii="Verdana" w:eastAsia="Times New Roman" w:hAnsi="Verdana"/>
          <w:sz w:val="20"/>
          <w:szCs w:val="20"/>
          <w:lang w:val="en-US"/>
        </w:rPr>
        <w:t xml:space="preserve">pursuant to </w:t>
      </w:r>
      <w:r w:rsidRPr="008A3740">
        <w:rPr>
          <w:rFonts w:ascii="Verdana" w:eastAsia="Times New Roman" w:hAnsi="Verdana"/>
          <w:sz w:val="20"/>
          <w:szCs w:val="20"/>
          <w:lang w:val="en-US"/>
        </w:rPr>
        <w:t xml:space="preserve">Article 62(3) of the American Convention, given that Peru ratified the American Convention on July 28, 1978, and </w:t>
      </w:r>
      <w:r w:rsidR="00ED6877" w:rsidRPr="008A3740">
        <w:rPr>
          <w:rFonts w:ascii="Verdana" w:eastAsia="Times New Roman" w:hAnsi="Verdana"/>
          <w:sz w:val="20"/>
          <w:szCs w:val="20"/>
          <w:lang w:val="en-US"/>
        </w:rPr>
        <w:t xml:space="preserve">accepted </w:t>
      </w:r>
      <w:r w:rsidRPr="008A3740">
        <w:rPr>
          <w:rFonts w:ascii="Verdana" w:eastAsia="Times New Roman" w:hAnsi="Verdana"/>
          <w:sz w:val="20"/>
          <w:szCs w:val="20"/>
          <w:lang w:val="en-US"/>
        </w:rPr>
        <w:t>the contentious jurisdiction of the Court on January 21, 1981.</w:t>
      </w:r>
    </w:p>
    <w:p w14:paraId="79E2C3BE" w14:textId="77777777" w:rsidR="008E6A56" w:rsidRPr="008A3740" w:rsidRDefault="008E6A56" w:rsidP="008E6A56">
      <w:pPr>
        <w:pStyle w:val="Prrafodelista"/>
        <w:ind w:left="0"/>
        <w:rPr>
          <w:rFonts w:ascii="Verdana" w:hAnsi="Verdana"/>
          <w:sz w:val="20"/>
          <w:szCs w:val="20"/>
          <w:lang w:val="en-US"/>
        </w:rPr>
      </w:pPr>
    </w:p>
    <w:p w14:paraId="0B7C4538" w14:textId="77777777" w:rsidR="008E6A56" w:rsidRPr="008A3740" w:rsidRDefault="008E6A56" w:rsidP="008E6A56">
      <w:pPr>
        <w:pStyle w:val="Ttulo"/>
        <w:rPr>
          <w:rFonts w:eastAsia="MS ????"/>
          <w:lang w:val="en-US" w:eastAsia="es-ES"/>
        </w:rPr>
      </w:pPr>
      <w:bookmarkStart w:id="9" w:name="_Toc428369979"/>
      <w:bookmarkStart w:id="10" w:name="_Toc459158095"/>
      <w:bookmarkStart w:id="11" w:name="_Toc5009858"/>
      <w:bookmarkStart w:id="12" w:name="_Toc401931883"/>
      <w:bookmarkStart w:id="13" w:name="_Toc428369980"/>
      <w:bookmarkStart w:id="14" w:name="_Toc459158096"/>
      <w:r w:rsidRPr="008A3740">
        <w:rPr>
          <w:rFonts w:eastAsia="MS ????"/>
          <w:lang w:val="en-US" w:eastAsia="es-ES"/>
        </w:rPr>
        <w:t>IV</w:t>
      </w:r>
      <w:bookmarkStart w:id="15" w:name="_Toc375062713"/>
      <w:bookmarkStart w:id="16" w:name="_Toc375140863"/>
      <w:bookmarkStart w:id="17" w:name="_Toc375504822"/>
      <w:bookmarkStart w:id="18" w:name="_Toc375560896"/>
      <w:bookmarkStart w:id="19" w:name="_Toc401931881"/>
      <w:r w:rsidRPr="008A3740">
        <w:rPr>
          <w:rFonts w:eastAsia="MS ????"/>
          <w:lang w:val="en-US" w:eastAsia="es-ES"/>
        </w:rPr>
        <w:br/>
      </w:r>
      <w:bookmarkEnd w:id="15"/>
      <w:bookmarkEnd w:id="16"/>
      <w:bookmarkEnd w:id="17"/>
      <w:bookmarkEnd w:id="18"/>
      <w:r w:rsidRPr="008A3740">
        <w:rPr>
          <w:rFonts w:eastAsia="MS ????"/>
          <w:lang w:val="en-US" w:eastAsia="es-ES"/>
        </w:rPr>
        <w:t>PRELIMINARY OBJECTIONS</w:t>
      </w:r>
      <w:bookmarkEnd w:id="9"/>
      <w:bookmarkEnd w:id="10"/>
      <w:bookmarkEnd w:id="11"/>
      <w:bookmarkEnd w:id="19"/>
    </w:p>
    <w:p w14:paraId="39781CD5" w14:textId="77777777" w:rsidR="008E6A56" w:rsidRPr="008A3740" w:rsidRDefault="008E6A56" w:rsidP="008E6A56">
      <w:pPr>
        <w:pStyle w:val="Ttulo1"/>
        <w:rPr>
          <w:rFonts w:eastAsia="Batang" w:cs="Arial"/>
          <w:iCs/>
          <w:lang w:val="en-US"/>
        </w:rPr>
      </w:pPr>
    </w:p>
    <w:p w14:paraId="4FF6E6A7" w14:textId="77777777" w:rsidR="008E6A56" w:rsidRPr="008A3740" w:rsidRDefault="008E6A56" w:rsidP="00D17A65">
      <w:pPr>
        <w:numPr>
          <w:ilvl w:val="0"/>
          <w:numId w:val="3"/>
        </w:numPr>
        <w:tabs>
          <w:tab w:val="left" w:pos="567"/>
          <w:tab w:val="num" w:pos="12305"/>
        </w:tabs>
        <w:ind w:left="0" w:firstLine="0"/>
        <w:rPr>
          <w:b/>
          <w:lang w:val="en-US"/>
        </w:rPr>
      </w:pPr>
      <w:r w:rsidRPr="008A3740">
        <w:rPr>
          <w:rFonts w:ascii="Verdana" w:eastAsia="Batang" w:hAnsi="Verdana" w:cs="Arial"/>
          <w:iCs/>
          <w:sz w:val="20"/>
          <w:szCs w:val="20"/>
          <w:lang w:val="en-US"/>
        </w:rPr>
        <w:t>In its answering brief, the State filed a preliminary objection regarding the alleged failure to exhaust domestic remedies.</w:t>
      </w:r>
      <w:r w:rsidR="00ED6877" w:rsidRPr="008A3740">
        <w:rPr>
          <w:rFonts w:ascii="Verdana" w:eastAsia="Batang" w:hAnsi="Verdana" w:cs="Arial"/>
          <w:iCs/>
          <w:sz w:val="20"/>
          <w:szCs w:val="20"/>
          <w:lang w:val="en-US"/>
        </w:rPr>
        <w:t>”</w:t>
      </w:r>
      <w:r w:rsidRPr="008A3740">
        <w:rPr>
          <w:rFonts w:ascii="Verdana" w:eastAsia="Batang" w:hAnsi="Verdana" w:cs="Arial"/>
          <w:iCs/>
          <w:sz w:val="20"/>
          <w:szCs w:val="20"/>
          <w:lang w:val="en-US"/>
        </w:rPr>
        <w:t xml:space="preserve"> </w:t>
      </w:r>
      <w:r w:rsidR="00ED6877" w:rsidRPr="008A3740">
        <w:rPr>
          <w:rFonts w:ascii="Verdana" w:eastAsia="Batang" w:hAnsi="Verdana" w:cs="Arial"/>
          <w:iCs/>
          <w:sz w:val="20"/>
          <w:szCs w:val="20"/>
          <w:lang w:val="en-US"/>
        </w:rPr>
        <w:t xml:space="preserve">Also, </w:t>
      </w:r>
      <w:r w:rsidRPr="008A3740">
        <w:rPr>
          <w:rFonts w:ascii="Verdana" w:eastAsia="Batang" w:hAnsi="Verdana" w:cs="Arial"/>
          <w:iCs/>
          <w:sz w:val="20"/>
          <w:szCs w:val="20"/>
          <w:lang w:val="en-US"/>
        </w:rPr>
        <w:t>under the heading of “procedural matters” it prese</w:t>
      </w:r>
      <w:r w:rsidR="007F3319" w:rsidRPr="008A3740">
        <w:rPr>
          <w:rFonts w:ascii="Verdana" w:eastAsia="Batang" w:hAnsi="Verdana" w:cs="Arial"/>
          <w:iCs/>
          <w:sz w:val="20"/>
          <w:szCs w:val="20"/>
          <w:lang w:val="en-US"/>
        </w:rPr>
        <w:t xml:space="preserve">nted “observations </w:t>
      </w:r>
      <w:r w:rsidR="00D25940" w:rsidRPr="008A3740">
        <w:rPr>
          <w:rFonts w:ascii="Verdana" w:eastAsia="Batang" w:hAnsi="Verdana" w:cs="Arial"/>
          <w:iCs/>
          <w:sz w:val="20"/>
          <w:szCs w:val="20"/>
          <w:lang w:val="en-US"/>
        </w:rPr>
        <w:t xml:space="preserve">regarding </w:t>
      </w:r>
      <w:r w:rsidR="007F3319" w:rsidRPr="008A3740">
        <w:rPr>
          <w:rFonts w:ascii="Verdana" w:eastAsia="Batang" w:hAnsi="Verdana" w:cs="Arial"/>
          <w:iCs/>
          <w:sz w:val="20"/>
          <w:szCs w:val="20"/>
          <w:lang w:val="en-US"/>
        </w:rPr>
        <w:t xml:space="preserve">the </w:t>
      </w:r>
      <w:r w:rsidR="00CB7367" w:rsidRPr="008A3740">
        <w:rPr>
          <w:rFonts w:ascii="Verdana" w:eastAsia="Batang" w:hAnsi="Verdana" w:cs="Arial"/>
          <w:iCs/>
          <w:sz w:val="20"/>
          <w:szCs w:val="20"/>
          <w:lang w:val="en-US"/>
        </w:rPr>
        <w:t xml:space="preserve">unwarranted </w:t>
      </w:r>
      <w:r w:rsidRPr="008A3740">
        <w:rPr>
          <w:rFonts w:ascii="Verdana" w:eastAsia="Batang" w:hAnsi="Verdana" w:cs="Arial"/>
          <w:iCs/>
          <w:sz w:val="20"/>
          <w:szCs w:val="20"/>
          <w:lang w:val="en-US"/>
        </w:rPr>
        <w:t>inclusion of Article 26 by the [representatives]</w:t>
      </w:r>
      <w:r w:rsidR="00D25940" w:rsidRPr="008A3740">
        <w:rPr>
          <w:rFonts w:ascii="Verdana" w:eastAsia="Batang" w:hAnsi="Verdana" w:cs="Arial"/>
          <w:iCs/>
          <w:sz w:val="20"/>
          <w:szCs w:val="20"/>
          <w:lang w:val="en-US"/>
        </w:rPr>
        <w:t>,</w:t>
      </w:r>
      <w:r w:rsidRPr="008A3740">
        <w:rPr>
          <w:rFonts w:ascii="Verdana" w:eastAsia="Batang" w:hAnsi="Verdana" w:cs="Arial"/>
          <w:iCs/>
          <w:sz w:val="20"/>
          <w:szCs w:val="20"/>
          <w:lang w:val="en-US"/>
        </w:rPr>
        <w:t xml:space="preserve">” </w:t>
      </w:r>
      <w:r w:rsidR="00D25940" w:rsidRPr="008A3740">
        <w:rPr>
          <w:rFonts w:ascii="Verdana" w:eastAsia="Batang" w:hAnsi="Verdana" w:cs="Arial"/>
          <w:iCs/>
          <w:sz w:val="20"/>
          <w:szCs w:val="20"/>
          <w:lang w:val="en-US"/>
        </w:rPr>
        <w:t xml:space="preserve">and </w:t>
      </w:r>
      <w:r w:rsidRPr="008A3740">
        <w:rPr>
          <w:rFonts w:ascii="Verdana" w:eastAsia="Batang" w:hAnsi="Verdana" w:cs="Arial"/>
          <w:iCs/>
          <w:sz w:val="20"/>
          <w:szCs w:val="20"/>
          <w:lang w:val="en-US"/>
        </w:rPr>
        <w:t>expr</w:t>
      </w:r>
      <w:r w:rsidR="00D25940" w:rsidRPr="008A3740">
        <w:rPr>
          <w:rFonts w:ascii="Verdana" w:eastAsia="Batang" w:hAnsi="Verdana" w:cs="Arial"/>
          <w:iCs/>
          <w:sz w:val="20"/>
          <w:szCs w:val="20"/>
          <w:lang w:val="en-US"/>
        </w:rPr>
        <w:t>essed its disagreement with the</w:t>
      </w:r>
      <w:r w:rsidRPr="008A3740">
        <w:rPr>
          <w:rFonts w:ascii="Verdana" w:eastAsia="Batang" w:hAnsi="Verdana" w:cs="Arial"/>
          <w:iCs/>
          <w:sz w:val="20"/>
          <w:szCs w:val="20"/>
          <w:lang w:val="en-US"/>
        </w:rPr>
        <w:t xml:space="preserve"> Court’s interpretation of Article 26 of the Convention, as well as its competence to analyze this matter.</w:t>
      </w:r>
    </w:p>
    <w:p w14:paraId="4DFB7540" w14:textId="77777777" w:rsidR="008E6A56" w:rsidRPr="008A3740" w:rsidRDefault="008E6A56" w:rsidP="008E6A56">
      <w:pPr>
        <w:tabs>
          <w:tab w:val="left" w:pos="567"/>
        </w:tabs>
        <w:rPr>
          <w:b/>
          <w:lang w:val="en-US"/>
        </w:rPr>
      </w:pPr>
    </w:p>
    <w:p w14:paraId="42CDF742" w14:textId="77777777" w:rsidR="008E6A56" w:rsidRPr="008A3740" w:rsidRDefault="008E6A56" w:rsidP="00D17A65">
      <w:pPr>
        <w:numPr>
          <w:ilvl w:val="0"/>
          <w:numId w:val="3"/>
        </w:numPr>
        <w:tabs>
          <w:tab w:val="left" w:pos="567"/>
          <w:tab w:val="num" w:pos="12305"/>
        </w:tabs>
        <w:ind w:left="0" w:firstLine="0"/>
        <w:rPr>
          <w:rFonts w:ascii="Verdana" w:eastAsia="Batang" w:hAnsi="Verdana" w:cs="Arial"/>
          <w:b/>
          <w:iCs/>
          <w:sz w:val="20"/>
          <w:szCs w:val="20"/>
          <w:lang w:val="en-US"/>
        </w:rPr>
      </w:pPr>
      <w:r w:rsidRPr="008A3740">
        <w:rPr>
          <w:rFonts w:ascii="Verdana" w:hAnsi="Verdana"/>
          <w:sz w:val="20"/>
          <w:szCs w:val="20"/>
          <w:lang w:val="en-US"/>
        </w:rPr>
        <w:t xml:space="preserve">The Court recalls that </w:t>
      </w:r>
      <w:r w:rsidR="00707E32" w:rsidRPr="008A3740">
        <w:rPr>
          <w:rFonts w:ascii="Verdana" w:hAnsi="Verdana"/>
          <w:sz w:val="20"/>
          <w:szCs w:val="20"/>
          <w:lang w:val="en-US"/>
        </w:rPr>
        <w:t xml:space="preserve">a preliminary objection is an act that contests </w:t>
      </w:r>
      <w:r w:rsidRPr="008A3740">
        <w:rPr>
          <w:rFonts w:ascii="Verdana" w:hAnsi="Verdana"/>
          <w:sz w:val="20"/>
          <w:szCs w:val="20"/>
          <w:lang w:val="en-US"/>
        </w:rPr>
        <w:t xml:space="preserve">the admissibility of an application or the </w:t>
      </w:r>
      <w:r w:rsidR="000E73BC" w:rsidRPr="008A3740">
        <w:rPr>
          <w:rFonts w:ascii="Verdana" w:hAnsi="Verdana"/>
          <w:sz w:val="20"/>
          <w:szCs w:val="20"/>
          <w:lang w:val="en-US"/>
        </w:rPr>
        <w:t xml:space="preserve">jurisdiction </w:t>
      </w:r>
      <w:r w:rsidRPr="008A3740">
        <w:rPr>
          <w:rFonts w:ascii="Verdana" w:hAnsi="Verdana"/>
          <w:sz w:val="20"/>
          <w:szCs w:val="20"/>
          <w:lang w:val="en-US"/>
        </w:rPr>
        <w:t xml:space="preserve">of the Court to hear a specific case or any of its aspects, based on the person, the issue, the time or the place, provided that those </w:t>
      </w:r>
      <w:r w:rsidR="00707E32" w:rsidRPr="008A3740">
        <w:rPr>
          <w:rFonts w:ascii="Verdana" w:hAnsi="Verdana"/>
          <w:sz w:val="20"/>
          <w:szCs w:val="20"/>
          <w:lang w:val="en-US"/>
        </w:rPr>
        <w:t xml:space="preserve">assertions </w:t>
      </w:r>
      <w:r w:rsidRPr="008A3740">
        <w:rPr>
          <w:rFonts w:ascii="Verdana" w:hAnsi="Verdana"/>
          <w:sz w:val="20"/>
          <w:szCs w:val="20"/>
          <w:lang w:val="en-US"/>
        </w:rPr>
        <w:t>are of a preliminary nature.</w:t>
      </w:r>
      <w:r w:rsidRPr="008A3740">
        <w:rPr>
          <w:rFonts w:ascii="Verdana" w:eastAsia="Verdana" w:hAnsi="Verdana" w:cs="Verdana"/>
          <w:sz w:val="20"/>
          <w:szCs w:val="20"/>
          <w:vertAlign w:val="superscript"/>
          <w:lang w:val="en-US"/>
        </w:rPr>
        <w:footnoteReference w:id="7"/>
      </w:r>
      <w:r w:rsidRPr="008A3740">
        <w:rPr>
          <w:rFonts w:ascii="Verdana" w:hAnsi="Verdana"/>
          <w:sz w:val="20"/>
          <w:szCs w:val="20"/>
          <w:lang w:val="en-US"/>
        </w:rPr>
        <w:t xml:space="preserve"> If these </w:t>
      </w:r>
      <w:r w:rsidR="00707E32" w:rsidRPr="008A3740">
        <w:rPr>
          <w:rFonts w:ascii="Verdana" w:hAnsi="Verdana"/>
          <w:sz w:val="20"/>
          <w:szCs w:val="20"/>
          <w:lang w:val="en-US"/>
        </w:rPr>
        <w:t xml:space="preserve">assertions </w:t>
      </w:r>
      <w:r w:rsidRPr="008A3740">
        <w:rPr>
          <w:rFonts w:ascii="Verdana" w:hAnsi="Verdana"/>
          <w:sz w:val="20"/>
          <w:szCs w:val="20"/>
          <w:lang w:val="en-US"/>
        </w:rPr>
        <w:t>cannot be considered without pr</w:t>
      </w:r>
      <w:r w:rsidR="00707E32" w:rsidRPr="008A3740">
        <w:rPr>
          <w:rFonts w:ascii="Verdana" w:hAnsi="Verdana"/>
          <w:sz w:val="20"/>
          <w:szCs w:val="20"/>
          <w:lang w:val="en-US"/>
        </w:rPr>
        <w:t xml:space="preserve">ior </w:t>
      </w:r>
      <w:r w:rsidRPr="008A3740">
        <w:rPr>
          <w:rFonts w:ascii="Verdana" w:hAnsi="Verdana"/>
          <w:sz w:val="20"/>
          <w:szCs w:val="20"/>
          <w:lang w:val="en-US"/>
        </w:rPr>
        <w:t>anal</w:t>
      </w:r>
      <w:r w:rsidR="0021613E" w:rsidRPr="008A3740">
        <w:rPr>
          <w:rFonts w:ascii="Verdana" w:hAnsi="Verdana"/>
          <w:sz w:val="20"/>
          <w:szCs w:val="20"/>
          <w:lang w:val="en-US"/>
        </w:rPr>
        <w:t>ysis of the merits of a case, they</w:t>
      </w:r>
      <w:r w:rsidRPr="008A3740">
        <w:rPr>
          <w:rFonts w:ascii="Verdana" w:hAnsi="Verdana"/>
          <w:sz w:val="20"/>
          <w:szCs w:val="20"/>
          <w:lang w:val="en-US"/>
        </w:rPr>
        <w:t xml:space="preserve"> cannot be analyzed through </w:t>
      </w:r>
      <w:r w:rsidR="00D25940" w:rsidRPr="008A3740">
        <w:rPr>
          <w:rFonts w:ascii="Verdana" w:hAnsi="Verdana"/>
          <w:sz w:val="20"/>
          <w:szCs w:val="20"/>
          <w:lang w:val="en-US"/>
        </w:rPr>
        <w:t xml:space="preserve">the mechanism of </w:t>
      </w:r>
      <w:r w:rsidRPr="008A3740">
        <w:rPr>
          <w:rFonts w:ascii="Verdana" w:hAnsi="Verdana"/>
          <w:sz w:val="20"/>
          <w:szCs w:val="20"/>
          <w:lang w:val="en-US"/>
        </w:rPr>
        <w:t>a preliminary objection.</w:t>
      </w:r>
      <w:r w:rsidRPr="008A3740">
        <w:rPr>
          <w:rFonts w:ascii="Verdana" w:hAnsi="Verdana"/>
          <w:sz w:val="20"/>
          <w:szCs w:val="20"/>
          <w:vertAlign w:val="superscript"/>
          <w:lang w:val="en-US"/>
        </w:rPr>
        <w:footnoteReference w:id="8"/>
      </w:r>
      <w:r w:rsidRPr="008A3740">
        <w:rPr>
          <w:rFonts w:ascii="Verdana" w:eastAsia="Batang" w:hAnsi="Verdana" w:cs="Arial"/>
          <w:b/>
          <w:iCs/>
          <w:sz w:val="20"/>
          <w:szCs w:val="20"/>
          <w:lang w:val="en-US"/>
        </w:rPr>
        <w:t xml:space="preserve"> </w:t>
      </w:r>
      <w:r w:rsidRPr="008A3740">
        <w:rPr>
          <w:rFonts w:ascii="Verdana" w:hAnsi="Verdana"/>
          <w:sz w:val="20"/>
          <w:szCs w:val="20"/>
          <w:lang w:val="en-US"/>
        </w:rPr>
        <w:t>Accordingly, irrespective of whether an assertion is defined as a “preliminary objection,” its content and purpose must have the essential juridical characteristics that ensure that it is of a preliminary nature</w:t>
      </w:r>
      <w:r w:rsidR="00834E03" w:rsidRPr="008A3740">
        <w:rPr>
          <w:rFonts w:ascii="Verdana" w:hAnsi="Verdana"/>
          <w:sz w:val="20"/>
          <w:szCs w:val="20"/>
          <w:lang w:val="en-US"/>
        </w:rPr>
        <w:t>, that</w:t>
      </w:r>
      <w:r w:rsidRPr="008A3740">
        <w:rPr>
          <w:rFonts w:ascii="Verdana" w:hAnsi="Verdana"/>
          <w:sz w:val="20"/>
          <w:szCs w:val="20"/>
          <w:lang w:val="en-US"/>
        </w:rPr>
        <w:t xml:space="preserve"> is, </w:t>
      </w:r>
      <w:r w:rsidR="00834E03" w:rsidRPr="008A3740">
        <w:rPr>
          <w:rFonts w:ascii="Verdana" w:hAnsi="Verdana"/>
          <w:sz w:val="20"/>
          <w:szCs w:val="20"/>
          <w:lang w:val="en-US"/>
        </w:rPr>
        <w:t xml:space="preserve">it must </w:t>
      </w:r>
      <w:r w:rsidRPr="008A3740">
        <w:rPr>
          <w:rFonts w:ascii="Verdana" w:hAnsi="Verdana"/>
          <w:sz w:val="20"/>
          <w:szCs w:val="20"/>
          <w:lang w:val="en-US"/>
        </w:rPr>
        <w:t xml:space="preserve">object to </w:t>
      </w:r>
      <w:r w:rsidR="00A64F6F" w:rsidRPr="008A3740">
        <w:rPr>
          <w:rFonts w:ascii="Verdana" w:hAnsi="Verdana"/>
          <w:sz w:val="20"/>
          <w:szCs w:val="20"/>
          <w:lang w:val="en-US"/>
        </w:rPr>
        <w:t>the admissibility</w:t>
      </w:r>
      <w:r w:rsidRPr="008A3740">
        <w:rPr>
          <w:rFonts w:ascii="Verdana" w:hAnsi="Verdana"/>
          <w:sz w:val="20"/>
          <w:szCs w:val="20"/>
          <w:lang w:val="en-US"/>
        </w:rPr>
        <w:t xml:space="preserve"> of the </w:t>
      </w:r>
      <w:r w:rsidR="00707E32" w:rsidRPr="008A3740">
        <w:rPr>
          <w:rFonts w:ascii="Verdana" w:hAnsi="Verdana"/>
          <w:sz w:val="20"/>
          <w:szCs w:val="20"/>
          <w:lang w:val="en-US"/>
        </w:rPr>
        <w:t xml:space="preserve">application </w:t>
      </w:r>
      <w:r w:rsidRPr="008A3740">
        <w:rPr>
          <w:rFonts w:ascii="Verdana" w:hAnsi="Verdana"/>
          <w:sz w:val="20"/>
          <w:szCs w:val="20"/>
          <w:lang w:val="en-US"/>
        </w:rPr>
        <w:t xml:space="preserve">or the Court’s </w:t>
      </w:r>
      <w:r w:rsidR="000E73BC" w:rsidRPr="008A3740">
        <w:rPr>
          <w:rFonts w:ascii="Verdana" w:hAnsi="Verdana"/>
          <w:sz w:val="20"/>
          <w:szCs w:val="20"/>
          <w:lang w:val="en-US"/>
        </w:rPr>
        <w:t xml:space="preserve">jurisdiction </w:t>
      </w:r>
      <w:r w:rsidRPr="008A3740">
        <w:rPr>
          <w:rFonts w:ascii="Verdana" w:hAnsi="Verdana"/>
          <w:sz w:val="20"/>
          <w:szCs w:val="20"/>
          <w:lang w:val="en-US"/>
        </w:rPr>
        <w:t xml:space="preserve">to hear the case or any of its aspects, </w:t>
      </w:r>
      <w:r w:rsidR="00CC04FC" w:rsidRPr="008A3740">
        <w:rPr>
          <w:rFonts w:ascii="Verdana" w:hAnsi="Verdana"/>
          <w:sz w:val="20"/>
          <w:szCs w:val="20"/>
          <w:lang w:val="en-US"/>
        </w:rPr>
        <w:t xml:space="preserve">and </w:t>
      </w:r>
      <w:r w:rsidR="00744854" w:rsidRPr="008A3740">
        <w:rPr>
          <w:rFonts w:ascii="Verdana" w:hAnsi="Verdana"/>
          <w:sz w:val="20"/>
          <w:szCs w:val="20"/>
          <w:lang w:val="en-US"/>
        </w:rPr>
        <w:t xml:space="preserve">it </w:t>
      </w:r>
      <w:r w:rsidR="00CC04FC" w:rsidRPr="008A3740">
        <w:rPr>
          <w:rFonts w:ascii="Verdana" w:hAnsi="Verdana"/>
          <w:sz w:val="20"/>
          <w:szCs w:val="20"/>
          <w:lang w:val="en-US"/>
        </w:rPr>
        <w:t>must the</w:t>
      </w:r>
      <w:r w:rsidR="00744854" w:rsidRPr="008A3740">
        <w:rPr>
          <w:rFonts w:ascii="Verdana" w:hAnsi="Verdana"/>
          <w:sz w:val="20"/>
          <w:szCs w:val="20"/>
          <w:lang w:val="en-US"/>
        </w:rPr>
        <w:t xml:space="preserve">refore be </w:t>
      </w:r>
      <w:r w:rsidRPr="008A3740">
        <w:rPr>
          <w:rFonts w:ascii="Verdana" w:hAnsi="Verdana"/>
          <w:sz w:val="20"/>
          <w:szCs w:val="20"/>
          <w:lang w:val="en-US"/>
        </w:rPr>
        <w:t>settled a</w:t>
      </w:r>
      <w:r w:rsidR="00F80B24" w:rsidRPr="008A3740">
        <w:rPr>
          <w:rFonts w:ascii="Verdana" w:hAnsi="Verdana"/>
          <w:sz w:val="20"/>
          <w:szCs w:val="20"/>
          <w:lang w:val="en-US"/>
        </w:rPr>
        <w:t>s such</w:t>
      </w:r>
      <w:r w:rsidRPr="008A3740">
        <w:rPr>
          <w:rFonts w:ascii="Verdana" w:hAnsi="Verdana"/>
          <w:sz w:val="20"/>
          <w:szCs w:val="20"/>
          <w:lang w:val="en-US"/>
        </w:rPr>
        <w:t>.</w:t>
      </w:r>
      <w:r w:rsidRPr="008A3740">
        <w:rPr>
          <w:rFonts w:ascii="Verdana" w:eastAsia="Verdana" w:hAnsi="Verdana" w:cs="Verdana"/>
          <w:sz w:val="20"/>
          <w:szCs w:val="20"/>
          <w:vertAlign w:val="superscript"/>
          <w:lang w:val="en-US"/>
        </w:rPr>
        <w:footnoteReference w:id="9"/>
      </w:r>
    </w:p>
    <w:p w14:paraId="7293851A" w14:textId="77777777" w:rsidR="008E6A56" w:rsidRPr="008A3740" w:rsidRDefault="008E6A56" w:rsidP="008E6A56">
      <w:pPr>
        <w:tabs>
          <w:tab w:val="left" w:pos="567"/>
        </w:tabs>
        <w:autoSpaceDE w:val="0"/>
        <w:autoSpaceDN w:val="0"/>
        <w:rPr>
          <w:rFonts w:ascii="Verdana" w:eastAsia="Batang" w:hAnsi="Verdana" w:cs="Arial"/>
          <w:b/>
          <w:iCs/>
          <w:sz w:val="20"/>
          <w:szCs w:val="20"/>
          <w:lang w:val="en-US"/>
        </w:rPr>
      </w:pPr>
    </w:p>
    <w:p w14:paraId="20662664" w14:textId="77777777" w:rsidR="008E6A56" w:rsidRPr="008A3740" w:rsidRDefault="008E6A56" w:rsidP="00D17A65">
      <w:pPr>
        <w:numPr>
          <w:ilvl w:val="0"/>
          <w:numId w:val="3"/>
        </w:numPr>
        <w:tabs>
          <w:tab w:val="left" w:pos="567"/>
          <w:tab w:val="num" w:pos="12305"/>
        </w:tabs>
        <w:ind w:left="0" w:firstLine="0"/>
        <w:rPr>
          <w:b/>
          <w:lang w:val="en-US"/>
        </w:rPr>
      </w:pPr>
      <w:r w:rsidRPr="008A3740">
        <w:rPr>
          <w:rFonts w:ascii="Verdana" w:eastAsia="Batang" w:hAnsi="Verdana" w:cs="Arial"/>
          <w:iCs/>
          <w:sz w:val="20"/>
          <w:szCs w:val="20"/>
          <w:lang w:val="en-US"/>
        </w:rPr>
        <w:t xml:space="preserve">Based on the foregoing, and having regard to </w:t>
      </w:r>
      <w:r w:rsidRPr="008A3740">
        <w:rPr>
          <w:rFonts w:ascii="Verdana" w:hAnsi="Verdana"/>
          <w:sz w:val="20"/>
          <w:szCs w:val="20"/>
          <w:lang w:val="en-US"/>
        </w:rPr>
        <w:t xml:space="preserve">the diverse nature of the arguments formulated by the State, aimed, on the one hand, at demonstrating that the domestic remedies have not been exhausted and on the other, at arguing that the Court does not have </w:t>
      </w:r>
      <w:r w:rsidR="000E73BC" w:rsidRPr="008A3740">
        <w:rPr>
          <w:rFonts w:ascii="Verdana" w:hAnsi="Verdana"/>
          <w:sz w:val="20"/>
          <w:szCs w:val="20"/>
          <w:lang w:val="en-US"/>
        </w:rPr>
        <w:t xml:space="preserve">jurisdiction </w:t>
      </w:r>
      <w:r w:rsidRPr="008A3740">
        <w:rPr>
          <w:rFonts w:ascii="Verdana" w:hAnsi="Verdana"/>
          <w:sz w:val="20"/>
          <w:szCs w:val="20"/>
          <w:lang w:val="en-US"/>
        </w:rPr>
        <w:t>to examine the direct justiciability of the right</w:t>
      </w:r>
      <w:r w:rsidR="00D25940" w:rsidRPr="008A3740">
        <w:rPr>
          <w:rFonts w:ascii="Verdana" w:hAnsi="Verdana"/>
          <w:sz w:val="20"/>
          <w:szCs w:val="20"/>
          <w:lang w:val="en-US"/>
        </w:rPr>
        <w:t xml:space="preserve"> to social security based on the</w:t>
      </w:r>
      <w:r w:rsidRPr="008A3740">
        <w:rPr>
          <w:rFonts w:ascii="Verdana" w:hAnsi="Verdana"/>
          <w:sz w:val="20"/>
          <w:szCs w:val="20"/>
          <w:lang w:val="en-US"/>
        </w:rPr>
        <w:t xml:space="preserve"> interpretation of Article 26 of the Convention,</w:t>
      </w:r>
      <w:r w:rsidRPr="008A3740">
        <w:rPr>
          <w:rStyle w:val="Refdenotaalpie"/>
          <w:szCs w:val="20"/>
          <w:lang w:val="en-US"/>
        </w:rPr>
        <w:footnoteReference w:id="10"/>
      </w:r>
      <w:r w:rsidRPr="008A3740">
        <w:rPr>
          <w:rFonts w:ascii="Verdana" w:hAnsi="Verdana"/>
          <w:sz w:val="20"/>
          <w:szCs w:val="20"/>
          <w:lang w:val="en-US"/>
        </w:rPr>
        <w:t xml:space="preserve"> this Court understands that these </w:t>
      </w:r>
      <w:r w:rsidR="00707E32" w:rsidRPr="008A3740">
        <w:rPr>
          <w:rFonts w:ascii="Verdana" w:hAnsi="Verdana"/>
          <w:sz w:val="20"/>
          <w:szCs w:val="20"/>
          <w:lang w:val="en-US"/>
        </w:rPr>
        <w:t xml:space="preserve">assertions </w:t>
      </w:r>
      <w:r w:rsidRPr="008A3740">
        <w:rPr>
          <w:rFonts w:ascii="Verdana" w:hAnsi="Verdana"/>
          <w:sz w:val="20"/>
          <w:szCs w:val="20"/>
          <w:lang w:val="en-US"/>
        </w:rPr>
        <w:t>have the nature of a preliminary objection.</w:t>
      </w:r>
    </w:p>
    <w:p w14:paraId="09DB8C32" w14:textId="77777777" w:rsidR="008E6A56" w:rsidRPr="008A3740" w:rsidRDefault="008E6A56" w:rsidP="008E6A56">
      <w:pPr>
        <w:tabs>
          <w:tab w:val="left" w:pos="567"/>
        </w:tabs>
        <w:autoSpaceDE w:val="0"/>
        <w:autoSpaceDN w:val="0"/>
        <w:rPr>
          <w:rFonts w:ascii="Verdana" w:eastAsia="Batang" w:hAnsi="Verdana" w:cs="Arial"/>
          <w:b/>
          <w:iCs/>
          <w:sz w:val="20"/>
          <w:szCs w:val="20"/>
          <w:lang w:val="en-US"/>
        </w:rPr>
      </w:pPr>
    </w:p>
    <w:p w14:paraId="469E00AD" w14:textId="77777777" w:rsidR="008E6A56" w:rsidRPr="008A3740" w:rsidRDefault="008E6A56" w:rsidP="008E6A56">
      <w:pPr>
        <w:pStyle w:val="Ttulo2"/>
        <w:tabs>
          <w:tab w:val="clear" w:pos="360"/>
        </w:tabs>
        <w:ind w:hanging="360"/>
        <w:rPr>
          <w:lang w:val="en-US"/>
        </w:rPr>
      </w:pPr>
      <w:bookmarkStart w:id="20" w:name="_Toc401931886"/>
      <w:bookmarkStart w:id="21" w:name="_Toc428369983"/>
      <w:bookmarkStart w:id="22" w:name="_Toc459158099"/>
      <w:bookmarkStart w:id="23" w:name="_Toc460857359"/>
      <w:bookmarkStart w:id="24" w:name="_Toc514172593"/>
      <w:bookmarkStart w:id="25" w:name="_Toc5009859"/>
      <w:bookmarkEnd w:id="12"/>
      <w:bookmarkEnd w:id="13"/>
      <w:bookmarkEnd w:id="14"/>
      <w:r w:rsidRPr="008A3740">
        <w:rPr>
          <w:lang w:val="en-US"/>
        </w:rPr>
        <w:t xml:space="preserve">Objection </w:t>
      </w:r>
      <w:r w:rsidR="00A4584E" w:rsidRPr="008A3740">
        <w:rPr>
          <w:lang w:val="en-US"/>
        </w:rPr>
        <w:t xml:space="preserve">regarding </w:t>
      </w:r>
      <w:r w:rsidRPr="008A3740">
        <w:rPr>
          <w:lang w:val="en-US"/>
        </w:rPr>
        <w:t>the alleged</w:t>
      </w:r>
      <w:bookmarkEnd w:id="20"/>
      <w:bookmarkEnd w:id="21"/>
      <w:bookmarkEnd w:id="22"/>
      <w:bookmarkEnd w:id="23"/>
      <w:r w:rsidRPr="008A3740">
        <w:rPr>
          <w:lang w:val="en-US"/>
        </w:rPr>
        <w:t xml:space="preserve"> failure to exhaust domestic remedies</w:t>
      </w:r>
      <w:bookmarkEnd w:id="24"/>
      <w:bookmarkEnd w:id="25"/>
    </w:p>
    <w:p w14:paraId="368CD4A0" w14:textId="77777777" w:rsidR="008E6A56" w:rsidRPr="008A3740" w:rsidRDefault="008E6A56" w:rsidP="008E6A56">
      <w:pPr>
        <w:pStyle w:val="Ttulo3"/>
        <w:rPr>
          <w:lang w:val="en-US"/>
        </w:rPr>
      </w:pPr>
      <w:bookmarkStart w:id="26" w:name="_Toc459158100"/>
      <w:bookmarkStart w:id="27" w:name="_Toc460857360"/>
      <w:bookmarkStart w:id="28" w:name="_Toc514172594"/>
      <w:bookmarkStart w:id="29" w:name="_Toc5009860"/>
      <w:r w:rsidRPr="008A3740">
        <w:rPr>
          <w:lang w:val="en-US"/>
        </w:rPr>
        <w:t xml:space="preserve">A.1 Arguments of the State and observations of the Commission and </w:t>
      </w:r>
      <w:bookmarkEnd w:id="26"/>
      <w:bookmarkEnd w:id="27"/>
      <w:r w:rsidRPr="008A3740">
        <w:rPr>
          <w:lang w:val="en-US"/>
        </w:rPr>
        <w:t>the representatives</w:t>
      </w:r>
      <w:bookmarkEnd w:id="28"/>
      <w:bookmarkEnd w:id="29"/>
    </w:p>
    <w:p w14:paraId="53C5C78E" w14:textId="77777777" w:rsidR="008E6A56" w:rsidRPr="008A3740" w:rsidRDefault="008E6A56" w:rsidP="008E6A56">
      <w:pPr>
        <w:rPr>
          <w:lang w:val="en-US"/>
        </w:rPr>
      </w:pPr>
    </w:p>
    <w:p w14:paraId="65856CB9" w14:textId="77777777" w:rsidR="008E6A56" w:rsidRPr="008A3740" w:rsidRDefault="008E6A56" w:rsidP="00D17A65">
      <w:pPr>
        <w:pStyle w:val="Prrafodelista"/>
        <w:numPr>
          <w:ilvl w:val="0"/>
          <w:numId w:val="3"/>
        </w:numPr>
        <w:ind w:left="0" w:firstLine="0"/>
        <w:rPr>
          <w:rFonts w:eastAsia="Times New Roman" w:cs="Verdana,Italic"/>
          <w:lang w:val="en-US"/>
        </w:rPr>
      </w:pPr>
      <w:r w:rsidRPr="008A3740">
        <w:rPr>
          <w:rFonts w:ascii="Verdana" w:eastAsia="Batang" w:hAnsi="Verdana" w:cs="Arial"/>
          <w:iCs/>
          <w:color w:val="000000"/>
          <w:sz w:val="20"/>
          <w:szCs w:val="20"/>
          <w:lang w:val="en-US"/>
        </w:rPr>
        <w:t xml:space="preserve">The State filed an objection </w:t>
      </w:r>
      <w:r w:rsidR="00A4584E" w:rsidRPr="008A3740">
        <w:rPr>
          <w:rFonts w:ascii="Verdana" w:eastAsia="Batang" w:hAnsi="Verdana" w:cs="Arial"/>
          <w:iCs/>
          <w:color w:val="000000"/>
          <w:sz w:val="20"/>
          <w:szCs w:val="20"/>
          <w:lang w:val="en-US"/>
        </w:rPr>
        <w:t xml:space="preserve">regarding </w:t>
      </w:r>
      <w:r w:rsidR="00E1500C" w:rsidRPr="008A3740">
        <w:rPr>
          <w:rFonts w:ascii="Verdana" w:eastAsia="Batang" w:hAnsi="Verdana" w:cs="Arial"/>
          <w:iCs/>
          <w:color w:val="000000"/>
          <w:sz w:val="20"/>
          <w:szCs w:val="20"/>
          <w:lang w:val="en-US"/>
        </w:rPr>
        <w:t xml:space="preserve">the </w:t>
      </w:r>
      <w:r w:rsidRPr="008A3740">
        <w:rPr>
          <w:rFonts w:ascii="Verdana" w:eastAsia="Batang" w:hAnsi="Verdana" w:cs="Arial"/>
          <w:iCs/>
          <w:color w:val="000000"/>
          <w:sz w:val="20"/>
          <w:szCs w:val="20"/>
          <w:lang w:val="en-US"/>
        </w:rPr>
        <w:t>alleg</w:t>
      </w:r>
      <w:r w:rsidR="00E1500C" w:rsidRPr="008A3740">
        <w:rPr>
          <w:rFonts w:ascii="Verdana" w:eastAsia="Batang" w:hAnsi="Verdana" w:cs="Arial"/>
          <w:iCs/>
          <w:color w:val="000000"/>
          <w:sz w:val="20"/>
          <w:szCs w:val="20"/>
          <w:lang w:val="en-US"/>
        </w:rPr>
        <w:t xml:space="preserve">ed </w:t>
      </w:r>
      <w:r w:rsidRPr="008A3740">
        <w:rPr>
          <w:rFonts w:ascii="Verdana" w:eastAsia="Batang" w:hAnsi="Verdana" w:cs="Arial"/>
          <w:iCs/>
          <w:color w:val="000000"/>
          <w:sz w:val="20"/>
          <w:szCs w:val="20"/>
          <w:lang w:val="en-US"/>
        </w:rPr>
        <w:t xml:space="preserve">failure to exhaust domestic </w:t>
      </w:r>
      <w:r w:rsidR="00707E32" w:rsidRPr="008A3740">
        <w:rPr>
          <w:rFonts w:ascii="Verdana" w:eastAsia="Batang" w:hAnsi="Verdana" w:cs="Arial"/>
          <w:iCs/>
          <w:color w:val="000000"/>
          <w:sz w:val="20"/>
          <w:szCs w:val="20"/>
          <w:lang w:val="en-US"/>
        </w:rPr>
        <w:t>remedies based on Article 46(1)(</w:t>
      </w:r>
      <w:r w:rsidRPr="008A3740">
        <w:rPr>
          <w:rFonts w:ascii="Verdana" w:eastAsia="Batang" w:hAnsi="Verdana" w:cs="Arial"/>
          <w:iCs/>
          <w:color w:val="000000"/>
          <w:sz w:val="20"/>
          <w:szCs w:val="20"/>
          <w:lang w:val="en-US"/>
        </w:rPr>
        <w:t xml:space="preserve">a) of the Convention. It held that when the petition was </w:t>
      </w:r>
      <w:r w:rsidR="00E1500C" w:rsidRPr="008A3740">
        <w:rPr>
          <w:rFonts w:ascii="Verdana" w:eastAsia="Batang" w:hAnsi="Verdana" w:cs="Arial"/>
          <w:iCs/>
          <w:color w:val="000000"/>
          <w:sz w:val="20"/>
          <w:szCs w:val="20"/>
          <w:lang w:val="en-US"/>
        </w:rPr>
        <w:t>lodged</w:t>
      </w:r>
      <w:r w:rsidRPr="008A3740">
        <w:rPr>
          <w:rFonts w:ascii="Verdana" w:eastAsia="Batang" w:hAnsi="Verdana" w:cs="Arial"/>
          <w:iCs/>
          <w:color w:val="000000"/>
          <w:sz w:val="20"/>
          <w:szCs w:val="20"/>
          <w:lang w:val="en-US"/>
        </w:rPr>
        <w:t xml:space="preserve">, the domestic remedies had not been exhausted, since the second </w:t>
      </w:r>
      <w:r w:rsidRPr="008A3740">
        <w:rPr>
          <w:rFonts w:ascii="Verdana" w:eastAsia="Batang" w:hAnsi="Verdana" w:cs="Arial"/>
          <w:i/>
          <w:iCs/>
          <w:color w:val="000000"/>
          <w:sz w:val="20"/>
          <w:szCs w:val="20"/>
          <w:lang w:val="en-US"/>
        </w:rPr>
        <w:t>amparo</w:t>
      </w:r>
      <w:r w:rsidRPr="008A3740">
        <w:rPr>
          <w:rFonts w:ascii="Verdana" w:eastAsia="Batang" w:hAnsi="Verdana" w:cs="Arial"/>
          <w:iCs/>
          <w:color w:val="000000"/>
          <w:sz w:val="20"/>
          <w:szCs w:val="20"/>
          <w:lang w:val="en-US"/>
        </w:rPr>
        <w:t xml:space="preserve"> proceeding was </w:t>
      </w:r>
      <w:r w:rsidR="00707E32" w:rsidRPr="008A3740">
        <w:rPr>
          <w:rFonts w:ascii="Verdana" w:eastAsia="Batang" w:hAnsi="Verdana" w:cs="Arial"/>
          <w:iCs/>
          <w:color w:val="000000"/>
          <w:sz w:val="20"/>
          <w:szCs w:val="20"/>
          <w:lang w:val="en-US"/>
        </w:rPr>
        <w:t xml:space="preserve">still </w:t>
      </w:r>
      <w:r w:rsidR="00A4584E" w:rsidRPr="008A3740">
        <w:rPr>
          <w:rFonts w:ascii="Verdana" w:eastAsia="Batang" w:hAnsi="Verdana" w:cs="Arial"/>
          <w:iCs/>
          <w:color w:val="000000"/>
          <w:sz w:val="20"/>
          <w:szCs w:val="20"/>
          <w:lang w:val="en-US"/>
        </w:rPr>
        <w:t>in progress</w:t>
      </w:r>
      <w:r w:rsidRPr="008A3740">
        <w:rPr>
          <w:rFonts w:ascii="Verdana" w:eastAsia="Batang" w:hAnsi="Verdana" w:cs="Arial"/>
          <w:iCs/>
          <w:color w:val="000000"/>
          <w:sz w:val="20"/>
          <w:szCs w:val="20"/>
          <w:lang w:val="en-US"/>
        </w:rPr>
        <w:t xml:space="preserve">, </w:t>
      </w:r>
      <w:r w:rsidR="00707E32" w:rsidRPr="008A3740">
        <w:rPr>
          <w:rFonts w:ascii="Verdana" w:eastAsia="Batang" w:hAnsi="Verdana" w:cs="Arial"/>
          <w:iCs/>
          <w:color w:val="000000"/>
          <w:sz w:val="20"/>
          <w:szCs w:val="20"/>
          <w:lang w:val="en-US"/>
        </w:rPr>
        <w:t xml:space="preserve">and </w:t>
      </w:r>
      <w:r w:rsidRPr="008A3740">
        <w:rPr>
          <w:rFonts w:ascii="Verdana" w:eastAsia="Batang" w:hAnsi="Verdana" w:cs="Arial"/>
          <w:iCs/>
          <w:color w:val="000000"/>
          <w:sz w:val="20"/>
          <w:szCs w:val="20"/>
          <w:lang w:val="en-US"/>
        </w:rPr>
        <w:t xml:space="preserve">was decided by the Constitutional Court on November 10, 1999. </w:t>
      </w:r>
      <w:r w:rsidR="00707E32" w:rsidRPr="008A3740">
        <w:rPr>
          <w:rFonts w:ascii="Verdana" w:eastAsia="Batang" w:hAnsi="Verdana" w:cs="Arial"/>
          <w:iCs/>
          <w:color w:val="000000"/>
          <w:sz w:val="20"/>
          <w:szCs w:val="20"/>
          <w:lang w:val="en-US"/>
        </w:rPr>
        <w:t>I</w:t>
      </w:r>
      <w:r w:rsidR="00A4584E" w:rsidRPr="008A3740">
        <w:rPr>
          <w:rFonts w:ascii="Verdana" w:eastAsia="Batang" w:hAnsi="Verdana" w:cs="Arial"/>
          <w:iCs/>
          <w:color w:val="000000"/>
          <w:sz w:val="20"/>
          <w:szCs w:val="20"/>
          <w:lang w:val="en-US"/>
        </w:rPr>
        <w:t>n addition, i</w:t>
      </w:r>
      <w:r w:rsidRPr="008A3740">
        <w:rPr>
          <w:rFonts w:ascii="Verdana" w:eastAsia="Batang" w:hAnsi="Verdana" w:cs="Arial"/>
          <w:iCs/>
          <w:color w:val="000000"/>
          <w:sz w:val="20"/>
          <w:szCs w:val="20"/>
          <w:lang w:val="en-US"/>
        </w:rPr>
        <w:t xml:space="preserve">t indicated that the dispute in this case </w:t>
      </w:r>
      <w:r w:rsidR="00A4584E" w:rsidRPr="008A3740">
        <w:rPr>
          <w:rFonts w:ascii="Verdana" w:eastAsia="Batang" w:hAnsi="Verdana" w:cs="Arial"/>
          <w:iCs/>
          <w:color w:val="000000"/>
          <w:sz w:val="20"/>
          <w:szCs w:val="20"/>
          <w:lang w:val="en-US"/>
        </w:rPr>
        <w:t xml:space="preserve">concerned </w:t>
      </w:r>
      <w:r w:rsidRPr="008A3740">
        <w:rPr>
          <w:rFonts w:ascii="Verdana" w:eastAsia="Batang" w:hAnsi="Verdana" w:cs="Arial"/>
          <w:iCs/>
          <w:color w:val="000000"/>
          <w:sz w:val="20"/>
          <w:szCs w:val="20"/>
          <w:lang w:val="en-US"/>
        </w:rPr>
        <w:t xml:space="preserve">the process of execution of the </w:t>
      </w:r>
      <w:r w:rsidRPr="008A3740">
        <w:rPr>
          <w:rFonts w:ascii="Verdana" w:eastAsia="Batang" w:hAnsi="Verdana" w:cs="Arial"/>
          <w:i/>
          <w:iCs/>
          <w:color w:val="000000"/>
          <w:sz w:val="20"/>
          <w:szCs w:val="20"/>
          <w:lang w:val="en-US"/>
        </w:rPr>
        <w:t>amparo</w:t>
      </w:r>
      <w:r w:rsidRPr="008A3740">
        <w:rPr>
          <w:rFonts w:ascii="Verdana" w:eastAsia="Batang" w:hAnsi="Verdana" w:cs="Arial"/>
          <w:iCs/>
          <w:color w:val="000000"/>
          <w:sz w:val="20"/>
          <w:szCs w:val="20"/>
          <w:lang w:val="en-US"/>
        </w:rPr>
        <w:t xml:space="preserve"> judgment of February 2, 1993, which had not concluded at the </w:t>
      </w:r>
      <w:r w:rsidR="00707E32" w:rsidRPr="008A3740">
        <w:rPr>
          <w:rFonts w:ascii="Verdana" w:eastAsia="Batang" w:hAnsi="Verdana" w:cs="Arial"/>
          <w:iCs/>
          <w:color w:val="000000"/>
          <w:sz w:val="20"/>
          <w:szCs w:val="20"/>
          <w:lang w:val="en-US"/>
        </w:rPr>
        <w:t>time of submitting the petition;</w:t>
      </w:r>
      <w:r w:rsidRPr="008A3740">
        <w:rPr>
          <w:rFonts w:ascii="Verdana" w:eastAsia="Batang" w:hAnsi="Verdana" w:cs="Arial"/>
          <w:iCs/>
          <w:color w:val="000000"/>
          <w:sz w:val="20"/>
          <w:szCs w:val="20"/>
          <w:lang w:val="en-US"/>
        </w:rPr>
        <w:t xml:space="preserve"> </w:t>
      </w:r>
      <w:r w:rsidR="00707E32" w:rsidRPr="008A3740">
        <w:rPr>
          <w:rFonts w:ascii="Verdana" w:eastAsia="Batang" w:hAnsi="Verdana" w:cs="Arial"/>
          <w:iCs/>
          <w:color w:val="000000"/>
          <w:sz w:val="20"/>
          <w:szCs w:val="20"/>
          <w:lang w:val="en-US"/>
        </w:rPr>
        <w:t xml:space="preserve">therefore, </w:t>
      </w:r>
      <w:r w:rsidRPr="008A3740">
        <w:rPr>
          <w:rFonts w:ascii="Verdana" w:eastAsia="Batang" w:hAnsi="Verdana" w:cs="Arial"/>
          <w:iCs/>
          <w:color w:val="000000"/>
          <w:sz w:val="20"/>
          <w:szCs w:val="20"/>
          <w:lang w:val="en-US"/>
        </w:rPr>
        <w:t xml:space="preserve">the </w:t>
      </w:r>
      <w:r w:rsidR="00E55CF8" w:rsidRPr="008A3740">
        <w:rPr>
          <w:rFonts w:ascii="Verdana" w:eastAsia="Batang" w:hAnsi="Verdana" w:cs="Arial"/>
          <w:iCs/>
          <w:color w:val="000000"/>
          <w:sz w:val="20"/>
          <w:szCs w:val="20"/>
          <w:lang w:val="en-US"/>
        </w:rPr>
        <w:t>alleged failure to exhaust</w:t>
      </w:r>
      <w:r w:rsidRPr="008A3740">
        <w:rPr>
          <w:rFonts w:ascii="Verdana" w:eastAsia="Batang" w:hAnsi="Verdana" w:cs="Arial"/>
          <w:iCs/>
          <w:color w:val="000000"/>
          <w:sz w:val="20"/>
          <w:szCs w:val="20"/>
          <w:lang w:val="en-US"/>
        </w:rPr>
        <w:t xml:space="preserve"> </w:t>
      </w:r>
      <w:r w:rsidR="00652108" w:rsidRPr="008A3740">
        <w:rPr>
          <w:rFonts w:ascii="Verdana" w:eastAsia="Batang" w:hAnsi="Verdana" w:cs="Arial"/>
          <w:iCs/>
          <w:color w:val="000000"/>
          <w:sz w:val="20"/>
          <w:szCs w:val="20"/>
          <w:lang w:val="en-US"/>
        </w:rPr>
        <w:t>domestic</w:t>
      </w:r>
      <w:r w:rsidRPr="008A3740">
        <w:rPr>
          <w:rFonts w:ascii="Verdana" w:eastAsia="Batang" w:hAnsi="Verdana" w:cs="Arial"/>
          <w:iCs/>
          <w:color w:val="000000"/>
          <w:sz w:val="20"/>
          <w:szCs w:val="20"/>
          <w:lang w:val="en-US"/>
        </w:rPr>
        <w:t xml:space="preserve"> </w:t>
      </w:r>
      <w:r w:rsidR="00652108" w:rsidRPr="008A3740">
        <w:rPr>
          <w:rFonts w:ascii="Verdana" w:eastAsia="Batang" w:hAnsi="Verdana" w:cs="Arial"/>
          <w:iCs/>
          <w:color w:val="000000"/>
          <w:sz w:val="20"/>
          <w:szCs w:val="20"/>
          <w:lang w:val="en-US"/>
        </w:rPr>
        <w:t xml:space="preserve">remedies </w:t>
      </w:r>
      <w:r w:rsidR="00E55CF8" w:rsidRPr="008A3740">
        <w:rPr>
          <w:rFonts w:ascii="Verdana" w:eastAsia="Batang" w:hAnsi="Verdana" w:cs="Arial"/>
          <w:iCs/>
          <w:color w:val="000000"/>
          <w:sz w:val="20"/>
          <w:szCs w:val="20"/>
          <w:lang w:val="en-US"/>
        </w:rPr>
        <w:t xml:space="preserve">must be analyzed </w:t>
      </w:r>
      <w:r w:rsidR="00E1500C" w:rsidRPr="008A3740">
        <w:rPr>
          <w:rFonts w:ascii="Verdana" w:eastAsia="Batang" w:hAnsi="Verdana" w:cs="Arial"/>
          <w:iCs/>
          <w:color w:val="000000"/>
          <w:sz w:val="20"/>
          <w:szCs w:val="20"/>
          <w:lang w:val="en-US"/>
        </w:rPr>
        <w:t xml:space="preserve">in relation to the </w:t>
      </w:r>
      <w:r w:rsidR="00A4584E" w:rsidRPr="008A3740">
        <w:rPr>
          <w:rFonts w:ascii="Verdana" w:eastAsia="Batang" w:hAnsi="Verdana" w:cs="Arial"/>
          <w:iCs/>
          <w:color w:val="000000"/>
          <w:sz w:val="20"/>
          <w:szCs w:val="20"/>
          <w:lang w:val="en-US"/>
        </w:rPr>
        <w:t xml:space="preserve">judicial </w:t>
      </w:r>
      <w:r w:rsidRPr="008A3740">
        <w:rPr>
          <w:rFonts w:ascii="Verdana" w:eastAsia="Batang" w:hAnsi="Verdana" w:cs="Arial"/>
          <w:iCs/>
          <w:color w:val="000000"/>
          <w:sz w:val="20"/>
          <w:szCs w:val="20"/>
          <w:lang w:val="en-US"/>
        </w:rPr>
        <w:t>execution proce</w:t>
      </w:r>
      <w:r w:rsidR="00A4584E" w:rsidRPr="008A3740">
        <w:rPr>
          <w:rFonts w:ascii="Verdana" w:eastAsia="Batang" w:hAnsi="Verdana" w:cs="Arial"/>
          <w:iCs/>
          <w:color w:val="000000"/>
          <w:sz w:val="20"/>
          <w:szCs w:val="20"/>
          <w:lang w:val="en-US"/>
        </w:rPr>
        <w:t>eding</w:t>
      </w:r>
      <w:r w:rsidRPr="008A3740">
        <w:rPr>
          <w:rFonts w:ascii="Verdana" w:eastAsia="Batang" w:hAnsi="Verdana" w:cs="Arial"/>
          <w:iCs/>
          <w:color w:val="000000"/>
          <w:sz w:val="20"/>
          <w:szCs w:val="20"/>
          <w:lang w:val="en-US"/>
        </w:rPr>
        <w:t xml:space="preserve">. </w:t>
      </w:r>
      <w:r w:rsidR="00E55CF8" w:rsidRPr="008A3740">
        <w:rPr>
          <w:rFonts w:ascii="Verdana" w:eastAsia="Batang" w:hAnsi="Verdana" w:cs="Arial"/>
          <w:iCs/>
          <w:color w:val="000000"/>
          <w:sz w:val="20"/>
          <w:szCs w:val="20"/>
          <w:lang w:val="en-US"/>
        </w:rPr>
        <w:t xml:space="preserve">The State </w:t>
      </w:r>
      <w:r w:rsidR="00E1500C" w:rsidRPr="008A3740">
        <w:rPr>
          <w:rFonts w:ascii="Verdana" w:eastAsia="Batang" w:hAnsi="Verdana" w:cs="Arial"/>
          <w:iCs/>
          <w:color w:val="000000"/>
          <w:sz w:val="20"/>
          <w:szCs w:val="20"/>
          <w:lang w:val="en-US"/>
        </w:rPr>
        <w:t xml:space="preserve">asserted </w:t>
      </w:r>
      <w:r w:rsidRPr="008A3740">
        <w:rPr>
          <w:rFonts w:ascii="Verdana" w:eastAsia="Batang" w:hAnsi="Verdana" w:cs="Arial"/>
          <w:iCs/>
          <w:color w:val="000000"/>
          <w:sz w:val="20"/>
          <w:szCs w:val="20"/>
          <w:lang w:val="en-US"/>
        </w:rPr>
        <w:t>that in the instant case there was no un</w:t>
      </w:r>
      <w:r w:rsidR="00E1500C" w:rsidRPr="008A3740">
        <w:rPr>
          <w:rFonts w:ascii="Verdana" w:eastAsia="Batang" w:hAnsi="Verdana" w:cs="Arial"/>
          <w:iCs/>
          <w:color w:val="000000"/>
          <w:sz w:val="20"/>
          <w:szCs w:val="20"/>
          <w:lang w:val="en-US"/>
        </w:rPr>
        <w:t xml:space="preserve">warranted </w:t>
      </w:r>
      <w:r w:rsidRPr="008A3740">
        <w:rPr>
          <w:rFonts w:ascii="Verdana" w:eastAsia="Batang" w:hAnsi="Verdana" w:cs="Arial"/>
          <w:iCs/>
          <w:color w:val="000000"/>
          <w:sz w:val="20"/>
          <w:szCs w:val="20"/>
          <w:lang w:val="en-US"/>
        </w:rPr>
        <w:t xml:space="preserve">delay, </w:t>
      </w:r>
      <w:r w:rsidR="00E1500C" w:rsidRPr="008A3740">
        <w:rPr>
          <w:rFonts w:ascii="Verdana" w:eastAsia="Batang" w:hAnsi="Verdana" w:cs="Arial"/>
          <w:iCs/>
          <w:color w:val="000000"/>
          <w:sz w:val="20"/>
          <w:szCs w:val="20"/>
          <w:lang w:val="en-US"/>
        </w:rPr>
        <w:t xml:space="preserve">given </w:t>
      </w:r>
      <w:r w:rsidRPr="008A3740">
        <w:rPr>
          <w:rFonts w:ascii="Verdana" w:eastAsia="Batang" w:hAnsi="Verdana" w:cs="Arial"/>
          <w:iCs/>
          <w:color w:val="000000"/>
          <w:sz w:val="20"/>
          <w:szCs w:val="20"/>
          <w:lang w:val="en-US"/>
        </w:rPr>
        <w:t xml:space="preserve">that the petition was presented only two years and four months after the execution process had </w:t>
      </w:r>
      <w:r w:rsidR="00E1500C" w:rsidRPr="008A3740">
        <w:rPr>
          <w:rFonts w:ascii="Verdana" w:eastAsia="Batang" w:hAnsi="Verdana" w:cs="Arial"/>
          <w:iCs/>
          <w:color w:val="000000"/>
          <w:sz w:val="20"/>
          <w:szCs w:val="20"/>
          <w:lang w:val="en-US"/>
        </w:rPr>
        <w:t xml:space="preserve">begun </w:t>
      </w:r>
      <w:r w:rsidRPr="008A3740">
        <w:rPr>
          <w:rFonts w:ascii="Verdana" w:eastAsia="Batang" w:hAnsi="Verdana" w:cs="Arial"/>
          <w:iCs/>
          <w:color w:val="000000"/>
          <w:sz w:val="20"/>
          <w:szCs w:val="20"/>
          <w:lang w:val="en-US"/>
        </w:rPr>
        <w:t>on December 18, 1995.</w:t>
      </w:r>
      <w:r w:rsidRPr="008A3740">
        <w:rPr>
          <w:rFonts w:ascii="Verdana" w:eastAsia="Batang" w:hAnsi="Verdana" w:cs="Arial"/>
          <w:b/>
          <w:iCs/>
          <w:color w:val="000000"/>
          <w:sz w:val="20"/>
          <w:szCs w:val="20"/>
          <w:lang w:val="en-US"/>
        </w:rPr>
        <w:t xml:space="preserve"> </w:t>
      </w:r>
      <w:r w:rsidR="00E1500C" w:rsidRPr="008A3740">
        <w:rPr>
          <w:rFonts w:ascii="Verdana" w:eastAsia="Batang" w:hAnsi="Verdana" w:cs="Arial"/>
          <w:iCs/>
          <w:color w:val="000000"/>
          <w:sz w:val="20"/>
          <w:szCs w:val="20"/>
          <w:lang w:val="en-US"/>
        </w:rPr>
        <w:t>I</w:t>
      </w:r>
      <w:r w:rsidRPr="008A3740">
        <w:rPr>
          <w:rFonts w:ascii="Verdana" w:eastAsia="Batang" w:hAnsi="Verdana" w:cs="Arial"/>
          <w:iCs/>
          <w:color w:val="000000"/>
          <w:sz w:val="20"/>
          <w:szCs w:val="20"/>
          <w:lang w:val="en-US"/>
        </w:rPr>
        <w:t xml:space="preserve">t </w:t>
      </w:r>
      <w:r w:rsidR="00A4584E" w:rsidRPr="008A3740">
        <w:rPr>
          <w:rFonts w:ascii="Verdana" w:eastAsia="Batang" w:hAnsi="Verdana" w:cs="Arial"/>
          <w:iCs/>
          <w:color w:val="000000"/>
          <w:sz w:val="20"/>
          <w:szCs w:val="20"/>
          <w:lang w:val="en-US"/>
        </w:rPr>
        <w:t xml:space="preserve">emphasized </w:t>
      </w:r>
      <w:r w:rsidRPr="008A3740">
        <w:rPr>
          <w:rFonts w:ascii="Verdana" w:eastAsia="Batang" w:hAnsi="Verdana" w:cs="Arial"/>
          <w:iCs/>
          <w:color w:val="000000"/>
          <w:sz w:val="20"/>
          <w:szCs w:val="20"/>
          <w:lang w:val="en-US"/>
        </w:rPr>
        <w:t>that this process was archived in 1999</w:t>
      </w:r>
      <w:r w:rsidR="00E1500C" w:rsidRPr="008A3740">
        <w:rPr>
          <w:rFonts w:ascii="Verdana" w:eastAsia="Batang" w:hAnsi="Verdana" w:cs="Arial"/>
          <w:iCs/>
          <w:color w:val="000000"/>
          <w:sz w:val="20"/>
          <w:szCs w:val="20"/>
          <w:lang w:val="en-US"/>
        </w:rPr>
        <w:t>,</w:t>
      </w:r>
      <w:r w:rsidRPr="008A3740">
        <w:rPr>
          <w:rFonts w:ascii="Verdana" w:eastAsia="Batang" w:hAnsi="Verdana" w:cs="Arial"/>
          <w:iCs/>
          <w:color w:val="000000"/>
          <w:sz w:val="20"/>
          <w:szCs w:val="20"/>
          <w:lang w:val="en-US"/>
        </w:rPr>
        <w:t xml:space="preserve"> given the lack of procedural </w:t>
      </w:r>
      <w:r w:rsidR="00CC04FC" w:rsidRPr="008A3740">
        <w:rPr>
          <w:rFonts w:ascii="Verdana" w:eastAsia="Batang" w:hAnsi="Verdana" w:cs="Arial"/>
          <w:iCs/>
          <w:color w:val="000000"/>
          <w:sz w:val="20"/>
          <w:szCs w:val="20"/>
          <w:lang w:val="en-US"/>
        </w:rPr>
        <w:t xml:space="preserve">activity </w:t>
      </w:r>
      <w:r w:rsidRPr="008A3740">
        <w:rPr>
          <w:rFonts w:ascii="Verdana" w:eastAsia="Batang" w:hAnsi="Verdana" w:cs="Arial"/>
          <w:iCs/>
          <w:color w:val="000000"/>
          <w:sz w:val="20"/>
          <w:szCs w:val="20"/>
          <w:lang w:val="en-US"/>
        </w:rPr>
        <w:t xml:space="preserve">by the parties, and that the actions only resumed in 2008, the date </w:t>
      </w:r>
      <w:r w:rsidR="00E1500C" w:rsidRPr="008A3740">
        <w:rPr>
          <w:rFonts w:ascii="Verdana" w:eastAsia="Batang" w:hAnsi="Verdana" w:cs="Arial"/>
          <w:iCs/>
          <w:color w:val="000000"/>
          <w:sz w:val="20"/>
          <w:szCs w:val="20"/>
          <w:lang w:val="en-US"/>
        </w:rPr>
        <w:t xml:space="preserve">from which </w:t>
      </w:r>
      <w:r w:rsidRPr="008A3740">
        <w:rPr>
          <w:rFonts w:ascii="Verdana" w:eastAsia="Batang" w:hAnsi="Verdana" w:cs="Arial"/>
          <w:iCs/>
          <w:color w:val="000000"/>
          <w:sz w:val="20"/>
          <w:szCs w:val="20"/>
          <w:lang w:val="en-US"/>
        </w:rPr>
        <w:t xml:space="preserve">the </w:t>
      </w:r>
      <w:r w:rsidR="00E1500C" w:rsidRPr="008A3740">
        <w:rPr>
          <w:rFonts w:ascii="Verdana" w:eastAsia="Batang" w:hAnsi="Verdana" w:cs="Arial"/>
          <w:iCs/>
          <w:color w:val="000000"/>
          <w:sz w:val="20"/>
          <w:szCs w:val="20"/>
          <w:lang w:val="en-US"/>
        </w:rPr>
        <w:t>time should be counted</w:t>
      </w:r>
      <w:r w:rsidRPr="008A3740">
        <w:rPr>
          <w:rFonts w:ascii="Verdana" w:eastAsia="Batang" w:hAnsi="Verdana" w:cs="Arial"/>
          <w:iCs/>
          <w:color w:val="000000"/>
          <w:sz w:val="20"/>
          <w:szCs w:val="20"/>
          <w:lang w:val="en-US"/>
        </w:rPr>
        <w:t xml:space="preserve">. </w:t>
      </w:r>
      <w:r w:rsidR="00E1500C" w:rsidRPr="008A3740">
        <w:rPr>
          <w:rFonts w:ascii="Verdana" w:eastAsia="Batang" w:hAnsi="Verdana" w:cs="Arial"/>
          <w:iCs/>
          <w:color w:val="000000"/>
          <w:sz w:val="20"/>
          <w:szCs w:val="20"/>
          <w:lang w:val="en-US"/>
        </w:rPr>
        <w:t xml:space="preserve">Thus, it </w:t>
      </w:r>
      <w:r w:rsidRPr="008A3740">
        <w:rPr>
          <w:rFonts w:ascii="Verdana" w:eastAsia="Batang" w:hAnsi="Verdana" w:cs="Arial"/>
          <w:iCs/>
          <w:color w:val="000000"/>
          <w:sz w:val="20"/>
          <w:szCs w:val="20"/>
          <w:lang w:val="en-US"/>
        </w:rPr>
        <w:t xml:space="preserve">concluded that </w:t>
      </w:r>
      <w:r w:rsidR="00E1500C" w:rsidRPr="008A3740">
        <w:rPr>
          <w:rFonts w:ascii="Verdana" w:eastAsia="Batang" w:hAnsi="Verdana" w:cs="Arial"/>
          <w:iCs/>
          <w:color w:val="000000"/>
          <w:sz w:val="20"/>
          <w:szCs w:val="20"/>
          <w:lang w:val="en-US"/>
        </w:rPr>
        <w:t xml:space="preserve">the </w:t>
      </w:r>
      <w:r w:rsidRPr="008A3740">
        <w:rPr>
          <w:rFonts w:ascii="Verdana" w:eastAsia="Batang" w:hAnsi="Verdana" w:cs="Arial"/>
          <w:iCs/>
          <w:color w:val="000000"/>
          <w:sz w:val="20"/>
          <w:szCs w:val="20"/>
          <w:lang w:val="en-US"/>
        </w:rPr>
        <w:t xml:space="preserve">domestic remedies had not been exhausted at the time when the petition was </w:t>
      </w:r>
      <w:r w:rsidR="00E1500C" w:rsidRPr="008A3740">
        <w:rPr>
          <w:rFonts w:ascii="Verdana" w:eastAsia="Batang" w:hAnsi="Verdana" w:cs="Arial"/>
          <w:iCs/>
          <w:color w:val="000000"/>
          <w:sz w:val="20"/>
          <w:szCs w:val="20"/>
          <w:lang w:val="en-US"/>
        </w:rPr>
        <w:t xml:space="preserve">filed </w:t>
      </w:r>
      <w:r w:rsidRPr="008A3740">
        <w:rPr>
          <w:rFonts w:ascii="Verdana" w:eastAsia="Batang" w:hAnsi="Verdana" w:cs="Arial"/>
          <w:iCs/>
          <w:color w:val="000000"/>
          <w:sz w:val="20"/>
          <w:szCs w:val="20"/>
          <w:lang w:val="en-US"/>
        </w:rPr>
        <w:t xml:space="preserve">and that </w:t>
      </w:r>
      <w:r w:rsidR="00CC04FC" w:rsidRPr="008A3740">
        <w:rPr>
          <w:rFonts w:ascii="Verdana" w:eastAsia="Batang" w:hAnsi="Verdana" w:cs="Arial"/>
          <w:iCs/>
          <w:color w:val="000000"/>
          <w:sz w:val="20"/>
          <w:szCs w:val="20"/>
          <w:lang w:val="en-US"/>
        </w:rPr>
        <w:t xml:space="preserve">no objection </w:t>
      </w:r>
      <w:r w:rsidR="00E1500C" w:rsidRPr="008A3740">
        <w:rPr>
          <w:rFonts w:ascii="Verdana" w:eastAsia="Batang" w:hAnsi="Verdana" w:cs="Arial"/>
          <w:iCs/>
          <w:color w:val="000000"/>
          <w:sz w:val="20"/>
          <w:szCs w:val="20"/>
          <w:lang w:val="en-US"/>
        </w:rPr>
        <w:t xml:space="preserve">was filed </w:t>
      </w:r>
      <w:r w:rsidR="00CC04FC" w:rsidRPr="008A3740">
        <w:rPr>
          <w:rFonts w:ascii="Verdana" w:eastAsia="Batang" w:hAnsi="Verdana" w:cs="Arial"/>
          <w:iCs/>
          <w:color w:val="000000"/>
          <w:sz w:val="20"/>
          <w:szCs w:val="20"/>
          <w:lang w:val="en-US"/>
        </w:rPr>
        <w:t xml:space="preserve">under </w:t>
      </w:r>
      <w:r w:rsidRPr="008A3740">
        <w:rPr>
          <w:rFonts w:ascii="Verdana" w:eastAsia="Batang" w:hAnsi="Verdana" w:cs="Arial"/>
          <w:iCs/>
          <w:color w:val="000000"/>
          <w:sz w:val="20"/>
          <w:szCs w:val="20"/>
          <w:lang w:val="en-US"/>
        </w:rPr>
        <w:t>the pr</w:t>
      </w:r>
      <w:r w:rsidR="00A64F6F" w:rsidRPr="008A3740">
        <w:rPr>
          <w:rFonts w:ascii="Verdana" w:eastAsia="Batang" w:hAnsi="Verdana" w:cs="Arial"/>
          <w:iCs/>
          <w:color w:val="000000"/>
          <w:sz w:val="20"/>
          <w:szCs w:val="20"/>
          <w:lang w:val="en-US"/>
        </w:rPr>
        <w:t xml:space="preserve">ovisions </w:t>
      </w:r>
      <w:r w:rsidRPr="008A3740">
        <w:rPr>
          <w:rFonts w:ascii="Verdana" w:eastAsia="Batang" w:hAnsi="Verdana" w:cs="Arial"/>
          <w:iCs/>
          <w:color w:val="000000"/>
          <w:sz w:val="20"/>
          <w:szCs w:val="20"/>
          <w:lang w:val="en-US"/>
        </w:rPr>
        <w:t>in Article 46(2) of the Convention.</w:t>
      </w:r>
    </w:p>
    <w:p w14:paraId="4AA8E2C0" w14:textId="77777777" w:rsidR="008E6A56" w:rsidRPr="008A3740" w:rsidRDefault="008E6A56" w:rsidP="008E6A56">
      <w:pPr>
        <w:tabs>
          <w:tab w:val="left" w:pos="567"/>
        </w:tabs>
        <w:autoSpaceDE w:val="0"/>
        <w:autoSpaceDN w:val="0"/>
        <w:rPr>
          <w:rFonts w:ascii="Verdana" w:eastAsia="Times New Roman" w:hAnsi="Verdana" w:cs="Verdana,Italic"/>
          <w:iCs/>
          <w:color w:val="000000"/>
          <w:sz w:val="20"/>
          <w:szCs w:val="20"/>
          <w:lang w:val="en-US"/>
        </w:rPr>
      </w:pPr>
    </w:p>
    <w:p w14:paraId="4C0FCF05" w14:textId="77777777" w:rsidR="008E6A56" w:rsidRPr="008A3740" w:rsidRDefault="008E6A56" w:rsidP="00D17A65">
      <w:pPr>
        <w:numPr>
          <w:ilvl w:val="0"/>
          <w:numId w:val="3"/>
        </w:numPr>
        <w:tabs>
          <w:tab w:val="left" w:pos="567"/>
          <w:tab w:val="num" w:pos="12305"/>
        </w:tabs>
        <w:ind w:left="0" w:firstLine="0"/>
        <w:rPr>
          <w:rFonts w:ascii="Verdana" w:eastAsia="Times New Roman" w:hAnsi="Verdana" w:cs="Verdana,Italic"/>
          <w:iCs/>
          <w:color w:val="000000"/>
          <w:sz w:val="20"/>
          <w:szCs w:val="20"/>
          <w:lang w:val="en-US"/>
        </w:rPr>
      </w:pPr>
      <w:r w:rsidRPr="008A3740">
        <w:rPr>
          <w:rFonts w:ascii="Verdana" w:eastAsia="Times New Roman" w:hAnsi="Verdana" w:cs="Verdana,Italic"/>
          <w:iCs/>
          <w:color w:val="000000"/>
          <w:sz w:val="20"/>
          <w:szCs w:val="20"/>
          <w:lang w:val="en-US"/>
        </w:rPr>
        <w:t xml:space="preserve">The Commission </w:t>
      </w:r>
      <w:r w:rsidR="0008071C" w:rsidRPr="008A3740">
        <w:rPr>
          <w:rFonts w:ascii="Verdana" w:eastAsia="Times New Roman" w:hAnsi="Verdana" w:cs="Verdana,Italic"/>
          <w:iCs/>
          <w:color w:val="000000"/>
          <w:sz w:val="20"/>
          <w:szCs w:val="20"/>
          <w:lang w:val="en-US"/>
        </w:rPr>
        <w:t xml:space="preserve">indicated </w:t>
      </w:r>
      <w:r w:rsidRPr="008A3740">
        <w:rPr>
          <w:rFonts w:ascii="Verdana" w:eastAsia="Times New Roman" w:hAnsi="Verdana" w:cs="Verdana,Italic"/>
          <w:iCs/>
          <w:color w:val="000000"/>
          <w:sz w:val="20"/>
          <w:szCs w:val="20"/>
          <w:lang w:val="en-US"/>
        </w:rPr>
        <w:t>that the preliminary objection was inadmissible because it was time-barred, since it was not filed during the admissibility stage. It held that the State present</w:t>
      </w:r>
      <w:r w:rsidR="0008071C" w:rsidRPr="008A3740">
        <w:rPr>
          <w:rFonts w:ascii="Verdana" w:eastAsia="Times New Roman" w:hAnsi="Verdana" w:cs="Verdana,Italic"/>
          <w:iCs/>
          <w:color w:val="000000"/>
          <w:sz w:val="20"/>
          <w:szCs w:val="20"/>
          <w:lang w:val="en-US"/>
        </w:rPr>
        <w:t>ed a brief during that stage, dated</w:t>
      </w:r>
      <w:r w:rsidRPr="008A3740">
        <w:rPr>
          <w:rFonts w:ascii="Verdana" w:eastAsia="Times New Roman" w:hAnsi="Verdana" w:cs="Verdana,Italic"/>
          <w:iCs/>
          <w:color w:val="000000"/>
          <w:sz w:val="20"/>
          <w:szCs w:val="20"/>
          <w:lang w:val="en-US"/>
        </w:rPr>
        <w:t xml:space="preserve"> March 1, 2010, containing a description of the domestic proceedings, but </w:t>
      </w:r>
      <w:r w:rsidR="0008071C" w:rsidRPr="008A3740">
        <w:rPr>
          <w:rFonts w:ascii="Verdana" w:eastAsia="Times New Roman" w:hAnsi="Verdana" w:cs="Verdana,Italic"/>
          <w:iCs/>
          <w:color w:val="000000"/>
          <w:sz w:val="20"/>
          <w:szCs w:val="20"/>
          <w:lang w:val="en-US"/>
        </w:rPr>
        <w:t xml:space="preserve">it </w:t>
      </w:r>
      <w:r w:rsidRPr="008A3740">
        <w:rPr>
          <w:rFonts w:ascii="Verdana" w:eastAsia="Times New Roman" w:hAnsi="Verdana" w:cs="Verdana,Italic"/>
          <w:iCs/>
          <w:color w:val="000000"/>
          <w:sz w:val="20"/>
          <w:szCs w:val="20"/>
          <w:lang w:val="en-US"/>
        </w:rPr>
        <w:t xml:space="preserve">did not allege non-compliance with the requirement to exhaust domestic remedies. In addition, the Commission argued that, unlike the view held by the State and in </w:t>
      </w:r>
      <w:r w:rsidR="0008071C" w:rsidRPr="008A3740">
        <w:rPr>
          <w:rFonts w:ascii="Verdana" w:eastAsia="Times New Roman" w:hAnsi="Verdana" w:cs="Verdana,Italic"/>
          <w:iCs/>
          <w:color w:val="000000"/>
          <w:sz w:val="20"/>
          <w:szCs w:val="20"/>
          <w:lang w:val="en-US"/>
        </w:rPr>
        <w:t xml:space="preserve">line </w:t>
      </w:r>
      <w:r w:rsidRPr="008A3740">
        <w:rPr>
          <w:rFonts w:ascii="Verdana" w:eastAsia="Times New Roman" w:hAnsi="Verdana" w:cs="Verdana,Italic"/>
          <w:iCs/>
          <w:color w:val="000000"/>
          <w:sz w:val="20"/>
          <w:szCs w:val="20"/>
          <w:lang w:val="en-US"/>
        </w:rPr>
        <w:t xml:space="preserve">with the Court’s consistent case law, the analysis of exhaustion of domestic remedies or the application of any of the </w:t>
      </w:r>
      <w:r w:rsidR="0008071C" w:rsidRPr="008A3740">
        <w:rPr>
          <w:rFonts w:ascii="Verdana" w:eastAsia="Times New Roman" w:hAnsi="Verdana" w:cs="Verdana,Italic"/>
          <w:iCs/>
          <w:color w:val="000000"/>
          <w:sz w:val="20"/>
          <w:szCs w:val="20"/>
          <w:lang w:val="en-US"/>
        </w:rPr>
        <w:t xml:space="preserve">exceptions in this regard, </w:t>
      </w:r>
      <w:r w:rsidRPr="008A3740">
        <w:rPr>
          <w:rFonts w:ascii="Verdana" w:eastAsia="Times New Roman" w:hAnsi="Verdana" w:cs="Verdana,Italic"/>
          <w:iCs/>
          <w:color w:val="000000"/>
          <w:sz w:val="20"/>
          <w:szCs w:val="20"/>
          <w:lang w:val="en-US"/>
        </w:rPr>
        <w:t xml:space="preserve">should have </w:t>
      </w:r>
      <w:r w:rsidR="0008071C" w:rsidRPr="008A3740">
        <w:rPr>
          <w:rFonts w:ascii="Verdana" w:eastAsia="Times New Roman" w:hAnsi="Verdana" w:cs="Verdana,Italic"/>
          <w:iCs/>
          <w:color w:val="000000"/>
          <w:sz w:val="20"/>
          <w:szCs w:val="20"/>
          <w:lang w:val="en-US"/>
        </w:rPr>
        <w:t xml:space="preserve">taken place </w:t>
      </w:r>
      <w:r w:rsidR="00744854" w:rsidRPr="008A3740">
        <w:rPr>
          <w:rFonts w:ascii="Verdana" w:eastAsia="Times New Roman" w:hAnsi="Verdana" w:cs="Verdana,Italic"/>
          <w:iCs/>
          <w:color w:val="000000"/>
          <w:sz w:val="20"/>
          <w:szCs w:val="20"/>
          <w:lang w:val="en-US"/>
        </w:rPr>
        <w:t xml:space="preserve">at the time </w:t>
      </w:r>
      <w:r w:rsidR="0008071C" w:rsidRPr="008A3740">
        <w:rPr>
          <w:rFonts w:ascii="Verdana" w:eastAsia="Times New Roman" w:hAnsi="Verdana" w:cs="Verdana,Italic"/>
          <w:iCs/>
          <w:color w:val="000000"/>
          <w:sz w:val="20"/>
          <w:szCs w:val="20"/>
          <w:lang w:val="en-US"/>
        </w:rPr>
        <w:t xml:space="preserve">when </w:t>
      </w:r>
      <w:r w:rsidRPr="008A3740">
        <w:rPr>
          <w:rFonts w:ascii="Verdana" w:eastAsia="Times New Roman" w:hAnsi="Verdana" w:cs="Verdana,Italic"/>
          <w:iCs/>
          <w:color w:val="000000"/>
          <w:sz w:val="20"/>
          <w:szCs w:val="20"/>
          <w:lang w:val="en-US"/>
        </w:rPr>
        <w:t xml:space="preserve">the </w:t>
      </w:r>
      <w:r w:rsidR="00744854" w:rsidRPr="008A3740">
        <w:rPr>
          <w:rFonts w:ascii="Verdana" w:eastAsia="Times New Roman" w:hAnsi="Verdana" w:cs="Verdana,Italic"/>
          <w:iCs/>
          <w:color w:val="000000"/>
          <w:sz w:val="20"/>
          <w:szCs w:val="20"/>
          <w:lang w:val="en-US"/>
        </w:rPr>
        <w:t>case was declared admissible</w:t>
      </w:r>
      <w:r w:rsidRPr="008A3740">
        <w:rPr>
          <w:rFonts w:ascii="Verdana" w:eastAsia="Times New Roman" w:hAnsi="Verdana" w:cs="Verdana,Italic"/>
          <w:iCs/>
          <w:color w:val="000000"/>
          <w:sz w:val="20"/>
          <w:szCs w:val="20"/>
          <w:lang w:val="en-US"/>
        </w:rPr>
        <w:t>, and not during the presentation of the petition. Th</w:t>
      </w:r>
      <w:r w:rsidR="00744854" w:rsidRPr="008A3740">
        <w:rPr>
          <w:rFonts w:ascii="Verdana" w:eastAsia="Times New Roman" w:hAnsi="Verdana" w:cs="Verdana,Italic"/>
          <w:iCs/>
          <w:color w:val="000000"/>
          <w:sz w:val="20"/>
          <w:szCs w:val="20"/>
          <w:lang w:val="en-US"/>
        </w:rPr>
        <w:t>e Commission argued that</w:t>
      </w:r>
      <w:r w:rsidR="006F4DBB" w:rsidRPr="008A3740">
        <w:rPr>
          <w:rFonts w:ascii="Verdana" w:eastAsia="Times New Roman" w:hAnsi="Verdana" w:cs="Verdana,Italic"/>
          <w:iCs/>
          <w:color w:val="000000"/>
          <w:sz w:val="20"/>
          <w:szCs w:val="20"/>
          <w:lang w:val="en-US"/>
        </w:rPr>
        <w:t xml:space="preserve"> in the instant case</w:t>
      </w:r>
      <w:r w:rsidRPr="008A3740">
        <w:rPr>
          <w:rFonts w:ascii="Verdana" w:eastAsia="Times New Roman" w:hAnsi="Verdana" w:cs="Verdana,Italic"/>
          <w:iCs/>
          <w:color w:val="000000"/>
          <w:sz w:val="20"/>
          <w:szCs w:val="20"/>
          <w:lang w:val="en-US"/>
        </w:rPr>
        <w:t>, when the Admissibility Report was adopted on July 16, 2010, there had already been an un</w:t>
      </w:r>
      <w:r w:rsidR="00A4584E" w:rsidRPr="008A3740">
        <w:rPr>
          <w:rFonts w:ascii="Verdana" w:eastAsia="Times New Roman" w:hAnsi="Verdana" w:cs="Verdana,Italic"/>
          <w:iCs/>
          <w:color w:val="000000"/>
          <w:sz w:val="20"/>
          <w:szCs w:val="20"/>
          <w:lang w:val="en-US"/>
        </w:rPr>
        <w:t xml:space="preserve">warranted </w:t>
      </w:r>
      <w:r w:rsidRPr="008A3740">
        <w:rPr>
          <w:rFonts w:ascii="Verdana" w:eastAsia="Times New Roman" w:hAnsi="Verdana" w:cs="Verdana,Italic"/>
          <w:iCs/>
          <w:color w:val="000000"/>
          <w:sz w:val="20"/>
          <w:szCs w:val="20"/>
          <w:lang w:val="en-US"/>
        </w:rPr>
        <w:t xml:space="preserve">delay of more than 17 years in </w:t>
      </w:r>
      <w:r w:rsidR="006F4DBB" w:rsidRPr="008A3740">
        <w:rPr>
          <w:rFonts w:ascii="Verdana" w:eastAsia="Times New Roman" w:hAnsi="Verdana" w:cs="Verdana,Italic"/>
          <w:iCs/>
          <w:color w:val="000000"/>
          <w:sz w:val="20"/>
          <w:szCs w:val="20"/>
          <w:lang w:val="en-US"/>
        </w:rPr>
        <w:t xml:space="preserve">the process of </w:t>
      </w:r>
      <w:r w:rsidR="00744854" w:rsidRPr="008A3740">
        <w:rPr>
          <w:rFonts w:ascii="Verdana" w:eastAsia="Times New Roman" w:hAnsi="Verdana" w:cs="Verdana,Italic"/>
          <w:iCs/>
          <w:color w:val="000000"/>
          <w:sz w:val="20"/>
          <w:szCs w:val="20"/>
          <w:lang w:val="en-US"/>
        </w:rPr>
        <w:t xml:space="preserve">compliance with the </w:t>
      </w:r>
      <w:r w:rsidR="00744854" w:rsidRPr="008A3740">
        <w:rPr>
          <w:rFonts w:ascii="Verdana" w:eastAsia="Times New Roman" w:hAnsi="Verdana" w:cs="Verdana,Italic"/>
          <w:i/>
          <w:iCs/>
          <w:color w:val="000000"/>
          <w:sz w:val="20"/>
          <w:szCs w:val="20"/>
          <w:lang w:val="en-US"/>
        </w:rPr>
        <w:t>a</w:t>
      </w:r>
      <w:r w:rsidRPr="008A3740">
        <w:rPr>
          <w:rFonts w:ascii="Verdana" w:eastAsia="Times New Roman" w:hAnsi="Verdana" w:cs="Verdana,Italic"/>
          <w:i/>
          <w:iCs/>
          <w:color w:val="000000"/>
          <w:sz w:val="20"/>
          <w:szCs w:val="20"/>
          <w:lang w:val="en-US"/>
        </w:rPr>
        <w:t>mparo</w:t>
      </w:r>
      <w:r w:rsidRPr="008A3740">
        <w:rPr>
          <w:rFonts w:ascii="Verdana" w:eastAsia="Times New Roman" w:hAnsi="Verdana" w:cs="Verdana,Italic"/>
          <w:iCs/>
          <w:color w:val="000000"/>
          <w:sz w:val="20"/>
          <w:szCs w:val="20"/>
          <w:lang w:val="en-US"/>
        </w:rPr>
        <w:t xml:space="preserve"> judgment, </w:t>
      </w:r>
      <w:r w:rsidR="00744854" w:rsidRPr="008A3740">
        <w:rPr>
          <w:rFonts w:ascii="Verdana" w:eastAsia="Times New Roman" w:hAnsi="Verdana" w:cs="Verdana,Italic"/>
          <w:iCs/>
          <w:color w:val="000000"/>
          <w:sz w:val="20"/>
          <w:szCs w:val="20"/>
          <w:lang w:val="en-US"/>
        </w:rPr>
        <w:t xml:space="preserve">and </w:t>
      </w:r>
      <w:r w:rsidRPr="008A3740">
        <w:rPr>
          <w:rFonts w:ascii="Verdana" w:eastAsia="Times New Roman" w:hAnsi="Verdana" w:cs="Verdana,Italic"/>
          <w:iCs/>
          <w:color w:val="000000"/>
          <w:sz w:val="20"/>
          <w:szCs w:val="20"/>
          <w:lang w:val="en-US"/>
        </w:rPr>
        <w:t>therefore the objectio</w:t>
      </w:r>
      <w:r w:rsidR="00744854" w:rsidRPr="008A3740">
        <w:rPr>
          <w:rFonts w:ascii="Verdana" w:eastAsia="Times New Roman" w:hAnsi="Verdana" w:cs="Verdana,Italic"/>
          <w:iCs/>
          <w:color w:val="000000"/>
          <w:sz w:val="20"/>
          <w:szCs w:val="20"/>
          <w:lang w:val="en-US"/>
        </w:rPr>
        <w:t>n contemplated in Article 46(2)(</w:t>
      </w:r>
      <w:r w:rsidRPr="008A3740">
        <w:rPr>
          <w:rFonts w:ascii="Verdana" w:eastAsia="Times New Roman" w:hAnsi="Verdana" w:cs="Verdana,Italic"/>
          <w:iCs/>
          <w:color w:val="000000"/>
          <w:sz w:val="20"/>
          <w:szCs w:val="20"/>
          <w:lang w:val="en-US"/>
        </w:rPr>
        <w:t xml:space="preserve">c) of the Convention was applicable. </w:t>
      </w:r>
    </w:p>
    <w:p w14:paraId="1585C28B" w14:textId="77777777" w:rsidR="008E6A56" w:rsidRPr="008A3740" w:rsidRDefault="008E6A56" w:rsidP="008E6A56">
      <w:pPr>
        <w:tabs>
          <w:tab w:val="left" w:pos="567"/>
        </w:tabs>
        <w:rPr>
          <w:rFonts w:ascii="Verdana" w:eastAsia="Times New Roman" w:hAnsi="Verdana" w:cs="Verdana,Italic"/>
          <w:iCs/>
          <w:color w:val="000000"/>
          <w:sz w:val="20"/>
          <w:szCs w:val="20"/>
          <w:lang w:val="en-US"/>
        </w:rPr>
      </w:pPr>
    </w:p>
    <w:p w14:paraId="47850C29" w14:textId="77777777" w:rsidR="008E6A56" w:rsidRPr="008A3740" w:rsidRDefault="008E6A56" w:rsidP="00D17A65">
      <w:pPr>
        <w:numPr>
          <w:ilvl w:val="0"/>
          <w:numId w:val="3"/>
        </w:numPr>
        <w:tabs>
          <w:tab w:val="left" w:pos="567"/>
          <w:tab w:val="num" w:pos="12305"/>
        </w:tabs>
        <w:ind w:left="0" w:firstLine="0"/>
        <w:rPr>
          <w:rFonts w:ascii="Verdana" w:hAnsi="Verdana"/>
          <w:b/>
          <w:color w:val="000000"/>
          <w:sz w:val="20"/>
          <w:szCs w:val="20"/>
          <w:lang w:val="en-US"/>
        </w:rPr>
      </w:pPr>
      <w:r w:rsidRPr="008A3740">
        <w:rPr>
          <w:rFonts w:ascii="Verdana" w:eastAsia="Times New Roman" w:hAnsi="Verdana" w:cs="Verdana,Italic"/>
          <w:iCs/>
          <w:color w:val="000000"/>
          <w:sz w:val="20"/>
          <w:szCs w:val="20"/>
          <w:lang w:val="en-US"/>
        </w:rPr>
        <w:t>The representatives</w:t>
      </w:r>
      <w:r w:rsidRPr="008A3740">
        <w:rPr>
          <w:rFonts w:ascii="Verdana" w:eastAsia="Times New Roman" w:hAnsi="Verdana" w:cs="Verdana,Italic"/>
          <w:i/>
          <w:iCs/>
          <w:color w:val="000000"/>
          <w:sz w:val="20"/>
          <w:szCs w:val="20"/>
          <w:lang w:val="en-US"/>
        </w:rPr>
        <w:t xml:space="preserve"> </w:t>
      </w:r>
      <w:r w:rsidRPr="008A3740">
        <w:rPr>
          <w:rFonts w:ascii="Verdana" w:eastAsia="Times New Roman" w:hAnsi="Verdana" w:cs="Verdana,Italic"/>
          <w:iCs/>
          <w:color w:val="000000"/>
          <w:sz w:val="20"/>
          <w:szCs w:val="20"/>
          <w:lang w:val="en-US"/>
        </w:rPr>
        <w:t>agreed with the Commission that the preliminary objection was time-barred</w:t>
      </w:r>
      <w:r w:rsidR="006F4DBB" w:rsidRPr="008A3740">
        <w:rPr>
          <w:rFonts w:ascii="Verdana" w:eastAsia="Times New Roman" w:hAnsi="Verdana" w:cs="Verdana,Italic"/>
          <w:iCs/>
          <w:color w:val="000000"/>
          <w:sz w:val="20"/>
          <w:szCs w:val="20"/>
          <w:lang w:val="en-US"/>
        </w:rPr>
        <w:t>,</w:t>
      </w:r>
      <w:r w:rsidRPr="008A3740">
        <w:rPr>
          <w:rFonts w:ascii="Verdana" w:eastAsia="Times New Roman" w:hAnsi="Verdana" w:cs="Verdana,Italic"/>
          <w:iCs/>
          <w:color w:val="000000"/>
          <w:sz w:val="20"/>
          <w:szCs w:val="20"/>
          <w:lang w:val="en-US"/>
        </w:rPr>
        <w:t xml:space="preserve"> </w:t>
      </w:r>
      <w:r w:rsidR="006F4DBB" w:rsidRPr="008A3740">
        <w:rPr>
          <w:rFonts w:ascii="Verdana" w:eastAsia="Times New Roman" w:hAnsi="Verdana" w:cs="Verdana,Italic"/>
          <w:iCs/>
          <w:color w:val="000000"/>
          <w:sz w:val="20"/>
          <w:szCs w:val="20"/>
          <w:lang w:val="en-US"/>
        </w:rPr>
        <w:t>arguing</w:t>
      </w:r>
      <w:r w:rsidRPr="008A3740">
        <w:rPr>
          <w:rFonts w:ascii="Verdana" w:eastAsia="Times New Roman" w:hAnsi="Verdana" w:cs="Verdana,Italic"/>
          <w:iCs/>
          <w:color w:val="000000"/>
          <w:sz w:val="20"/>
          <w:szCs w:val="20"/>
          <w:lang w:val="en-US"/>
        </w:rPr>
        <w:t xml:space="preserve"> that the State </w:t>
      </w:r>
      <w:r w:rsidR="005577AA" w:rsidRPr="008A3740">
        <w:rPr>
          <w:rFonts w:ascii="Verdana" w:eastAsia="Times New Roman" w:hAnsi="Verdana" w:cs="Verdana,Italic"/>
          <w:iCs/>
          <w:color w:val="000000"/>
          <w:sz w:val="20"/>
          <w:szCs w:val="20"/>
          <w:lang w:val="en-US"/>
        </w:rPr>
        <w:t xml:space="preserve">had </w:t>
      </w:r>
      <w:r w:rsidRPr="008A3740">
        <w:rPr>
          <w:rFonts w:ascii="Verdana" w:eastAsia="Times New Roman" w:hAnsi="Verdana" w:cs="Verdana,Italic"/>
          <w:iCs/>
          <w:color w:val="000000"/>
          <w:sz w:val="20"/>
          <w:szCs w:val="20"/>
          <w:lang w:val="en-US"/>
        </w:rPr>
        <w:t xml:space="preserve">tacitly </w:t>
      </w:r>
      <w:r w:rsidR="00CC04FC" w:rsidRPr="008A3740">
        <w:rPr>
          <w:rFonts w:ascii="Verdana" w:eastAsia="Times New Roman" w:hAnsi="Verdana" w:cs="Verdana,Italic"/>
          <w:iCs/>
          <w:color w:val="000000"/>
          <w:sz w:val="20"/>
          <w:szCs w:val="20"/>
          <w:lang w:val="en-US"/>
        </w:rPr>
        <w:t xml:space="preserve">waived </w:t>
      </w:r>
      <w:r w:rsidRPr="008A3740">
        <w:rPr>
          <w:rFonts w:ascii="Verdana" w:eastAsia="Times New Roman" w:hAnsi="Verdana" w:cs="Verdana,Italic"/>
          <w:iCs/>
          <w:color w:val="000000"/>
          <w:sz w:val="20"/>
          <w:szCs w:val="20"/>
          <w:lang w:val="en-US"/>
        </w:rPr>
        <w:t>the</w:t>
      </w:r>
      <w:r w:rsidR="006F4DBB" w:rsidRPr="008A3740">
        <w:rPr>
          <w:rFonts w:ascii="Verdana" w:eastAsia="Times New Roman" w:hAnsi="Verdana" w:cs="Verdana,Italic"/>
          <w:iCs/>
          <w:color w:val="000000"/>
          <w:sz w:val="20"/>
          <w:szCs w:val="20"/>
          <w:lang w:val="en-US"/>
        </w:rPr>
        <w:t xml:space="preserve"> objection by not invoking it,</w:t>
      </w:r>
      <w:r w:rsidRPr="008A3740">
        <w:rPr>
          <w:rFonts w:ascii="Verdana" w:eastAsia="Times New Roman" w:hAnsi="Verdana" w:cs="Verdana,Italic"/>
          <w:iCs/>
          <w:color w:val="000000"/>
          <w:sz w:val="20"/>
          <w:szCs w:val="20"/>
          <w:lang w:val="en-US"/>
        </w:rPr>
        <w:t xml:space="preserve"> clearly and precisely, at the first appropriate procedural opportunity, that is, during the admissibility stage before the Commission. They </w:t>
      </w:r>
      <w:r w:rsidR="005577AA" w:rsidRPr="008A3740">
        <w:rPr>
          <w:rFonts w:ascii="Verdana" w:eastAsia="Times New Roman" w:hAnsi="Verdana" w:cs="Verdana,Italic"/>
          <w:iCs/>
          <w:color w:val="000000"/>
          <w:sz w:val="20"/>
          <w:szCs w:val="20"/>
          <w:lang w:val="en-US"/>
        </w:rPr>
        <w:t xml:space="preserve">asserted </w:t>
      </w:r>
      <w:r w:rsidRPr="008A3740">
        <w:rPr>
          <w:rFonts w:ascii="Verdana" w:eastAsia="Times New Roman" w:hAnsi="Verdana" w:cs="Verdana,Italic"/>
          <w:iCs/>
          <w:color w:val="000000"/>
          <w:sz w:val="20"/>
          <w:szCs w:val="20"/>
          <w:lang w:val="en-US"/>
        </w:rPr>
        <w:t xml:space="preserve">that “in its communication of February 26, 2010 (prior to the Admissibility Report)” </w:t>
      </w:r>
      <w:r w:rsidR="00CC04FC" w:rsidRPr="008A3740">
        <w:rPr>
          <w:rFonts w:ascii="Verdana" w:eastAsia="Times New Roman" w:hAnsi="Verdana" w:cs="Verdana,Italic"/>
          <w:iCs/>
          <w:color w:val="000000"/>
          <w:sz w:val="20"/>
          <w:szCs w:val="20"/>
          <w:lang w:val="en-US"/>
        </w:rPr>
        <w:t xml:space="preserve">the State </w:t>
      </w:r>
      <w:r w:rsidRPr="008A3740">
        <w:rPr>
          <w:rFonts w:ascii="Verdana" w:eastAsia="Times New Roman" w:hAnsi="Verdana" w:cs="Verdana,Italic"/>
          <w:iCs/>
          <w:color w:val="000000"/>
          <w:sz w:val="20"/>
          <w:szCs w:val="20"/>
          <w:lang w:val="en-US"/>
        </w:rPr>
        <w:t>merely submitted reports and documents on the facts related to the case, omitting to invoke any objection.</w:t>
      </w:r>
      <w:r w:rsidRPr="008A3740">
        <w:rPr>
          <w:rFonts w:ascii="Verdana" w:hAnsi="Verdana"/>
          <w:b/>
          <w:color w:val="000000"/>
          <w:sz w:val="20"/>
          <w:szCs w:val="20"/>
          <w:lang w:val="en-US"/>
        </w:rPr>
        <w:t xml:space="preserve"> </w:t>
      </w:r>
      <w:r w:rsidRPr="008A3740">
        <w:rPr>
          <w:rFonts w:ascii="Verdana" w:hAnsi="Verdana"/>
          <w:color w:val="000000"/>
          <w:sz w:val="20"/>
          <w:szCs w:val="20"/>
          <w:lang w:val="en-US"/>
        </w:rPr>
        <w:t>Furthermore</w:t>
      </w:r>
      <w:r w:rsidRPr="008A3740">
        <w:rPr>
          <w:rFonts w:ascii="Verdana" w:eastAsia="Times New Roman" w:hAnsi="Verdana" w:cs="Verdana,Italic"/>
          <w:iCs/>
          <w:color w:val="000000"/>
          <w:sz w:val="20"/>
          <w:szCs w:val="20"/>
          <w:lang w:val="en-US"/>
        </w:rPr>
        <w:t xml:space="preserve">, </w:t>
      </w:r>
      <w:r w:rsidR="005577AA" w:rsidRPr="008A3740">
        <w:rPr>
          <w:rFonts w:ascii="Verdana" w:eastAsia="Times New Roman" w:hAnsi="Verdana" w:cs="Verdana,Italic"/>
          <w:iCs/>
          <w:color w:val="000000"/>
          <w:sz w:val="20"/>
          <w:szCs w:val="20"/>
          <w:lang w:val="en-US"/>
        </w:rPr>
        <w:t xml:space="preserve">in agreement </w:t>
      </w:r>
      <w:r w:rsidR="00CC04FC" w:rsidRPr="008A3740">
        <w:rPr>
          <w:rFonts w:ascii="Verdana" w:eastAsia="Times New Roman" w:hAnsi="Verdana" w:cs="Verdana,Italic"/>
          <w:iCs/>
          <w:color w:val="000000"/>
          <w:sz w:val="20"/>
          <w:szCs w:val="20"/>
          <w:lang w:val="en-US"/>
        </w:rPr>
        <w:t xml:space="preserve">with </w:t>
      </w:r>
      <w:r w:rsidRPr="008A3740">
        <w:rPr>
          <w:rFonts w:ascii="Verdana" w:eastAsia="Times New Roman" w:hAnsi="Verdana" w:cs="Verdana,Italic"/>
          <w:iCs/>
          <w:color w:val="000000"/>
          <w:sz w:val="20"/>
          <w:szCs w:val="20"/>
          <w:lang w:val="en-US"/>
        </w:rPr>
        <w:t>the Commission, the</w:t>
      </w:r>
      <w:r w:rsidR="006F4DBB" w:rsidRPr="008A3740">
        <w:rPr>
          <w:rFonts w:ascii="Verdana" w:eastAsia="Times New Roman" w:hAnsi="Verdana" w:cs="Verdana,Italic"/>
          <w:iCs/>
          <w:color w:val="000000"/>
          <w:sz w:val="20"/>
          <w:szCs w:val="20"/>
          <w:lang w:val="en-US"/>
        </w:rPr>
        <w:t xml:space="preserve"> representatives </w:t>
      </w:r>
      <w:r w:rsidRPr="008A3740">
        <w:rPr>
          <w:rFonts w:ascii="Verdana" w:eastAsia="Times New Roman" w:hAnsi="Verdana" w:cs="Verdana,Italic"/>
          <w:iCs/>
          <w:color w:val="000000"/>
          <w:sz w:val="20"/>
          <w:szCs w:val="20"/>
          <w:lang w:val="en-US"/>
        </w:rPr>
        <w:t xml:space="preserve">held that the analysis of failure to exhaust domestic remedies and </w:t>
      </w:r>
      <w:r w:rsidR="0008071C" w:rsidRPr="008A3740">
        <w:rPr>
          <w:rFonts w:ascii="Verdana" w:eastAsia="Times New Roman" w:hAnsi="Verdana" w:cs="Verdana,Italic"/>
          <w:iCs/>
          <w:color w:val="000000"/>
          <w:sz w:val="20"/>
          <w:szCs w:val="20"/>
          <w:lang w:val="en-US"/>
        </w:rPr>
        <w:t>the</w:t>
      </w:r>
      <w:r w:rsidR="005577AA" w:rsidRPr="008A3740">
        <w:rPr>
          <w:rFonts w:ascii="Verdana" w:eastAsia="Times New Roman" w:hAnsi="Verdana" w:cs="Verdana,Italic"/>
          <w:iCs/>
          <w:color w:val="000000"/>
          <w:sz w:val="20"/>
          <w:szCs w:val="20"/>
          <w:lang w:val="en-US"/>
        </w:rPr>
        <w:t xml:space="preserve"> configuration of </w:t>
      </w:r>
      <w:r w:rsidR="006F4DBB" w:rsidRPr="008A3740">
        <w:rPr>
          <w:rFonts w:ascii="Verdana" w:eastAsia="Times New Roman" w:hAnsi="Verdana" w:cs="Verdana,Italic"/>
          <w:iCs/>
          <w:color w:val="000000"/>
          <w:sz w:val="20"/>
          <w:szCs w:val="20"/>
          <w:lang w:val="en-US"/>
        </w:rPr>
        <w:t xml:space="preserve">its objections </w:t>
      </w:r>
      <w:r w:rsidR="005577AA" w:rsidRPr="008A3740">
        <w:rPr>
          <w:rFonts w:ascii="Verdana" w:eastAsia="Times New Roman" w:hAnsi="Verdana" w:cs="Verdana,Italic"/>
          <w:iCs/>
          <w:color w:val="000000"/>
          <w:sz w:val="20"/>
          <w:szCs w:val="20"/>
          <w:lang w:val="en-US"/>
        </w:rPr>
        <w:t xml:space="preserve">should have been carried out </w:t>
      </w:r>
      <w:r w:rsidR="00652108" w:rsidRPr="008A3740">
        <w:rPr>
          <w:rFonts w:ascii="Verdana" w:eastAsia="Times New Roman" w:hAnsi="Verdana" w:cs="Verdana,Italic"/>
          <w:iCs/>
          <w:color w:val="000000"/>
          <w:sz w:val="20"/>
          <w:szCs w:val="20"/>
          <w:lang w:val="en-US"/>
        </w:rPr>
        <w:t xml:space="preserve">bearing in mind </w:t>
      </w:r>
      <w:r w:rsidRPr="008A3740">
        <w:rPr>
          <w:rFonts w:ascii="Verdana" w:eastAsia="Times New Roman" w:hAnsi="Verdana" w:cs="Verdana,Italic"/>
          <w:iCs/>
          <w:color w:val="000000"/>
          <w:sz w:val="20"/>
          <w:szCs w:val="20"/>
          <w:lang w:val="en-US"/>
        </w:rPr>
        <w:t xml:space="preserve">the adoption of the Admissibility Report. In this </w:t>
      </w:r>
      <w:r w:rsidR="005577AA" w:rsidRPr="008A3740">
        <w:rPr>
          <w:rFonts w:ascii="Verdana" w:eastAsia="Times New Roman" w:hAnsi="Verdana" w:cs="Verdana,Italic"/>
          <w:iCs/>
          <w:color w:val="000000"/>
          <w:sz w:val="20"/>
          <w:szCs w:val="20"/>
          <w:lang w:val="en-US"/>
        </w:rPr>
        <w:t xml:space="preserve">regard </w:t>
      </w:r>
      <w:r w:rsidR="00652108" w:rsidRPr="008A3740">
        <w:rPr>
          <w:rFonts w:ascii="Verdana" w:eastAsia="Times New Roman" w:hAnsi="Verdana" w:cs="Verdana,Italic"/>
          <w:iCs/>
          <w:color w:val="000000"/>
          <w:sz w:val="20"/>
          <w:szCs w:val="20"/>
          <w:lang w:val="en-US"/>
        </w:rPr>
        <w:t xml:space="preserve">they stated </w:t>
      </w:r>
      <w:r w:rsidRPr="008A3740">
        <w:rPr>
          <w:rFonts w:ascii="Verdana" w:eastAsia="Times New Roman" w:hAnsi="Verdana" w:cs="Verdana,Italic"/>
          <w:iCs/>
          <w:color w:val="000000"/>
          <w:sz w:val="20"/>
          <w:szCs w:val="20"/>
          <w:lang w:val="en-US"/>
        </w:rPr>
        <w:t xml:space="preserve">that </w:t>
      </w:r>
      <w:r w:rsidRPr="008A3740">
        <w:rPr>
          <w:rFonts w:ascii="Verdana" w:hAnsi="Verdana"/>
          <w:color w:val="000000"/>
          <w:sz w:val="20"/>
          <w:szCs w:val="20"/>
          <w:lang w:val="en-US"/>
        </w:rPr>
        <w:t>at the time of issuing th</w:t>
      </w:r>
      <w:r w:rsidR="006F4DBB" w:rsidRPr="008A3740">
        <w:rPr>
          <w:rFonts w:ascii="Verdana" w:hAnsi="Verdana"/>
          <w:color w:val="000000"/>
          <w:sz w:val="20"/>
          <w:szCs w:val="20"/>
          <w:lang w:val="en-US"/>
        </w:rPr>
        <w:t xml:space="preserve">at </w:t>
      </w:r>
      <w:r w:rsidR="005577AA" w:rsidRPr="008A3740">
        <w:rPr>
          <w:rFonts w:ascii="Verdana" w:hAnsi="Verdana"/>
          <w:color w:val="000000"/>
          <w:sz w:val="20"/>
          <w:szCs w:val="20"/>
          <w:lang w:val="en-US"/>
        </w:rPr>
        <w:t>R</w:t>
      </w:r>
      <w:r w:rsidRPr="008A3740">
        <w:rPr>
          <w:rFonts w:ascii="Verdana" w:hAnsi="Verdana"/>
          <w:color w:val="000000"/>
          <w:sz w:val="20"/>
          <w:szCs w:val="20"/>
          <w:lang w:val="en-US"/>
        </w:rPr>
        <w:t>eport</w:t>
      </w:r>
      <w:r w:rsidR="005577AA" w:rsidRPr="008A3740">
        <w:rPr>
          <w:rFonts w:ascii="Verdana" w:hAnsi="Verdana"/>
          <w:color w:val="000000"/>
          <w:sz w:val="20"/>
          <w:szCs w:val="20"/>
          <w:lang w:val="en-US"/>
        </w:rPr>
        <w:t>,</w:t>
      </w:r>
      <w:r w:rsidRPr="008A3740">
        <w:rPr>
          <w:rFonts w:ascii="Verdana" w:hAnsi="Verdana"/>
          <w:color w:val="000000"/>
          <w:sz w:val="20"/>
          <w:szCs w:val="20"/>
          <w:lang w:val="en-US"/>
        </w:rPr>
        <w:t xml:space="preserve"> the domestic remedies had </w:t>
      </w:r>
      <w:r w:rsidR="005577AA" w:rsidRPr="008A3740">
        <w:rPr>
          <w:rFonts w:ascii="Verdana" w:hAnsi="Verdana"/>
          <w:color w:val="000000"/>
          <w:sz w:val="20"/>
          <w:szCs w:val="20"/>
          <w:lang w:val="en-US"/>
        </w:rPr>
        <w:lastRenderedPageBreak/>
        <w:t xml:space="preserve">already </w:t>
      </w:r>
      <w:r w:rsidRPr="008A3740">
        <w:rPr>
          <w:rFonts w:ascii="Verdana" w:hAnsi="Verdana"/>
          <w:color w:val="000000"/>
          <w:sz w:val="20"/>
          <w:szCs w:val="20"/>
          <w:lang w:val="en-US"/>
        </w:rPr>
        <w:t xml:space="preserve">been exhausted, </w:t>
      </w:r>
      <w:r w:rsidR="005577AA" w:rsidRPr="008A3740">
        <w:rPr>
          <w:rFonts w:ascii="Verdana" w:hAnsi="Verdana"/>
          <w:color w:val="000000"/>
          <w:sz w:val="20"/>
          <w:szCs w:val="20"/>
          <w:lang w:val="en-US"/>
        </w:rPr>
        <w:t xml:space="preserve">given that </w:t>
      </w:r>
      <w:r w:rsidR="00736EBA" w:rsidRPr="008A3740">
        <w:rPr>
          <w:rFonts w:ascii="Verdana" w:hAnsi="Verdana"/>
          <w:color w:val="000000"/>
          <w:sz w:val="20"/>
          <w:szCs w:val="20"/>
          <w:lang w:val="en-US"/>
        </w:rPr>
        <w:t xml:space="preserve">by then </w:t>
      </w:r>
      <w:r w:rsidRPr="008A3740">
        <w:rPr>
          <w:rFonts w:ascii="Verdana" w:hAnsi="Verdana"/>
          <w:color w:val="000000"/>
          <w:sz w:val="20"/>
          <w:szCs w:val="20"/>
          <w:lang w:val="en-US"/>
        </w:rPr>
        <w:t xml:space="preserve">two rulings had been adopted as </w:t>
      </w:r>
      <w:r w:rsidRPr="008A3740">
        <w:rPr>
          <w:rFonts w:ascii="Verdana" w:hAnsi="Verdana"/>
          <w:i/>
          <w:color w:val="000000"/>
          <w:sz w:val="20"/>
          <w:szCs w:val="20"/>
          <w:lang w:val="en-US"/>
        </w:rPr>
        <w:t>res judicata</w:t>
      </w:r>
      <w:r w:rsidRPr="008A3740">
        <w:rPr>
          <w:rFonts w:ascii="Verdana" w:hAnsi="Verdana"/>
          <w:color w:val="000000"/>
          <w:sz w:val="20"/>
          <w:szCs w:val="20"/>
          <w:lang w:val="en-US"/>
        </w:rPr>
        <w:t xml:space="preserve"> in favor of Mr. Muelle Flores.</w:t>
      </w:r>
      <w:r w:rsidRPr="008A3740">
        <w:rPr>
          <w:rFonts w:ascii="Verdana" w:hAnsi="Verdana"/>
          <w:b/>
          <w:color w:val="000000"/>
          <w:sz w:val="20"/>
          <w:szCs w:val="20"/>
          <w:lang w:val="en-US"/>
        </w:rPr>
        <w:t xml:space="preserve"> </w:t>
      </w:r>
      <w:r w:rsidRPr="008A3740">
        <w:rPr>
          <w:rFonts w:ascii="Verdana" w:hAnsi="Verdana"/>
          <w:color w:val="000000"/>
          <w:sz w:val="20"/>
          <w:szCs w:val="20"/>
          <w:lang w:val="en-US"/>
        </w:rPr>
        <w:t>Furthermore, they alleged that at the time when the Admissibil</w:t>
      </w:r>
      <w:r w:rsidR="00AF1451" w:rsidRPr="008A3740">
        <w:rPr>
          <w:rFonts w:ascii="Verdana" w:hAnsi="Verdana"/>
          <w:color w:val="000000"/>
          <w:sz w:val="20"/>
          <w:szCs w:val="20"/>
          <w:lang w:val="en-US"/>
        </w:rPr>
        <w:t>ity Report was adopted there had</w:t>
      </w:r>
      <w:r w:rsidRPr="008A3740">
        <w:rPr>
          <w:rFonts w:ascii="Verdana" w:hAnsi="Verdana"/>
          <w:color w:val="000000"/>
          <w:sz w:val="20"/>
          <w:szCs w:val="20"/>
          <w:lang w:val="en-US"/>
        </w:rPr>
        <w:t xml:space="preserve"> also</w:t>
      </w:r>
      <w:r w:rsidRPr="008A3740">
        <w:rPr>
          <w:rFonts w:ascii="Verdana" w:hAnsi="Verdana"/>
          <w:b/>
          <w:color w:val="000000"/>
          <w:sz w:val="20"/>
          <w:szCs w:val="20"/>
          <w:lang w:val="en-US"/>
        </w:rPr>
        <w:t xml:space="preserve"> </w:t>
      </w:r>
      <w:r w:rsidR="00736EBA" w:rsidRPr="008A3740">
        <w:rPr>
          <w:rFonts w:ascii="Verdana" w:hAnsi="Verdana"/>
          <w:color w:val="000000"/>
          <w:sz w:val="20"/>
          <w:szCs w:val="20"/>
          <w:lang w:val="en-US"/>
        </w:rPr>
        <w:t>been</w:t>
      </w:r>
      <w:r w:rsidR="00736EBA" w:rsidRPr="008A3740">
        <w:rPr>
          <w:rFonts w:ascii="Verdana" w:hAnsi="Verdana"/>
          <w:b/>
          <w:color w:val="000000"/>
          <w:sz w:val="20"/>
          <w:szCs w:val="20"/>
          <w:lang w:val="en-US"/>
        </w:rPr>
        <w:t xml:space="preserve"> </w:t>
      </w:r>
      <w:r w:rsidRPr="008A3740">
        <w:rPr>
          <w:rFonts w:ascii="Verdana" w:hAnsi="Verdana"/>
          <w:color w:val="000000"/>
          <w:sz w:val="20"/>
          <w:szCs w:val="20"/>
          <w:lang w:val="en-US"/>
        </w:rPr>
        <w:t>an</w:t>
      </w:r>
      <w:r w:rsidRPr="008A3740">
        <w:rPr>
          <w:rFonts w:ascii="Verdana" w:hAnsi="Verdana"/>
          <w:b/>
          <w:color w:val="000000"/>
          <w:sz w:val="20"/>
          <w:szCs w:val="20"/>
          <w:lang w:val="en-US"/>
        </w:rPr>
        <w:t xml:space="preserve"> </w:t>
      </w:r>
      <w:r w:rsidRPr="008A3740">
        <w:rPr>
          <w:rFonts w:ascii="Verdana" w:hAnsi="Verdana"/>
          <w:color w:val="000000"/>
          <w:sz w:val="20"/>
          <w:szCs w:val="20"/>
          <w:lang w:val="en-US"/>
        </w:rPr>
        <w:t xml:space="preserve">unreasonable delay in the </w:t>
      </w:r>
      <w:r w:rsidR="00A64F6F" w:rsidRPr="008A3740">
        <w:rPr>
          <w:rFonts w:ascii="Verdana" w:hAnsi="Verdana"/>
          <w:color w:val="000000"/>
          <w:sz w:val="20"/>
          <w:szCs w:val="20"/>
          <w:lang w:val="en-US"/>
        </w:rPr>
        <w:t>execution</w:t>
      </w:r>
      <w:r w:rsidRPr="008A3740">
        <w:rPr>
          <w:rFonts w:ascii="Verdana" w:hAnsi="Verdana"/>
          <w:color w:val="000000"/>
          <w:sz w:val="20"/>
          <w:szCs w:val="20"/>
          <w:lang w:val="en-US"/>
        </w:rPr>
        <w:t xml:space="preserve"> of the </w:t>
      </w:r>
      <w:r w:rsidR="007E053B" w:rsidRPr="008A3740">
        <w:rPr>
          <w:rFonts w:ascii="Verdana" w:hAnsi="Verdana"/>
          <w:color w:val="000000"/>
          <w:sz w:val="20"/>
          <w:szCs w:val="20"/>
          <w:lang w:val="en-US"/>
        </w:rPr>
        <w:t xml:space="preserve">judicial </w:t>
      </w:r>
      <w:r w:rsidR="00736EBA" w:rsidRPr="008A3740">
        <w:rPr>
          <w:rFonts w:ascii="Verdana" w:hAnsi="Verdana"/>
          <w:color w:val="000000"/>
          <w:sz w:val="20"/>
          <w:szCs w:val="20"/>
          <w:lang w:val="en-US"/>
        </w:rPr>
        <w:t>decisions</w:t>
      </w:r>
      <w:r w:rsidRPr="008A3740">
        <w:rPr>
          <w:rFonts w:ascii="Verdana" w:hAnsi="Verdana"/>
          <w:color w:val="000000"/>
          <w:sz w:val="20"/>
          <w:szCs w:val="20"/>
          <w:lang w:val="en-US"/>
        </w:rPr>
        <w:t xml:space="preserve">, </w:t>
      </w:r>
      <w:r w:rsidR="000D2E5C" w:rsidRPr="008A3740">
        <w:rPr>
          <w:rFonts w:ascii="Verdana" w:hAnsi="Verdana"/>
          <w:color w:val="000000"/>
          <w:sz w:val="20"/>
          <w:szCs w:val="20"/>
          <w:lang w:val="en-US"/>
        </w:rPr>
        <w:t xml:space="preserve">which constituted an exception to this </w:t>
      </w:r>
      <w:r w:rsidRPr="008A3740">
        <w:rPr>
          <w:rFonts w:ascii="Verdana" w:hAnsi="Verdana"/>
          <w:color w:val="000000"/>
          <w:sz w:val="20"/>
          <w:szCs w:val="20"/>
          <w:lang w:val="en-US"/>
        </w:rPr>
        <w:t>rule under Article 46(2) (c) of the American Convention.”</w:t>
      </w:r>
    </w:p>
    <w:p w14:paraId="56306D8A" w14:textId="77777777" w:rsidR="008E6A56" w:rsidRPr="008A3740" w:rsidRDefault="008E6A56" w:rsidP="008E6A56">
      <w:pPr>
        <w:pStyle w:val="Ttulo3"/>
        <w:rPr>
          <w:lang w:val="en-US"/>
        </w:rPr>
      </w:pPr>
      <w:bookmarkStart w:id="30" w:name="_Toc401931888"/>
      <w:bookmarkStart w:id="31" w:name="_Toc428369985"/>
      <w:bookmarkStart w:id="32" w:name="_Toc459158098"/>
      <w:bookmarkStart w:id="33" w:name="_Toc5009861"/>
      <w:r w:rsidRPr="008A3740">
        <w:rPr>
          <w:lang w:val="en-US"/>
        </w:rPr>
        <w:t>A.2 Considerations of the Court</w:t>
      </w:r>
      <w:bookmarkEnd w:id="30"/>
      <w:bookmarkEnd w:id="31"/>
      <w:bookmarkEnd w:id="32"/>
      <w:bookmarkEnd w:id="33"/>
    </w:p>
    <w:p w14:paraId="1AE72F83" w14:textId="77777777" w:rsidR="008E6A56" w:rsidRPr="008A3740" w:rsidRDefault="008E6A56" w:rsidP="008E6A56">
      <w:pPr>
        <w:rPr>
          <w:rFonts w:ascii="Verdana" w:eastAsia="Times New Roman" w:hAnsi="Verdana"/>
          <w:bCs/>
          <w:color w:val="000000"/>
          <w:sz w:val="20"/>
          <w:szCs w:val="20"/>
          <w:lang w:val="en-US"/>
        </w:rPr>
      </w:pPr>
    </w:p>
    <w:p w14:paraId="3216690A" w14:textId="77777777" w:rsidR="008E6A56" w:rsidRPr="008A3740" w:rsidRDefault="0008528B" w:rsidP="00D17A65">
      <w:pPr>
        <w:numPr>
          <w:ilvl w:val="0"/>
          <w:numId w:val="3"/>
        </w:numPr>
        <w:tabs>
          <w:tab w:val="left" w:pos="567"/>
          <w:tab w:val="num" w:pos="12305"/>
        </w:tabs>
        <w:ind w:left="0" w:firstLine="0"/>
        <w:rPr>
          <w:rFonts w:ascii="Verdana" w:eastAsia="Times New Roman" w:hAnsi="Verdana" w:cs="Arial"/>
          <w:color w:val="000000"/>
          <w:sz w:val="20"/>
          <w:szCs w:val="20"/>
          <w:lang w:val="en-US"/>
        </w:rPr>
      </w:pPr>
      <w:r w:rsidRPr="008A3740">
        <w:rPr>
          <w:rFonts w:ascii="Verdana" w:eastAsia="Times New Roman" w:hAnsi="Verdana"/>
          <w:color w:val="000000"/>
          <w:sz w:val="20"/>
          <w:szCs w:val="20"/>
          <w:lang w:val="en-US"/>
        </w:rPr>
        <w:t xml:space="preserve">According to </w:t>
      </w:r>
      <w:r w:rsidR="008E6A56" w:rsidRPr="008A3740">
        <w:rPr>
          <w:rFonts w:ascii="Verdana" w:eastAsia="Times New Roman" w:hAnsi="Verdana"/>
          <w:color w:val="000000"/>
          <w:sz w:val="20"/>
          <w:szCs w:val="20"/>
          <w:lang w:val="en-US"/>
        </w:rPr>
        <w:t>Article 46(1)(a) of the American Convention</w:t>
      </w:r>
      <w:r w:rsidRPr="008A3740">
        <w:rPr>
          <w:rFonts w:ascii="Verdana" w:eastAsia="Times New Roman" w:hAnsi="Verdana"/>
          <w:color w:val="000000"/>
          <w:sz w:val="20"/>
          <w:szCs w:val="20"/>
          <w:lang w:val="en-US"/>
        </w:rPr>
        <w:t>,</w:t>
      </w:r>
      <w:r w:rsidR="008E6A56" w:rsidRPr="008A3740">
        <w:rPr>
          <w:rFonts w:ascii="Verdana" w:hAnsi="Verdana"/>
          <w:sz w:val="20"/>
          <w:szCs w:val="20"/>
          <w:lang w:val="en-US"/>
        </w:rPr>
        <w:t xml:space="preserve"> for a petition or communication lodged before </w:t>
      </w:r>
      <w:r w:rsidR="008E6A56" w:rsidRPr="008A3740">
        <w:rPr>
          <w:rFonts w:ascii="Verdana" w:eastAsia="Times New Roman" w:hAnsi="Verdana"/>
          <w:color w:val="000000"/>
          <w:sz w:val="20"/>
          <w:szCs w:val="20"/>
          <w:lang w:val="en-US"/>
        </w:rPr>
        <w:t>the Inter-American Commi</w:t>
      </w:r>
      <w:r w:rsidRPr="008A3740">
        <w:rPr>
          <w:rFonts w:ascii="Verdana" w:eastAsia="Times New Roman" w:hAnsi="Verdana"/>
          <w:color w:val="000000"/>
          <w:sz w:val="20"/>
          <w:szCs w:val="20"/>
          <w:lang w:val="en-US"/>
        </w:rPr>
        <w:t>ssion to be admissible</w:t>
      </w:r>
      <w:r w:rsidR="008E6A56" w:rsidRPr="008A3740">
        <w:rPr>
          <w:rFonts w:ascii="Verdana" w:eastAsia="Times New Roman" w:hAnsi="Verdana"/>
          <w:color w:val="000000"/>
          <w:sz w:val="20"/>
          <w:szCs w:val="20"/>
          <w:lang w:val="en-US"/>
        </w:rPr>
        <w:t xml:space="preserve"> under Articles 44 or 45 of the Convention, it is necessary that </w:t>
      </w:r>
      <w:r w:rsidRPr="008A3740">
        <w:rPr>
          <w:rFonts w:ascii="Verdana" w:eastAsia="Times New Roman" w:hAnsi="Verdana"/>
          <w:color w:val="000000"/>
          <w:sz w:val="20"/>
          <w:szCs w:val="20"/>
          <w:lang w:val="en-US"/>
        </w:rPr>
        <w:t xml:space="preserve">the </w:t>
      </w:r>
      <w:r w:rsidR="008E6A56" w:rsidRPr="008A3740">
        <w:rPr>
          <w:rFonts w:ascii="Verdana" w:eastAsia="Times New Roman" w:hAnsi="Verdana"/>
          <w:color w:val="000000"/>
          <w:sz w:val="20"/>
          <w:szCs w:val="20"/>
          <w:lang w:val="en-US"/>
        </w:rPr>
        <w:t>remedies under domestic law have been pursued and exhausted</w:t>
      </w:r>
      <w:r w:rsidRPr="008A3740">
        <w:rPr>
          <w:rFonts w:ascii="Verdana" w:eastAsia="Times New Roman" w:hAnsi="Verdana"/>
          <w:color w:val="000000"/>
          <w:sz w:val="20"/>
          <w:szCs w:val="20"/>
          <w:lang w:val="en-US"/>
        </w:rPr>
        <w:t xml:space="preserve"> in accordance with </w:t>
      </w:r>
      <w:r w:rsidR="008E6A56" w:rsidRPr="008A3740">
        <w:rPr>
          <w:rFonts w:ascii="Verdana" w:eastAsia="Times New Roman" w:hAnsi="Verdana"/>
          <w:color w:val="000000"/>
          <w:sz w:val="20"/>
          <w:szCs w:val="20"/>
          <w:lang w:val="en-US"/>
        </w:rPr>
        <w:t>generally recognized principles of international law</w:t>
      </w:r>
      <w:bookmarkStart w:id="34" w:name="_Ref317495849"/>
      <w:r w:rsidR="008E6A56" w:rsidRPr="008A3740">
        <w:rPr>
          <w:rFonts w:ascii="Verdana" w:eastAsia="Times New Roman" w:hAnsi="Verdana"/>
          <w:color w:val="000000"/>
          <w:sz w:val="20"/>
          <w:szCs w:val="20"/>
          <w:lang w:val="en-US"/>
        </w:rPr>
        <w:t>.</w:t>
      </w:r>
      <w:r w:rsidR="008E6A56" w:rsidRPr="008A3740">
        <w:rPr>
          <w:rFonts w:ascii="Verdana" w:eastAsia="Times New Roman" w:hAnsi="Verdana"/>
          <w:color w:val="000000"/>
          <w:sz w:val="20"/>
          <w:szCs w:val="20"/>
          <w:vertAlign w:val="superscript"/>
          <w:lang w:val="en-US"/>
        </w:rPr>
        <w:footnoteReference w:id="11"/>
      </w:r>
      <w:bookmarkEnd w:id="34"/>
      <w:r w:rsidR="008E6A56" w:rsidRPr="008A3740">
        <w:rPr>
          <w:rFonts w:ascii="Verdana" w:eastAsia="Times New Roman" w:hAnsi="Verdana"/>
          <w:color w:val="000000"/>
          <w:sz w:val="20"/>
          <w:szCs w:val="20"/>
          <w:lang w:val="en-US"/>
        </w:rPr>
        <w:t xml:space="preserve"> The Court recalls that </w:t>
      </w:r>
      <w:r w:rsidR="008E6A56" w:rsidRPr="008A3740">
        <w:rPr>
          <w:rFonts w:ascii="Verdana" w:hAnsi="Verdana"/>
          <w:sz w:val="20"/>
          <w:szCs w:val="20"/>
          <w:lang w:val="en-US"/>
        </w:rPr>
        <w:t>this rule was conceived in the interests of the State to allow it to resolve a dispute in the domestic sphere before being faced with international proceedings</w:t>
      </w:r>
      <w:r w:rsidR="008E6A56" w:rsidRPr="008A3740">
        <w:rPr>
          <w:rFonts w:ascii="Verdana" w:eastAsia="Times New Roman" w:hAnsi="Verdana"/>
          <w:iCs/>
          <w:color w:val="000000"/>
          <w:sz w:val="20"/>
          <w:szCs w:val="20"/>
          <w:lang w:val="en-US"/>
        </w:rPr>
        <w:t>.</w:t>
      </w:r>
      <w:r w:rsidR="008E6A56" w:rsidRPr="008A3740">
        <w:rPr>
          <w:rFonts w:ascii="Verdana" w:eastAsia="Times New Roman" w:hAnsi="Verdana"/>
          <w:color w:val="000000"/>
          <w:sz w:val="20"/>
          <w:szCs w:val="20"/>
          <w:vertAlign w:val="superscript"/>
          <w:lang w:val="en-US"/>
        </w:rPr>
        <w:footnoteReference w:id="12"/>
      </w:r>
      <w:r w:rsidR="008E6A56" w:rsidRPr="008A3740">
        <w:rPr>
          <w:rFonts w:ascii="Verdana" w:eastAsia="Times New Roman" w:hAnsi="Verdana"/>
          <w:iCs/>
          <w:color w:val="000000"/>
          <w:sz w:val="20"/>
          <w:szCs w:val="20"/>
          <w:lang w:val="en-US"/>
        </w:rPr>
        <w:t xml:space="preserve"> </w:t>
      </w:r>
      <w:r w:rsidR="008E6A56" w:rsidRPr="008A3740">
        <w:rPr>
          <w:rFonts w:ascii="Verdana" w:hAnsi="Verdana"/>
          <w:sz w:val="20"/>
          <w:szCs w:val="20"/>
          <w:lang w:val="en-US"/>
        </w:rPr>
        <w:t>This means that not only must these remedies exist formally, but they must also be adequate and effective</w:t>
      </w:r>
      <w:r w:rsidR="008E6A56" w:rsidRPr="008A3740">
        <w:rPr>
          <w:rFonts w:ascii="Verdana" w:eastAsia="Times New Roman" w:hAnsi="Verdana"/>
          <w:color w:val="000000"/>
          <w:sz w:val="20"/>
          <w:szCs w:val="20"/>
          <w:lang w:val="en-US"/>
        </w:rPr>
        <w:t xml:space="preserve">, </w:t>
      </w:r>
      <w:r w:rsidR="008E6A56" w:rsidRPr="008A3740">
        <w:rPr>
          <w:rFonts w:ascii="Verdana" w:hAnsi="Verdana"/>
          <w:sz w:val="20"/>
          <w:szCs w:val="20"/>
          <w:lang w:val="en-US"/>
        </w:rPr>
        <w:t>as a result of the exceptions established in Article</w:t>
      </w:r>
      <w:r w:rsidR="008E6A56" w:rsidRPr="008A3740">
        <w:rPr>
          <w:rFonts w:ascii="Verdana" w:eastAsia="Times New Roman" w:hAnsi="Verdana"/>
          <w:color w:val="000000"/>
          <w:sz w:val="20"/>
          <w:szCs w:val="20"/>
          <w:lang w:val="en-US"/>
        </w:rPr>
        <w:t xml:space="preserve"> 46(2) of the Convention.</w:t>
      </w:r>
      <w:r w:rsidR="008E6A56" w:rsidRPr="008A3740">
        <w:rPr>
          <w:rFonts w:ascii="Verdana" w:eastAsia="Times New Roman" w:hAnsi="Verdana"/>
          <w:color w:val="000000"/>
          <w:sz w:val="20"/>
          <w:szCs w:val="20"/>
          <w:vertAlign w:val="superscript"/>
          <w:lang w:val="en-US"/>
        </w:rPr>
        <w:footnoteReference w:id="13"/>
      </w:r>
    </w:p>
    <w:p w14:paraId="20C8842B" w14:textId="77777777" w:rsidR="008E6A56" w:rsidRPr="008A3740" w:rsidRDefault="008E6A56" w:rsidP="008E6A56">
      <w:pPr>
        <w:rPr>
          <w:rFonts w:ascii="Verdana" w:eastAsia="Times New Roman" w:hAnsi="Verdana" w:cs="Arial"/>
          <w:color w:val="000000"/>
          <w:sz w:val="20"/>
          <w:szCs w:val="20"/>
          <w:lang w:val="en-US"/>
        </w:rPr>
      </w:pPr>
    </w:p>
    <w:p w14:paraId="47832FCD" w14:textId="77777777" w:rsidR="008E6A56" w:rsidRPr="008A3740" w:rsidRDefault="0008528B" w:rsidP="00D17A65">
      <w:pPr>
        <w:numPr>
          <w:ilvl w:val="0"/>
          <w:numId w:val="3"/>
        </w:numPr>
        <w:tabs>
          <w:tab w:val="left" w:pos="567"/>
          <w:tab w:val="num" w:pos="12305"/>
        </w:tabs>
        <w:ind w:left="0" w:firstLine="0"/>
        <w:rPr>
          <w:rFonts w:ascii="Verdana" w:eastAsia="Times New Roman" w:hAnsi="Verdana"/>
          <w:color w:val="000000"/>
          <w:sz w:val="20"/>
          <w:szCs w:val="20"/>
          <w:lang w:val="en-US"/>
        </w:rPr>
      </w:pPr>
      <w:r w:rsidRPr="008A3740">
        <w:rPr>
          <w:rFonts w:ascii="Verdana" w:eastAsia="Times New Roman" w:hAnsi="Verdana"/>
          <w:color w:val="000000"/>
          <w:sz w:val="20"/>
          <w:szCs w:val="20"/>
          <w:lang w:val="en-US"/>
        </w:rPr>
        <w:t>Similarly</w:t>
      </w:r>
      <w:r w:rsidR="008E6A56" w:rsidRPr="008A3740">
        <w:rPr>
          <w:rFonts w:ascii="Verdana" w:eastAsia="Times New Roman" w:hAnsi="Verdana" w:cs="Times-Roman"/>
          <w:color w:val="000000"/>
          <w:sz w:val="20"/>
          <w:szCs w:val="20"/>
          <w:lang w:val="en-US"/>
        </w:rPr>
        <w:t xml:space="preserve">, this Court has consistently </w:t>
      </w:r>
      <w:r w:rsidR="008E6A56" w:rsidRPr="008A3740">
        <w:rPr>
          <w:rFonts w:ascii="Verdana" w:eastAsia="Times New Roman" w:hAnsi="Verdana"/>
          <w:color w:val="000000"/>
          <w:sz w:val="20"/>
          <w:szCs w:val="20"/>
          <w:lang w:val="en-US"/>
        </w:rPr>
        <w:t>held that an objection to the exercise of the Court’s jurisdiction based on the supposed failure to exhaust domestic remedies must be presented at the appropriate procedural opportunity, that is, during the admissibility proceeding before the Commission</w:t>
      </w:r>
      <w:bookmarkStart w:id="35" w:name="_Ref195093328"/>
      <w:r w:rsidR="008E6A56" w:rsidRPr="008A3740">
        <w:rPr>
          <w:rFonts w:ascii="Verdana" w:eastAsia="Times New Roman" w:hAnsi="Verdana"/>
          <w:color w:val="000000"/>
          <w:sz w:val="20"/>
          <w:szCs w:val="20"/>
          <w:lang w:val="en-US"/>
        </w:rPr>
        <w:t>,</w:t>
      </w:r>
      <w:r w:rsidR="008E6A56" w:rsidRPr="008A3740">
        <w:rPr>
          <w:rFonts w:ascii="Verdana" w:eastAsia="Times New Roman" w:hAnsi="Verdana"/>
          <w:color w:val="000000"/>
          <w:sz w:val="20"/>
          <w:szCs w:val="20"/>
          <w:vertAlign w:val="superscript"/>
          <w:lang w:val="en-US"/>
        </w:rPr>
        <w:footnoteReference w:id="14"/>
      </w:r>
      <w:bookmarkEnd w:id="35"/>
      <w:r w:rsidR="008E6A56" w:rsidRPr="008A3740">
        <w:rPr>
          <w:rFonts w:ascii="Verdana" w:eastAsia="Times New Roman" w:hAnsi="Verdana"/>
          <w:color w:val="000000"/>
          <w:sz w:val="20"/>
          <w:szCs w:val="20"/>
          <w:lang w:val="en-US"/>
        </w:rPr>
        <w:t xml:space="preserve"> after which the principle of procedural preclusion operates.</w:t>
      </w:r>
      <w:r w:rsidR="008E6A56" w:rsidRPr="008A3740">
        <w:rPr>
          <w:rFonts w:ascii="Verdana" w:eastAsia="Times New Roman" w:hAnsi="Verdana" w:cs="Verdana,Italic"/>
          <w:iCs/>
          <w:color w:val="000000"/>
          <w:sz w:val="20"/>
          <w:szCs w:val="20"/>
          <w:vertAlign w:val="superscript"/>
          <w:lang w:val="en-US"/>
        </w:rPr>
        <w:footnoteReference w:id="15"/>
      </w:r>
      <w:r w:rsidR="008E6A56" w:rsidRPr="008A3740">
        <w:rPr>
          <w:rFonts w:ascii="Verdana" w:eastAsia="Times New Roman" w:hAnsi="Verdana"/>
          <w:color w:val="000000"/>
          <w:sz w:val="20"/>
          <w:szCs w:val="20"/>
          <w:lang w:val="en-US"/>
        </w:rPr>
        <w:t xml:space="preserve"> In alleging a failure to exhaust domestic remedies, the </w:t>
      </w:r>
      <w:r w:rsidR="008E6A56" w:rsidRPr="008A3740">
        <w:rPr>
          <w:rFonts w:ascii="Verdana" w:eastAsia="Times New Roman" w:hAnsi="Verdana" w:cs="Arial"/>
          <w:color w:val="000000"/>
          <w:sz w:val="20"/>
          <w:szCs w:val="20"/>
          <w:lang w:val="en-US"/>
        </w:rPr>
        <w:t xml:space="preserve">State must </w:t>
      </w:r>
      <w:r w:rsidR="008E6A56" w:rsidRPr="008A3740">
        <w:rPr>
          <w:rFonts w:ascii="Verdana" w:eastAsia="Times New Roman" w:hAnsi="Verdana"/>
          <w:color w:val="000000"/>
          <w:sz w:val="20"/>
          <w:szCs w:val="20"/>
          <w:lang w:val="en-US"/>
        </w:rPr>
        <w:t>specify which remedies have not yet been exhausted, and demonstrate that these were available, adequate, appropriate and effective.</w:t>
      </w:r>
      <w:r w:rsidR="008E6A56" w:rsidRPr="008A3740">
        <w:rPr>
          <w:rFonts w:ascii="Verdana" w:eastAsia="Times New Roman" w:hAnsi="Verdana"/>
          <w:color w:val="000000"/>
          <w:sz w:val="20"/>
          <w:szCs w:val="20"/>
          <w:vertAlign w:val="superscript"/>
          <w:lang w:val="en-US"/>
        </w:rPr>
        <w:footnoteReference w:id="16"/>
      </w:r>
      <w:r w:rsidR="008E6A56" w:rsidRPr="008A3740">
        <w:rPr>
          <w:rFonts w:ascii="Verdana" w:eastAsia="Times New Roman" w:hAnsi="Verdana"/>
          <w:color w:val="000000"/>
          <w:sz w:val="20"/>
          <w:szCs w:val="20"/>
          <w:lang w:val="en-US"/>
        </w:rPr>
        <w:t xml:space="preserve"> In this regard, the Court reiterates that it is </w:t>
      </w:r>
      <w:r w:rsidR="008E6A56" w:rsidRPr="008A3740">
        <w:rPr>
          <w:rFonts w:ascii="Verdana" w:hAnsi="Verdana"/>
          <w:sz w:val="20"/>
          <w:szCs w:val="20"/>
          <w:lang w:val="en-US"/>
        </w:rPr>
        <w:t xml:space="preserve">not the task of this Court, or of the Commission, to identify </w:t>
      </w:r>
      <w:r w:rsidR="008E6A56" w:rsidRPr="008A3740">
        <w:rPr>
          <w:rFonts w:ascii="Verdana" w:hAnsi="Verdana"/>
          <w:i/>
          <w:sz w:val="20"/>
          <w:szCs w:val="20"/>
          <w:lang w:val="en-US"/>
        </w:rPr>
        <w:t>ex officio</w:t>
      </w:r>
      <w:r w:rsidR="008E6A56" w:rsidRPr="008A3740">
        <w:rPr>
          <w:rFonts w:ascii="Verdana" w:hAnsi="Verdana"/>
          <w:sz w:val="20"/>
          <w:szCs w:val="20"/>
          <w:lang w:val="en-US"/>
        </w:rPr>
        <w:t xml:space="preserve"> the domestic remedies that remain to be exhausted, since it is not incumbent on the international bodies to rectify the lack of precision of the State’s arguments</w:t>
      </w:r>
      <w:r w:rsidR="008E6A56" w:rsidRPr="008A3740">
        <w:rPr>
          <w:rFonts w:ascii="Verdana" w:eastAsia="Times New Roman" w:hAnsi="Verdana" w:cs="Arial"/>
          <w:color w:val="000000"/>
          <w:sz w:val="20"/>
          <w:szCs w:val="20"/>
          <w:lang w:val="en-US"/>
        </w:rPr>
        <w:t>.</w:t>
      </w:r>
      <w:r w:rsidR="008E6A56" w:rsidRPr="008A3740">
        <w:rPr>
          <w:rFonts w:ascii="Verdana" w:eastAsia="Times New Roman" w:hAnsi="Verdana" w:cs="Arial"/>
          <w:color w:val="000000"/>
          <w:sz w:val="20"/>
          <w:szCs w:val="20"/>
          <w:vertAlign w:val="superscript"/>
          <w:lang w:val="en-US"/>
        </w:rPr>
        <w:footnoteReference w:id="17"/>
      </w:r>
      <w:r w:rsidR="008E6A56" w:rsidRPr="008A3740">
        <w:rPr>
          <w:rFonts w:ascii="Verdana" w:eastAsia="Times New Roman" w:hAnsi="Verdana" w:cs="Arial"/>
          <w:color w:val="000000"/>
          <w:sz w:val="20"/>
          <w:szCs w:val="20"/>
          <w:lang w:val="en-US"/>
        </w:rPr>
        <w:t xml:space="preserve"> </w:t>
      </w:r>
      <w:r w:rsidR="00E55CF8" w:rsidRPr="008A3740">
        <w:rPr>
          <w:rFonts w:ascii="Verdana" w:eastAsia="Times New Roman" w:hAnsi="Verdana" w:cs="Arial"/>
          <w:color w:val="000000"/>
          <w:sz w:val="20"/>
          <w:szCs w:val="20"/>
          <w:lang w:val="en-US"/>
        </w:rPr>
        <w:t>It follows that,</w:t>
      </w:r>
      <w:r w:rsidR="008E6A56" w:rsidRPr="008A3740">
        <w:rPr>
          <w:rFonts w:ascii="Verdana" w:eastAsia="Times New Roman" w:hAnsi="Verdana" w:cs="Arial"/>
          <w:color w:val="000000"/>
          <w:sz w:val="20"/>
          <w:szCs w:val="20"/>
          <w:lang w:val="en-US"/>
        </w:rPr>
        <w:t xml:space="preserve"> </w:t>
      </w:r>
      <w:r w:rsidR="008E6A56" w:rsidRPr="008A3740">
        <w:rPr>
          <w:rFonts w:ascii="Verdana" w:hAnsi="Verdana"/>
          <w:sz w:val="20"/>
          <w:szCs w:val="20"/>
          <w:lang w:val="en-US"/>
        </w:rPr>
        <w:t xml:space="preserve">when the State </w:t>
      </w:r>
      <w:r w:rsidR="00E55CF8" w:rsidRPr="008A3740">
        <w:rPr>
          <w:rFonts w:ascii="Verdana" w:hAnsi="Verdana"/>
          <w:sz w:val="20"/>
          <w:szCs w:val="20"/>
          <w:lang w:val="en-US"/>
        </w:rPr>
        <w:t xml:space="preserve">claims </w:t>
      </w:r>
      <w:r w:rsidR="008E6A56" w:rsidRPr="008A3740">
        <w:rPr>
          <w:rFonts w:ascii="Verdana" w:hAnsi="Verdana"/>
          <w:sz w:val="20"/>
          <w:szCs w:val="20"/>
          <w:lang w:val="en-US"/>
        </w:rPr>
        <w:t>the existence of a domestic remedy that has not been exhausted, this must not only be indicated opportunely, but also precisely, identifying the remedy in question and also how, in the specific case, it would be adequate and effective to protect the persons in the situation denounced</w:t>
      </w:r>
      <w:r w:rsidR="008E6A56" w:rsidRPr="008A3740">
        <w:rPr>
          <w:rFonts w:ascii="Verdana" w:eastAsia="Times New Roman" w:hAnsi="Verdana" w:cs="Arial"/>
          <w:color w:val="000000"/>
          <w:sz w:val="20"/>
          <w:szCs w:val="20"/>
          <w:lang w:val="en-US"/>
        </w:rPr>
        <w:t>.</w:t>
      </w:r>
      <w:r w:rsidR="008E6A56" w:rsidRPr="008A3740">
        <w:rPr>
          <w:rFonts w:ascii="Verdana" w:eastAsia="Times New Roman" w:hAnsi="Verdana" w:cs="Arial"/>
          <w:color w:val="000000"/>
          <w:sz w:val="20"/>
          <w:szCs w:val="20"/>
          <w:vertAlign w:val="superscript"/>
          <w:lang w:val="en-US"/>
        </w:rPr>
        <w:footnoteReference w:id="18"/>
      </w:r>
    </w:p>
    <w:p w14:paraId="0ECD9E92" w14:textId="77777777" w:rsidR="008E6A56" w:rsidRPr="008A3740" w:rsidRDefault="008E6A56" w:rsidP="008E6A56">
      <w:pPr>
        <w:tabs>
          <w:tab w:val="left" w:pos="567"/>
        </w:tabs>
        <w:rPr>
          <w:rFonts w:ascii="Verdana" w:hAnsi="Verdana"/>
          <w:color w:val="000000"/>
          <w:sz w:val="20"/>
          <w:szCs w:val="20"/>
          <w:lang w:val="en-US"/>
        </w:rPr>
      </w:pPr>
    </w:p>
    <w:p w14:paraId="01490B61" w14:textId="77777777" w:rsidR="008E6A56" w:rsidRPr="008A3740" w:rsidRDefault="001340BB" w:rsidP="00D17A65">
      <w:pPr>
        <w:numPr>
          <w:ilvl w:val="0"/>
          <w:numId w:val="3"/>
        </w:numPr>
        <w:tabs>
          <w:tab w:val="left" w:pos="567"/>
          <w:tab w:val="num" w:pos="12305"/>
        </w:tabs>
        <w:ind w:left="0" w:firstLine="0"/>
        <w:rPr>
          <w:rFonts w:ascii="Verdana" w:hAnsi="Verdana"/>
          <w:color w:val="000000"/>
          <w:sz w:val="20"/>
          <w:szCs w:val="20"/>
          <w:lang w:val="en-US"/>
        </w:rPr>
      </w:pPr>
      <w:r w:rsidRPr="008A3740">
        <w:rPr>
          <w:rFonts w:ascii="Verdana" w:eastAsia="Times New Roman" w:hAnsi="Verdana" w:cs="Verdana"/>
          <w:color w:val="000000"/>
          <w:sz w:val="20"/>
          <w:szCs w:val="20"/>
          <w:lang w:val="en-US" w:eastAsia="es-MX"/>
        </w:rPr>
        <w:t xml:space="preserve">Regarding </w:t>
      </w:r>
      <w:r w:rsidR="008E6A56" w:rsidRPr="008A3740">
        <w:rPr>
          <w:rFonts w:ascii="Verdana" w:eastAsia="Times New Roman" w:hAnsi="Verdana" w:cs="Verdana"/>
          <w:color w:val="000000"/>
          <w:sz w:val="20"/>
          <w:szCs w:val="20"/>
          <w:lang w:val="en-US" w:eastAsia="es-MX"/>
        </w:rPr>
        <w:t>a preliminary objection of this nature, the Court recalls that it is first necessary to determine whether the objection was presented at the appropriate procedural opportunity.</w:t>
      </w:r>
      <w:r w:rsidR="008E6A56" w:rsidRPr="008A3740">
        <w:rPr>
          <w:rFonts w:ascii="Verdana" w:eastAsia="Verdana" w:hAnsi="Verdana" w:cs="Verdana"/>
          <w:color w:val="000000"/>
          <w:sz w:val="20"/>
          <w:szCs w:val="20"/>
          <w:lang w:val="en-US"/>
        </w:rPr>
        <w:t xml:space="preserve"> </w:t>
      </w:r>
      <w:r w:rsidR="008E6A56" w:rsidRPr="008A3740">
        <w:rPr>
          <w:rFonts w:ascii="Verdana" w:hAnsi="Verdana"/>
          <w:color w:val="000000"/>
          <w:sz w:val="20"/>
          <w:szCs w:val="20"/>
          <w:lang w:val="en-US"/>
        </w:rPr>
        <w:t xml:space="preserve">The Court notes that the only brief </w:t>
      </w:r>
      <w:r w:rsidR="0008528B" w:rsidRPr="008A3740">
        <w:rPr>
          <w:rFonts w:ascii="Verdana" w:hAnsi="Verdana"/>
          <w:color w:val="000000"/>
          <w:sz w:val="20"/>
          <w:szCs w:val="20"/>
          <w:lang w:val="en-US"/>
        </w:rPr>
        <w:t xml:space="preserve">submitted </w:t>
      </w:r>
      <w:r w:rsidR="008E6A56" w:rsidRPr="008A3740">
        <w:rPr>
          <w:rFonts w:ascii="Verdana" w:hAnsi="Verdana"/>
          <w:color w:val="000000"/>
          <w:sz w:val="20"/>
          <w:szCs w:val="20"/>
          <w:lang w:val="en-US"/>
        </w:rPr>
        <w:t xml:space="preserve">by the State during the admissibility stage before the Commission was </w:t>
      </w:r>
      <w:r w:rsidR="008E6A56" w:rsidRPr="008A3740">
        <w:rPr>
          <w:rFonts w:ascii="Verdana" w:eastAsia="Times New Roman" w:hAnsi="Verdana" w:cs="Tahoma"/>
          <w:color w:val="000000"/>
          <w:sz w:val="20"/>
          <w:szCs w:val="20"/>
          <w:lang w:val="en-US"/>
        </w:rPr>
        <w:t>Report No. 48-2010-JUS/PPES of March 1, 2010, wh</w:t>
      </w:r>
      <w:r w:rsidRPr="008A3740">
        <w:rPr>
          <w:rFonts w:ascii="Verdana" w:eastAsia="Times New Roman" w:hAnsi="Verdana" w:cs="Tahoma"/>
          <w:color w:val="000000"/>
          <w:sz w:val="20"/>
          <w:szCs w:val="20"/>
          <w:lang w:val="en-US"/>
        </w:rPr>
        <w:t xml:space="preserve">ich contained a description of </w:t>
      </w:r>
      <w:r w:rsidR="008E6A56" w:rsidRPr="008A3740">
        <w:rPr>
          <w:rFonts w:ascii="Verdana" w:eastAsia="Times New Roman" w:hAnsi="Verdana" w:cs="Tahoma"/>
          <w:color w:val="000000"/>
          <w:sz w:val="20"/>
          <w:szCs w:val="20"/>
          <w:lang w:val="en-US"/>
        </w:rPr>
        <w:t xml:space="preserve">the domestic </w:t>
      </w:r>
      <w:r w:rsidR="008E6A56" w:rsidRPr="008A3740">
        <w:rPr>
          <w:rFonts w:ascii="Verdana" w:eastAsia="Times New Roman" w:hAnsi="Verdana" w:cs="Tahoma"/>
          <w:color w:val="000000"/>
          <w:sz w:val="20"/>
          <w:szCs w:val="20"/>
          <w:lang w:val="en-US"/>
        </w:rPr>
        <w:lastRenderedPageBreak/>
        <w:t xml:space="preserve">proceedings </w:t>
      </w:r>
      <w:r w:rsidR="0008528B" w:rsidRPr="008A3740">
        <w:rPr>
          <w:rFonts w:ascii="Verdana" w:eastAsia="Times New Roman" w:hAnsi="Verdana" w:cs="Tahoma"/>
          <w:color w:val="000000"/>
          <w:sz w:val="20"/>
          <w:szCs w:val="20"/>
          <w:lang w:val="en-US"/>
        </w:rPr>
        <w:t xml:space="preserve">conducted in relation to </w:t>
      </w:r>
      <w:r w:rsidR="008E6A56" w:rsidRPr="008A3740">
        <w:rPr>
          <w:rFonts w:ascii="Verdana" w:eastAsia="Times New Roman" w:hAnsi="Verdana" w:cs="Tahoma"/>
          <w:color w:val="000000"/>
          <w:sz w:val="20"/>
          <w:szCs w:val="20"/>
          <w:lang w:val="en-US"/>
        </w:rPr>
        <w:t>the facts denounced by Mr. Oscar Muelle Flores.</w:t>
      </w:r>
      <w:r w:rsidR="008E6A56" w:rsidRPr="008A3740">
        <w:rPr>
          <w:rStyle w:val="Refdenotaalpie"/>
          <w:rFonts w:eastAsia="Times New Roman" w:cs="Tahoma"/>
          <w:color w:val="000000"/>
          <w:szCs w:val="20"/>
          <w:lang w:val="en-US"/>
        </w:rPr>
        <w:footnoteReference w:id="19"/>
      </w:r>
      <w:r w:rsidR="008E6A56" w:rsidRPr="008A3740">
        <w:rPr>
          <w:rFonts w:ascii="Verdana" w:hAnsi="Verdana"/>
          <w:color w:val="000000"/>
          <w:sz w:val="20"/>
          <w:szCs w:val="20"/>
          <w:lang w:val="en-US"/>
        </w:rPr>
        <w:t xml:space="preserve"> In that brief, the State did not invoke Article 46(1) of the Convention at any time, nor did it argue that domestic remedies had not been exhausted, or that the petition was inadmissible, and merely describe</w:t>
      </w:r>
      <w:r w:rsidRPr="008A3740">
        <w:rPr>
          <w:rFonts w:ascii="Verdana" w:hAnsi="Verdana"/>
          <w:color w:val="000000"/>
          <w:sz w:val="20"/>
          <w:szCs w:val="20"/>
          <w:lang w:val="en-US"/>
        </w:rPr>
        <w:t>d</w:t>
      </w:r>
      <w:r w:rsidR="008E6A56" w:rsidRPr="008A3740">
        <w:rPr>
          <w:rFonts w:ascii="Verdana" w:hAnsi="Verdana"/>
          <w:color w:val="000000"/>
          <w:sz w:val="20"/>
          <w:szCs w:val="20"/>
          <w:lang w:val="en-US"/>
        </w:rPr>
        <w:t xml:space="preserve"> the status of the proceeding.</w:t>
      </w:r>
      <w:r w:rsidR="008E6A56" w:rsidRPr="008A3740">
        <w:rPr>
          <w:rStyle w:val="Refdenotaalpie"/>
          <w:color w:val="000000"/>
          <w:szCs w:val="20"/>
          <w:lang w:val="en-US"/>
        </w:rPr>
        <w:footnoteReference w:id="20"/>
      </w:r>
      <w:r w:rsidR="008E6A56" w:rsidRPr="008A3740">
        <w:rPr>
          <w:rFonts w:ascii="Verdana" w:hAnsi="Verdana"/>
          <w:color w:val="000000"/>
          <w:sz w:val="20"/>
          <w:szCs w:val="20"/>
          <w:lang w:val="en-US"/>
        </w:rPr>
        <w:t xml:space="preserve"> In this sense, </w:t>
      </w:r>
      <w:r w:rsidR="008E6A56" w:rsidRPr="008A3740">
        <w:rPr>
          <w:rFonts w:ascii="Verdana" w:hAnsi="Verdana" w:cs="Verdana,Italic"/>
          <w:iCs/>
          <w:sz w:val="20"/>
          <w:szCs w:val="20"/>
          <w:lang w:val="en-US"/>
        </w:rPr>
        <w:t xml:space="preserve">the Court has indicated that </w:t>
      </w:r>
      <w:r w:rsidR="0008071C" w:rsidRPr="008A3740">
        <w:rPr>
          <w:rFonts w:ascii="Verdana" w:hAnsi="Verdana"/>
          <w:color w:val="000000"/>
          <w:sz w:val="20"/>
          <w:szCs w:val="20"/>
          <w:lang w:val="en-US"/>
        </w:rPr>
        <w:t>“a</w:t>
      </w:r>
      <w:r w:rsidR="008E6A56" w:rsidRPr="008A3740">
        <w:rPr>
          <w:rFonts w:ascii="Verdana" w:hAnsi="Verdana"/>
          <w:color w:val="000000"/>
          <w:sz w:val="20"/>
          <w:szCs w:val="20"/>
          <w:lang w:val="en-US"/>
        </w:rPr>
        <w:t xml:space="preserve"> mere rec</w:t>
      </w:r>
      <w:r w:rsidR="00161965" w:rsidRPr="008A3740">
        <w:rPr>
          <w:rFonts w:ascii="Verdana" w:hAnsi="Verdana"/>
          <w:color w:val="000000"/>
          <w:sz w:val="20"/>
          <w:szCs w:val="20"/>
          <w:lang w:val="en-US"/>
        </w:rPr>
        <w:t xml:space="preserve">ount </w:t>
      </w:r>
      <w:r w:rsidR="008E6A56" w:rsidRPr="008A3740">
        <w:rPr>
          <w:rFonts w:ascii="Verdana" w:hAnsi="Verdana"/>
          <w:color w:val="000000"/>
          <w:sz w:val="20"/>
          <w:szCs w:val="20"/>
          <w:lang w:val="en-US"/>
        </w:rPr>
        <w:t xml:space="preserve">of </w:t>
      </w:r>
      <w:r w:rsidR="0008071C" w:rsidRPr="008A3740">
        <w:rPr>
          <w:rFonts w:ascii="Verdana" w:hAnsi="Verdana"/>
          <w:color w:val="000000"/>
          <w:sz w:val="20"/>
          <w:szCs w:val="20"/>
          <w:lang w:val="en-US"/>
        </w:rPr>
        <w:t xml:space="preserve">the </w:t>
      </w:r>
      <w:r w:rsidR="008E6A56" w:rsidRPr="008A3740">
        <w:rPr>
          <w:rFonts w:ascii="Verdana" w:hAnsi="Verdana"/>
          <w:color w:val="000000"/>
          <w:sz w:val="20"/>
          <w:szCs w:val="20"/>
          <w:lang w:val="en-US"/>
        </w:rPr>
        <w:t xml:space="preserve">procedural actions </w:t>
      </w:r>
      <w:r w:rsidR="0008071C" w:rsidRPr="008A3740">
        <w:rPr>
          <w:rFonts w:ascii="Verdana" w:hAnsi="Verdana"/>
          <w:color w:val="000000"/>
          <w:sz w:val="20"/>
          <w:szCs w:val="20"/>
          <w:lang w:val="en-US"/>
        </w:rPr>
        <w:t xml:space="preserve">undertaken </w:t>
      </w:r>
      <w:r w:rsidR="008E6A56" w:rsidRPr="008A3740">
        <w:rPr>
          <w:rFonts w:ascii="Verdana" w:hAnsi="Verdana"/>
          <w:color w:val="000000"/>
          <w:sz w:val="20"/>
          <w:szCs w:val="20"/>
          <w:lang w:val="en-US"/>
        </w:rPr>
        <w:t>is not sufficient</w:t>
      </w:r>
      <w:r w:rsidR="00834E03" w:rsidRPr="008A3740">
        <w:rPr>
          <w:rFonts w:ascii="Verdana" w:hAnsi="Verdana"/>
          <w:color w:val="000000"/>
          <w:sz w:val="20"/>
          <w:szCs w:val="20"/>
          <w:lang w:val="en-US"/>
        </w:rPr>
        <w:t xml:space="preserve"> </w:t>
      </w:r>
      <w:r w:rsidR="008E6A56" w:rsidRPr="008A3740">
        <w:rPr>
          <w:rFonts w:ascii="Verdana" w:hAnsi="Verdana"/>
          <w:color w:val="000000"/>
          <w:sz w:val="20"/>
          <w:szCs w:val="20"/>
          <w:lang w:val="en-US"/>
        </w:rPr>
        <w:t xml:space="preserve">to </w:t>
      </w:r>
      <w:r w:rsidR="00E55CF8" w:rsidRPr="008A3740">
        <w:rPr>
          <w:rFonts w:ascii="Verdana" w:hAnsi="Verdana"/>
          <w:color w:val="000000"/>
          <w:sz w:val="20"/>
          <w:szCs w:val="20"/>
          <w:lang w:val="en-US"/>
        </w:rPr>
        <w:t xml:space="preserve">file </w:t>
      </w:r>
      <w:r w:rsidR="008E6A56" w:rsidRPr="008A3740">
        <w:rPr>
          <w:rFonts w:ascii="Verdana" w:hAnsi="Verdana"/>
          <w:color w:val="000000"/>
          <w:sz w:val="20"/>
          <w:szCs w:val="20"/>
          <w:lang w:val="en-US"/>
        </w:rPr>
        <w:t>a preliminary objection</w:t>
      </w:r>
      <w:r w:rsidR="000D2E5C" w:rsidRPr="008A3740">
        <w:rPr>
          <w:rFonts w:ascii="Verdana" w:hAnsi="Verdana"/>
          <w:color w:val="000000"/>
          <w:sz w:val="20"/>
          <w:szCs w:val="20"/>
          <w:lang w:val="en-US"/>
        </w:rPr>
        <w:t xml:space="preserve">, given that, in the absence of a clear and </w:t>
      </w:r>
      <w:r w:rsidR="007324E3" w:rsidRPr="008A3740">
        <w:rPr>
          <w:rFonts w:ascii="Verdana" w:hAnsi="Verdana"/>
          <w:color w:val="000000"/>
          <w:sz w:val="20"/>
          <w:szCs w:val="20"/>
          <w:lang w:val="en-US"/>
        </w:rPr>
        <w:t xml:space="preserve">timely argument </w:t>
      </w:r>
      <w:r w:rsidR="008E6A56" w:rsidRPr="008A3740">
        <w:rPr>
          <w:rFonts w:ascii="Verdana" w:hAnsi="Verdana"/>
          <w:color w:val="000000"/>
          <w:sz w:val="20"/>
          <w:szCs w:val="20"/>
          <w:lang w:val="en-US"/>
        </w:rPr>
        <w:t xml:space="preserve">by the State, </w:t>
      </w:r>
      <w:r w:rsidR="007324E3" w:rsidRPr="008A3740">
        <w:rPr>
          <w:rFonts w:ascii="Verdana" w:hAnsi="Verdana"/>
          <w:color w:val="000000"/>
          <w:sz w:val="20"/>
          <w:szCs w:val="20"/>
          <w:lang w:val="en-US"/>
        </w:rPr>
        <w:t xml:space="preserve">it appears </w:t>
      </w:r>
      <w:r w:rsidR="008E6A56" w:rsidRPr="008A3740">
        <w:rPr>
          <w:rFonts w:ascii="Verdana" w:hAnsi="Verdana"/>
          <w:color w:val="000000"/>
          <w:sz w:val="20"/>
          <w:szCs w:val="20"/>
          <w:lang w:val="en-US"/>
        </w:rPr>
        <w:t>that the latter did not allege the failure to exhaust domestic remedies during the admissibility stage before the Commission.”</w:t>
      </w:r>
      <w:r w:rsidR="008E6A56" w:rsidRPr="008A3740">
        <w:rPr>
          <w:rStyle w:val="Refdenotaalpie"/>
          <w:color w:val="000000"/>
          <w:szCs w:val="20"/>
          <w:lang w:val="en-US"/>
        </w:rPr>
        <w:footnoteReference w:id="21"/>
      </w:r>
      <w:r w:rsidR="008E6A56" w:rsidRPr="008A3740">
        <w:rPr>
          <w:rFonts w:ascii="Verdana" w:hAnsi="Verdana"/>
          <w:b/>
          <w:color w:val="000000"/>
          <w:sz w:val="20"/>
          <w:szCs w:val="20"/>
          <w:lang w:val="en-US"/>
        </w:rPr>
        <w:t xml:space="preserve"> </w:t>
      </w:r>
      <w:r w:rsidR="000D2E5C" w:rsidRPr="008A3740">
        <w:rPr>
          <w:rFonts w:ascii="Verdana" w:hAnsi="Verdana"/>
          <w:color w:val="000000"/>
          <w:sz w:val="20"/>
          <w:szCs w:val="20"/>
          <w:lang w:val="en-US"/>
        </w:rPr>
        <w:t>T</w:t>
      </w:r>
      <w:r w:rsidR="008E6A56" w:rsidRPr="008A3740">
        <w:rPr>
          <w:rFonts w:ascii="Verdana" w:hAnsi="Verdana"/>
          <w:color w:val="000000"/>
          <w:sz w:val="20"/>
          <w:szCs w:val="20"/>
          <w:lang w:val="en-US"/>
        </w:rPr>
        <w:t xml:space="preserve">his Court </w:t>
      </w:r>
      <w:r w:rsidR="000D2E5C" w:rsidRPr="008A3740">
        <w:rPr>
          <w:rFonts w:ascii="Verdana" w:hAnsi="Verdana"/>
          <w:color w:val="000000"/>
          <w:sz w:val="20"/>
          <w:szCs w:val="20"/>
          <w:lang w:val="en-US"/>
        </w:rPr>
        <w:t xml:space="preserve">also understands </w:t>
      </w:r>
      <w:r w:rsidR="008E6A56" w:rsidRPr="008A3740">
        <w:rPr>
          <w:rFonts w:ascii="Verdana" w:hAnsi="Verdana"/>
          <w:color w:val="000000"/>
          <w:sz w:val="20"/>
          <w:szCs w:val="20"/>
          <w:lang w:val="en-US"/>
        </w:rPr>
        <w:t xml:space="preserve">that </w:t>
      </w:r>
      <w:r w:rsidRPr="008A3740">
        <w:rPr>
          <w:rFonts w:ascii="Verdana" w:hAnsi="Verdana"/>
          <w:color w:val="000000"/>
          <w:sz w:val="20"/>
          <w:szCs w:val="20"/>
          <w:lang w:val="en-US"/>
        </w:rPr>
        <w:t xml:space="preserve">a </w:t>
      </w:r>
      <w:r w:rsidR="008E6A56" w:rsidRPr="008A3740">
        <w:rPr>
          <w:rFonts w:ascii="Verdana" w:hAnsi="Verdana"/>
          <w:color w:val="000000"/>
          <w:sz w:val="20"/>
          <w:szCs w:val="20"/>
          <w:lang w:val="en-US"/>
        </w:rPr>
        <w:t xml:space="preserve">“clear manifestation” </w:t>
      </w:r>
      <w:r w:rsidR="007324E3" w:rsidRPr="008A3740">
        <w:rPr>
          <w:rFonts w:ascii="Verdana" w:hAnsi="Verdana"/>
          <w:color w:val="000000"/>
          <w:sz w:val="20"/>
          <w:szCs w:val="20"/>
          <w:lang w:val="en-US"/>
        </w:rPr>
        <w:t>is de</w:t>
      </w:r>
      <w:r w:rsidRPr="008A3740">
        <w:rPr>
          <w:rFonts w:ascii="Verdana" w:hAnsi="Verdana"/>
          <w:color w:val="000000"/>
          <w:sz w:val="20"/>
          <w:szCs w:val="20"/>
          <w:lang w:val="en-US"/>
        </w:rPr>
        <w:t xml:space="preserve">duced </w:t>
      </w:r>
      <w:r w:rsidR="008E6A56" w:rsidRPr="008A3740">
        <w:rPr>
          <w:rFonts w:ascii="Verdana" w:hAnsi="Verdana"/>
          <w:color w:val="000000"/>
          <w:sz w:val="20"/>
          <w:szCs w:val="20"/>
          <w:lang w:val="en-US"/>
        </w:rPr>
        <w:t>from general expressions such as “existing domestic re</w:t>
      </w:r>
      <w:r w:rsidR="007324E3" w:rsidRPr="008A3740">
        <w:rPr>
          <w:rFonts w:ascii="Verdana" w:hAnsi="Verdana"/>
          <w:color w:val="000000"/>
          <w:sz w:val="20"/>
          <w:szCs w:val="20"/>
          <w:lang w:val="en-US"/>
        </w:rPr>
        <w:t>medies ha[d] not been exhausted;</w:t>
      </w:r>
      <w:r w:rsidR="008E6A56" w:rsidRPr="008A3740">
        <w:rPr>
          <w:rFonts w:ascii="Verdana" w:hAnsi="Verdana"/>
          <w:color w:val="000000"/>
          <w:sz w:val="20"/>
          <w:szCs w:val="20"/>
          <w:lang w:val="en-US"/>
        </w:rPr>
        <w:t>”</w:t>
      </w:r>
      <w:r w:rsidR="008E6A56" w:rsidRPr="008A3740">
        <w:rPr>
          <w:rStyle w:val="Refdenotaalpie"/>
          <w:color w:val="000000"/>
          <w:szCs w:val="20"/>
          <w:lang w:val="en-US"/>
        </w:rPr>
        <w:footnoteReference w:id="22"/>
      </w:r>
      <w:r w:rsidR="008E6A56" w:rsidRPr="008A3740">
        <w:rPr>
          <w:rFonts w:ascii="Verdana" w:hAnsi="Verdana"/>
          <w:color w:val="000000"/>
          <w:sz w:val="20"/>
          <w:szCs w:val="20"/>
          <w:lang w:val="en-US"/>
        </w:rPr>
        <w:t xml:space="preserve"> however, in this case </w:t>
      </w:r>
      <w:r w:rsidR="007324E3" w:rsidRPr="008A3740">
        <w:rPr>
          <w:rFonts w:ascii="Verdana" w:hAnsi="Verdana"/>
          <w:color w:val="000000"/>
          <w:sz w:val="20"/>
          <w:szCs w:val="20"/>
          <w:lang w:val="en-US"/>
        </w:rPr>
        <w:t xml:space="preserve">it was not even </w:t>
      </w:r>
      <w:r w:rsidR="008E6A56" w:rsidRPr="008A3740">
        <w:rPr>
          <w:rFonts w:ascii="Verdana" w:hAnsi="Verdana"/>
          <w:color w:val="000000"/>
          <w:sz w:val="20"/>
          <w:szCs w:val="20"/>
          <w:lang w:val="en-US"/>
        </w:rPr>
        <w:t>expressed in those terms.</w:t>
      </w:r>
      <w:r w:rsidR="008E6A56" w:rsidRPr="008A3740">
        <w:rPr>
          <w:rFonts w:ascii="Verdana" w:hAnsi="Verdana" w:cs="Verdana,Italic"/>
          <w:iCs/>
          <w:sz w:val="20"/>
          <w:szCs w:val="20"/>
          <w:lang w:val="en-US"/>
        </w:rPr>
        <w:t xml:space="preserve"> </w:t>
      </w:r>
      <w:r w:rsidR="000D2E5C" w:rsidRPr="008A3740">
        <w:rPr>
          <w:rFonts w:ascii="Verdana" w:hAnsi="Verdana" w:cs="Verdana,Italic"/>
          <w:iCs/>
          <w:sz w:val="20"/>
          <w:szCs w:val="20"/>
          <w:lang w:val="en-US"/>
        </w:rPr>
        <w:t xml:space="preserve">Therefore, </w:t>
      </w:r>
      <w:r w:rsidR="008E6A56" w:rsidRPr="008A3740">
        <w:rPr>
          <w:rFonts w:ascii="Verdana" w:hAnsi="Verdana"/>
          <w:color w:val="000000"/>
          <w:sz w:val="20"/>
          <w:szCs w:val="20"/>
          <w:lang w:val="en-US"/>
        </w:rPr>
        <w:t xml:space="preserve">the Court considers that the State has not </w:t>
      </w:r>
      <w:r w:rsidR="000D2E5C" w:rsidRPr="008A3740">
        <w:rPr>
          <w:rFonts w:ascii="Verdana" w:hAnsi="Verdana"/>
          <w:color w:val="000000"/>
          <w:sz w:val="20"/>
          <w:szCs w:val="20"/>
          <w:lang w:val="en-US"/>
        </w:rPr>
        <w:t xml:space="preserve">presented </w:t>
      </w:r>
      <w:r w:rsidR="008E6A56" w:rsidRPr="008A3740">
        <w:rPr>
          <w:rFonts w:ascii="Verdana" w:hAnsi="Verdana"/>
          <w:color w:val="000000"/>
          <w:sz w:val="20"/>
          <w:szCs w:val="20"/>
          <w:lang w:val="en-US"/>
        </w:rPr>
        <w:t>th</w:t>
      </w:r>
      <w:r w:rsidRPr="008A3740">
        <w:rPr>
          <w:rFonts w:ascii="Verdana" w:hAnsi="Verdana"/>
          <w:color w:val="000000"/>
          <w:sz w:val="20"/>
          <w:szCs w:val="20"/>
          <w:lang w:val="en-US"/>
        </w:rPr>
        <w:t xml:space="preserve">e aforementioned </w:t>
      </w:r>
      <w:r w:rsidR="008E6A56" w:rsidRPr="008A3740">
        <w:rPr>
          <w:rFonts w:ascii="Verdana" w:hAnsi="Verdana"/>
          <w:color w:val="000000"/>
          <w:sz w:val="20"/>
          <w:szCs w:val="20"/>
          <w:lang w:val="en-US"/>
        </w:rPr>
        <w:t xml:space="preserve">defense in a timely manner. </w:t>
      </w:r>
    </w:p>
    <w:p w14:paraId="6A462E86" w14:textId="77777777" w:rsidR="008E6A56" w:rsidRPr="008A3740" w:rsidRDefault="008E6A56" w:rsidP="008E6A56">
      <w:pPr>
        <w:tabs>
          <w:tab w:val="left" w:pos="567"/>
        </w:tabs>
        <w:autoSpaceDE w:val="0"/>
        <w:autoSpaceDN w:val="0"/>
        <w:rPr>
          <w:rFonts w:ascii="Verdana" w:hAnsi="Verdana"/>
          <w:color w:val="000000"/>
          <w:sz w:val="20"/>
          <w:szCs w:val="20"/>
          <w:lang w:val="en-US"/>
        </w:rPr>
      </w:pPr>
    </w:p>
    <w:p w14:paraId="2173C3EB" w14:textId="77777777" w:rsidR="008E6A56" w:rsidRPr="008A3740" w:rsidRDefault="008E6A56" w:rsidP="00D17A65">
      <w:pPr>
        <w:numPr>
          <w:ilvl w:val="0"/>
          <w:numId w:val="3"/>
        </w:numPr>
        <w:tabs>
          <w:tab w:val="left" w:pos="567"/>
          <w:tab w:val="num" w:pos="12305"/>
        </w:tabs>
        <w:ind w:left="0" w:firstLine="0"/>
        <w:rPr>
          <w:rFonts w:ascii="Verdana" w:hAnsi="Verdana"/>
          <w:color w:val="000000"/>
          <w:sz w:val="20"/>
          <w:szCs w:val="20"/>
          <w:lang w:val="en-US"/>
        </w:rPr>
      </w:pPr>
      <w:bookmarkStart w:id="36" w:name="_Hlk1650409"/>
      <w:r w:rsidRPr="008A3740">
        <w:rPr>
          <w:rFonts w:ascii="Verdana" w:hAnsi="Verdana"/>
          <w:color w:val="000000"/>
          <w:sz w:val="20"/>
          <w:szCs w:val="20"/>
          <w:lang w:val="en-US"/>
        </w:rPr>
        <w:t xml:space="preserve">Based on the foregoing, the Court concludes that the </w:t>
      </w:r>
      <w:r w:rsidR="007A22DB" w:rsidRPr="008A3740">
        <w:rPr>
          <w:rFonts w:ascii="Verdana" w:hAnsi="Verdana"/>
          <w:color w:val="000000"/>
          <w:sz w:val="20"/>
          <w:szCs w:val="20"/>
          <w:lang w:val="en-US"/>
        </w:rPr>
        <w:t xml:space="preserve">State’s </w:t>
      </w:r>
      <w:r w:rsidRPr="008A3740">
        <w:rPr>
          <w:rFonts w:ascii="Verdana" w:hAnsi="Verdana"/>
          <w:color w:val="000000"/>
          <w:sz w:val="20"/>
          <w:szCs w:val="20"/>
          <w:lang w:val="en-US"/>
        </w:rPr>
        <w:t xml:space="preserve">objection </w:t>
      </w:r>
      <w:r w:rsidR="007A22DB" w:rsidRPr="008A3740">
        <w:rPr>
          <w:rFonts w:ascii="Verdana" w:hAnsi="Verdana"/>
          <w:color w:val="000000"/>
          <w:sz w:val="20"/>
          <w:szCs w:val="20"/>
          <w:lang w:val="en-US"/>
        </w:rPr>
        <w:t xml:space="preserve">concerning the alleged </w:t>
      </w:r>
      <w:r w:rsidRPr="008A3740">
        <w:rPr>
          <w:rFonts w:ascii="Verdana" w:hAnsi="Verdana"/>
          <w:color w:val="000000"/>
          <w:sz w:val="20"/>
          <w:szCs w:val="20"/>
          <w:lang w:val="en-US"/>
        </w:rPr>
        <w:t>failure to exhaust domestic remedies is time-barred.</w:t>
      </w:r>
      <w:r w:rsidR="001340BB" w:rsidRPr="008A3740">
        <w:rPr>
          <w:rFonts w:ascii="Verdana" w:hAnsi="Verdana"/>
          <w:color w:val="000000"/>
          <w:sz w:val="20"/>
          <w:szCs w:val="20"/>
          <w:lang w:val="en-US"/>
        </w:rPr>
        <w:t xml:space="preserve"> Therefore</w:t>
      </w:r>
      <w:r w:rsidRPr="008A3740">
        <w:rPr>
          <w:rFonts w:ascii="Verdana" w:hAnsi="Verdana"/>
          <w:color w:val="000000"/>
          <w:sz w:val="20"/>
          <w:szCs w:val="20"/>
          <w:lang w:val="en-US"/>
        </w:rPr>
        <w:t xml:space="preserve">, the Court dismisses the preliminary objection filed by the State. </w:t>
      </w:r>
      <w:r w:rsidR="001340BB" w:rsidRPr="008A3740">
        <w:rPr>
          <w:rFonts w:ascii="Verdana" w:hAnsi="Verdana"/>
          <w:color w:val="000000"/>
          <w:sz w:val="20"/>
          <w:szCs w:val="20"/>
          <w:lang w:val="en-US"/>
        </w:rPr>
        <w:t xml:space="preserve">As a result, </w:t>
      </w:r>
      <w:r w:rsidRPr="008A3740">
        <w:rPr>
          <w:rFonts w:ascii="Verdana" w:hAnsi="Verdana"/>
          <w:color w:val="000000"/>
          <w:sz w:val="20"/>
          <w:szCs w:val="20"/>
          <w:lang w:val="en-US"/>
        </w:rPr>
        <w:t xml:space="preserve">the Court does not consider it necessary to rule on the arguments </w:t>
      </w:r>
      <w:r w:rsidR="001340BB" w:rsidRPr="008A3740">
        <w:rPr>
          <w:rFonts w:ascii="Verdana" w:hAnsi="Verdana"/>
          <w:color w:val="000000"/>
          <w:sz w:val="20"/>
          <w:szCs w:val="20"/>
          <w:lang w:val="en-US"/>
        </w:rPr>
        <w:t xml:space="preserve">concerning </w:t>
      </w:r>
      <w:r w:rsidRPr="008A3740">
        <w:rPr>
          <w:rFonts w:ascii="Verdana" w:hAnsi="Verdana"/>
          <w:color w:val="000000"/>
          <w:sz w:val="20"/>
          <w:szCs w:val="20"/>
          <w:lang w:val="en-US"/>
        </w:rPr>
        <w:t xml:space="preserve">the </w:t>
      </w:r>
      <w:r w:rsidR="001340BB" w:rsidRPr="008A3740">
        <w:rPr>
          <w:rFonts w:ascii="Verdana" w:hAnsi="Verdana"/>
          <w:color w:val="000000"/>
          <w:sz w:val="20"/>
          <w:szCs w:val="20"/>
          <w:lang w:val="en-US"/>
        </w:rPr>
        <w:t xml:space="preserve">procedural </w:t>
      </w:r>
      <w:r w:rsidRPr="008A3740">
        <w:rPr>
          <w:rFonts w:ascii="Verdana" w:hAnsi="Verdana"/>
          <w:color w:val="000000"/>
          <w:sz w:val="20"/>
          <w:szCs w:val="20"/>
          <w:lang w:val="en-US"/>
        </w:rPr>
        <w:t xml:space="preserve">moment at which failure to exhaust domestic remedies must be analyzed or the </w:t>
      </w:r>
      <w:r w:rsidR="001340BB" w:rsidRPr="008A3740">
        <w:rPr>
          <w:rFonts w:ascii="Verdana" w:hAnsi="Verdana"/>
          <w:color w:val="000000"/>
          <w:sz w:val="20"/>
          <w:szCs w:val="20"/>
          <w:lang w:val="en-US"/>
        </w:rPr>
        <w:t xml:space="preserve">exception </w:t>
      </w:r>
      <w:r w:rsidRPr="008A3740">
        <w:rPr>
          <w:rFonts w:ascii="Verdana" w:hAnsi="Verdana"/>
          <w:color w:val="000000"/>
          <w:sz w:val="20"/>
          <w:szCs w:val="20"/>
          <w:lang w:val="en-US"/>
        </w:rPr>
        <w:t>of un</w:t>
      </w:r>
      <w:r w:rsidR="001340BB" w:rsidRPr="008A3740">
        <w:rPr>
          <w:rFonts w:ascii="Verdana" w:hAnsi="Verdana"/>
          <w:color w:val="000000"/>
          <w:sz w:val="20"/>
          <w:szCs w:val="20"/>
          <w:lang w:val="en-US"/>
        </w:rPr>
        <w:t xml:space="preserve">warranted </w:t>
      </w:r>
      <w:r w:rsidRPr="008A3740">
        <w:rPr>
          <w:rFonts w:ascii="Verdana" w:hAnsi="Verdana"/>
          <w:color w:val="000000"/>
          <w:sz w:val="20"/>
          <w:szCs w:val="20"/>
          <w:lang w:val="en-US"/>
        </w:rPr>
        <w:t>delay.</w:t>
      </w:r>
    </w:p>
    <w:p w14:paraId="712FC943" w14:textId="77777777" w:rsidR="008E6A56" w:rsidRPr="008A3740" w:rsidRDefault="008E6A56" w:rsidP="008E6A56">
      <w:pPr>
        <w:tabs>
          <w:tab w:val="left" w:pos="567"/>
          <w:tab w:val="left" w:pos="1701"/>
        </w:tabs>
        <w:rPr>
          <w:rFonts w:ascii="Verdana" w:hAnsi="Verdana"/>
          <w:color w:val="000000"/>
          <w:sz w:val="20"/>
          <w:szCs w:val="20"/>
          <w:lang w:val="en-US"/>
        </w:rPr>
      </w:pPr>
      <w:bookmarkStart w:id="37" w:name="_Hlk1646983"/>
    </w:p>
    <w:p w14:paraId="514906B3" w14:textId="77777777" w:rsidR="008E6A56" w:rsidRPr="008A3740" w:rsidRDefault="0008071C" w:rsidP="008E6A56">
      <w:pPr>
        <w:pStyle w:val="Ttulo2"/>
        <w:tabs>
          <w:tab w:val="clear" w:pos="360"/>
        </w:tabs>
        <w:ind w:hanging="360"/>
        <w:rPr>
          <w:lang w:val="en-US"/>
        </w:rPr>
      </w:pPr>
      <w:bookmarkStart w:id="38" w:name="_Toc5009862"/>
      <w:bookmarkStart w:id="39" w:name="_Hlk1650313"/>
      <w:r w:rsidRPr="008A3740">
        <w:rPr>
          <w:lang w:val="en-US"/>
        </w:rPr>
        <w:t>Objection regarding</w:t>
      </w:r>
      <w:r w:rsidR="008E6A56" w:rsidRPr="008A3740">
        <w:rPr>
          <w:lang w:val="en-US"/>
        </w:rPr>
        <w:t xml:space="preserve"> the </w:t>
      </w:r>
      <w:r w:rsidR="00161965" w:rsidRPr="008A3740">
        <w:rPr>
          <w:lang w:val="en-US"/>
        </w:rPr>
        <w:t xml:space="preserve">Court’s alleged lack of </w:t>
      </w:r>
      <w:r w:rsidR="00EE279F" w:rsidRPr="008A3740">
        <w:rPr>
          <w:lang w:val="en-US"/>
        </w:rPr>
        <w:t xml:space="preserve">jurisdiction </w:t>
      </w:r>
      <w:r w:rsidR="001D5F89" w:rsidRPr="008A3740">
        <w:rPr>
          <w:lang w:val="en-US"/>
        </w:rPr>
        <w:t xml:space="preserve">ratione materiae </w:t>
      </w:r>
      <w:r w:rsidR="008E6A56" w:rsidRPr="008A3740">
        <w:rPr>
          <w:lang w:val="en-US"/>
        </w:rPr>
        <w:t xml:space="preserve">and </w:t>
      </w:r>
      <w:r w:rsidR="00161965" w:rsidRPr="008A3740">
        <w:rPr>
          <w:lang w:val="en-US"/>
        </w:rPr>
        <w:t xml:space="preserve">the </w:t>
      </w:r>
      <w:r w:rsidR="008E6A56" w:rsidRPr="008A3740">
        <w:rPr>
          <w:lang w:val="en-US"/>
        </w:rPr>
        <w:t>direct justiciability of Article 26 of the Convention</w:t>
      </w:r>
      <w:bookmarkEnd w:id="38"/>
    </w:p>
    <w:p w14:paraId="7992E880" w14:textId="77777777" w:rsidR="008E6A56" w:rsidRPr="008A3740" w:rsidRDefault="008E6A56" w:rsidP="008E6A56">
      <w:pPr>
        <w:pStyle w:val="Ttulo3"/>
        <w:rPr>
          <w:lang w:val="en-US"/>
        </w:rPr>
      </w:pPr>
      <w:bookmarkStart w:id="40" w:name="_Toc5009863"/>
      <w:r w:rsidRPr="008A3740">
        <w:rPr>
          <w:lang w:val="en-US"/>
        </w:rPr>
        <w:t>B.1 Arguments of the State and observations of the Commission and the representatives</w:t>
      </w:r>
      <w:bookmarkEnd w:id="40"/>
    </w:p>
    <w:p w14:paraId="13EE70C9" w14:textId="77777777" w:rsidR="008E6A56" w:rsidRPr="008A3740" w:rsidRDefault="008E6A56" w:rsidP="008E6A56">
      <w:pPr>
        <w:rPr>
          <w:rFonts w:ascii="Verdana" w:hAnsi="Verdana"/>
          <w:sz w:val="20"/>
          <w:szCs w:val="20"/>
          <w:lang w:val="en-US"/>
        </w:rPr>
      </w:pPr>
    </w:p>
    <w:p w14:paraId="3D699348"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w:t>
      </w:r>
      <w:r w:rsidRPr="008A3740">
        <w:rPr>
          <w:rFonts w:ascii="Verdana" w:hAnsi="Verdana"/>
          <w:i/>
          <w:sz w:val="20"/>
          <w:szCs w:val="20"/>
          <w:lang w:val="en-US"/>
        </w:rPr>
        <w:t>State</w:t>
      </w:r>
      <w:r w:rsidRPr="008A3740">
        <w:rPr>
          <w:rFonts w:ascii="Verdana" w:hAnsi="Verdana"/>
          <w:sz w:val="20"/>
          <w:szCs w:val="20"/>
          <w:lang w:val="en-US"/>
        </w:rPr>
        <w:t xml:space="preserve"> </w:t>
      </w:r>
      <w:r w:rsidR="00383452" w:rsidRPr="008A3740">
        <w:rPr>
          <w:rFonts w:ascii="Verdana" w:hAnsi="Verdana"/>
          <w:sz w:val="20"/>
          <w:szCs w:val="20"/>
          <w:lang w:val="en-US"/>
        </w:rPr>
        <w:t xml:space="preserve">pointed out </w:t>
      </w:r>
      <w:r w:rsidRPr="008A3740">
        <w:rPr>
          <w:rFonts w:ascii="Verdana" w:hAnsi="Verdana"/>
          <w:sz w:val="20"/>
          <w:szCs w:val="20"/>
          <w:lang w:val="en-US"/>
        </w:rPr>
        <w:t xml:space="preserve">that the representatives </w:t>
      </w:r>
      <w:r w:rsidR="00383452" w:rsidRPr="008A3740">
        <w:rPr>
          <w:rFonts w:ascii="Verdana" w:hAnsi="Verdana"/>
          <w:sz w:val="20"/>
          <w:szCs w:val="20"/>
          <w:lang w:val="en-US"/>
        </w:rPr>
        <w:t xml:space="preserve">were not claiming </w:t>
      </w:r>
      <w:r w:rsidRPr="008A3740">
        <w:rPr>
          <w:rFonts w:ascii="Verdana" w:hAnsi="Verdana"/>
          <w:sz w:val="20"/>
          <w:szCs w:val="20"/>
          <w:lang w:val="en-US"/>
        </w:rPr>
        <w:t>the</w:t>
      </w:r>
      <w:r w:rsidR="002A62E4" w:rsidRPr="008A3740">
        <w:rPr>
          <w:rFonts w:ascii="Verdana" w:hAnsi="Verdana"/>
          <w:sz w:val="20"/>
          <w:szCs w:val="20"/>
          <w:lang w:val="en-US"/>
        </w:rPr>
        <w:t xml:space="preserve"> justiciability of the rights in</w:t>
      </w:r>
      <w:r w:rsidRPr="008A3740">
        <w:rPr>
          <w:rFonts w:ascii="Verdana" w:hAnsi="Verdana"/>
          <w:sz w:val="20"/>
          <w:szCs w:val="20"/>
          <w:lang w:val="en-US"/>
        </w:rPr>
        <w:t xml:space="preserve"> the Convention, but </w:t>
      </w:r>
      <w:r w:rsidR="00EE279F" w:rsidRPr="008A3740">
        <w:rPr>
          <w:rFonts w:ascii="Verdana" w:hAnsi="Verdana"/>
          <w:sz w:val="20"/>
          <w:szCs w:val="20"/>
          <w:lang w:val="en-US"/>
        </w:rPr>
        <w:t xml:space="preserve">rather of </w:t>
      </w:r>
      <w:r w:rsidRPr="008A3740">
        <w:rPr>
          <w:rFonts w:ascii="Verdana" w:hAnsi="Verdana"/>
          <w:sz w:val="20"/>
          <w:szCs w:val="20"/>
          <w:lang w:val="en-US"/>
        </w:rPr>
        <w:t>the economic, social, cultural and environ</w:t>
      </w:r>
      <w:r w:rsidR="003756B7" w:rsidRPr="008A3740">
        <w:rPr>
          <w:rFonts w:ascii="Verdana" w:hAnsi="Verdana"/>
          <w:sz w:val="20"/>
          <w:szCs w:val="20"/>
          <w:lang w:val="en-US"/>
        </w:rPr>
        <w:t>mental rights (hereinafter “ESCE</w:t>
      </w:r>
      <w:r w:rsidRPr="008A3740">
        <w:rPr>
          <w:rFonts w:ascii="Verdana" w:hAnsi="Verdana"/>
          <w:sz w:val="20"/>
          <w:szCs w:val="20"/>
          <w:lang w:val="en-US"/>
        </w:rPr>
        <w:t>R”), specifically the right to social security. The State argued that Article 19(6) of the Additional Protocol to the American Convention on Human Rights in the Area of Economic, Social and Cultural Rights, “Protocol of San Salvador” (hereinafter “Pro</w:t>
      </w:r>
      <w:r w:rsidR="00383452" w:rsidRPr="008A3740">
        <w:rPr>
          <w:rFonts w:ascii="Verdana" w:hAnsi="Verdana"/>
          <w:sz w:val="20"/>
          <w:szCs w:val="20"/>
          <w:lang w:val="en-US"/>
        </w:rPr>
        <w:t xml:space="preserve">tocol of </w:t>
      </w:r>
      <w:r w:rsidRPr="008A3740">
        <w:rPr>
          <w:rFonts w:ascii="Verdana" w:hAnsi="Verdana"/>
          <w:sz w:val="20"/>
          <w:szCs w:val="20"/>
          <w:lang w:val="en-US"/>
        </w:rPr>
        <w:t>S</w:t>
      </w:r>
      <w:r w:rsidR="005C7DB5" w:rsidRPr="008A3740">
        <w:rPr>
          <w:rFonts w:ascii="Verdana" w:hAnsi="Verdana"/>
          <w:sz w:val="20"/>
          <w:szCs w:val="20"/>
          <w:lang w:val="en-US"/>
        </w:rPr>
        <w:t>an Salvador”), clearly delimited</w:t>
      </w:r>
      <w:r w:rsidRPr="008A3740">
        <w:rPr>
          <w:rFonts w:ascii="Verdana" w:hAnsi="Verdana"/>
          <w:sz w:val="20"/>
          <w:szCs w:val="20"/>
          <w:lang w:val="en-US"/>
        </w:rPr>
        <w:t xml:space="preserve"> the </w:t>
      </w:r>
      <w:r w:rsidR="00EE279F" w:rsidRPr="008A3740">
        <w:rPr>
          <w:rFonts w:ascii="Verdana" w:hAnsi="Verdana"/>
          <w:sz w:val="20"/>
          <w:szCs w:val="20"/>
          <w:lang w:val="en-US"/>
        </w:rPr>
        <w:t xml:space="preserve">jurisdiction </w:t>
      </w:r>
      <w:r w:rsidRPr="008A3740">
        <w:rPr>
          <w:rFonts w:ascii="Verdana" w:hAnsi="Verdana"/>
          <w:sz w:val="20"/>
          <w:szCs w:val="20"/>
          <w:lang w:val="en-US"/>
        </w:rPr>
        <w:t xml:space="preserve">of the Commission and of the Court in relation to the </w:t>
      </w:r>
      <w:r w:rsidR="00161965" w:rsidRPr="008A3740">
        <w:rPr>
          <w:rFonts w:ascii="Verdana" w:hAnsi="Verdana"/>
          <w:sz w:val="20"/>
          <w:szCs w:val="20"/>
          <w:lang w:val="en-US"/>
        </w:rPr>
        <w:t xml:space="preserve">issue at hand, </w:t>
      </w:r>
      <w:r w:rsidRPr="008A3740">
        <w:rPr>
          <w:rFonts w:ascii="Verdana" w:hAnsi="Verdana"/>
          <w:sz w:val="20"/>
          <w:szCs w:val="20"/>
          <w:lang w:val="en-US"/>
        </w:rPr>
        <w:t xml:space="preserve">establishing that </w:t>
      </w:r>
      <w:r w:rsidR="005C7DB5" w:rsidRPr="008A3740">
        <w:rPr>
          <w:rFonts w:ascii="Verdana" w:hAnsi="Verdana"/>
          <w:sz w:val="20"/>
          <w:szCs w:val="20"/>
          <w:lang w:val="en-US"/>
        </w:rPr>
        <w:t xml:space="preserve">these </w:t>
      </w:r>
      <w:r w:rsidR="004277E5" w:rsidRPr="008A3740">
        <w:rPr>
          <w:rFonts w:ascii="Verdana" w:hAnsi="Verdana"/>
          <w:sz w:val="20"/>
          <w:szCs w:val="20"/>
          <w:lang w:val="en-US"/>
        </w:rPr>
        <w:t xml:space="preserve">bodies </w:t>
      </w:r>
      <w:r w:rsidR="005C7DB5" w:rsidRPr="008A3740">
        <w:rPr>
          <w:rFonts w:ascii="Verdana" w:hAnsi="Verdana"/>
          <w:sz w:val="20"/>
          <w:szCs w:val="20"/>
          <w:lang w:val="en-US"/>
        </w:rPr>
        <w:t xml:space="preserve">could </w:t>
      </w:r>
      <w:r w:rsidR="00A64F6F" w:rsidRPr="008A3740">
        <w:rPr>
          <w:rFonts w:ascii="Verdana" w:hAnsi="Verdana"/>
          <w:sz w:val="20"/>
          <w:szCs w:val="20"/>
          <w:lang w:val="en-US"/>
        </w:rPr>
        <w:t xml:space="preserve">only </w:t>
      </w:r>
      <w:r w:rsidR="0061633B" w:rsidRPr="008A3740">
        <w:rPr>
          <w:rFonts w:ascii="Verdana" w:hAnsi="Verdana"/>
          <w:sz w:val="20"/>
          <w:szCs w:val="20"/>
          <w:lang w:val="en-US"/>
        </w:rPr>
        <w:t xml:space="preserve">examine </w:t>
      </w:r>
      <w:r w:rsidR="00161965" w:rsidRPr="008A3740">
        <w:rPr>
          <w:rFonts w:ascii="Verdana" w:hAnsi="Verdana"/>
          <w:sz w:val="20"/>
          <w:szCs w:val="20"/>
          <w:lang w:val="en-US"/>
        </w:rPr>
        <w:t xml:space="preserve">the protection of trade union </w:t>
      </w:r>
      <w:r w:rsidRPr="008A3740">
        <w:rPr>
          <w:rFonts w:ascii="Verdana" w:hAnsi="Verdana"/>
          <w:sz w:val="20"/>
          <w:szCs w:val="20"/>
          <w:lang w:val="en-US"/>
        </w:rPr>
        <w:t xml:space="preserve">rights and the right to education, </w:t>
      </w:r>
      <w:r w:rsidR="005C7DB5" w:rsidRPr="008A3740">
        <w:rPr>
          <w:rFonts w:ascii="Verdana" w:hAnsi="Verdana"/>
          <w:sz w:val="20"/>
          <w:szCs w:val="20"/>
          <w:lang w:val="en-US"/>
        </w:rPr>
        <w:t xml:space="preserve">through the </w:t>
      </w:r>
      <w:r w:rsidR="002A62E4" w:rsidRPr="008A3740">
        <w:rPr>
          <w:rFonts w:ascii="Verdana" w:hAnsi="Verdana"/>
          <w:sz w:val="20"/>
          <w:szCs w:val="20"/>
          <w:lang w:val="en-US"/>
        </w:rPr>
        <w:t xml:space="preserve">mechanism of individual </w:t>
      </w:r>
      <w:r w:rsidR="005C7DB5" w:rsidRPr="008A3740">
        <w:rPr>
          <w:rFonts w:ascii="Verdana" w:hAnsi="Verdana"/>
          <w:sz w:val="20"/>
          <w:szCs w:val="20"/>
          <w:lang w:val="en-US"/>
        </w:rPr>
        <w:t xml:space="preserve">petitions before the inter-American system, </w:t>
      </w:r>
      <w:r w:rsidRPr="008A3740">
        <w:rPr>
          <w:rFonts w:ascii="Verdana" w:hAnsi="Verdana"/>
          <w:sz w:val="20"/>
          <w:szCs w:val="20"/>
          <w:lang w:val="en-US"/>
        </w:rPr>
        <w:t xml:space="preserve">but </w:t>
      </w:r>
      <w:r w:rsidR="005C7DB5" w:rsidRPr="008A3740">
        <w:rPr>
          <w:rFonts w:ascii="Verdana" w:hAnsi="Verdana"/>
          <w:sz w:val="20"/>
          <w:szCs w:val="20"/>
          <w:lang w:val="en-US"/>
        </w:rPr>
        <w:t xml:space="preserve">not </w:t>
      </w:r>
      <w:r w:rsidRPr="008A3740">
        <w:rPr>
          <w:rFonts w:ascii="Verdana" w:hAnsi="Verdana"/>
          <w:sz w:val="20"/>
          <w:szCs w:val="20"/>
          <w:lang w:val="en-US"/>
        </w:rPr>
        <w:t xml:space="preserve">the right to social security. </w:t>
      </w:r>
      <w:r w:rsidR="00161965" w:rsidRPr="008A3740">
        <w:rPr>
          <w:rFonts w:ascii="Verdana" w:hAnsi="Verdana"/>
          <w:sz w:val="20"/>
          <w:szCs w:val="20"/>
          <w:lang w:val="en-US"/>
        </w:rPr>
        <w:t>It c</w:t>
      </w:r>
      <w:r w:rsidRPr="008A3740">
        <w:rPr>
          <w:rFonts w:ascii="Verdana" w:hAnsi="Verdana"/>
          <w:sz w:val="20"/>
          <w:szCs w:val="20"/>
          <w:lang w:val="en-US"/>
        </w:rPr>
        <w:t xml:space="preserve">onsidered </w:t>
      </w:r>
      <w:r w:rsidR="00EC18FD" w:rsidRPr="008A3740">
        <w:rPr>
          <w:rFonts w:ascii="Verdana" w:hAnsi="Verdana"/>
          <w:sz w:val="20"/>
          <w:szCs w:val="20"/>
          <w:lang w:val="en-US"/>
        </w:rPr>
        <w:t xml:space="preserve">that it was not </w:t>
      </w:r>
      <w:r w:rsidRPr="008A3740">
        <w:rPr>
          <w:rFonts w:ascii="Verdana" w:hAnsi="Verdana"/>
          <w:sz w:val="20"/>
          <w:szCs w:val="20"/>
          <w:lang w:val="en-US"/>
        </w:rPr>
        <w:t>a</w:t>
      </w:r>
      <w:r w:rsidR="00D7362D" w:rsidRPr="008A3740">
        <w:rPr>
          <w:rFonts w:ascii="Verdana" w:hAnsi="Verdana"/>
          <w:sz w:val="20"/>
          <w:szCs w:val="20"/>
          <w:lang w:val="en-US"/>
        </w:rPr>
        <w:t xml:space="preserve">cceptable to </w:t>
      </w:r>
      <w:r w:rsidR="000726A0" w:rsidRPr="008A3740">
        <w:rPr>
          <w:rFonts w:ascii="Verdana" w:hAnsi="Verdana"/>
          <w:sz w:val="20"/>
          <w:szCs w:val="20"/>
          <w:lang w:val="en-US"/>
        </w:rPr>
        <w:t xml:space="preserve">undermine the </w:t>
      </w:r>
      <w:r w:rsidRPr="008A3740">
        <w:rPr>
          <w:rFonts w:ascii="Verdana" w:hAnsi="Verdana"/>
          <w:sz w:val="20"/>
          <w:szCs w:val="20"/>
          <w:lang w:val="en-US"/>
        </w:rPr>
        <w:t xml:space="preserve">content </w:t>
      </w:r>
      <w:r w:rsidR="000726A0" w:rsidRPr="008A3740">
        <w:rPr>
          <w:rFonts w:ascii="Verdana" w:hAnsi="Verdana"/>
          <w:sz w:val="20"/>
          <w:szCs w:val="20"/>
          <w:lang w:val="en-US"/>
        </w:rPr>
        <w:t xml:space="preserve">of </w:t>
      </w:r>
      <w:r w:rsidR="00D7362D" w:rsidRPr="008A3740">
        <w:rPr>
          <w:rFonts w:ascii="Verdana" w:hAnsi="Verdana"/>
          <w:sz w:val="20"/>
          <w:szCs w:val="20"/>
          <w:lang w:val="en-US"/>
        </w:rPr>
        <w:t xml:space="preserve">the provisions of </w:t>
      </w:r>
      <w:r w:rsidRPr="008A3740">
        <w:rPr>
          <w:rFonts w:ascii="Verdana" w:hAnsi="Verdana"/>
          <w:sz w:val="20"/>
          <w:szCs w:val="20"/>
          <w:lang w:val="en-US"/>
        </w:rPr>
        <w:t>Article 19(6) of the San Sal</w:t>
      </w:r>
      <w:r w:rsidR="000726A0" w:rsidRPr="008A3740">
        <w:rPr>
          <w:rFonts w:ascii="Verdana" w:hAnsi="Verdana"/>
          <w:sz w:val="20"/>
          <w:szCs w:val="20"/>
          <w:lang w:val="en-US"/>
        </w:rPr>
        <w:t xml:space="preserve">vador Protocol, </w:t>
      </w:r>
      <w:r w:rsidR="005C7DB5" w:rsidRPr="008A3740">
        <w:rPr>
          <w:rFonts w:ascii="Verdana" w:hAnsi="Verdana"/>
          <w:sz w:val="20"/>
          <w:szCs w:val="20"/>
          <w:lang w:val="en-US"/>
        </w:rPr>
        <w:t xml:space="preserve">which </w:t>
      </w:r>
      <w:r w:rsidR="000726A0" w:rsidRPr="008A3740">
        <w:rPr>
          <w:rFonts w:ascii="Verdana" w:hAnsi="Verdana"/>
          <w:sz w:val="20"/>
          <w:szCs w:val="20"/>
          <w:lang w:val="en-US"/>
        </w:rPr>
        <w:t xml:space="preserve">was a </w:t>
      </w:r>
      <w:r w:rsidR="005C7DB5" w:rsidRPr="008A3740">
        <w:rPr>
          <w:rFonts w:ascii="Verdana" w:hAnsi="Verdana"/>
          <w:sz w:val="20"/>
          <w:szCs w:val="20"/>
          <w:lang w:val="en-US"/>
        </w:rPr>
        <w:t>binding standard for</w:t>
      </w:r>
      <w:r w:rsidR="00161965" w:rsidRPr="008A3740">
        <w:rPr>
          <w:rFonts w:ascii="Verdana" w:hAnsi="Verdana"/>
          <w:sz w:val="20"/>
          <w:szCs w:val="20"/>
          <w:lang w:val="en-US"/>
        </w:rPr>
        <w:t xml:space="preserve"> </w:t>
      </w:r>
      <w:r w:rsidRPr="008A3740">
        <w:rPr>
          <w:rFonts w:ascii="Verdana" w:hAnsi="Verdana"/>
          <w:sz w:val="20"/>
          <w:szCs w:val="20"/>
          <w:lang w:val="en-US"/>
        </w:rPr>
        <w:t xml:space="preserve">the organs of the system, and that the </w:t>
      </w:r>
      <w:r w:rsidR="0013290A" w:rsidRPr="008A3740">
        <w:rPr>
          <w:rFonts w:ascii="Verdana" w:hAnsi="Verdana"/>
          <w:i/>
          <w:sz w:val="20"/>
          <w:szCs w:val="20"/>
          <w:lang w:val="en-US"/>
        </w:rPr>
        <w:t>pro persona</w:t>
      </w:r>
      <w:r w:rsidR="00D03529" w:rsidRPr="008A3740">
        <w:rPr>
          <w:rFonts w:ascii="Verdana" w:hAnsi="Verdana"/>
          <w:i/>
          <w:sz w:val="20"/>
          <w:szCs w:val="20"/>
          <w:lang w:val="en-US"/>
        </w:rPr>
        <w:t>e</w:t>
      </w:r>
      <w:r w:rsidR="008D1A9C" w:rsidRPr="008A3740">
        <w:rPr>
          <w:rFonts w:ascii="Verdana" w:hAnsi="Verdana"/>
          <w:i/>
          <w:sz w:val="20"/>
          <w:szCs w:val="20"/>
          <w:lang w:val="en-US"/>
        </w:rPr>
        <w:t xml:space="preserve"> </w:t>
      </w:r>
      <w:r w:rsidR="008D1A9C" w:rsidRPr="008A3740">
        <w:rPr>
          <w:rFonts w:ascii="Verdana" w:hAnsi="Verdana"/>
          <w:sz w:val="20"/>
          <w:szCs w:val="20"/>
          <w:lang w:val="en-US"/>
        </w:rPr>
        <w:t>principle</w:t>
      </w:r>
      <w:r w:rsidRPr="008A3740">
        <w:rPr>
          <w:rFonts w:ascii="Verdana" w:hAnsi="Verdana"/>
          <w:sz w:val="20"/>
          <w:szCs w:val="20"/>
          <w:lang w:val="en-US"/>
        </w:rPr>
        <w:t xml:space="preserve"> would only be applicable within the framework of </w:t>
      </w:r>
      <w:r w:rsidR="004C6825" w:rsidRPr="008A3740">
        <w:rPr>
          <w:rFonts w:ascii="Verdana" w:hAnsi="Verdana"/>
          <w:sz w:val="20"/>
          <w:szCs w:val="20"/>
          <w:lang w:val="en-US"/>
        </w:rPr>
        <w:t xml:space="preserve">the </w:t>
      </w:r>
      <w:r w:rsidRPr="008A3740">
        <w:rPr>
          <w:rFonts w:ascii="Verdana" w:hAnsi="Verdana"/>
          <w:sz w:val="20"/>
          <w:szCs w:val="20"/>
          <w:lang w:val="en-US"/>
        </w:rPr>
        <w:t xml:space="preserve">competences established in the inter-American order. </w:t>
      </w:r>
    </w:p>
    <w:p w14:paraId="1643F6D8" w14:textId="77777777" w:rsidR="008E6A56" w:rsidRPr="008A3740" w:rsidRDefault="008E6A56" w:rsidP="008E6A56">
      <w:pPr>
        <w:tabs>
          <w:tab w:val="left" w:pos="567"/>
        </w:tabs>
        <w:autoSpaceDE w:val="0"/>
        <w:autoSpaceDN w:val="0"/>
        <w:rPr>
          <w:rFonts w:ascii="Verdana" w:hAnsi="Verdana"/>
          <w:sz w:val="20"/>
          <w:szCs w:val="20"/>
          <w:lang w:val="en-US"/>
        </w:rPr>
      </w:pPr>
    </w:p>
    <w:p w14:paraId="48616D19"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State </w:t>
      </w:r>
      <w:r w:rsidR="003756B7" w:rsidRPr="008A3740">
        <w:rPr>
          <w:rFonts w:ascii="Verdana" w:hAnsi="Verdana"/>
          <w:sz w:val="20"/>
          <w:szCs w:val="20"/>
          <w:lang w:val="en-US"/>
        </w:rPr>
        <w:t xml:space="preserve">highlighted </w:t>
      </w:r>
      <w:r w:rsidRPr="008A3740">
        <w:rPr>
          <w:rFonts w:ascii="Verdana" w:hAnsi="Verdana"/>
          <w:sz w:val="20"/>
          <w:szCs w:val="20"/>
          <w:lang w:val="en-US"/>
        </w:rPr>
        <w:t xml:space="preserve">the positions </w:t>
      </w:r>
      <w:r w:rsidR="00161965" w:rsidRPr="008A3740">
        <w:rPr>
          <w:rFonts w:ascii="Verdana" w:hAnsi="Verdana"/>
          <w:sz w:val="20"/>
          <w:szCs w:val="20"/>
          <w:lang w:val="en-US"/>
        </w:rPr>
        <w:t xml:space="preserve">of some Judges of the Court </w:t>
      </w:r>
      <w:r w:rsidR="003756B7" w:rsidRPr="008A3740">
        <w:rPr>
          <w:rFonts w:ascii="Verdana" w:hAnsi="Verdana"/>
          <w:sz w:val="20"/>
          <w:szCs w:val="20"/>
          <w:lang w:val="en-US"/>
        </w:rPr>
        <w:t xml:space="preserve">who </w:t>
      </w:r>
      <w:r w:rsidR="00161965" w:rsidRPr="008A3740">
        <w:rPr>
          <w:rFonts w:ascii="Verdana" w:hAnsi="Verdana"/>
          <w:sz w:val="20"/>
          <w:szCs w:val="20"/>
          <w:lang w:val="en-US"/>
        </w:rPr>
        <w:t xml:space="preserve">opposed </w:t>
      </w:r>
      <w:r w:rsidRPr="008A3740">
        <w:rPr>
          <w:rFonts w:ascii="Verdana" w:hAnsi="Verdana"/>
          <w:sz w:val="20"/>
          <w:szCs w:val="20"/>
          <w:lang w:val="en-US"/>
        </w:rPr>
        <w:t>t</w:t>
      </w:r>
      <w:r w:rsidR="004C6825" w:rsidRPr="008A3740">
        <w:rPr>
          <w:rFonts w:ascii="Verdana" w:hAnsi="Verdana"/>
          <w:sz w:val="20"/>
          <w:szCs w:val="20"/>
          <w:lang w:val="en-US"/>
        </w:rPr>
        <w:t xml:space="preserve">he direct justiciability of </w:t>
      </w:r>
      <w:r w:rsidRPr="008A3740">
        <w:rPr>
          <w:rFonts w:ascii="Verdana" w:hAnsi="Verdana"/>
          <w:sz w:val="20"/>
          <w:szCs w:val="20"/>
          <w:lang w:val="en-US"/>
        </w:rPr>
        <w:t xml:space="preserve">ESCER, </w:t>
      </w:r>
      <w:r w:rsidR="004C6825" w:rsidRPr="008A3740">
        <w:rPr>
          <w:rFonts w:ascii="Verdana" w:hAnsi="Verdana"/>
          <w:sz w:val="20"/>
          <w:szCs w:val="20"/>
          <w:lang w:val="en-US"/>
        </w:rPr>
        <w:t xml:space="preserve">stating that it </w:t>
      </w:r>
      <w:r w:rsidR="0002285E" w:rsidRPr="008A3740">
        <w:rPr>
          <w:rFonts w:ascii="Verdana" w:hAnsi="Verdana"/>
          <w:sz w:val="20"/>
          <w:szCs w:val="20"/>
          <w:lang w:val="en-US"/>
        </w:rPr>
        <w:t xml:space="preserve">shared this view </w:t>
      </w:r>
      <w:r w:rsidRPr="008A3740">
        <w:rPr>
          <w:rFonts w:ascii="Verdana" w:hAnsi="Verdana"/>
          <w:sz w:val="20"/>
          <w:szCs w:val="20"/>
          <w:lang w:val="en-US"/>
        </w:rPr>
        <w:t xml:space="preserve">in all its aspects. In this regard, it emphasized that the rights included in the </w:t>
      </w:r>
      <w:r w:rsidR="0002285E" w:rsidRPr="008A3740">
        <w:rPr>
          <w:rFonts w:ascii="Verdana" w:hAnsi="Verdana"/>
          <w:sz w:val="20"/>
          <w:szCs w:val="20"/>
          <w:lang w:val="en-US"/>
        </w:rPr>
        <w:t xml:space="preserve">Convention’s </w:t>
      </w:r>
      <w:r w:rsidRPr="008A3740">
        <w:rPr>
          <w:rFonts w:ascii="Verdana" w:hAnsi="Verdana"/>
          <w:sz w:val="20"/>
          <w:szCs w:val="20"/>
          <w:lang w:val="en-US"/>
        </w:rPr>
        <w:t xml:space="preserve">protection </w:t>
      </w:r>
      <w:r w:rsidR="0002285E" w:rsidRPr="008A3740">
        <w:rPr>
          <w:rFonts w:ascii="Verdana" w:hAnsi="Verdana"/>
          <w:sz w:val="20"/>
          <w:szCs w:val="20"/>
          <w:lang w:val="en-US"/>
        </w:rPr>
        <w:t xml:space="preserve">system </w:t>
      </w:r>
      <w:r w:rsidRPr="008A3740">
        <w:rPr>
          <w:rFonts w:ascii="Verdana" w:hAnsi="Verdana"/>
          <w:sz w:val="20"/>
          <w:szCs w:val="20"/>
          <w:lang w:val="en-US"/>
        </w:rPr>
        <w:t>were those established u</w:t>
      </w:r>
      <w:r w:rsidR="0002285E" w:rsidRPr="008A3740">
        <w:rPr>
          <w:rFonts w:ascii="Verdana" w:hAnsi="Verdana"/>
          <w:sz w:val="20"/>
          <w:szCs w:val="20"/>
          <w:lang w:val="en-US"/>
        </w:rPr>
        <w:t>p to Article 25</w:t>
      </w:r>
      <w:r w:rsidRPr="008A3740">
        <w:rPr>
          <w:rFonts w:ascii="Verdana" w:hAnsi="Verdana"/>
          <w:sz w:val="20"/>
          <w:szCs w:val="20"/>
          <w:lang w:val="en-US"/>
        </w:rPr>
        <w:t xml:space="preserve"> and</w:t>
      </w:r>
      <w:r w:rsidR="0002285E" w:rsidRPr="008A3740">
        <w:rPr>
          <w:rFonts w:ascii="Verdana" w:hAnsi="Verdana"/>
          <w:sz w:val="20"/>
          <w:szCs w:val="20"/>
          <w:lang w:val="en-US"/>
        </w:rPr>
        <w:t>,</w:t>
      </w:r>
      <w:r w:rsidRPr="008A3740">
        <w:rPr>
          <w:rFonts w:ascii="Verdana" w:hAnsi="Verdana"/>
          <w:sz w:val="20"/>
          <w:szCs w:val="20"/>
          <w:lang w:val="en-US"/>
        </w:rPr>
        <w:t xml:space="preserve"> although other rights and freedoms</w:t>
      </w:r>
      <w:r w:rsidR="00A64F6F" w:rsidRPr="008A3740">
        <w:rPr>
          <w:rFonts w:ascii="Verdana" w:hAnsi="Verdana"/>
          <w:sz w:val="20"/>
          <w:szCs w:val="20"/>
          <w:lang w:val="en-US"/>
        </w:rPr>
        <w:t xml:space="preserve"> could exist</w:t>
      </w:r>
      <w:r w:rsidRPr="008A3740">
        <w:rPr>
          <w:rFonts w:ascii="Verdana" w:hAnsi="Verdana"/>
          <w:sz w:val="20"/>
          <w:szCs w:val="20"/>
          <w:lang w:val="en-US"/>
        </w:rPr>
        <w:t xml:space="preserve">, </w:t>
      </w:r>
      <w:r w:rsidR="003756B7" w:rsidRPr="008A3740">
        <w:rPr>
          <w:rFonts w:ascii="Verdana" w:hAnsi="Verdana"/>
          <w:sz w:val="20"/>
          <w:szCs w:val="20"/>
          <w:lang w:val="en-US"/>
        </w:rPr>
        <w:t>these should be included in the</w:t>
      </w:r>
      <w:r w:rsidRPr="008A3740">
        <w:rPr>
          <w:rFonts w:ascii="Verdana" w:hAnsi="Verdana"/>
          <w:sz w:val="20"/>
          <w:szCs w:val="20"/>
          <w:lang w:val="en-US"/>
        </w:rPr>
        <w:t xml:space="preserve"> protection </w:t>
      </w:r>
      <w:r w:rsidR="0002285E" w:rsidRPr="008A3740">
        <w:rPr>
          <w:rFonts w:ascii="Verdana" w:hAnsi="Verdana"/>
          <w:sz w:val="20"/>
          <w:szCs w:val="20"/>
          <w:lang w:val="en-US"/>
        </w:rPr>
        <w:t xml:space="preserve">system </w:t>
      </w:r>
      <w:r w:rsidRPr="008A3740">
        <w:rPr>
          <w:rFonts w:ascii="Verdana" w:hAnsi="Verdana"/>
          <w:sz w:val="20"/>
          <w:szCs w:val="20"/>
          <w:lang w:val="en-US"/>
        </w:rPr>
        <w:t xml:space="preserve">through the mechanisms envisaged in Articles 31, 76 and 77 of the Convention. </w:t>
      </w:r>
      <w:r w:rsidR="003756B7" w:rsidRPr="008A3740">
        <w:rPr>
          <w:rFonts w:ascii="Verdana" w:hAnsi="Verdana"/>
          <w:sz w:val="20"/>
          <w:szCs w:val="20"/>
          <w:lang w:val="en-US"/>
        </w:rPr>
        <w:t>I</w:t>
      </w:r>
      <w:r w:rsidR="004C6825" w:rsidRPr="008A3740">
        <w:rPr>
          <w:rFonts w:ascii="Verdana" w:hAnsi="Verdana"/>
          <w:sz w:val="20"/>
          <w:szCs w:val="20"/>
          <w:lang w:val="en-US"/>
        </w:rPr>
        <w:t xml:space="preserve">t </w:t>
      </w:r>
      <w:r w:rsidR="003756B7" w:rsidRPr="008A3740">
        <w:rPr>
          <w:rFonts w:ascii="Verdana" w:hAnsi="Verdana"/>
          <w:sz w:val="20"/>
          <w:szCs w:val="20"/>
          <w:lang w:val="en-US"/>
        </w:rPr>
        <w:t xml:space="preserve">further </w:t>
      </w:r>
      <w:r w:rsidR="004C6825" w:rsidRPr="008A3740">
        <w:rPr>
          <w:rFonts w:ascii="Verdana" w:hAnsi="Verdana"/>
          <w:sz w:val="20"/>
          <w:szCs w:val="20"/>
          <w:lang w:val="en-US"/>
        </w:rPr>
        <w:t xml:space="preserve">stressed </w:t>
      </w:r>
      <w:r w:rsidRPr="008A3740">
        <w:rPr>
          <w:rFonts w:ascii="Verdana" w:hAnsi="Verdana"/>
          <w:sz w:val="20"/>
          <w:szCs w:val="20"/>
          <w:lang w:val="en-US"/>
        </w:rPr>
        <w:t xml:space="preserve">that adding rights was not </w:t>
      </w:r>
      <w:r w:rsidR="003756B7" w:rsidRPr="008A3740">
        <w:rPr>
          <w:rFonts w:ascii="Verdana" w:hAnsi="Verdana"/>
          <w:sz w:val="20"/>
          <w:szCs w:val="20"/>
          <w:lang w:val="en-US"/>
        </w:rPr>
        <w:t xml:space="preserve">within </w:t>
      </w:r>
      <w:r w:rsidR="00383452" w:rsidRPr="008A3740">
        <w:rPr>
          <w:rFonts w:ascii="Verdana" w:hAnsi="Verdana"/>
          <w:sz w:val="20"/>
          <w:szCs w:val="20"/>
          <w:lang w:val="en-US"/>
        </w:rPr>
        <w:t xml:space="preserve">the </w:t>
      </w:r>
      <w:r w:rsidR="004277E5" w:rsidRPr="008A3740">
        <w:rPr>
          <w:rFonts w:ascii="Verdana" w:hAnsi="Verdana"/>
          <w:sz w:val="20"/>
          <w:szCs w:val="20"/>
          <w:lang w:val="en-US"/>
        </w:rPr>
        <w:t xml:space="preserve">jurisdiction </w:t>
      </w:r>
      <w:r w:rsidRPr="008A3740">
        <w:rPr>
          <w:rFonts w:ascii="Verdana" w:hAnsi="Verdana"/>
          <w:sz w:val="20"/>
          <w:szCs w:val="20"/>
          <w:lang w:val="en-US"/>
        </w:rPr>
        <w:t>of the Court, but of the States. It</w:t>
      </w:r>
      <w:r w:rsidRPr="008A3740">
        <w:rPr>
          <w:rFonts w:ascii="Verdana" w:hAnsi="Verdana"/>
          <w:b/>
          <w:sz w:val="20"/>
          <w:szCs w:val="20"/>
          <w:lang w:val="en-US"/>
        </w:rPr>
        <w:t xml:space="preserve"> </w:t>
      </w:r>
      <w:r w:rsidRPr="008A3740">
        <w:rPr>
          <w:rFonts w:ascii="Verdana" w:hAnsi="Verdana"/>
          <w:sz w:val="20"/>
          <w:szCs w:val="20"/>
          <w:lang w:val="en-US"/>
        </w:rPr>
        <w:t xml:space="preserve">held that </w:t>
      </w:r>
      <w:r w:rsidRPr="008A3740">
        <w:rPr>
          <w:rFonts w:ascii="Verdana" w:hAnsi="Verdana"/>
          <w:sz w:val="20"/>
          <w:szCs w:val="20"/>
          <w:lang w:val="en-US"/>
        </w:rPr>
        <w:lastRenderedPageBreak/>
        <w:t xml:space="preserve">ESCER </w:t>
      </w:r>
      <w:r w:rsidR="004C6825" w:rsidRPr="008A3740">
        <w:rPr>
          <w:rFonts w:ascii="Verdana" w:hAnsi="Verdana"/>
          <w:sz w:val="20"/>
          <w:szCs w:val="20"/>
          <w:lang w:val="en-US"/>
        </w:rPr>
        <w:t xml:space="preserve">should not be </w:t>
      </w:r>
      <w:r w:rsidR="00B067D6" w:rsidRPr="008A3740">
        <w:rPr>
          <w:rFonts w:ascii="Verdana" w:hAnsi="Verdana"/>
          <w:sz w:val="20"/>
          <w:szCs w:val="20"/>
          <w:lang w:val="en-US"/>
        </w:rPr>
        <w:t xml:space="preserve">directly </w:t>
      </w:r>
      <w:r w:rsidR="003756B7" w:rsidRPr="008A3740">
        <w:rPr>
          <w:rFonts w:ascii="Verdana" w:hAnsi="Verdana"/>
          <w:sz w:val="20"/>
          <w:szCs w:val="20"/>
          <w:lang w:val="en-US"/>
        </w:rPr>
        <w:t xml:space="preserve">justiciable </w:t>
      </w:r>
      <w:r w:rsidR="000726A0" w:rsidRPr="008A3740">
        <w:rPr>
          <w:rFonts w:ascii="Verdana" w:hAnsi="Verdana"/>
          <w:sz w:val="20"/>
          <w:szCs w:val="20"/>
          <w:lang w:val="en-US"/>
        </w:rPr>
        <w:t xml:space="preserve">through </w:t>
      </w:r>
      <w:r w:rsidR="003756B7" w:rsidRPr="008A3740">
        <w:rPr>
          <w:rFonts w:ascii="Verdana" w:hAnsi="Verdana"/>
          <w:sz w:val="20"/>
          <w:szCs w:val="20"/>
          <w:lang w:val="en-US"/>
        </w:rPr>
        <w:t xml:space="preserve">the </w:t>
      </w:r>
      <w:r w:rsidRPr="008A3740">
        <w:rPr>
          <w:rFonts w:ascii="Verdana" w:hAnsi="Verdana"/>
          <w:sz w:val="20"/>
          <w:szCs w:val="20"/>
          <w:lang w:val="en-US"/>
        </w:rPr>
        <w:t>application of Article 2</w:t>
      </w:r>
      <w:r w:rsidR="003756B7" w:rsidRPr="008A3740">
        <w:rPr>
          <w:rFonts w:ascii="Verdana" w:hAnsi="Verdana"/>
          <w:sz w:val="20"/>
          <w:szCs w:val="20"/>
          <w:lang w:val="en-US"/>
        </w:rPr>
        <w:t xml:space="preserve">6 of the Convention, since </w:t>
      </w:r>
      <w:r w:rsidR="00B067D6" w:rsidRPr="008A3740">
        <w:rPr>
          <w:rFonts w:ascii="Verdana" w:hAnsi="Verdana"/>
          <w:sz w:val="20"/>
          <w:szCs w:val="20"/>
          <w:lang w:val="en-US"/>
        </w:rPr>
        <w:t xml:space="preserve">the </w:t>
      </w:r>
      <w:r w:rsidR="003756B7" w:rsidRPr="008A3740">
        <w:rPr>
          <w:rFonts w:ascii="Verdana" w:hAnsi="Verdana"/>
          <w:sz w:val="20"/>
          <w:szCs w:val="20"/>
          <w:lang w:val="en-US"/>
        </w:rPr>
        <w:t>said</w:t>
      </w:r>
      <w:r w:rsidR="00383452" w:rsidRPr="008A3740">
        <w:rPr>
          <w:rFonts w:ascii="Verdana" w:hAnsi="Verdana"/>
          <w:sz w:val="20"/>
          <w:szCs w:val="20"/>
          <w:lang w:val="en-US"/>
        </w:rPr>
        <w:t xml:space="preserve"> a</w:t>
      </w:r>
      <w:r w:rsidRPr="008A3740">
        <w:rPr>
          <w:rFonts w:ascii="Verdana" w:hAnsi="Verdana"/>
          <w:sz w:val="20"/>
          <w:szCs w:val="20"/>
          <w:lang w:val="en-US"/>
        </w:rPr>
        <w:t xml:space="preserve">rticle did not </w:t>
      </w:r>
      <w:r w:rsidR="003756B7" w:rsidRPr="008A3740">
        <w:rPr>
          <w:rFonts w:ascii="Verdana" w:hAnsi="Verdana"/>
          <w:sz w:val="20"/>
          <w:szCs w:val="20"/>
          <w:lang w:val="en-US"/>
        </w:rPr>
        <w:t xml:space="preserve">list </w:t>
      </w:r>
      <w:r w:rsidRPr="008A3740">
        <w:rPr>
          <w:rFonts w:ascii="Verdana" w:hAnsi="Verdana"/>
          <w:sz w:val="20"/>
          <w:szCs w:val="20"/>
          <w:lang w:val="en-US"/>
        </w:rPr>
        <w:t xml:space="preserve">a </w:t>
      </w:r>
      <w:r w:rsidR="000726A0" w:rsidRPr="008A3740">
        <w:rPr>
          <w:rFonts w:ascii="Verdana" w:hAnsi="Verdana"/>
          <w:sz w:val="20"/>
          <w:szCs w:val="20"/>
          <w:lang w:val="en-US"/>
        </w:rPr>
        <w:t>catalogue</w:t>
      </w:r>
      <w:r w:rsidRPr="008A3740">
        <w:rPr>
          <w:rFonts w:ascii="Verdana" w:hAnsi="Verdana"/>
          <w:sz w:val="20"/>
          <w:szCs w:val="20"/>
          <w:lang w:val="en-US"/>
        </w:rPr>
        <w:t xml:space="preserve"> of rights, </w:t>
      </w:r>
      <w:r w:rsidR="004C6825" w:rsidRPr="008A3740">
        <w:rPr>
          <w:rFonts w:ascii="Verdana" w:hAnsi="Verdana"/>
          <w:sz w:val="20"/>
          <w:szCs w:val="20"/>
          <w:lang w:val="en-US"/>
        </w:rPr>
        <w:t xml:space="preserve">or recognize or enshrine ESCER, </w:t>
      </w:r>
      <w:r w:rsidR="00B067D6" w:rsidRPr="008A3740">
        <w:rPr>
          <w:rFonts w:ascii="Verdana" w:hAnsi="Verdana"/>
          <w:sz w:val="20"/>
          <w:szCs w:val="20"/>
          <w:lang w:val="en-US"/>
        </w:rPr>
        <w:t xml:space="preserve">but merely </w:t>
      </w:r>
      <w:r w:rsidRPr="008A3740">
        <w:rPr>
          <w:rFonts w:ascii="Verdana" w:hAnsi="Verdana"/>
          <w:sz w:val="20"/>
          <w:szCs w:val="20"/>
          <w:lang w:val="en-US"/>
        </w:rPr>
        <w:t xml:space="preserve">established the States’ commitment to progressively </w:t>
      </w:r>
      <w:r w:rsidR="00687A1C" w:rsidRPr="008A3740">
        <w:rPr>
          <w:rFonts w:ascii="Verdana" w:hAnsi="Verdana"/>
          <w:sz w:val="20"/>
          <w:szCs w:val="20"/>
          <w:lang w:val="en-US"/>
        </w:rPr>
        <w:t xml:space="preserve">achieve </w:t>
      </w:r>
      <w:r w:rsidRPr="008A3740">
        <w:rPr>
          <w:rFonts w:ascii="Verdana" w:hAnsi="Verdana"/>
          <w:sz w:val="20"/>
          <w:szCs w:val="20"/>
          <w:lang w:val="en-US"/>
        </w:rPr>
        <w:t xml:space="preserve">the full </w:t>
      </w:r>
      <w:r w:rsidR="00B067D6" w:rsidRPr="008A3740">
        <w:rPr>
          <w:rFonts w:ascii="Verdana" w:hAnsi="Verdana"/>
          <w:sz w:val="20"/>
          <w:szCs w:val="20"/>
          <w:lang w:val="en-US"/>
        </w:rPr>
        <w:t xml:space="preserve">realization </w:t>
      </w:r>
      <w:r w:rsidRPr="008A3740">
        <w:rPr>
          <w:rFonts w:ascii="Verdana" w:hAnsi="Verdana"/>
          <w:sz w:val="20"/>
          <w:szCs w:val="20"/>
          <w:lang w:val="en-US"/>
        </w:rPr>
        <w:t xml:space="preserve">of the rights </w:t>
      </w:r>
      <w:r w:rsidR="00687A1C" w:rsidRPr="008A3740">
        <w:rPr>
          <w:rFonts w:ascii="Verdana" w:hAnsi="Verdana"/>
          <w:sz w:val="20"/>
          <w:szCs w:val="20"/>
          <w:lang w:val="en-US"/>
        </w:rPr>
        <w:t xml:space="preserve">that could be derived from </w:t>
      </w:r>
      <w:r w:rsidRPr="008A3740">
        <w:rPr>
          <w:rFonts w:ascii="Verdana" w:hAnsi="Verdana"/>
          <w:sz w:val="20"/>
          <w:szCs w:val="20"/>
          <w:lang w:val="en-US"/>
        </w:rPr>
        <w:t xml:space="preserve">the </w:t>
      </w:r>
      <w:r w:rsidR="00DE0738" w:rsidRPr="008A3740">
        <w:rPr>
          <w:rFonts w:ascii="Verdana" w:hAnsi="Verdana"/>
          <w:sz w:val="20"/>
          <w:szCs w:val="20"/>
          <w:lang w:val="en-US"/>
        </w:rPr>
        <w:t xml:space="preserve">Charter of the Organization of </w:t>
      </w:r>
      <w:r w:rsidRPr="008A3740">
        <w:rPr>
          <w:rFonts w:ascii="Verdana" w:hAnsi="Verdana"/>
          <w:sz w:val="20"/>
          <w:szCs w:val="20"/>
          <w:lang w:val="en-US"/>
        </w:rPr>
        <w:t xml:space="preserve">American States (hereinafter “OAS Charter”), </w:t>
      </w:r>
      <w:r w:rsidR="00687A1C" w:rsidRPr="008A3740">
        <w:rPr>
          <w:rFonts w:ascii="Verdana" w:hAnsi="Verdana"/>
          <w:sz w:val="20"/>
          <w:szCs w:val="20"/>
          <w:lang w:val="en-US"/>
        </w:rPr>
        <w:t xml:space="preserve">subject to available resources. In this regard, </w:t>
      </w:r>
      <w:r w:rsidR="004C6825" w:rsidRPr="008A3740">
        <w:rPr>
          <w:rFonts w:ascii="Verdana" w:hAnsi="Verdana"/>
          <w:sz w:val="20"/>
          <w:szCs w:val="20"/>
          <w:lang w:val="en-US"/>
        </w:rPr>
        <w:t xml:space="preserve">the </w:t>
      </w:r>
      <w:r w:rsidR="00687A1C" w:rsidRPr="008A3740">
        <w:rPr>
          <w:rFonts w:ascii="Verdana" w:hAnsi="Verdana"/>
          <w:sz w:val="20"/>
          <w:szCs w:val="20"/>
          <w:lang w:val="en-US"/>
        </w:rPr>
        <w:t xml:space="preserve">only </w:t>
      </w:r>
      <w:r w:rsidR="004C6825" w:rsidRPr="008A3740">
        <w:rPr>
          <w:rFonts w:ascii="Verdana" w:hAnsi="Verdana"/>
          <w:sz w:val="20"/>
          <w:szCs w:val="20"/>
          <w:lang w:val="en-US"/>
        </w:rPr>
        <w:t xml:space="preserve">obligation </w:t>
      </w:r>
      <w:r w:rsidR="00B725DA" w:rsidRPr="008A3740">
        <w:rPr>
          <w:rFonts w:ascii="Verdana" w:hAnsi="Verdana"/>
          <w:sz w:val="20"/>
          <w:szCs w:val="20"/>
          <w:lang w:val="en-US"/>
        </w:rPr>
        <w:t xml:space="preserve">derived </w:t>
      </w:r>
      <w:r w:rsidRPr="008A3740">
        <w:rPr>
          <w:rFonts w:ascii="Verdana" w:hAnsi="Verdana"/>
          <w:sz w:val="20"/>
          <w:szCs w:val="20"/>
          <w:lang w:val="en-US"/>
        </w:rPr>
        <w:t xml:space="preserve">from Article 26 that could be directly </w:t>
      </w:r>
      <w:r w:rsidR="00B725DA" w:rsidRPr="008A3740">
        <w:rPr>
          <w:rFonts w:ascii="Verdana" w:hAnsi="Verdana"/>
          <w:sz w:val="20"/>
          <w:szCs w:val="20"/>
          <w:lang w:val="en-US"/>
        </w:rPr>
        <w:t xml:space="preserve">supervised </w:t>
      </w:r>
      <w:r w:rsidRPr="008A3740">
        <w:rPr>
          <w:rFonts w:ascii="Verdana" w:hAnsi="Verdana"/>
          <w:sz w:val="20"/>
          <w:szCs w:val="20"/>
          <w:lang w:val="en-US"/>
        </w:rPr>
        <w:t xml:space="preserve">was compliance with the obligation </w:t>
      </w:r>
      <w:r w:rsidR="00687A1C" w:rsidRPr="008A3740">
        <w:rPr>
          <w:rFonts w:ascii="Verdana" w:hAnsi="Verdana"/>
          <w:sz w:val="20"/>
          <w:szCs w:val="20"/>
          <w:lang w:val="en-US"/>
        </w:rPr>
        <w:t xml:space="preserve">of </w:t>
      </w:r>
      <w:r w:rsidRPr="008A3740">
        <w:rPr>
          <w:rFonts w:ascii="Verdana" w:hAnsi="Verdana"/>
          <w:sz w:val="20"/>
          <w:szCs w:val="20"/>
          <w:lang w:val="en-US"/>
        </w:rPr>
        <w:t xml:space="preserve">progressive development and the </w:t>
      </w:r>
      <w:r w:rsidR="00DF1B67" w:rsidRPr="008A3740">
        <w:rPr>
          <w:rFonts w:ascii="Verdana" w:hAnsi="Verdana"/>
          <w:sz w:val="20"/>
          <w:szCs w:val="20"/>
          <w:lang w:val="en-US"/>
        </w:rPr>
        <w:t xml:space="preserve">duty </w:t>
      </w:r>
      <w:r w:rsidR="00DE0738" w:rsidRPr="008A3740">
        <w:rPr>
          <w:rFonts w:ascii="Verdana" w:hAnsi="Verdana"/>
          <w:sz w:val="20"/>
          <w:szCs w:val="20"/>
          <w:lang w:val="en-US"/>
        </w:rPr>
        <w:t xml:space="preserve">of </w:t>
      </w:r>
      <w:r w:rsidRPr="008A3740">
        <w:rPr>
          <w:rFonts w:ascii="Verdana" w:hAnsi="Verdana"/>
          <w:sz w:val="20"/>
          <w:szCs w:val="20"/>
          <w:lang w:val="en-US"/>
        </w:rPr>
        <w:t>non-re</w:t>
      </w:r>
      <w:r w:rsidR="004C6825" w:rsidRPr="008A3740">
        <w:rPr>
          <w:rFonts w:ascii="Verdana" w:hAnsi="Verdana"/>
          <w:sz w:val="20"/>
          <w:szCs w:val="20"/>
          <w:lang w:val="en-US"/>
        </w:rPr>
        <w:t>trogression</w:t>
      </w:r>
      <w:r w:rsidR="00383452" w:rsidRPr="008A3740">
        <w:rPr>
          <w:rFonts w:ascii="Verdana" w:hAnsi="Verdana"/>
          <w:sz w:val="20"/>
          <w:szCs w:val="20"/>
          <w:lang w:val="en-US"/>
        </w:rPr>
        <w:t>. Thus, it</w:t>
      </w:r>
      <w:r w:rsidRPr="008A3740">
        <w:rPr>
          <w:rFonts w:ascii="Verdana" w:hAnsi="Verdana"/>
          <w:sz w:val="20"/>
          <w:szCs w:val="20"/>
          <w:lang w:val="en-US"/>
        </w:rPr>
        <w:t xml:space="preserve"> </w:t>
      </w:r>
      <w:r w:rsidR="000726A0" w:rsidRPr="008A3740">
        <w:rPr>
          <w:rFonts w:ascii="Verdana" w:hAnsi="Verdana"/>
          <w:sz w:val="20"/>
          <w:szCs w:val="20"/>
          <w:lang w:val="en-US"/>
        </w:rPr>
        <w:t xml:space="preserve">could not be argued </w:t>
      </w:r>
      <w:r w:rsidRPr="008A3740">
        <w:rPr>
          <w:rFonts w:ascii="Verdana" w:hAnsi="Verdana"/>
          <w:sz w:val="20"/>
          <w:szCs w:val="20"/>
          <w:lang w:val="en-US"/>
        </w:rPr>
        <w:t>that a case concerning th</w:t>
      </w:r>
      <w:r w:rsidR="000726A0" w:rsidRPr="008A3740">
        <w:rPr>
          <w:rFonts w:ascii="Verdana" w:hAnsi="Verdana"/>
          <w:sz w:val="20"/>
          <w:szCs w:val="20"/>
          <w:lang w:val="en-US"/>
        </w:rPr>
        <w:t xml:space="preserve">e alleged violation of some of </w:t>
      </w:r>
      <w:r w:rsidRPr="008A3740">
        <w:rPr>
          <w:rFonts w:ascii="Verdana" w:hAnsi="Verdana"/>
          <w:sz w:val="20"/>
          <w:szCs w:val="20"/>
          <w:lang w:val="en-US"/>
        </w:rPr>
        <w:t xml:space="preserve">the rights </w:t>
      </w:r>
      <w:r w:rsidR="00383452" w:rsidRPr="008A3740">
        <w:rPr>
          <w:rFonts w:ascii="Verdana" w:hAnsi="Verdana"/>
          <w:sz w:val="20"/>
          <w:szCs w:val="20"/>
          <w:lang w:val="en-US"/>
        </w:rPr>
        <w:t xml:space="preserve">referred to </w:t>
      </w:r>
      <w:r w:rsidR="000726A0" w:rsidRPr="008A3740">
        <w:rPr>
          <w:rFonts w:ascii="Verdana" w:hAnsi="Verdana"/>
          <w:sz w:val="20"/>
          <w:szCs w:val="20"/>
          <w:lang w:val="en-US"/>
        </w:rPr>
        <w:t>could be submitted to the Court</w:t>
      </w:r>
      <w:r w:rsidRPr="008A3740">
        <w:rPr>
          <w:rFonts w:ascii="Verdana" w:hAnsi="Verdana"/>
          <w:sz w:val="20"/>
          <w:szCs w:val="20"/>
          <w:lang w:val="en-US"/>
        </w:rPr>
        <w:t>.</w:t>
      </w:r>
      <w:r w:rsidR="00DE0738" w:rsidRPr="008A3740">
        <w:rPr>
          <w:rFonts w:ascii="Verdana" w:hAnsi="Verdana"/>
          <w:sz w:val="20"/>
          <w:szCs w:val="20"/>
          <w:lang w:val="en-US"/>
        </w:rPr>
        <w:t xml:space="preserve"> </w:t>
      </w:r>
      <w:r w:rsidR="00297364" w:rsidRPr="008A3740">
        <w:rPr>
          <w:rFonts w:ascii="Verdana" w:hAnsi="Verdana"/>
          <w:sz w:val="20"/>
          <w:szCs w:val="20"/>
          <w:lang w:val="en-US"/>
        </w:rPr>
        <w:t>The aforementioned</w:t>
      </w:r>
      <w:r w:rsidR="00DE0738" w:rsidRPr="008A3740">
        <w:rPr>
          <w:rFonts w:ascii="Verdana" w:hAnsi="Verdana"/>
          <w:sz w:val="20"/>
          <w:szCs w:val="20"/>
          <w:lang w:val="en-US"/>
        </w:rPr>
        <w:t xml:space="preserve"> lack of </w:t>
      </w:r>
      <w:r w:rsidR="004277E5" w:rsidRPr="008A3740">
        <w:rPr>
          <w:rFonts w:ascii="Verdana" w:hAnsi="Verdana"/>
          <w:sz w:val="20"/>
          <w:szCs w:val="20"/>
          <w:lang w:val="en-US"/>
        </w:rPr>
        <w:t xml:space="preserve">jurisdiction </w:t>
      </w:r>
      <w:r w:rsidRPr="008A3740">
        <w:rPr>
          <w:rFonts w:ascii="Verdana" w:hAnsi="Verdana"/>
          <w:sz w:val="20"/>
          <w:szCs w:val="20"/>
          <w:lang w:val="en-US"/>
        </w:rPr>
        <w:t xml:space="preserve">was </w:t>
      </w:r>
      <w:r w:rsidR="00297364" w:rsidRPr="008A3740">
        <w:rPr>
          <w:rFonts w:ascii="Verdana" w:hAnsi="Verdana"/>
          <w:sz w:val="20"/>
          <w:szCs w:val="20"/>
          <w:lang w:val="en-US"/>
        </w:rPr>
        <w:t xml:space="preserve">confirmed by </w:t>
      </w:r>
      <w:r w:rsidRPr="008A3740">
        <w:rPr>
          <w:rFonts w:ascii="Verdana" w:hAnsi="Verdana"/>
          <w:sz w:val="20"/>
          <w:szCs w:val="20"/>
          <w:lang w:val="en-US"/>
        </w:rPr>
        <w:t xml:space="preserve">the Protocol </w:t>
      </w:r>
      <w:r w:rsidR="00620820" w:rsidRPr="008A3740">
        <w:rPr>
          <w:rFonts w:ascii="Verdana" w:hAnsi="Verdana"/>
          <w:sz w:val="20"/>
          <w:szCs w:val="20"/>
          <w:lang w:val="en-US"/>
        </w:rPr>
        <w:t>of San</w:t>
      </w:r>
      <w:r w:rsidRPr="008A3740">
        <w:rPr>
          <w:rFonts w:ascii="Verdana" w:hAnsi="Verdana"/>
          <w:sz w:val="20"/>
          <w:szCs w:val="20"/>
          <w:lang w:val="en-US"/>
        </w:rPr>
        <w:t xml:space="preserve"> Salvador,</w:t>
      </w:r>
      <w:r w:rsidR="00383452" w:rsidRPr="008A3740">
        <w:rPr>
          <w:rFonts w:ascii="Verdana" w:hAnsi="Verdana"/>
          <w:sz w:val="20"/>
          <w:szCs w:val="20"/>
          <w:lang w:val="en-US"/>
        </w:rPr>
        <w:t xml:space="preserve"> in which the States </w:t>
      </w:r>
      <w:r w:rsidR="00297364" w:rsidRPr="008A3740">
        <w:rPr>
          <w:rFonts w:ascii="Verdana" w:hAnsi="Verdana"/>
          <w:sz w:val="20"/>
          <w:szCs w:val="20"/>
          <w:lang w:val="en-US"/>
        </w:rPr>
        <w:t xml:space="preserve">decided to allow </w:t>
      </w:r>
      <w:r w:rsidR="00DF1B67" w:rsidRPr="008A3740">
        <w:rPr>
          <w:rFonts w:ascii="Verdana" w:hAnsi="Verdana"/>
          <w:sz w:val="20"/>
          <w:szCs w:val="20"/>
          <w:lang w:val="en-US"/>
        </w:rPr>
        <w:t xml:space="preserve">justiciability </w:t>
      </w:r>
      <w:r w:rsidRPr="008A3740">
        <w:rPr>
          <w:rFonts w:ascii="Verdana" w:hAnsi="Verdana"/>
          <w:sz w:val="20"/>
          <w:szCs w:val="20"/>
          <w:lang w:val="en-US"/>
        </w:rPr>
        <w:t xml:space="preserve">only </w:t>
      </w:r>
      <w:r w:rsidR="00DF1B67" w:rsidRPr="008A3740">
        <w:rPr>
          <w:rFonts w:ascii="Verdana" w:hAnsi="Verdana"/>
          <w:sz w:val="20"/>
          <w:szCs w:val="20"/>
          <w:lang w:val="en-US"/>
        </w:rPr>
        <w:t xml:space="preserve">in </w:t>
      </w:r>
      <w:r w:rsidRPr="008A3740">
        <w:rPr>
          <w:rFonts w:ascii="Verdana" w:hAnsi="Verdana"/>
          <w:sz w:val="20"/>
          <w:szCs w:val="20"/>
          <w:lang w:val="en-US"/>
        </w:rPr>
        <w:t xml:space="preserve">two cases, </w:t>
      </w:r>
      <w:r w:rsidR="00DF1B67" w:rsidRPr="008A3740">
        <w:rPr>
          <w:rFonts w:ascii="Verdana" w:hAnsi="Verdana"/>
          <w:sz w:val="20"/>
          <w:szCs w:val="20"/>
          <w:lang w:val="en-US"/>
        </w:rPr>
        <w:t xml:space="preserve">which constituted </w:t>
      </w:r>
      <w:r w:rsidRPr="008A3740">
        <w:rPr>
          <w:rFonts w:ascii="Verdana" w:hAnsi="Verdana"/>
          <w:sz w:val="20"/>
          <w:szCs w:val="20"/>
          <w:lang w:val="en-US"/>
        </w:rPr>
        <w:t xml:space="preserve">a </w:t>
      </w:r>
      <w:r w:rsidR="00DF1B67" w:rsidRPr="008A3740">
        <w:rPr>
          <w:rFonts w:ascii="Verdana" w:hAnsi="Verdana"/>
          <w:sz w:val="20"/>
          <w:szCs w:val="20"/>
          <w:lang w:val="en-US"/>
        </w:rPr>
        <w:t xml:space="preserve">subsequent </w:t>
      </w:r>
      <w:r w:rsidR="00B725DA" w:rsidRPr="008A3740">
        <w:rPr>
          <w:rFonts w:ascii="Verdana" w:hAnsi="Verdana"/>
          <w:sz w:val="20"/>
          <w:szCs w:val="20"/>
          <w:lang w:val="en-US"/>
        </w:rPr>
        <w:t xml:space="preserve">agreement </w:t>
      </w:r>
      <w:r w:rsidRPr="008A3740">
        <w:rPr>
          <w:rFonts w:ascii="Verdana" w:hAnsi="Verdana"/>
          <w:sz w:val="20"/>
          <w:szCs w:val="20"/>
          <w:lang w:val="en-US"/>
        </w:rPr>
        <w:t xml:space="preserve">and practice </w:t>
      </w:r>
      <w:r w:rsidR="00DF1B67" w:rsidRPr="008A3740">
        <w:rPr>
          <w:rFonts w:ascii="Verdana" w:hAnsi="Verdana"/>
          <w:sz w:val="20"/>
          <w:szCs w:val="20"/>
          <w:lang w:val="en-US"/>
        </w:rPr>
        <w:t xml:space="preserve">among </w:t>
      </w:r>
      <w:r w:rsidRPr="008A3740">
        <w:rPr>
          <w:rFonts w:ascii="Verdana" w:hAnsi="Verdana"/>
          <w:sz w:val="20"/>
          <w:szCs w:val="20"/>
          <w:lang w:val="en-US"/>
        </w:rPr>
        <w:t xml:space="preserve">the States parties. </w:t>
      </w:r>
      <w:r w:rsidR="00297364" w:rsidRPr="008A3740">
        <w:rPr>
          <w:rFonts w:ascii="Verdana" w:hAnsi="Verdana"/>
          <w:sz w:val="20"/>
          <w:szCs w:val="20"/>
          <w:lang w:val="en-US"/>
        </w:rPr>
        <w:t>Accordingly</w:t>
      </w:r>
      <w:r w:rsidRPr="008A3740">
        <w:rPr>
          <w:rFonts w:ascii="Verdana" w:hAnsi="Verdana"/>
          <w:sz w:val="20"/>
          <w:szCs w:val="20"/>
          <w:lang w:val="en-US"/>
        </w:rPr>
        <w:t xml:space="preserve">, the State </w:t>
      </w:r>
      <w:r w:rsidR="000726A0" w:rsidRPr="008A3740">
        <w:rPr>
          <w:rFonts w:ascii="Verdana" w:hAnsi="Verdana"/>
          <w:sz w:val="20"/>
          <w:szCs w:val="20"/>
          <w:lang w:val="en-US"/>
        </w:rPr>
        <w:t xml:space="preserve">took the view that </w:t>
      </w:r>
      <w:r w:rsidRPr="008A3740">
        <w:rPr>
          <w:rFonts w:ascii="Verdana" w:hAnsi="Verdana"/>
          <w:sz w:val="20"/>
          <w:szCs w:val="20"/>
          <w:lang w:val="en-US"/>
        </w:rPr>
        <w:t xml:space="preserve">that the Court </w:t>
      </w:r>
      <w:r w:rsidR="000726A0" w:rsidRPr="008A3740">
        <w:rPr>
          <w:rFonts w:ascii="Verdana" w:hAnsi="Verdana"/>
          <w:sz w:val="20"/>
          <w:szCs w:val="20"/>
          <w:lang w:val="en-US"/>
        </w:rPr>
        <w:t xml:space="preserve">could not assume </w:t>
      </w:r>
      <w:r w:rsidRPr="008A3740">
        <w:rPr>
          <w:rFonts w:ascii="Verdana" w:hAnsi="Verdana"/>
          <w:sz w:val="20"/>
          <w:szCs w:val="20"/>
          <w:lang w:val="en-US"/>
        </w:rPr>
        <w:t xml:space="preserve">competence </w:t>
      </w:r>
      <w:r w:rsidR="008258E6" w:rsidRPr="008A3740">
        <w:rPr>
          <w:rFonts w:ascii="Verdana" w:hAnsi="Verdana"/>
          <w:sz w:val="20"/>
          <w:szCs w:val="20"/>
          <w:lang w:val="en-US"/>
        </w:rPr>
        <w:t xml:space="preserve">for </w:t>
      </w:r>
      <w:r w:rsidRPr="008A3740">
        <w:rPr>
          <w:rFonts w:ascii="Verdana" w:hAnsi="Verdana"/>
          <w:sz w:val="20"/>
          <w:szCs w:val="20"/>
          <w:lang w:val="en-US"/>
        </w:rPr>
        <w:t>the alleged violation of a right or freedom “not includ</w:t>
      </w:r>
      <w:r w:rsidR="00DE0738" w:rsidRPr="008A3740">
        <w:rPr>
          <w:rFonts w:ascii="Verdana" w:hAnsi="Verdana"/>
          <w:sz w:val="20"/>
          <w:szCs w:val="20"/>
          <w:lang w:val="en-US"/>
        </w:rPr>
        <w:t>ed</w:t>
      </w:r>
      <w:r w:rsidR="000726A0" w:rsidRPr="008A3740">
        <w:rPr>
          <w:rFonts w:ascii="Verdana" w:hAnsi="Verdana"/>
          <w:sz w:val="20"/>
          <w:szCs w:val="20"/>
          <w:lang w:val="en-US"/>
        </w:rPr>
        <w:t xml:space="preserve"> either in the Convention or in</w:t>
      </w:r>
      <w:r w:rsidRPr="008A3740">
        <w:rPr>
          <w:rFonts w:ascii="Verdana" w:hAnsi="Verdana"/>
          <w:sz w:val="20"/>
          <w:szCs w:val="20"/>
          <w:lang w:val="en-US"/>
        </w:rPr>
        <w:t xml:space="preserve"> the Protocol of San Salvador” and that </w:t>
      </w:r>
      <w:r w:rsidR="00DE0738" w:rsidRPr="008A3740">
        <w:rPr>
          <w:rFonts w:ascii="Verdana" w:hAnsi="Verdana"/>
          <w:sz w:val="20"/>
          <w:szCs w:val="20"/>
          <w:lang w:val="en-US"/>
        </w:rPr>
        <w:t xml:space="preserve">the principle of </w:t>
      </w:r>
      <w:r w:rsidRPr="008A3740">
        <w:rPr>
          <w:rFonts w:ascii="Verdana" w:hAnsi="Verdana"/>
          <w:sz w:val="20"/>
          <w:szCs w:val="20"/>
          <w:lang w:val="en-US"/>
        </w:rPr>
        <w:t xml:space="preserve">progressive interpretation of international instruments </w:t>
      </w:r>
      <w:r w:rsidR="00297364" w:rsidRPr="008A3740">
        <w:rPr>
          <w:rFonts w:ascii="Verdana" w:hAnsi="Verdana"/>
          <w:sz w:val="20"/>
          <w:szCs w:val="20"/>
          <w:lang w:val="en-US"/>
        </w:rPr>
        <w:t xml:space="preserve">could not be invoked </w:t>
      </w:r>
      <w:r w:rsidR="00DE0738" w:rsidRPr="008A3740">
        <w:rPr>
          <w:rFonts w:ascii="Verdana" w:hAnsi="Verdana"/>
          <w:sz w:val="20"/>
          <w:szCs w:val="20"/>
          <w:lang w:val="en-US"/>
        </w:rPr>
        <w:t xml:space="preserve">in order to add rights to the </w:t>
      </w:r>
      <w:r w:rsidRPr="008A3740">
        <w:rPr>
          <w:rFonts w:ascii="Verdana" w:hAnsi="Verdana"/>
          <w:sz w:val="20"/>
          <w:szCs w:val="20"/>
          <w:lang w:val="en-US"/>
        </w:rPr>
        <w:t>protection</w:t>
      </w:r>
      <w:r w:rsidR="00297364" w:rsidRPr="008A3740">
        <w:rPr>
          <w:rFonts w:ascii="Verdana" w:hAnsi="Verdana"/>
          <w:sz w:val="20"/>
          <w:szCs w:val="20"/>
          <w:lang w:val="en-US"/>
        </w:rPr>
        <w:t xml:space="preserve"> system</w:t>
      </w:r>
      <w:r w:rsidRPr="008A3740">
        <w:rPr>
          <w:rFonts w:ascii="Verdana" w:hAnsi="Verdana"/>
          <w:sz w:val="20"/>
          <w:szCs w:val="20"/>
          <w:lang w:val="en-US"/>
        </w:rPr>
        <w:t xml:space="preserve">, </w:t>
      </w:r>
      <w:r w:rsidR="008258E6" w:rsidRPr="008A3740">
        <w:rPr>
          <w:rFonts w:ascii="Verdana" w:hAnsi="Verdana"/>
          <w:sz w:val="20"/>
          <w:szCs w:val="20"/>
          <w:lang w:val="en-US"/>
        </w:rPr>
        <w:t xml:space="preserve">since that principle </w:t>
      </w:r>
      <w:r w:rsidR="00A64F6F" w:rsidRPr="008A3740">
        <w:rPr>
          <w:rFonts w:ascii="Verdana" w:hAnsi="Verdana"/>
          <w:sz w:val="20"/>
          <w:szCs w:val="20"/>
          <w:lang w:val="en-US"/>
        </w:rPr>
        <w:t xml:space="preserve">was applied to </w:t>
      </w:r>
      <w:r w:rsidR="000726A0" w:rsidRPr="008A3740">
        <w:rPr>
          <w:rFonts w:ascii="Verdana" w:hAnsi="Verdana"/>
          <w:sz w:val="20"/>
          <w:szCs w:val="20"/>
          <w:lang w:val="en-US"/>
        </w:rPr>
        <w:t xml:space="preserve">attribute </w:t>
      </w:r>
      <w:r w:rsidR="008258E6" w:rsidRPr="008A3740">
        <w:rPr>
          <w:rFonts w:ascii="Verdana" w:hAnsi="Verdana"/>
          <w:sz w:val="20"/>
          <w:szCs w:val="20"/>
          <w:lang w:val="en-US"/>
        </w:rPr>
        <w:t xml:space="preserve">to an existing right, already included in said regime, </w:t>
      </w:r>
      <w:r w:rsidRPr="008A3740">
        <w:rPr>
          <w:rFonts w:ascii="Verdana" w:hAnsi="Verdana"/>
          <w:sz w:val="20"/>
          <w:szCs w:val="20"/>
          <w:lang w:val="en-US"/>
        </w:rPr>
        <w:t xml:space="preserve">a different and generally broader </w:t>
      </w:r>
      <w:r w:rsidR="000726A0" w:rsidRPr="008A3740">
        <w:rPr>
          <w:rFonts w:ascii="Verdana" w:hAnsi="Verdana"/>
          <w:sz w:val="20"/>
          <w:szCs w:val="20"/>
          <w:lang w:val="en-US"/>
        </w:rPr>
        <w:t>meaning</w:t>
      </w:r>
      <w:r w:rsidR="0039713D" w:rsidRPr="008A3740">
        <w:rPr>
          <w:rFonts w:ascii="Verdana" w:hAnsi="Verdana"/>
          <w:sz w:val="20"/>
          <w:szCs w:val="20"/>
          <w:lang w:val="en-US"/>
        </w:rPr>
        <w:t xml:space="preserve"> </w:t>
      </w:r>
      <w:r w:rsidR="008258E6" w:rsidRPr="008A3740">
        <w:rPr>
          <w:rFonts w:ascii="Verdana" w:hAnsi="Verdana"/>
          <w:sz w:val="20"/>
          <w:szCs w:val="20"/>
          <w:lang w:val="en-US"/>
        </w:rPr>
        <w:t>than</w:t>
      </w:r>
      <w:r w:rsidRPr="008A3740">
        <w:rPr>
          <w:rFonts w:ascii="Verdana" w:hAnsi="Verdana"/>
          <w:sz w:val="20"/>
          <w:szCs w:val="20"/>
          <w:lang w:val="en-US"/>
        </w:rPr>
        <w:t xml:space="preserve"> that originally given. </w:t>
      </w:r>
    </w:p>
    <w:p w14:paraId="5CA32D80" w14:textId="77777777" w:rsidR="008E6A56" w:rsidRPr="008A3740" w:rsidRDefault="008E6A56" w:rsidP="008E6A56">
      <w:pPr>
        <w:rPr>
          <w:rFonts w:ascii="Verdana" w:hAnsi="Verdana"/>
          <w:sz w:val="20"/>
          <w:szCs w:val="20"/>
          <w:lang w:val="en-US"/>
        </w:rPr>
      </w:pPr>
    </w:p>
    <w:p w14:paraId="7B156408" w14:textId="77777777" w:rsidR="008E6A56" w:rsidRPr="008A3740" w:rsidRDefault="008E6A56" w:rsidP="00D17A65">
      <w:pPr>
        <w:numPr>
          <w:ilvl w:val="0"/>
          <w:numId w:val="3"/>
        </w:numPr>
        <w:tabs>
          <w:tab w:val="left" w:pos="567"/>
          <w:tab w:val="num" w:pos="12305"/>
        </w:tabs>
        <w:ind w:left="0" w:firstLine="0"/>
        <w:rPr>
          <w:rFonts w:ascii="Verdana" w:hAnsi="Verdana"/>
          <w:b/>
          <w:sz w:val="20"/>
          <w:szCs w:val="20"/>
          <w:lang w:val="en-US"/>
        </w:rPr>
      </w:pPr>
      <w:r w:rsidRPr="008A3740">
        <w:rPr>
          <w:rFonts w:ascii="Verdana" w:hAnsi="Verdana"/>
          <w:sz w:val="20"/>
          <w:szCs w:val="20"/>
          <w:lang w:val="en-US"/>
        </w:rPr>
        <w:t xml:space="preserve">The </w:t>
      </w:r>
      <w:r w:rsidRPr="008A3740">
        <w:rPr>
          <w:rFonts w:ascii="Verdana" w:hAnsi="Verdana"/>
          <w:i/>
          <w:sz w:val="20"/>
          <w:szCs w:val="20"/>
          <w:lang w:val="en-US"/>
        </w:rPr>
        <w:t>Commission</w:t>
      </w:r>
      <w:r w:rsidRPr="008A3740">
        <w:rPr>
          <w:rFonts w:ascii="Verdana" w:hAnsi="Verdana"/>
          <w:sz w:val="20"/>
          <w:szCs w:val="20"/>
          <w:lang w:val="en-US"/>
        </w:rPr>
        <w:t xml:space="preserve"> argued that this case was submitted to the Court prior to the case law advances </w:t>
      </w:r>
      <w:r w:rsidR="00831092" w:rsidRPr="008A3740">
        <w:rPr>
          <w:rFonts w:ascii="Verdana" w:hAnsi="Verdana"/>
          <w:sz w:val="20"/>
          <w:szCs w:val="20"/>
          <w:lang w:val="en-US"/>
        </w:rPr>
        <w:t xml:space="preserve">related </w:t>
      </w:r>
      <w:r w:rsidRPr="008A3740">
        <w:rPr>
          <w:rFonts w:ascii="Verdana" w:hAnsi="Verdana"/>
          <w:sz w:val="20"/>
          <w:szCs w:val="20"/>
          <w:lang w:val="en-US"/>
        </w:rPr>
        <w:t xml:space="preserve">to Article 26 of the American Convention. </w:t>
      </w:r>
      <w:r w:rsidR="00273827" w:rsidRPr="008A3740">
        <w:rPr>
          <w:rFonts w:ascii="Verdana" w:hAnsi="Verdana"/>
          <w:sz w:val="20"/>
          <w:szCs w:val="20"/>
          <w:lang w:val="en-US"/>
        </w:rPr>
        <w:t>Therefore</w:t>
      </w:r>
      <w:r w:rsidRPr="008A3740">
        <w:rPr>
          <w:rFonts w:ascii="Verdana" w:hAnsi="Verdana"/>
          <w:sz w:val="20"/>
          <w:szCs w:val="20"/>
          <w:lang w:val="en-US"/>
        </w:rPr>
        <w:t xml:space="preserve">, it considered that the analysis of the right to social security in the context of Article 26, </w:t>
      </w:r>
      <w:r w:rsidR="00273827" w:rsidRPr="008A3740">
        <w:rPr>
          <w:rFonts w:ascii="Verdana" w:hAnsi="Verdana"/>
          <w:sz w:val="20"/>
          <w:szCs w:val="20"/>
          <w:lang w:val="en-US"/>
        </w:rPr>
        <w:t xml:space="preserve">in addition to </w:t>
      </w:r>
      <w:r w:rsidRPr="008A3740">
        <w:rPr>
          <w:rFonts w:ascii="Verdana" w:hAnsi="Verdana"/>
          <w:sz w:val="20"/>
          <w:szCs w:val="20"/>
          <w:lang w:val="en-US"/>
        </w:rPr>
        <w:t xml:space="preserve">the rights already </w:t>
      </w:r>
      <w:r w:rsidR="00273827" w:rsidRPr="008A3740">
        <w:rPr>
          <w:rFonts w:ascii="Verdana" w:hAnsi="Verdana"/>
          <w:sz w:val="20"/>
          <w:szCs w:val="20"/>
          <w:lang w:val="en-US"/>
        </w:rPr>
        <w:t>claimed</w:t>
      </w:r>
      <w:r w:rsidRPr="008A3740">
        <w:rPr>
          <w:rFonts w:ascii="Verdana" w:hAnsi="Verdana"/>
          <w:sz w:val="20"/>
          <w:szCs w:val="20"/>
          <w:lang w:val="en-US"/>
        </w:rPr>
        <w:t xml:space="preserve">, “would </w:t>
      </w:r>
      <w:r w:rsidR="00AA7635" w:rsidRPr="008A3740">
        <w:rPr>
          <w:rFonts w:ascii="Verdana" w:hAnsi="Verdana"/>
          <w:sz w:val="20"/>
          <w:szCs w:val="20"/>
          <w:lang w:val="en-US"/>
        </w:rPr>
        <w:t xml:space="preserve">indeed </w:t>
      </w:r>
      <w:r w:rsidRPr="008A3740">
        <w:rPr>
          <w:rFonts w:ascii="Verdana" w:hAnsi="Verdana"/>
          <w:sz w:val="20"/>
          <w:szCs w:val="20"/>
          <w:lang w:val="en-US"/>
        </w:rPr>
        <w:t>co</w:t>
      </w:r>
      <w:r w:rsidR="00251309" w:rsidRPr="008A3740">
        <w:rPr>
          <w:rFonts w:ascii="Verdana" w:hAnsi="Verdana"/>
          <w:sz w:val="20"/>
          <w:szCs w:val="20"/>
          <w:lang w:val="en-US"/>
        </w:rPr>
        <w:t xml:space="preserve">ntribute </w:t>
      </w:r>
      <w:r w:rsidR="00273827" w:rsidRPr="008A3740">
        <w:rPr>
          <w:rFonts w:ascii="Verdana" w:hAnsi="Verdana"/>
          <w:sz w:val="20"/>
          <w:szCs w:val="20"/>
          <w:lang w:val="en-US"/>
        </w:rPr>
        <w:t xml:space="preserve">to its insertion in the evolution of the </w:t>
      </w:r>
      <w:r w:rsidRPr="008A3740">
        <w:rPr>
          <w:rFonts w:ascii="Verdana" w:hAnsi="Verdana"/>
          <w:sz w:val="20"/>
          <w:szCs w:val="20"/>
          <w:lang w:val="en-US"/>
        </w:rPr>
        <w:t xml:space="preserve">inter-American </w:t>
      </w:r>
      <w:r w:rsidR="00273827" w:rsidRPr="008A3740">
        <w:rPr>
          <w:rFonts w:ascii="Verdana" w:hAnsi="Verdana"/>
          <w:sz w:val="20"/>
          <w:szCs w:val="20"/>
          <w:lang w:val="en-US"/>
        </w:rPr>
        <w:t xml:space="preserve">system and to </w:t>
      </w:r>
      <w:r w:rsidR="00AA7635" w:rsidRPr="008A3740">
        <w:rPr>
          <w:rFonts w:ascii="Verdana" w:hAnsi="Verdana"/>
          <w:sz w:val="20"/>
          <w:szCs w:val="20"/>
          <w:lang w:val="en-US"/>
        </w:rPr>
        <w:t xml:space="preserve">a broader </w:t>
      </w:r>
      <w:r w:rsidRPr="008A3740">
        <w:rPr>
          <w:rFonts w:ascii="Verdana" w:hAnsi="Verdana"/>
          <w:sz w:val="20"/>
          <w:szCs w:val="20"/>
          <w:lang w:val="en-US"/>
        </w:rPr>
        <w:t>understanding of the scope of international responsibility.”</w:t>
      </w:r>
    </w:p>
    <w:p w14:paraId="7EAB939E" w14:textId="77777777" w:rsidR="008E6A56" w:rsidRPr="008A3740" w:rsidRDefault="008E6A56" w:rsidP="008E6A56">
      <w:pPr>
        <w:tabs>
          <w:tab w:val="left" w:pos="567"/>
        </w:tabs>
        <w:rPr>
          <w:rFonts w:ascii="Verdana" w:hAnsi="Verdana"/>
          <w:b/>
          <w:sz w:val="20"/>
          <w:szCs w:val="20"/>
          <w:lang w:val="en-US"/>
        </w:rPr>
      </w:pPr>
    </w:p>
    <w:p w14:paraId="174B1966" w14:textId="77777777" w:rsidR="008E6A56" w:rsidRPr="008A3740" w:rsidRDefault="008E6A56" w:rsidP="00D17A65">
      <w:pPr>
        <w:numPr>
          <w:ilvl w:val="0"/>
          <w:numId w:val="3"/>
        </w:numPr>
        <w:tabs>
          <w:tab w:val="left" w:pos="567"/>
          <w:tab w:val="num" w:pos="12305"/>
        </w:tabs>
        <w:ind w:left="0" w:firstLine="0"/>
        <w:rPr>
          <w:rFonts w:ascii="Verdana" w:hAnsi="Verdana"/>
          <w:b/>
          <w:sz w:val="20"/>
          <w:szCs w:val="20"/>
          <w:lang w:val="en-US"/>
        </w:rPr>
      </w:pPr>
      <w:r w:rsidRPr="008A3740">
        <w:rPr>
          <w:rFonts w:ascii="Verdana" w:hAnsi="Verdana"/>
          <w:sz w:val="20"/>
          <w:szCs w:val="20"/>
          <w:lang w:val="en-US"/>
        </w:rPr>
        <w:t xml:space="preserve">The </w:t>
      </w:r>
      <w:r w:rsidRPr="008A3740">
        <w:rPr>
          <w:rFonts w:ascii="Verdana" w:hAnsi="Verdana"/>
          <w:i/>
          <w:sz w:val="20"/>
          <w:szCs w:val="20"/>
          <w:lang w:val="en-US"/>
        </w:rPr>
        <w:t xml:space="preserve">representatives </w:t>
      </w:r>
      <w:r w:rsidRPr="008A3740">
        <w:rPr>
          <w:rFonts w:ascii="Verdana" w:hAnsi="Verdana"/>
          <w:sz w:val="20"/>
          <w:szCs w:val="20"/>
          <w:lang w:val="en-US"/>
        </w:rPr>
        <w:t>argued that Article 26 of the Convention should be justiciable</w:t>
      </w:r>
      <w:r w:rsidR="00273827" w:rsidRPr="008A3740">
        <w:rPr>
          <w:rFonts w:ascii="Verdana" w:hAnsi="Verdana"/>
          <w:sz w:val="20"/>
          <w:szCs w:val="20"/>
          <w:lang w:val="en-US"/>
        </w:rPr>
        <w:t xml:space="preserve"> under </w:t>
      </w:r>
      <w:r w:rsidRPr="008A3740">
        <w:rPr>
          <w:rFonts w:ascii="Verdana" w:hAnsi="Verdana"/>
          <w:sz w:val="20"/>
          <w:szCs w:val="20"/>
          <w:lang w:val="en-US"/>
        </w:rPr>
        <w:t>Article 62(3)</w:t>
      </w:r>
      <w:r w:rsidR="00273827" w:rsidRPr="008A3740">
        <w:rPr>
          <w:rFonts w:ascii="Verdana" w:hAnsi="Verdana"/>
          <w:sz w:val="20"/>
          <w:szCs w:val="20"/>
          <w:lang w:val="en-US"/>
        </w:rPr>
        <w:t>,</w:t>
      </w:r>
      <w:r w:rsidRPr="008A3740">
        <w:rPr>
          <w:rFonts w:ascii="Verdana" w:hAnsi="Verdana"/>
          <w:sz w:val="20"/>
          <w:szCs w:val="20"/>
          <w:lang w:val="en-US"/>
        </w:rPr>
        <w:t xml:space="preserve"> which establishes the Court’s </w:t>
      </w:r>
      <w:r w:rsidR="004277E5" w:rsidRPr="008A3740">
        <w:rPr>
          <w:rFonts w:ascii="Verdana" w:hAnsi="Verdana"/>
          <w:sz w:val="20"/>
          <w:szCs w:val="20"/>
          <w:lang w:val="en-US"/>
        </w:rPr>
        <w:t xml:space="preserve">jurisdiction </w:t>
      </w:r>
      <w:r w:rsidRPr="008A3740">
        <w:rPr>
          <w:rFonts w:ascii="Verdana" w:hAnsi="Verdana"/>
          <w:sz w:val="20"/>
          <w:szCs w:val="20"/>
          <w:lang w:val="en-US"/>
        </w:rPr>
        <w:t xml:space="preserve">to hear any case </w:t>
      </w:r>
      <w:r w:rsidR="00273827" w:rsidRPr="008A3740">
        <w:rPr>
          <w:rFonts w:ascii="Verdana" w:hAnsi="Verdana"/>
          <w:sz w:val="20"/>
          <w:szCs w:val="20"/>
          <w:lang w:val="en-US"/>
        </w:rPr>
        <w:t xml:space="preserve">submitted to it </w:t>
      </w:r>
      <w:r w:rsidRPr="008A3740">
        <w:rPr>
          <w:rFonts w:ascii="Verdana" w:hAnsi="Verdana"/>
          <w:sz w:val="20"/>
          <w:szCs w:val="20"/>
          <w:lang w:val="en-US"/>
        </w:rPr>
        <w:t xml:space="preserve">related to the interpretation and application of the provisions of the Convention, and that the </w:t>
      </w:r>
      <w:r w:rsidR="00251309" w:rsidRPr="008A3740">
        <w:rPr>
          <w:rFonts w:ascii="Verdana" w:hAnsi="Verdana"/>
          <w:sz w:val="20"/>
          <w:szCs w:val="20"/>
          <w:lang w:val="en-US"/>
        </w:rPr>
        <w:t xml:space="preserve">aforementioned provision </w:t>
      </w:r>
      <w:r w:rsidR="004277E5" w:rsidRPr="008A3740">
        <w:rPr>
          <w:rFonts w:ascii="Verdana" w:hAnsi="Verdana"/>
          <w:sz w:val="20"/>
          <w:szCs w:val="20"/>
          <w:lang w:val="en-US"/>
        </w:rPr>
        <w:t xml:space="preserve">formed </w:t>
      </w:r>
      <w:r w:rsidRPr="008A3740">
        <w:rPr>
          <w:rFonts w:ascii="Verdana" w:hAnsi="Verdana"/>
          <w:sz w:val="20"/>
          <w:szCs w:val="20"/>
          <w:lang w:val="en-US"/>
        </w:rPr>
        <w:t xml:space="preserve">part of the treaty. Similarly, they indicated that the violation of the Protocol of San Salvador had not been </w:t>
      </w:r>
      <w:r w:rsidR="00273827" w:rsidRPr="008A3740">
        <w:rPr>
          <w:rFonts w:ascii="Verdana" w:hAnsi="Verdana"/>
          <w:sz w:val="20"/>
          <w:szCs w:val="20"/>
          <w:lang w:val="en-US"/>
        </w:rPr>
        <w:t>claimed</w:t>
      </w:r>
      <w:r w:rsidRPr="008A3740">
        <w:rPr>
          <w:rFonts w:ascii="Verdana" w:hAnsi="Verdana"/>
          <w:sz w:val="20"/>
          <w:szCs w:val="20"/>
          <w:lang w:val="en-US"/>
        </w:rPr>
        <w:t xml:space="preserve">, but that it had been mentioned by way of illustration, since it formed part of the inter-American </w:t>
      </w:r>
      <w:r w:rsidRPr="008A3740">
        <w:rPr>
          <w:rFonts w:ascii="Verdana" w:hAnsi="Verdana"/>
          <w:i/>
          <w:sz w:val="20"/>
          <w:szCs w:val="20"/>
          <w:lang w:val="en-US"/>
        </w:rPr>
        <w:t>corpus juris</w:t>
      </w:r>
      <w:r w:rsidRPr="008A3740">
        <w:rPr>
          <w:rFonts w:ascii="Verdana" w:hAnsi="Verdana"/>
          <w:sz w:val="20"/>
          <w:szCs w:val="20"/>
          <w:lang w:val="en-US"/>
        </w:rPr>
        <w:t xml:space="preserve"> that could be used as a parameter for </w:t>
      </w:r>
      <w:r w:rsidR="005C7DB5" w:rsidRPr="008A3740">
        <w:rPr>
          <w:rFonts w:ascii="Verdana" w:hAnsi="Verdana"/>
          <w:sz w:val="20"/>
          <w:szCs w:val="20"/>
          <w:lang w:val="en-US"/>
        </w:rPr>
        <w:t xml:space="preserve">the </w:t>
      </w:r>
      <w:r w:rsidRPr="008A3740">
        <w:rPr>
          <w:rFonts w:ascii="Verdana" w:hAnsi="Verdana"/>
          <w:sz w:val="20"/>
          <w:szCs w:val="20"/>
          <w:lang w:val="en-US"/>
        </w:rPr>
        <w:t>interpretation of the Convention</w:t>
      </w:r>
      <w:r w:rsidRPr="008A3740">
        <w:rPr>
          <w:rFonts w:ascii="Verdana" w:hAnsi="Verdana"/>
          <w:b/>
          <w:sz w:val="20"/>
          <w:szCs w:val="20"/>
          <w:lang w:val="en-US"/>
        </w:rPr>
        <w:t>.</w:t>
      </w:r>
      <w:r w:rsidRPr="008A3740">
        <w:rPr>
          <w:rFonts w:ascii="Verdana" w:hAnsi="Verdana"/>
          <w:sz w:val="20"/>
          <w:szCs w:val="20"/>
          <w:lang w:val="en-US"/>
        </w:rPr>
        <w:t xml:space="preserve"> Finally, </w:t>
      </w:r>
      <w:r w:rsidR="000726A0" w:rsidRPr="008A3740">
        <w:rPr>
          <w:rFonts w:ascii="Verdana" w:hAnsi="Verdana"/>
          <w:sz w:val="20"/>
          <w:szCs w:val="20"/>
          <w:lang w:val="en-US"/>
        </w:rPr>
        <w:t xml:space="preserve">they </w:t>
      </w:r>
      <w:r w:rsidRPr="008A3740">
        <w:rPr>
          <w:rFonts w:ascii="Verdana" w:hAnsi="Verdana"/>
          <w:sz w:val="20"/>
          <w:szCs w:val="20"/>
          <w:lang w:val="en-US"/>
        </w:rPr>
        <w:t xml:space="preserve">concluded that “the right to social security was a human right protected by international law and implicitly contained in Article 26 </w:t>
      </w:r>
      <w:r w:rsidR="00273827" w:rsidRPr="008A3740">
        <w:rPr>
          <w:rFonts w:ascii="Verdana" w:hAnsi="Verdana"/>
          <w:sz w:val="20"/>
          <w:szCs w:val="20"/>
          <w:lang w:val="en-US"/>
        </w:rPr>
        <w:t>of the Convention</w:t>
      </w:r>
      <w:r w:rsidR="000726A0" w:rsidRPr="008A3740">
        <w:rPr>
          <w:rFonts w:ascii="Verdana" w:hAnsi="Verdana"/>
          <w:sz w:val="20"/>
          <w:szCs w:val="20"/>
          <w:lang w:val="en-US"/>
        </w:rPr>
        <w:t>.</w:t>
      </w:r>
      <w:r w:rsidRPr="008A3740">
        <w:rPr>
          <w:rFonts w:ascii="Verdana" w:hAnsi="Verdana"/>
          <w:sz w:val="20"/>
          <w:szCs w:val="20"/>
          <w:lang w:val="en-US"/>
        </w:rPr>
        <w:t>”</w:t>
      </w:r>
    </w:p>
    <w:p w14:paraId="371A216B" w14:textId="77777777" w:rsidR="008E6A56" w:rsidRPr="008A3740" w:rsidRDefault="008E6A56" w:rsidP="008E6A56">
      <w:pPr>
        <w:tabs>
          <w:tab w:val="left" w:pos="567"/>
        </w:tabs>
        <w:rPr>
          <w:rFonts w:ascii="Verdana" w:hAnsi="Verdana"/>
          <w:b/>
          <w:sz w:val="20"/>
          <w:szCs w:val="20"/>
          <w:lang w:val="en-US"/>
        </w:rPr>
      </w:pPr>
    </w:p>
    <w:p w14:paraId="0080C4AA" w14:textId="77777777" w:rsidR="008E6A56" w:rsidRPr="008A3740" w:rsidRDefault="008E6A56" w:rsidP="008E6A56">
      <w:pPr>
        <w:pStyle w:val="Ttulo3"/>
        <w:spacing w:before="0"/>
        <w:rPr>
          <w:lang w:val="en-US"/>
        </w:rPr>
      </w:pPr>
      <w:bookmarkStart w:id="41" w:name="_Toc5009864"/>
      <w:r w:rsidRPr="008A3740">
        <w:rPr>
          <w:lang w:val="en-US"/>
        </w:rPr>
        <w:t>B.2 Considerations of the Court</w:t>
      </w:r>
      <w:bookmarkEnd w:id="41"/>
      <w:r w:rsidRPr="008A3740">
        <w:rPr>
          <w:lang w:val="en-US"/>
        </w:rPr>
        <w:t xml:space="preserve"> </w:t>
      </w:r>
    </w:p>
    <w:p w14:paraId="67056979" w14:textId="77777777" w:rsidR="008E6A56" w:rsidRPr="008A3740" w:rsidRDefault="008E6A56" w:rsidP="008E6A56">
      <w:pPr>
        <w:rPr>
          <w:lang w:val="en-US"/>
        </w:rPr>
      </w:pPr>
    </w:p>
    <w:p w14:paraId="55AC3E3E" w14:textId="77777777" w:rsidR="008E6A56" w:rsidRPr="008A3740" w:rsidRDefault="00EF07C3" w:rsidP="00D17A65">
      <w:pPr>
        <w:numPr>
          <w:ilvl w:val="0"/>
          <w:numId w:val="3"/>
        </w:numPr>
        <w:tabs>
          <w:tab w:val="left" w:pos="567"/>
          <w:tab w:val="num" w:pos="12305"/>
        </w:tabs>
        <w:ind w:left="0" w:firstLine="0"/>
        <w:rPr>
          <w:rFonts w:ascii="Verdana" w:eastAsia="Batang" w:hAnsi="Verdana" w:cs="Arial"/>
          <w:b/>
          <w:iCs/>
          <w:sz w:val="20"/>
          <w:szCs w:val="20"/>
          <w:lang w:val="en-US"/>
        </w:rPr>
      </w:pPr>
      <w:r w:rsidRPr="008A3740">
        <w:rPr>
          <w:rFonts w:ascii="Verdana" w:eastAsia="Batang" w:hAnsi="Verdana" w:cs="Arial"/>
          <w:iCs/>
          <w:sz w:val="20"/>
          <w:szCs w:val="20"/>
          <w:lang w:val="en-US"/>
        </w:rPr>
        <w:t xml:space="preserve">In accordance with the reasons outlined </w:t>
      </w:r>
      <w:r w:rsidR="008E6A56" w:rsidRPr="008A3740">
        <w:rPr>
          <w:rFonts w:ascii="Verdana" w:eastAsia="Batang" w:hAnsi="Verdana" w:cs="Arial"/>
          <w:iCs/>
          <w:sz w:val="20"/>
          <w:szCs w:val="20"/>
          <w:lang w:val="en-US"/>
        </w:rPr>
        <w:t xml:space="preserve">previously, </w:t>
      </w:r>
      <w:r w:rsidRPr="008A3740">
        <w:rPr>
          <w:rFonts w:ascii="Verdana" w:eastAsia="Batang" w:hAnsi="Verdana" w:cs="Arial"/>
          <w:iCs/>
          <w:sz w:val="20"/>
          <w:szCs w:val="20"/>
          <w:lang w:val="en-US"/>
        </w:rPr>
        <w:t xml:space="preserve">regarding the analysis of </w:t>
      </w:r>
      <w:r w:rsidR="008E6A56" w:rsidRPr="008A3740">
        <w:rPr>
          <w:rFonts w:ascii="Verdana" w:eastAsia="Batang" w:hAnsi="Verdana" w:cs="Arial"/>
          <w:iCs/>
          <w:sz w:val="20"/>
          <w:szCs w:val="20"/>
          <w:lang w:val="en-US"/>
        </w:rPr>
        <w:t xml:space="preserve">the State’s arguments </w:t>
      </w:r>
      <w:r w:rsidRPr="008A3740">
        <w:rPr>
          <w:rFonts w:ascii="Verdana" w:eastAsia="Batang" w:hAnsi="Verdana" w:cs="Arial"/>
          <w:iCs/>
          <w:sz w:val="20"/>
          <w:szCs w:val="20"/>
          <w:lang w:val="en-US"/>
        </w:rPr>
        <w:t xml:space="preserve">concerning </w:t>
      </w:r>
      <w:r w:rsidR="00F46E4F" w:rsidRPr="008A3740">
        <w:rPr>
          <w:rFonts w:ascii="Verdana" w:eastAsia="Batang" w:hAnsi="Verdana" w:cs="Arial"/>
          <w:iCs/>
          <w:sz w:val="20"/>
          <w:szCs w:val="20"/>
          <w:lang w:val="en-US"/>
        </w:rPr>
        <w:t xml:space="preserve">its </w:t>
      </w:r>
      <w:r w:rsidR="008E6A56" w:rsidRPr="008A3740">
        <w:rPr>
          <w:rFonts w:ascii="Verdana" w:eastAsia="Batang" w:hAnsi="Verdana" w:cs="Arial"/>
          <w:iCs/>
          <w:sz w:val="20"/>
          <w:szCs w:val="20"/>
          <w:lang w:val="en-US"/>
        </w:rPr>
        <w:t xml:space="preserve">preliminary objection on </w:t>
      </w:r>
      <w:r w:rsidRPr="008A3740">
        <w:rPr>
          <w:rFonts w:ascii="Verdana" w:eastAsia="Batang" w:hAnsi="Verdana" w:cs="Arial"/>
          <w:iCs/>
          <w:sz w:val="20"/>
          <w:szCs w:val="20"/>
          <w:lang w:val="en-US"/>
        </w:rPr>
        <w:t xml:space="preserve">the Court’s </w:t>
      </w:r>
      <w:r w:rsidR="008E6A56" w:rsidRPr="008A3740">
        <w:rPr>
          <w:rFonts w:ascii="Verdana" w:eastAsia="Batang" w:hAnsi="Verdana" w:cs="Arial"/>
          <w:iCs/>
          <w:sz w:val="20"/>
          <w:szCs w:val="20"/>
          <w:lang w:val="en-US"/>
        </w:rPr>
        <w:t xml:space="preserve">lack of </w:t>
      </w:r>
      <w:r w:rsidR="004277E5" w:rsidRPr="008A3740">
        <w:rPr>
          <w:rFonts w:ascii="Verdana" w:eastAsia="Batang" w:hAnsi="Verdana" w:cs="Arial"/>
          <w:iCs/>
          <w:sz w:val="20"/>
          <w:szCs w:val="20"/>
          <w:lang w:val="en-US"/>
        </w:rPr>
        <w:t xml:space="preserve">jurisdiction </w:t>
      </w:r>
      <w:r w:rsidR="001D5F89" w:rsidRPr="008A3740">
        <w:rPr>
          <w:rFonts w:ascii="Verdana" w:eastAsia="Batang" w:hAnsi="Verdana" w:cs="Arial"/>
          <w:b/>
          <w:i/>
          <w:iCs/>
          <w:sz w:val="20"/>
          <w:szCs w:val="20"/>
          <w:lang w:val="en-US"/>
        </w:rPr>
        <w:t>ratione materiae</w:t>
      </w:r>
      <w:r w:rsidR="001D5F89" w:rsidRPr="008A3740">
        <w:rPr>
          <w:rFonts w:ascii="Verdana" w:eastAsia="Batang" w:hAnsi="Verdana" w:cs="Arial"/>
          <w:iCs/>
          <w:sz w:val="20"/>
          <w:szCs w:val="20"/>
          <w:lang w:val="en-US"/>
        </w:rPr>
        <w:t xml:space="preserve"> </w:t>
      </w:r>
      <w:r w:rsidR="008E6A56" w:rsidRPr="008A3740">
        <w:rPr>
          <w:rFonts w:ascii="Verdana" w:eastAsia="Batang" w:hAnsi="Verdana" w:cs="Arial"/>
          <w:iCs/>
          <w:sz w:val="20"/>
          <w:szCs w:val="20"/>
          <w:lang w:val="en-US"/>
        </w:rPr>
        <w:t>(</w:t>
      </w:r>
      <w:r w:rsidR="008E6A56" w:rsidRPr="008A3740">
        <w:rPr>
          <w:rFonts w:ascii="Verdana" w:eastAsia="Batang" w:hAnsi="Verdana" w:cs="Arial"/>
          <w:i/>
          <w:iCs/>
          <w:sz w:val="20"/>
          <w:szCs w:val="20"/>
          <w:lang w:val="en-US"/>
        </w:rPr>
        <w:t>supra</w:t>
      </w:r>
      <w:r w:rsidR="008E6A56" w:rsidRPr="008A3740">
        <w:rPr>
          <w:rFonts w:ascii="Verdana" w:eastAsia="Batang" w:hAnsi="Verdana" w:cs="Arial"/>
          <w:iCs/>
          <w:sz w:val="20"/>
          <w:szCs w:val="20"/>
          <w:lang w:val="en-US"/>
        </w:rPr>
        <w:t xml:space="preserve"> paras. 20 and 30), it is for the Court</w:t>
      </w:r>
      <w:r w:rsidR="008E6A56" w:rsidRPr="008A3740">
        <w:rPr>
          <w:rFonts w:ascii="Verdana" w:hAnsi="Verdana" w:cs="Verdana"/>
          <w:bCs/>
          <w:iCs/>
          <w:sz w:val="20"/>
          <w:szCs w:val="20"/>
          <w:lang w:val="en-US"/>
        </w:rPr>
        <w:t xml:space="preserve"> to determine </w:t>
      </w:r>
      <w:r w:rsidRPr="008A3740">
        <w:rPr>
          <w:rFonts w:ascii="Verdana" w:hAnsi="Verdana" w:cs="Verdana"/>
          <w:bCs/>
          <w:iCs/>
          <w:sz w:val="20"/>
          <w:szCs w:val="20"/>
          <w:lang w:val="en-US"/>
        </w:rPr>
        <w:t xml:space="preserve">whether </w:t>
      </w:r>
      <w:r w:rsidR="008E6A56" w:rsidRPr="008A3740">
        <w:rPr>
          <w:rFonts w:ascii="Verdana" w:hAnsi="Verdana" w:cs="Verdana"/>
          <w:bCs/>
          <w:iCs/>
          <w:sz w:val="20"/>
          <w:szCs w:val="20"/>
          <w:lang w:val="en-US"/>
        </w:rPr>
        <w:t>it is competent to analyze</w:t>
      </w:r>
      <w:r w:rsidRPr="008A3740">
        <w:rPr>
          <w:rFonts w:ascii="Verdana" w:hAnsi="Verdana" w:cs="Verdana"/>
          <w:bCs/>
          <w:iCs/>
          <w:sz w:val="20"/>
          <w:szCs w:val="20"/>
          <w:lang w:val="en-US"/>
        </w:rPr>
        <w:t>,</w:t>
      </w:r>
      <w:r w:rsidR="008E6A56" w:rsidRPr="008A3740">
        <w:rPr>
          <w:rFonts w:ascii="Verdana" w:hAnsi="Verdana" w:cs="Verdana"/>
          <w:bCs/>
          <w:iCs/>
          <w:sz w:val="20"/>
          <w:szCs w:val="20"/>
          <w:lang w:val="en-US"/>
        </w:rPr>
        <w:t xml:space="preserve"> directly,</w:t>
      </w:r>
      <w:r w:rsidR="008E6A56" w:rsidRPr="008A3740">
        <w:rPr>
          <w:rFonts w:ascii="Verdana" w:eastAsia="Batang" w:hAnsi="Verdana" w:cs="Arial"/>
          <w:iCs/>
          <w:sz w:val="20"/>
          <w:szCs w:val="20"/>
          <w:lang w:val="en-US"/>
        </w:rPr>
        <w:t xml:space="preserve"> the right to social security based on the interpretation of Article 26 the Convention.</w:t>
      </w:r>
    </w:p>
    <w:p w14:paraId="4BDCBC6B" w14:textId="77777777" w:rsidR="008E6A56" w:rsidRPr="008A3740" w:rsidRDefault="008E6A56" w:rsidP="008E6A56">
      <w:pPr>
        <w:tabs>
          <w:tab w:val="left" w:pos="567"/>
        </w:tabs>
        <w:autoSpaceDE w:val="0"/>
        <w:autoSpaceDN w:val="0"/>
        <w:rPr>
          <w:rFonts w:ascii="Verdana" w:eastAsia="Batang" w:hAnsi="Verdana" w:cs="Arial"/>
          <w:iCs/>
          <w:sz w:val="20"/>
          <w:szCs w:val="20"/>
          <w:lang w:val="en-US"/>
        </w:rPr>
      </w:pPr>
    </w:p>
    <w:p w14:paraId="6E354449" w14:textId="77777777" w:rsidR="008E6A56" w:rsidRPr="008A3740" w:rsidRDefault="008E6A56" w:rsidP="00D17A65">
      <w:pPr>
        <w:numPr>
          <w:ilvl w:val="0"/>
          <w:numId w:val="3"/>
        </w:numPr>
        <w:tabs>
          <w:tab w:val="left" w:pos="567"/>
          <w:tab w:val="num" w:pos="12305"/>
        </w:tabs>
        <w:ind w:left="0" w:firstLine="0"/>
        <w:rPr>
          <w:rFonts w:ascii="Verdana" w:eastAsia="Batang" w:hAnsi="Verdana" w:cs="Arial"/>
          <w:iCs/>
          <w:sz w:val="20"/>
          <w:szCs w:val="20"/>
          <w:lang w:val="en-US"/>
        </w:rPr>
      </w:pPr>
      <w:r w:rsidRPr="008A3740">
        <w:rPr>
          <w:rFonts w:ascii="Verdana" w:hAnsi="Verdana"/>
          <w:sz w:val="20"/>
          <w:szCs w:val="20"/>
          <w:lang w:val="en-US"/>
        </w:rPr>
        <w:t>The Court emphasizes that in the case</w:t>
      </w:r>
      <w:r w:rsidR="00EF07C3" w:rsidRPr="008A3740">
        <w:rPr>
          <w:rFonts w:ascii="Verdana" w:hAnsi="Verdana"/>
          <w:sz w:val="20"/>
          <w:szCs w:val="20"/>
          <w:lang w:val="en-US"/>
        </w:rPr>
        <w:t xml:space="preserve"> of</w:t>
      </w:r>
      <w:r w:rsidRPr="008A3740">
        <w:rPr>
          <w:rFonts w:ascii="Verdana" w:hAnsi="Verdana"/>
          <w:sz w:val="20"/>
          <w:szCs w:val="20"/>
          <w:lang w:val="en-US"/>
        </w:rPr>
        <w:t xml:space="preserve"> </w:t>
      </w:r>
      <w:r w:rsidRPr="008A3740">
        <w:rPr>
          <w:rFonts w:ascii="Verdana" w:hAnsi="Verdana"/>
          <w:i/>
          <w:sz w:val="20"/>
          <w:szCs w:val="20"/>
          <w:lang w:val="en-US"/>
        </w:rPr>
        <w:t>Acevedo Buendía et al. (“</w:t>
      </w:r>
      <w:r w:rsidRPr="008A3740">
        <w:rPr>
          <w:rFonts w:ascii="Verdana" w:hAnsi="Verdana" w:cs="Arial"/>
          <w:i/>
          <w:sz w:val="20"/>
          <w:szCs w:val="20"/>
          <w:shd w:val="clear" w:color="auto" w:fill="FFFFFF"/>
          <w:lang w:val="en-US"/>
        </w:rPr>
        <w:t>Discharged and Retired Employees</w:t>
      </w:r>
      <w:r w:rsidRPr="008A3740">
        <w:rPr>
          <w:rFonts w:ascii="Verdana" w:hAnsi="Verdana"/>
          <w:i/>
          <w:sz w:val="20"/>
          <w:szCs w:val="20"/>
          <w:lang w:val="en-US"/>
        </w:rPr>
        <w:t xml:space="preserve"> of the Comptroller’s Office”) v. Peru</w:t>
      </w:r>
      <w:r w:rsidRPr="008A3740">
        <w:rPr>
          <w:rFonts w:ascii="Verdana" w:hAnsi="Verdana"/>
          <w:sz w:val="20"/>
          <w:szCs w:val="20"/>
          <w:lang w:val="en-US"/>
        </w:rPr>
        <w:t xml:space="preserve">, it was called upon to </w:t>
      </w:r>
      <w:r w:rsidR="000726A0" w:rsidRPr="008A3740">
        <w:rPr>
          <w:rFonts w:ascii="Verdana" w:hAnsi="Verdana"/>
          <w:sz w:val="20"/>
          <w:szCs w:val="20"/>
          <w:lang w:val="en-US"/>
        </w:rPr>
        <w:t xml:space="preserve">settle </w:t>
      </w:r>
      <w:r w:rsidRPr="008A3740">
        <w:rPr>
          <w:rFonts w:ascii="Verdana" w:hAnsi="Verdana"/>
          <w:sz w:val="20"/>
          <w:szCs w:val="20"/>
          <w:lang w:val="en-US"/>
        </w:rPr>
        <w:t xml:space="preserve">a preliminary objection </w:t>
      </w:r>
      <w:r w:rsidR="000726A0" w:rsidRPr="008A3740">
        <w:rPr>
          <w:rFonts w:ascii="Verdana" w:hAnsi="Verdana"/>
          <w:sz w:val="20"/>
          <w:szCs w:val="20"/>
          <w:lang w:val="en-US"/>
        </w:rPr>
        <w:t xml:space="preserve">regarding </w:t>
      </w:r>
      <w:r w:rsidRPr="008A3740">
        <w:rPr>
          <w:rFonts w:ascii="Verdana" w:hAnsi="Verdana"/>
          <w:sz w:val="20"/>
          <w:szCs w:val="20"/>
          <w:lang w:val="en-US"/>
        </w:rPr>
        <w:t>the right</w:t>
      </w:r>
      <w:r w:rsidR="000726A0" w:rsidRPr="008A3740">
        <w:rPr>
          <w:rFonts w:ascii="Verdana" w:hAnsi="Verdana"/>
          <w:sz w:val="20"/>
          <w:szCs w:val="20"/>
          <w:lang w:val="en-US"/>
        </w:rPr>
        <w:t xml:space="preserve"> to social security based on an</w:t>
      </w:r>
      <w:r w:rsidRPr="008A3740">
        <w:rPr>
          <w:rFonts w:ascii="Verdana" w:hAnsi="Verdana"/>
          <w:sz w:val="20"/>
          <w:szCs w:val="20"/>
          <w:lang w:val="en-US"/>
        </w:rPr>
        <w:t xml:space="preserve"> interpretation of Article 26 of the Convention. In that decision, the Court concluded, in general </w:t>
      </w:r>
      <w:r w:rsidR="00EF07C3" w:rsidRPr="008A3740">
        <w:rPr>
          <w:rFonts w:ascii="Verdana" w:hAnsi="Verdana"/>
          <w:sz w:val="20"/>
          <w:szCs w:val="20"/>
          <w:lang w:val="en-US"/>
        </w:rPr>
        <w:t xml:space="preserve">terms </w:t>
      </w:r>
      <w:r w:rsidRPr="008A3740">
        <w:rPr>
          <w:rFonts w:ascii="Verdana" w:hAnsi="Verdana"/>
          <w:sz w:val="20"/>
          <w:szCs w:val="20"/>
          <w:lang w:val="en-US"/>
        </w:rPr>
        <w:t>that, pursuant to Artic</w:t>
      </w:r>
      <w:r w:rsidR="00EF07C3" w:rsidRPr="008A3740">
        <w:rPr>
          <w:rFonts w:ascii="Verdana" w:hAnsi="Verdana"/>
          <w:sz w:val="20"/>
          <w:szCs w:val="20"/>
          <w:lang w:val="en-US"/>
        </w:rPr>
        <w:t>le 62(1) of the Convention, it</w:t>
      </w:r>
      <w:r w:rsidRPr="008A3740">
        <w:rPr>
          <w:rFonts w:ascii="Verdana" w:hAnsi="Verdana"/>
          <w:sz w:val="20"/>
          <w:szCs w:val="20"/>
          <w:lang w:val="en-US"/>
        </w:rPr>
        <w:t xml:space="preserve"> </w:t>
      </w:r>
      <w:r w:rsidR="003E009F" w:rsidRPr="008A3740">
        <w:rPr>
          <w:rFonts w:ascii="Verdana" w:hAnsi="Verdana"/>
          <w:sz w:val="20"/>
          <w:szCs w:val="20"/>
          <w:lang w:val="en-US"/>
        </w:rPr>
        <w:t xml:space="preserve">would be </w:t>
      </w:r>
      <w:r w:rsidR="00EF07C3" w:rsidRPr="008A3740">
        <w:rPr>
          <w:rFonts w:ascii="Verdana" w:hAnsi="Verdana"/>
          <w:sz w:val="20"/>
          <w:szCs w:val="20"/>
          <w:lang w:val="en-US"/>
        </w:rPr>
        <w:t xml:space="preserve">competent to </w:t>
      </w:r>
      <w:r w:rsidRPr="008A3740">
        <w:rPr>
          <w:rFonts w:ascii="Verdana" w:hAnsi="Verdana"/>
          <w:sz w:val="20"/>
          <w:szCs w:val="20"/>
          <w:lang w:val="en-US"/>
        </w:rPr>
        <w:t xml:space="preserve">decide </w:t>
      </w:r>
      <w:r w:rsidR="003E009F" w:rsidRPr="008A3740">
        <w:rPr>
          <w:rFonts w:ascii="Verdana" w:hAnsi="Verdana"/>
          <w:sz w:val="20"/>
          <w:szCs w:val="20"/>
          <w:lang w:val="en-US"/>
        </w:rPr>
        <w:t xml:space="preserve">whether </w:t>
      </w:r>
      <w:r w:rsidRPr="008A3740">
        <w:rPr>
          <w:rFonts w:ascii="Verdana" w:hAnsi="Verdana"/>
          <w:sz w:val="20"/>
          <w:szCs w:val="20"/>
          <w:lang w:val="en-US"/>
        </w:rPr>
        <w:t xml:space="preserve">the State </w:t>
      </w:r>
      <w:r w:rsidR="00F46E4F" w:rsidRPr="008A3740">
        <w:rPr>
          <w:rFonts w:ascii="Verdana" w:hAnsi="Verdana"/>
          <w:sz w:val="20"/>
          <w:szCs w:val="20"/>
          <w:lang w:val="en-US"/>
        </w:rPr>
        <w:t xml:space="preserve">had </w:t>
      </w:r>
      <w:r w:rsidR="003E009F" w:rsidRPr="008A3740">
        <w:rPr>
          <w:rFonts w:ascii="Verdana" w:hAnsi="Verdana"/>
          <w:sz w:val="20"/>
          <w:szCs w:val="20"/>
          <w:lang w:val="en-US"/>
        </w:rPr>
        <w:t xml:space="preserve">violated </w:t>
      </w:r>
      <w:r w:rsidR="001D5F89" w:rsidRPr="008A3740">
        <w:rPr>
          <w:rFonts w:ascii="Verdana" w:hAnsi="Verdana"/>
          <w:sz w:val="20"/>
          <w:szCs w:val="20"/>
          <w:lang w:val="en-US"/>
        </w:rPr>
        <w:t xml:space="preserve">or failed to comply </w:t>
      </w:r>
      <w:r w:rsidRPr="008A3740">
        <w:rPr>
          <w:rFonts w:ascii="Verdana" w:hAnsi="Verdana"/>
          <w:sz w:val="20"/>
          <w:szCs w:val="20"/>
          <w:lang w:val="en-US"/>
        </w:rPr>
        <w:t>with any of the rights of the Convention, including Article 26</w:t>
      </w:r>
      <w:r w:rsidR="003E009F" w:rsidRPr="008A3740">
        <w:rPr>
          <w:rFonts w:ascii="Verdana" w:hAnsi="Verdana"/>
          <w:sz w:val="20"/>
          <w:szCs w:val="20"/>
          <w:lang w:val="en-US"/>
        </w:rPr>
        <w:t xml:space="preserve"> thereof</w:t>
      </w:r>
      <w:r w:rsidRPr="008A3740">
        <w:rPr>
          <w:rFonts w:ascii="Verdana" w:hAnsi="Verdana"/>
          <w:sz w:val="20"/>
          <w:szCs w:val="20"/>
          <w:lang w:val="en-US"/>
        </w:rPr>
        <w:t xml:space="preserve">. However, the Court did not offer an interpretation as to whether the right to social security </w:t>
      </w:r>
      <w:r w:rsidR="001D5F89" w:rsidRPr="008A3740">
        <w:rPr>
          <w:rFonts w:ascii="Verdana" w:hAnsi="Verdana"/>
          <w:sz w:val="20"/>
          <w:szCs w:val="20"/>
          <w:lang w:val="en-US"/>
        </w:rPr>
        <w:t xml:space="preserve">was </w:t>
      </w:r>
      <w:r w:rsidRPr="008A3740">
        <w:rPr>
          <w:rFonts w:ascii="Verdana" w:hAnsi="Verdana"/>
          <w:sz w:val="20"/>
          <w:szCs w:val="20"/>
          <w:lang w:val="en-US"/>
        </w:rPr>
        <w:t xml:space="preserve">derived from the OAS Charter nor did it </w:t>
      </w:r>
      <w:r w:rsidR="002268CD" w:rsidRPr="008A3740">
        <w:rPr>
          <w:rFonts w:ascii="Verdana" w:hAnsi="Verdana"/>
          <w:sz w:val="20"/>
          <w:szCs w:val="20"/>
          <w:lang w:val="en-US"/>
        </w:rPr>
        <w:t xml:space="preserve">consider </w:t>
      </w:r>
      <w:r w:rsidRPr="008A3740">
        <w:rPr>
          <w:rFonts w:ascii="Verdana" w:hAnsi="Verdana"/>
          <w:sz w:val="20"/>
          <w:szCs w:val="20"/>
          <w:lang w:val="en-US"/>
        </w:rPr>
        <w:t>the San Salvador Protocol with respect t</w:t>
      </w:r>
      <w:r w:rsidR="003E009F" w:rsidRPr="008A3740">
        <w:rPr>
          <w:rFonts w:ascii="Verdana" w:hAnsi="Verdana"/>
          <w:sz w:val="20"/>
          <w:szCs w:val="20"/>
          <w:lang w:val="en-US"/>
        </w:rPr>
        <w:t>o Peru, which is a State party t</w:t>
      </w:r>
      <w:r w:rsidRPr="008A3740">
        <w:rPr>
          <w:rFonts w:ascii="Verdana" w:hAnsi="Verdana"/>
          <w:sz w:val="20"/>
          <w:szCs w:val="20"/>
          <w:lang w:val="en-US"/>
        </w:rPr>
        <w:t>hereto.</w:t>
      </w:r>
      <w:r w:rsidRPr="008A3740">
        <w:rPr>
          <w:rStyle w:val="Refdenotaalpie"/>
          <w:szCs w:val="20"/>
          <w:lang w:val="en-US"/>
        </w:rPr>
        <w:footnoteReference w:id="23"/>
      </w:r>
      <w:r w:rsidRPr="008A3740">
        <w:rPr>
          <w:rFonts w:ascii="Verdana" w:hAnsi="Verdana"/>
          <w:sz w:val="20"/>
          <w:szCs w:val="20"/>
          <w:lang w:val="en-US"/>
        </w:rPr>
        <w:t xml:space="preserve"> </w:t>
      </w:r>
    </w:p>
    <w:p w14:paraId="0C89A88C" w14:textId="77777777" w:rsidR="008E6A56" w:rsidRPr="008A3740" w:rsidRDefault="008E6A56" w:rsidP="008E6A56">
      <w:pPr>
        <w:pStyle w:val="Prrafodelista"/>
        <w:rPr>
          <w:rFonts w:ascii="Verdana" w:eastAsia="Batang" w:hAnsi="Verdana" w:cs="Arial"/>
          <w:iCs/>
          <w:sz w:val="20"/>
          <w:szCs w:val="20"/>
          <w:lang w:val="en-US"/>
        </w:rPr>
      </w:pPr>
    </w:p>
    <w:p w14:paraId="1813B870"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hAnsi="Verdana"/>
          <w:sz w:val="20"/>
          <w:szCs w:val="20"/>
          <w:lang w:val="en-US" w:eastAsia="en-US"/>
        </w:rPr>
        <w:lastRenderedPageBreak/>
        <w:t>In the case</w:t>
      </w:r>
      <w:r w:rsidR="00C60FA0" w:rsidRPr="008A3740">
        <w:rPr>
          <w:rFonts w:ascii="Verdana" w:hAnsi="Verdana"/>
          <w:sz w:val="20"/>
          <w:szCs w:val="20"/>
          <w:lang w:val="en-US" w:eastAsia="en-US"/>
        </w:rPr>
        <w:t xml:space="preserve"> of</w:t>
      </w:r>
      <w:r w:rsidRPr="008A3740">
        <w:rPr>
          <w:rFonts w:ascii="Verdana" w:hAnsi="Verdana"/>
          <w:i/>
          <w:sz w:val="20"/>
          <w:szCs w:val="20"/>
          <w:lang w:val="en-US" w:eastAsia="en-US"/>
        </w:rPr>
        <w:t xml:space="preserve"> Lagos del Campo v. Peru, </w:t>
      </w:r>
      <w:r w:rsidRPr="008A3740">
        <w:rPr>
          <w:rFonts w:ascii="Verdana" w:hAnsi="Verdana"/>
          <w:sz w:val="20"/>
          <w:szCs w:val="20"/>
          <w:lang w:val="en-US" w:eastAsia="en-US"/>
        </w:rPr>
        <w:t xml:space="preserve">the Court </w:t>
      </w:r>
      <w:r w:rsidR="00466898" w:rsidRPr="008A3740">
        <w:rPr>
          <w:rFonts w:ascii="Verdana" w:hAnsi="Verdana"/>
          <w:sz w:val="20"/>
          <w:szCs w:val="20"/>
          <w:lang w:val="en-US" w:eastAsia="en-US"/>
        </w:rPr>
        <w:t xml:space="preserve">for the first time </w:t>
      </w:r>
      <w:r w:rsidR="00C60FA0" w:rsidRPr="008A3740">
        <w:rPr>
          <w:rFonts w:ascii="Verdana" w:hAnsi="Verdana"/>
          <w:sz w:val="20"/>
          <w:szCs w:val="20"/>
          <w:lang w:val="en-US" w:eastAsia="en-US"/>
        </w:rPr>
        <w:t xml:space="preserve">established </w:t>
      </w:r>
      <w:r w:rsidRPr="008A3740">
        <w:rPr>
          <w:rFonts w:ascii="Verdana" w:hAnsi="Verdana"/>
          <w:sz w:val="20"/>
          <w:szCs w:val="20"/>
          <w:lang w:val="en-US" w:eastAsia="en-US"/>
        </w:rPr>
        <w:t xml:space="preserve">and consolidated a specific </w:t>
      </w:r>
      <w:r w:rsidR="00DE0738" w:rsidRPr="008A3740">
        <w:rPr>
          <w:rFonts w:ascii="Verdana" w:hAnsi="Verdana"/>
          <w:sz w:val="20"/>
          <w:szCs w:val="20"/>
          <w:lang w:val="en-US" w:eastAsia="en-US"/>
        </w:rPr>
        <w:t xml:space="preserve">and </w:t>
      </w:r>
      <w:r w:rsidRPr="008A3740">
        <w:rPr>
          <w:rFonts w:ascii="Verdana" w:hAnsi="Verdana"/>
          <w:sz w:val="20"/>
          <w:szCs w:val="20"/>
          <w:lang w:val="en-US" w:eastAsia="en-US"/>
        </w:rPr>
        <w:t xml:space="preserve">autonomous </w:t>
      </w:r>
      <w:r w:rsidR="00DE0738" w:rsidRPr="008A3740">
        <w:rPr>
          <w:rFonts w:ascii="Verdana" w:hAnsi="Verdana"/>
          <w:sz w:val="20"/>
          <w:szCs w:val="20"/>
          <w:lang w:val="en-US" w:eastAsia="en-US"/>
        </w:rPr>
        <w:t xml:space="preserve">violation </w:t>
      </w:r>
      <w:r w:rsidRPr="008A3740">
        <w:rPr>
          <w:rFonts w:ascii="Verdana" w:hAnsi="Verdana"/>
          <w:sz w:val="20"/>
          <w:szCs w:val="20"/>
          <w:lang w:val="en-US" w:eastAsia="en-US"/>
        </w:rPr>
        <w:t>of Article 26 of the American Convention,</w:t>
      </w:r>
      <w:r w:rsidRPr="008A3740">
        <w:rPr>
          <w:rFonts w:ascii="Verdana" w:hAnsi="Verdana"/>
          <w:sz w:val="20"/>
          <w:szCs w:val="20"/>
          <w:vertAlign w:val="superscript"/>
          <w:lang w:val="en-US" w:eastAsia="en-US"/>
        </w:rPr>
        <w:footnoteReference w:id="24"/>
      </w:r>
      <w:r w:rsidRPr="008A3740">
        <w:rPr>
          <w:rFonts w:ascii="Verdana" w:hAnsi="Verdana"/>
          <w:i/>
          <w:sz w:val="20"/>
          <w:szCs w:val="20"/>
          <w:lang w:val="en-US" w:eastAsia="en-US"/>
        </w:rPr>
        <w:t xml:space="preserve"> </w:t>
      </w:r>
      <w:r w:rsidRPr="008A3740">
        <w:rPr>
          <w:rFonts w:ascii="Verdana" w:hAnsi="Verdana" w:cs="Verdana"/>
          <w:sz w:val="20"/>
          <w:szCs w:val="20"/>
          <w:lang w:val="en-US" w:eastAsia="es-MX"/>
        </w:rPr>
        <w:t xml:space="preserve">set forth in Chapter III, </w:t>
      </w:r>
      <w:r w:rsidR="00466898" w:rsidRPr="008A3740">
        <w:rPr>
          <w:rFonts w:ascii="Verdana" w:hAnsi="Verdana" w:cs="Verdana"/>
          <w:sz w:val="20"/>
          <w:szCs w:val="20"/>
          <w:lang w:val="en-US" w:eastAsia="es-MX"/>
        </w:rPr>
        <w:t xml:space="preserve">and </w:t>
      </w:r>
      <w:r w:rsidRPr="008A3740">
        <w:rPr>
          <w:rFonts w:ascii="Verdana" w:hAnsi="Verdana" w:cs="Verdana"/>
          <w:sz w:val="20"/>
          <w:szCs w:val="20"/>
          <w:lang w:val="en-US" w:eastAsia="es-MX"/>
        </w:rPr>
        <w:t>entitled Economic, Social and Cultural Rights</w:t>
      </w:r>
      <w:r w:rsidR="00466898" w:rsidRPr="008A3740">
        <w:rPr>
          <w:rFonts w:ascii="Verdana" w:hAnsi="Verdana" w:cs="Verdana"/>
          <w:sz w:val="20"/>
          <w:szCs w:val="20"/>
          <w:lang w:val="en-US" w:eastAsia="es-MX"/>
        </w:rPr>
        <w:t>. Thus, the</w:t>
      </w:r>
      <w:r w:rsidRPr="008A3740">
        <w:rPr>
          <w:rFonts w:ascii="Verdana" w:hAnsi="Verdana" w:cs="Verdana"/>
          <w:sz w:val="20"/>
          <w:szCs w:val="20"/>
          <w:lang w:val="en-US" w:eastAsia="es-MX"/>
        </w:rPr>
        <w:t xml:space="preserve"> Court </w:t>
      </w:r>
      <w:r w:rsidR="003E009F" w:rsidRPr="008A3740">
        <w:rPr>
          <w:rFonts w:ascii="Verdana" w:hAnsi="Verdana" w:cs="Verdana"/>
          <w:sz w:val="20"/>
          <w:szCs w:val="20"/>
          <w:lang w:val="en-US" w:eastAsia="es-MX"/>
        </w:rPr>
        <w:t xml:space="preserve">defined </w:t>
      </w:r>
      <w:r w:rsidR="00466898" w:rsidRPr="008A3740">
        <w:rPr>
          <w:rFonts w:ascii="Verdana" w:hAnsi="Verdana" w:cs="Verdana"/>
          <w:sz w:val="20"/>
          <w:szCs w:val="20"/>
          <w:lang w:val="en-US" w:eastAsia="es-MX"/>
        </w:rPr>
        <w:t>more clearly</w:t>
      </w:r>
      <w:r w:rsidRPr="008A3740">
        <w:rPr>
          <w:rFonts w:ascii="Verdana" w:hAnsi="Verdana"/>
          <w:sz w:val="20"/>
          <w:szCs w:val="20"/>
          <w:vertAlign w:val="superscript"/>
          <w:lang w:val="en-US" w:eastAsia="en-US"/>
        </w:rPr>
        <w:footnoteReference w:id="25"/>
      </w:r>
      <w:r w:rsidRPr="008A3740">
        <w:rPr>
          <w:rFonts w:ascii="Verdana" w:hAnsi="Verdana"/>
          <w:bCs/>
          <w:sz w:val="20"/>
          <w:szCs w:val="20"/>
          <w:lang w:val="en-US" w:eastAsia="en-US"/>
        </w:rPr>
        <w:t xml:space="preserve"> its </w:t>
      </w:r>
      <w:r w:rsidR="004277E5" w:rsidRPr="008A3740">
        <w:rPr>
          <w:rFonts w:ascii="Verdana" w:hAnsi="Verdana"/>
          <w:bCs/>
          <w:sz w:val="20"/>
          <w:szCs w:val="20"/>
          <w:lang w:val="en-US" w:eastAsia="en-US"/>
        </w:rPr>
        <w:t xml:space="preserve">jurisdiction </w:t>
      </w:r>
      <w:r w:rsidRPr="008A3740">
        <w:rPr>
          <w:rFonts w:ascii="Verdana" w:hAnsi="Verdana" w:cs="Verdana"/>
          <w:color w:val="000000"/>
          <w:sz w:val="20"/>
          <w:szCs w:val="20"/>
          <w:lang w:val="en-US" w:eastAsia="en-US"/>
        </w:rPr>
        <w:t xml:space="preserve">to hear and settle disputes related to Article 26 of the American Convention, as an integral part of the rights </w:t>
      </w:r>
      <w:r w:rsidR="00466898" w:rsidRPr="008A3740">
        <w:rPr>
          <w:rFonts w:ascii="Verdana" w:hAnsi="Verdana" w:cs="Verdana"/>
          <w:color w:val="000000"/>
          <w:sz w:val="20"/>
          <w:szCs w:val="20"/>
          <w:lang w:val="en-US" w:eastAsia="en-US"/>
        </w:rPr>
        <w:t xml:space="preserve">contained </w:t>
      </w:r>
      <w:r w:rsidRPr="008A3740">
        <w:rPr>
          <w:rFonts w:ascii="Verdana" w:hAnsi="Verdana" w:cs="Verdana"/>
          <w:color w:val="000000"/>
          <w:sz w:val="20"/>
          <w:szCs w:val="20"/>
          <w:lang w:val="en-US" w:eastAsia="en-US"/>
        </w:rPr>
        <w:t xml:space="preserve">therein, </w:t>
      </w:r>
      <w:r w:rsidR="00466898" w:rsidRPr="008A3740">
        <w:rPr>
          <w:rFonts w:ascii="Verdana" w:hAnsi="Verdana" w:cs="Verdana"/>
          <w:color w:val="000000"/>
          <w:sz w:val="20"/>
          <w:szCs w:val="20"/>
          <w:lang w:val="en-US" w:eastAsia="en-US"/>
        </w:rPr>
        <w:t xml:space="preserve">in </w:t>
      </w:r>
      <w:r w:rsidRPr="008A3740">
        <w:rPr>
          <w:rFonts w:ascii="Verdana" w:hAnsi="Verdana" w:cs="Verdana"/>
          <w:color w:val="000000"/>
          <w:sz w:val="20"/>
          <w:szCs w:val="20"/>
          <w:lang w:val="en-US" w:eastAsia="en-US"/>
        </w:rPr>
        <w:t xml:space="preserve">respect of which Article 1(1) </w:t>
      </w:r>
      <w:r w:rsidR="00466898" w:rsidRPr="008A3740">
        <w:rPr>
          <w:rFonts w:ascii="Verdana" w:hAnsi="Verdana" w:cs="Verdana"/>
          <w:color w:val="000000"/>
          <w:sz w:val="20"/>
          <w:szCs w:val="20"/>
          <w:lang w:val="en-US" w:eastAsia="en-US"/>
        </w:rPr>
        <w:t xml:space="preserve">establishes the States’ </w:t>
      </w:r>
      <w:r w:rsidRPr="008A3740">
        <w:rPr>
          <w:rFonts w:ascii="Verdana" w:hAnsi="Verdana" w:cs="Verdana"/>
          <w:color w:val="000000"/>
          <w:sz w:val="20"/>
          <w:szCs w:val="20"/>
          <w:lang w:val="en-US" w:eastAsia="en-US"/>
        </w:rPr>
        <w:t>general obligations to respect and guarantee</w:t>
      </w:r>
      <w:r w:rsidR="00466898" w:rsidRPr="008A3740">
        <w:rPr>
          <w:rFonts w:ascii="Verdana" w:hAnsi="Verdana" w:cs="Verdana"/>
          <w:color w:val="000000"/>
          <w:sz w:val="20"/>
          <w:szCs w:val="20"/>
          <w:lang w:val="en-US" w:eastAsia="en-US"/>
        </w:rPr>
        <w:t xml:space="preserve"> rights</w:t>
      </w:r>
      <w:r w:rsidRPr="008A3740">
        <w:rPr>
          <w:rFonts w:ascii="Verdana" w:hAnsi="Verdana" w:cs="Verdana"/>
          <w:color w:val="000000"/>
          <w:sz w:val="20"/>
          <w:szCs w:val="20"/>
          <w:lang w:val="en-US" w:eastAsia="en-US"/>
        </w:rPr>
        <w:t>.</w:t>
      </w:r>
      <w:r w:rsidRPr="008A3740">
        <w:rPr>
          <w:rFonts w:ascii="Verdana" w:hAnsi="Verdana"/>
          <w:bCs/>
          <w:sz w:val="20"/>
          <w:szCs w:val="20"/>
          <w:vertAlign w:val="superscript"/>
          <w:lang w:val="en-US" w:eastAsia="en-US"/>
        </w:rPr>
        <w:footnoteReference w:id="26"/>
      </w:r>
      <w:r w:rsidRPr="008A3740">
        <w:rPr>
          <w:rFonts w:ascii="Verdana" w:hAnsi="Verdana" w:cs="Verdana"/>
          <w:sz w:val="20"/>
          <w:szCs w:val="20"/>
          <w:lang w:val="en-US" w:eastAsia="en-US"/>
        </w:rPr>
        <w:t xml:space="preserve"> Based on </w:t>
      </w:r>
      <w:r w:rsidR="00251309" w:rsidRPr="008A3740">
        <w:rPr>
          <w:rFonts w:ascii="Verdana" w:hAnsi="Verdana" w:cs="Verdana"/>
          <w:sz w:val="20"/>
          <w:szCs w:val="20"/>
          <w:lang w:val="en-US" w:eastAsia="en-US"/>
        </w:rPr>
        <w:t>that j</w:t>
      </w:r>
      <w:r w:rsidR="00DE0738" w:rsidRPr="008A3740">
        <w:rPr>
          <w:rFonts w:ascii="Verdana" w:hAnsi="Verdana" w:cs="Verdana"/>
          <w:sz w:val="20"/>
          <w:szCs w:val="20"/>
          <w:lang w:val="en-US" w:eastAsia="en-US"/>
        </w:rPr>
        <w:t xml:space="preserve">udgment, the Court </w:t>
      </w:r>
      <w:r w:rsidRPr="008A3740">
        <w:rPr>
          <w:rFonts w:ascii="Verdana" w:hAnsi="Verdana" w:cs="Verdana"/>
          <w:sz w:val="20"/>
          <w:szCs w:val="20"/>
          <w:lang w:val="en-US" w:eastAsia="en-US"/>
        </w:rPr>
        <w:t xml:space="preserve">established </w:t>
      </w:r>
      <w:r w:rsidR="00251309" w:rsidRPr="008A3740">
        <w:rPr>
          <w:rFonts w:ascii="Verdana" w:hAnsi="Verdana" w:cs="Verdana"/>
          <w:sz w:val="20"/>
          <w:szCs w:val="20"/>
          <w:lang w:val="en-US" w:eastAsia="en-US"/>
        </w:rPr>
        <w:t xml:space="preserve">its </w:t>
      </w:r>
      <w:r w:rsidR="004277E5" w:rsidRPr="008A3740">
        <w:rPr>
          <w:rFonts w:ascii="Verdana" w:hAnsi="Verdana" w:cs="Verdana"/>
          <w:sz w:val="20"/>
          <w:szCs w:val="20"/>
          <w:lang w:val="en-US" w:eastAsia="en-US"/>
        </w:rPr>
        <w:t xml:space="preserve">jurisdiction </w:t>
      </w:r>
      <w:r w:rsidRPr="008A3740">
        <w:rPr>
          <w:rFonts w:ascii="Verdana" w:hAnsi="Verdana" w:cs="Verdana"/>
          <w:sz w:val="20"/>
          <w:szCs w:val="20"/>
          <w:lang w:val="en-US" w:eastAsia="en-US"/>
        </w:rPr>
        <w:t xml:space="preserve">to </w:t>
      </w:r>
      <w:r w:rsidR="004277E5" w:rsidRPr="008A3740">
        <w:rPr>
          <w:rFonts w:ascii="Verdana" w:hAnsi="Verdana" w:cs="Verdana"/>
          <w:sz w:val="20"/>
          <w:szCs w:val="20"/>
          <w:lang w:val="en-US" w:eastAsia="en-US"/>
        </w:rPr>
        <w:t xml:space="preserve">examine </w:t>
      </w:r>
      <w:r w:rsidRPr="008A3740">
        <w:rPr>
          <w:rFonts w:ascii="Verdana" w:hAnsi="Verdana" w:cs="Verdana"/>
          <w:sz w:val="20"/>
          <w:szCs w:val="20"/>
          <w:lang w:val="en-US" w:eastAsia="en-US"/>
        </w:rPr>
        <w:t xml:space="preserve">autonomous violations of Article 26 of the Convention, </w:t>
      </w:r>
      <w:r w:rsidR="00DE0738" w:rsidRPr="008A3740">
        <w:rPr>
          <w:rFonts w:ascii="Verdana" w:hAnsi="Verdana" w:cs="Verdana"/>
          <w:sz w:val="20"/>
          <w:szCs w:val="20"/>
          <w:lang w:val="en-US" w:eastAsia="en-US"/>
        </w:rPr>
        <w:t>considering</w:t>
      </w:r>
      <w:r w:rsidRPr="008A3740">
        <w:rPr>
          <w:rFonts w:ascii="Verdana" w:hAnsi="Verdana" w:cs="Verdana"/>
          <w:sz w:val="20"/>
          <w:szCs w:val="20"/>
          <w:lang w:val="en-US" w:eastAsia="en-US"/>
        </w:rPr>
        <w:t xml:space="preserve"> tha</w:t>
      </w:r>
      <w:r w:rsidR="006014E2" w:rsidRPr="008A3740">
        <w:rPr>
          <w:rFonts w:ascii="Verdana" w:hAnsi="Verdana" w:cs="Verdana"/>
          <w:sz w:val="20"/>
          <w:szCs w:val="20"/>
          <w:lang w:val="en-US" w:eastAsia="en-US"/>
        </w:rPr>
        <w:t>t the rights derived from this a</w:t>
      </w:r>
      <w:r w:rsidRPr="008A3740">
        <w:rPr>
          <w:rFonts w:ascii="Verdana" w:hAnsi="Verdana" w:cs="Verdana"/>
          <w:sz w:val="20"/>
          <w:szCs w:val="20"/>
          <w:lang w:val="en-US" w:eastAsia="en-US"/>
        </w:rPr>
        <w:t xml:space="preserve">rticle may be directly justiciable through the mechanism of individual petitions before the inter-American system. This jurisprudential </w:t>
      </w:r>
      <w:r w:rsidR="00466898" w:rsidRPr="008A3740">
        <w:rPr>
          <w:rFonts w:ascii="Verdana" w:hAnsi="Verdana" w:cs="Verdana"/>
          <w:sz w:val="20"/>
          <w:szCs w:val="20"/>
          <w:lang w:val="en-US" w:eastAsia="en-US"/>
        </w:rPr>
        <w:t xml:space="preserve">stance </w:t>
      </w:r>
      <w:r w:rsidRPr="008A3740">
        <w:rPr>
          <w:rFonts w:ascii="Verdana" w:hAnsi="Verdana" w:cs="Verdana"/>
          <w:sz w:val="20"/>
          <w:szCs w:val="20"/>
          <w:lang w:val="en-US" w:eastAsia="en-US"/>
        </w:rPr>
        <w:t xml:space="preserve">has been ratified in </w:t>
      </w:r>
      <w:r w:rsidR="00AE47A7" w:rsidRPr="008A3740">
        <w:rPr>
          <w:rFonts w:ascii="Verdana" w:hAnsi="Verdana" w:cs="Verdana"/>
          <w:sz w:val="20"/>
          <w:szCs w:val="20"/>
          <w:lang w:val="en-US" w:eastAsia="en-US"/>
        </w:rPr>
        <w:t xml:space="preserve">various </w:t>
      </w:r>
      <w:r w:rsidRPr="008A3740">
        <w:rPr>
          <w:rFonts w:ascii="Verdana" w:hAnsi="Verdana" w:cs="Verdana"/>
          <w:sz w:val="20"/>
          <w:szCs w:val="20"/>
          <w:lang w:val="en-US" w:eastAsia="en-US"/>
        </w:rPr>
        <w:t>subsequent decisions adopted by this Court.</w:t>
      </w:r>
      <w:r w:rsidRPr="008A3740">
        <w:rPr>
          <w:rStyle w:val="Refdenotaalpie"/>
          <w:szCs w:val="20"/>
          <w:lang w:val="en-US" w:eastAsia="en-US"/>
        </w:rPr>
        <w:footnoteReference w:id="27"/>
      </w:r>
      <w:r w:rsidRPr="008A3740">
        <w:rPr>
          <w:rFonts w:ascii="Verdana" w:hAnsi="Verdana" w:cs="Verdana"/>
          <w:sz w:val="20"/>
          <w:szCs w:val="20"/>
          <w:lang w:val="en-US" w:eastAsia="en-US"/>
        </w:rPr>
        <w:t xml:space="preserve"> In this sense, this Court has already established its </w:t>
      </w:r>
      <w:r w:rsidR="004277E5" w:rsidRPr="008A3740">
        <w:rPr>
          <w:rFonts w:ascii="Verdana" w:hAnsi="Verdana" w:cs="Verdana"/>
          <w:sz w:val="20"/>
          <w:szCs w:val="20"/>
          <w:lang w:val="en-US" w:eastAsia="en-US"/>
        </w:rPr>
        <w:t xml:space="preserve">jurisdiction </w:t>
      </w:r>
      <w:r w:rsidRPr="008A3740">
        <w:rPr>
          <w:rFonts w:ascii="Verdana" w:hAnsi="Verdana" w:cs="Verdana"/>
          <w:sz w:val="20"/>
          <w:szCs w:val="20"/>
          <w:lang w:val="en-US" w:eastAsia="en-US"/>
        </w:rPr>
        <w:t xml:space="preserve">to </w:t>
      </w:r>
      <w:r w:rsidR="004277E5" w:rsidRPr="008A3740">
        <w:rPr>
          <w:rFonts w:ascii="Verdana" w:hAnsi="Verdana" w:cs="Verdana"/>
          <w:sz w:val="20"/>
          <w:szCs w:val="20"/>
          <w:lang w:val="en-US" w:eastAsia="en-US"/>
        </w:rPr>
        <w:t xml:space="preserve">examine </w:t>
      </w:r>
      <w:r w:rsidRPr="008A3740">
        <w:rPr>
          <w:rFonts w:ascii="Verdana" w:hAnsi="Verdana" w:cs="Verdana"/>
          <w:sz w:val="20"/>
          <w:szCs w:val="20"/>
          <w:lang w:val="en-US" w:eastAsia="en-US"/>
        </w:rPr>
        <w:t xml:space="preserve">the merits of alleged violations of economic, social, cultural and environmental rights derived from Article 26 of the Convention. </w:t>
      </w:r>
    </w:p>
    <w:p w14:paraId="47974F4B" w14:textId="77777777" w:rsidR="008E6A56" w:rsidRPr="008A3740" w:rsidRDefault="008E6A56" w:rsidP="008E6A56">
      <w:pPr>
        <w:widowControl/>
        <w:tabs>
          <w:tab w:val="left" w:pos="567"/>
        </w:tabs>
        <w:adjustRightInd/>
        <w:textAlignment w:val="auto"/>
        <w:rPr>
          <w:rFonts w:ascii="Verdana" w:hAnsi="Verdana"/>
          <w:sz w:val="20"/>
          <w:szCs w:val="20"/>
          <w:lang w:val="en-US"/>
        </w:rPr>
      </w:pPr>
    </w:p>
    <w:p w14:paraId="12C9C957"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hAnsi="Verdana" w:cs="Verdana"/>
          <w:sz w:val="20"/>
          <w:szCs w:val="20"/>
          <w:lang w:val="en-US" w:eastAsia="en-US"/>
        </w:rPr>
        <w:t xml:space="preserve">In the </w:t>
      </w:r>
      <w:r w:rsidR="00466898" w:rsidRPr="008A3740">
        <w:rPr>
          <w:rFonts w:ascii="Verdana" w:hAnsi="Verdana" w:cs="Verdana"/>
          <w:sz w:val="20"/>
          <w:szCs w:val="20"/>
          <w:lang w:val="en-US" w:eastAsia="en-US"/>
        </w:rPr>
        <w:t xml:space="preserve">particular </w:t>
      </w:r>
      <w:r w:rsidRPr="008A3740">
        <w:rPr>
          <w:rFonts w:ascii="Verdana" w:hAnsi="Verdana" w:cs="Verdana"/>
          <w:sz w:val="20"/>
          <w:szCs w:val="20"/>
          <w:lang w:val="en-US" w:eastAsia="en-US"/>
        </w:rPr>
        <w:t>case</w:t>
      </w:r>
      <w:r w:rsidR="00466898" w:rsidRPr="008A3740">
        <w:rPr>
          <w:rFonts w:ascii="Verdana" w:hAnsi="Verdana" w:cs="Verdana"/>
          <w:sz w:val="20"/>
          <w:szCs w:val="20"/>
          <w:lang w:val="en-US" w:eastAsia="en-US"/>
        </w:rPr>
        <w:t xml:space="preserve"> of</w:t>
      </w:r>
      <w:r w:rsidRPr="008A3740">
        <w:rPr>
          <w:rFonts w:ascii="Verdana" w:hAnsi="Verdana" w:cs="Verdana"/>
          <w:sz w:val="20"/>
          <w:szCs w:val="20"/>
          <w:lang w:val="en-US" w:eastAsia="en-US"/>
        </w:rPr>
        <w:t xml:space="preserve"> </w:t>
      </w:r>
      <w:r w:rsidRPr="008A3740">
        <w:rPr>
          <w:rFonts w:ascii="Verdana" w:hAnsi="Verdana" w:cs="Verdana"/>
          <w:i/>
          <w:sz w:val="20"/>
          <w:szCs w:val="20"/>
          <w:lang w:val="en-US" w:eastAsia="en-US"/>
        </w:rPr>
        <w:t>Cuscul Pivaral et al. v. Guatemala</w:t>
      </w:r>
      <w:r w:rsidRPr="008A3740">
        <w:rPr>
          <w:rFonts w:ascii="Verdana" w:hAnsi="Verdana" w:cs="Verdana"/>
          <w:sz w:val="20"/>
          <w:szCs w:val="20"/>
          <w:lang w:val="en-US" w:eastAsia="en-US"/>
        </w:rPr>
        <w:t>, given the importance of th</w:t>
      </w:r>
      <w:r w:rsidR="00AE47A7" w:rsidRPr="008A3740">
        <w:rPr>
          <w:rFonts w:ascii="Verdana" w:hAnsi="Verdana" w:cs="Verdana"/>
          <w:sz w:val="20"/>
          <w:szCs w:val="20"/>
          <w:lang w:val="en-US" w:eastAsia="en-US"/>
        </w:rPr>
        <w:t xml:space="preserve">is </w:t>
      </w:r>
      <w:r w:rsidRPr="008A3740">
        <w:rPr>
          <w:rFonts w:ascii="Verdana" w:hAnsi="Verdana" w:cs="Verdana"/>
          <w:sz w:val="20"/>
          <w:szCs w:val="20"/>
          <w:lang w:val="en-US" w:eastAsia="en-US"/>
        </w:rPr>
        <w:t xml:space="preserve">question </w:t>
      </w:r>
      <w:r w:rsidR="00AE47A7" w:rsidRPr="008A3740">
        <w:rPr>
          <w:rFonts w:ascii="Verdana" w:hAnsi="Verdana" w:cs="Verdana"/>
          <w:sz w:val="20"/>
          <w:szCs w:val="20"/>
          <w:lang w:val="en-US" w:eastAsia="en-US"/>
        </w:rPr>
        <w:t xml:space="preserve">for </w:t>
      </w:r>
      <w:r w:rsidRPr="008A3740">
        <w:rPr>
          <w:rFonts w:ascii="Verdana" w:hAnsi="Verdana" w:cs="Verdana"/>
          <w:sz w:val="20"/>
          <w:szCs w:val="20"/>
          <w:lang w:val="en-US" w:eastAsia="en-US"/>
        </w:rPr>
        <w:t xml:space="preserve">the </w:t>
      </w:r>
      <w:r w:rsidR="00AA4D66" w:rsidRPr="008A3740">
        <w:rPr>
          <w:rFonts w:ascii="Verdana" w:hAnsi="Verdana" w:cs="Verdana"/>
          <w:sz w:val="20"/>
          <w:szCs w:val="20"/>
          <w:lang w:val="en-US" w:eastAsia="en-US"/>
        </w:rPr>
        <w:t xml:space="preserve">legal certainty </w:t>
      </w:r>
      <w:r w:rsidRPr="008A3740">
        <w:rPr>
          <w:rFonts w:ascii="Verdana" w:hAnsi="Verdana" w:cs="Verdana"/>
          <w:sz w:val="20"/>
          <w:szCs w:val="20"/>
          <w:lang w:val="en-US" w:eastAsia="en-US"/>
        </w:rPr>
        <w:t xml:space="preserve">of the inter-American system, the Court </w:t>
      </w:r>
      <w:r w:rsidR="00B253CF" w:rsidRPr="008A3740">
        <w:rPr>
          <w:rFonts w:ascii="Verdana" w:hAnsi="Verdana" w:cs="Verdana"/>
          <w:sz w:val="20"/>
          <w:szCs w:val="20"/>
          <w:lang w:val="en-US" w:eastAsia="en-US"/>
        </w:rPr>
        <w:t xml:space="preserve">considered the scope of its jurisdiction in relation to Article 26 of the American Convention based on </w:t>
      </w:r>
      <w:r w:rsidRPr="008A3740">
        <w:rPr>
          <w:rFonts w:ascii="Verdana" w:hAnsi="Verdana" w:cs="Verdana"/>
          <w:sz w:val="20"/>
          <w:szCs w:val="20"/>
          <w:lang w:val="en-US" w:eastAsia="en-US"/>
        </w:rPr>
        <w:t xml:space="preserve">a literal, </w:t>
      </w:r>
      <w:r w:rsidRPr="008A3740">
        <w:rPr>
          <w:rFonts w:ascii="Verdana" w:hAnsi="Verdana"/>
          <w:sz w:val="20"/>
          <w:szCs w:val="20"/>
          <w:lang w:val="en-US"/>
        </w:rPr>
        <w:t>syste</w:t>
      </w:r>
      <w:r w:rsidR="00CD113A" w:rsidRPr="008A3740">
        <w:rPr>
          <w:rFonts w:ascii="Verdana" w:hAnsi="Verdana"/>
          <w:sz w:val="20"/>
          <w:szCs w:val="20"/>
          <w:lang w:val="en-US"/>
        </w:rPr>
        <w:t>matic, teleological and evolutive</w:t>
      </w:r>
      <w:r w:rsidRPr="008A3740">
        <w:rPr>
          <w:rFonts w:ascii="Verdana" w:hAnsi="Verdana"/>
          <w:sz w:val="20"/>
          <w:szCs w:val="20"/>
          <w:lang w:val="en-US"/>
        </w:rPr>
        <w:t xml:space="preserve"> </w:t>
      </w:r>
      <w:r w:rsidRPr="008A3740">
        <w:rPr>
          <w:rFonts w:ascii="Verdana" w:hAnsi="Verdana" w:cs="Verdana"/>
          <w:sz w:val="20"/>
          <w:szCs w:val="20"/>
          <w:lang w:val="en-US" w:eastAsia="en-US"/>
        </w:rPr>
        <w:t xml:space="preserve">interpretation </w:t>
      </w:r>
      <w:r w:rsidR="00B253CF" w:rsidRPr="008A3740">
        <w:rPr>
          <w:rFonts w:ascii="Verdana" w:hAnsi="Verdana" w:cs="Verdana"/>
          <w:sz w:val="20"/>
          <w:szCs w:val="20"/>
          <w:lang w:val="en-US" w:eastAsia="en-US"/>
        </w:rPr>
        <w:t>there</w:t>
      </w:r>
      <w:r w:rsidRPr="008A3740">
        <w:rPr>
          <w:rFonts w:ascii="Verdana" w:hAnsi="Verdana" w:cs="Verdana"/>
          <w:sz w:val="20"/>
          <w:szCs w:val="20"/>
          <w:lang w:val="en-US" w:eastAsia="en-US"/>
        </w:rPr>
        <w:t>of</w:t>
      </w:r>
      <w:r w:rsidR="00AE47A7" w:rsidRPr="008A3740">
        <w:rPr>
          <w:rFonts w:ascii="Verdana" w:hAnsi="Verdana"/>
          <w:sz w:val="20"/>
          <w:szCs w:val="20"/>
          <w:lang w:val="en-US"/>
        </w:rPr>
        <w:t xml:space="preserve">. </w:t>
      </w:r>
      <w:r w:rsidR="00B253CF" w:rsidRPr="008A3740">
        <w:rPr>
          <w:rFonts w:ascii="Verdana" w:hAnsi="Verdana"/>
          <w:sz w:val="20"/>
          <w:szCs w:val="20"/>
          <w:lang w:val="en-US"/>
        </w:rPr>
        <w:t xml:space="preserve">Drawing on </w:t>
      </w:r>
      <w:r w:rsidR="00AE47A7" w:rsidRPr="008A3740">
        <w:rPr>
          <w:rFonts w:ascii="Verdana" w:hAnsi="Verdana"/>
          <w:sz w:val="20"/>
          <w:szCs w:val="20"/>
          <w:lang w:val="en-US"/>
        </w:rPr>
        <w:t>those</w:t>
      </w:r>
      <w:r w:rsidR="004277E5" w:rsidRPr="008A3740">
        <w:rPr>
          <w:rFonts w:ascii="Verdana" w:hAnsi="Verdana"/>
          <w:sz w:val="20"/>
          <w:szCs w:val="20"/>
          <w:lang w:val="en-US"/>
        </w:rPr>
        <w:t xml:space="preserve"> interpretative</w:t>
      </w:r>
      <w:r w:rsidR="00CD113A" w:rsidRPr="008A3740">
        <w:rPr>
          <w:rFonts w:ascii="Verdana" w:hAnsi="Verdana"/>
          <w:sz w:val="20"/>
          <w:szCs w:val="20"/>
          <w:lang w:val="en-US"/>
        </w:rPr>
        <w:t xml:space="preserve"> methods</w:t>
      </w:r>
      <w:r w:rsidRPr="008A3740">
        <w:rPr>
          <w:rFonts w:ascii="Verdana" w:hAnsi="Verdana"/>
          <w:sz w:val="20"/>
          <w:szCs w:val="20"/>
          <w:lang w:val="en-US"/>
        </w:rPr>
        <w:t>, on an analysis of the prep</w:t>
      </w:r>
      <w:r w:rsidR="00AE47A7" w:rsidRPr="008A3740">
        <w:rPr>
          <w:rFonts w:ascii="Verdana" w:hAnsi="Verdana"/>
          <w:sz w:val="20"/>
          <w:szCs w:val="20"/>
          <w:lang w:val="en-US"/>
        </w:rPr>
        <w:t>aratory works of the Convention</w:t>
      </w:r>
      <w:r w:rsidRPr="008A3740">
        <w:rPr>
          <w:rFonts w:ascii="Verdana" w:hAnsi="Verdana"/>
          <w:sz w:val="20"/>
          <w:szCs w:val="20"/>
          <w:lang w:val="en-US"/>
        </w:rPr>
        <w:t xml:space="preserve"> and on the juridical nature of the Protocol of San Salvador, the Court concluded that </w:t>
      </w:r>
      <w:r w:rsidRPr="008A3740">
        <w:rPr>
          <w:rFonts w:ascii="Verdana" w:eastAsia="Times" w:hAnsi="Verdana" w:cs="Arial"/>
          <w:sz w:val="20"/>
          <w:szCs w:val="20"/>
          <w:lang w:val="en-US"/>
        </w:rPr>
        <w:t xml:space="preserve">“Article 26 of the Convention protects the rights derived from the economic, social, educational, scientific and cultural standards set forth in the OAS Charter. The scope of such rights </w:t>
      </w:r>
      <w:r w:rsidR="00AD0540" w:rsidRPr="008A3740">
        <w:rPr>
          <w:rFonts w:ascii="Verdana" w:eastAsia="Times" w:hAnsi="Verdana" w:cs="Arial"/>
          <w:sz w:val="20"/>
          <w:szCs w:val="20"/>
          <w:lang w:val="en-US"/>
        </w:rPr>
        <w:t xml:space="preserve">should </w:t>
      </w:r>
      <w:r w:rsidRPr="008A3740">
        <w:rPr>
          <w:rFonts w:ascii="Verdana" w:eastAsia="Times" w:hAnsi="Verdana" w:cs="Arial"/>
          <w:sz w:val="20"/>
          <w:szCs w:val="20"/>
          <w:lang w:val="en-US"/>
        </w:rPr>
        <w:t>be understood in relation to the other arti</w:t>
      </w:r>
      <w:r w:rsidR="00AD0540" w:rsidRPr="008A3740">
        <w:rPr>
          <w:rFonts w:ascii="Verdana" w:eastAsia="Times" w:hAnsi="Verdana" w:cs="Arial"/>
          <w:sz w:val="20"/>
          <w:szCs w:val="20"/>
          <w:lang w:val="en-US"/>
        </w:rPr>
        <w:t>cles of the American Convention</w:t>
      </w:r>
      <w:r w:rsidRPr="008A3740">
        <w:rPr>
          <w:rFonts w:ascii="Verdana" w:eastAsia="Times" w:hAnsi="Verdana" w:cs="Arial"/>
          <w:sz w:val="20"/>
          <w:szCs w:val="20"/>
          <w:lang w:val="en-US"/>
        </w:rPr>
        <w:t xml:space="preserve"> and they are therefore subject to the general obligations contained in Articles 1(1) and 2 of the Convention and may be supervised by this Court </w:t>
      </w:r>
      <w:r w:rsidR="00B253CF" w:rsidRPr="008A3740">
        <w:rPr>
          <w:rFonts w:ascii="Verdana" w:eastAsia="Times" w:hAnsi="Verdana" w:cs="Arial"/>
          <w:sz w:val="20"/>
          <w:szCs w:val="20"/>
          <w:lang w:val="en-US"/>
        </w:rPr>
        <w:t xml:space="preserve">in the terms of </w:t>
      </w:r>
      <w:r w:rsidRPr="008A3740">
        <w:rPr>
          <w:rFonts w:ascii="Verdana" w:eastAsia="Times" w:hAnsi="Verdana" w:cs="Arial"/>
          <w:sz w:val="20"/>
          <w:szCs w:val="20"/>
          <w:lang w:val="en-US"/>
        </w:rPr>
        <w:t xml:space="preserve">Articles 62 and 63 of this instrument. </w:t>
      </w:r>
      <w:r w:rsidRPr="008A3740">
        <w:rPr>
          <w:rFonts w:ascii="Verdana" w:hAnsi="Verdana"/>
          <w:sz w:val="20"/>
          <w:szCs w:val="20"/>
          <w:lang w:val="en-US" w:eastAsia="es-ES_tradnl"/>
        </w:rPr>
        <w:t xml:space="preserve">This conclusion is based not only on formal issues, but results from the interdependence and indivisibility of civil and political rights and </w:t>
      </w:r>
      <w:r w:rsidRPr="008A3740">
        <w:rPr>
          <w:rFonts w:ascii="Verdana" w:hAnsi="Verdana"/>
          <w:sz w:val="20"/>
          <w:szCs w:val="20"/>
          <w:lang w:val="en-US"/>
        </w:rPr>
        <w:t>economic, social, cultural and environmental rights, as well as their compatibility with the object and purpose of the Convention, which is the protection o</w:t>
      </w:r>
      <w:r w:rsidR="004277E5" w:rsidRPr="008A3740">
        <w:rPr>
          <w:rFonts w:ascii="Verdana" w:hAnsi="Verdana"/>
          <w:sz w:val="20"/>
          <w:szCs w:val="20"/>
          <w:lang w:val="en-US"/>
        </w:rPr>
        <w:t xml:space="preserve">f the fundamental rights of </w:t>
      </w:r>
      <w:r w:rsidRPr="008A3740">
        <w:rPr>
          <w:rFonts w:ascii="Verdana" w:hAnsi="Verdana"/>
          <w:sz w:val="20"/>
          <w:szCs w:val="20"/>
          <w:lang w:val="en-US"/>
        </w:rPr>
        <w:t>human being</w:t>
      </w:r>
      <w:r w:rsidR="004277E5" w:rsidRPr="008A3740">
        <w:rPr>
          <w:rFonts w:ascii="Verdana" w:hAnsi="Verdana"/>
          <w:sz w:val="20"/>
          <w:szCs w:val="20"/>
          <w:lang w:val="en-US"/>
        </w:rPr>
        <w:t>s</w:t>
      </w:r>
      <w:r w:rsidRPr="008A3740">
        <w:rPr>
          <w:rFonts w:ascii="Verdana" w:eastAsia="Times" w:hAnsi="Verdana" w:cs="Arial"/>
          <w:sz w:val="20"/>
          <w:szCs w:val="20"/>
          <w:lang w:val="en-US"/>
        </w:rPr>
        <w:t xml:space="preserve">. In each specific case </w:t>
      </w:r>
      <w:r w:rsidR="00A070E5" w:rsidRPr="008A3740">
        <w:rPr>
          <w:rFonts w:ascii="Verdana" w:eastAsia="Times" w:hAnsi="Verdana" w:cs="Arial"/>
          <w:sz w:val="20"/>
          <w:szCs w:val="20"/>
          <w:lang w:val="en-US"/>
        </w:rPr>
        <w:t xml:space="preserve">requiring an </w:t>
      </w:r>
      <w:r w:rsidRPr="008A3740">
        <w:rPr>
          <w:rFonts w:ascii="Verdana" w:eastAsia="Times" w:hAnsi="Verdana" w:cs="Arial"/>
          <w:sz w:val="20"/>
          <w:szCs w:val="20"/>
          <w:lang w:val="en-US"/>
        </w:rPr>
        <w:t xml:space="preserve">analysis of ESCER, </w:t>
      </w:r>
      <w:r w:rsidR="00A070E5" w:rsidRPr="008A3740">
        <w:rPr>
          <w:rFonts w:ascii="Verdana" w:eastAsia="Times" w:hAnsi="Verdana" w:cs="Arial"/>
          <w:sz w:val="20"/>
          <w:szCs w:val="20"/>
          <w:lang w:val="en-US"/>
        </w:rPr>
        <w:t xml:space="preserve">it will be necessary to </w:t>
      </w:r>
      <w:r w:rsidRPr="008A3740">
        <w:rPr>
          <w:rFonts w:ascii="Verdana" w:eastAsia="Times" w:hAnsi="Verdana" w:cs="Arial"/>
          <w:sz w:val="20"/>
          <w:szCs w:val="20"/>
          <w:lang w:val="en-US"/>
        </w:rPr>
        <w:t>determine if a human right protected by Article 26 of the American Convention</w:t>
      </w:r>
      <w:r w:rsidR="00A070E5" w:rsidRPr="008A3740">
        <w:rPr>
          <w:rFonts w:ascii="Verdana" w:eastAsia="Times" w:hAnsi="Verdana" w:cs="Arial"/>
          <w:sz w:val="20"/>
          <w:szCs w:val="20"/>
          <w:lang w:val="en-US"/>
        </w:rPr>
        <w:t xml:space="preserve"> is explicitly or implicitly derived from the OAS Charter</w:t>
      </w:r>
      <w:r w:rsidRPr="008A3740">
        <w:rPr>
          <w:rFonts w:ascii="Verdana" w:eastAsia="Times" w:hAnsi="Verdana" w:cs="Arial"/>
          <w:sz w:val="20"/>
          <w:szCs w:val="20"/>
          <w:lang w:val="en-US"/>
        </w:rPr>
        <w:t>, as well as the scope of that protection.”</w:t>
      </w:r>
      <w:r w:rsidRPr="008A3740">
        <w:rPr>
          <w:rStyle w:val="Refdenotaalpie"/>
          <w:rFonts w:eastAsia="Times"/>
          <w:szCs w:val="20"/>
          <w:lang w:val="en-US"/>
        </w:rPr>
        <w:footnoteReference w:id="28"/>
      </w:r>
      <w:r w:rsidRPr="008A3740">
        <w:rPr>
          <w:rFonts w:ascii="Verdana" w:eastAsia="Times" w:hAnsi="Verdana" w:cs="Arial"/>
          <w:sz w:val="20"/>
          <w:szCs w:val="20"/>
          <w:lang w:val="en-US"/>
        </w:rPr>
        <w:t xml:space="preserve"> </w:t>
      </w:r>
    </w:p>
    <w:p w14:paraId="623DC0F5" w14:textId="77777777" w:rsidR="008E6A56" w:rsidRPr="008A3740" w:rsidRDefault="008E6A56" w:rsidP="008E6A56">
      <w:pPr>
        <w:rPr>
          <w:rFonts w:ascii="Verdana" w:eastAsia="Verdana" w:hAnsi="Verdana"/>
          <w:bCs/>
          <w:sz w:val="20"/>
          <w:szCs w:val="20"/>
          <w:lang w:val="en-US" w:eastAsia="x-none"/>
        </w:rPr>
      </w:pPr>
    </w:p>
    <w:p w14:paraId="7620533D" w14:textId="77777777" w:rsidR="008E6A56" w:rsidRPr="008A3740" w:rsidRDefault="008E6A56" w:rsidP="00D17A65">
      <w:pPr>
        <w:widowControl/>
        <w:numPr>
          <w:ilvl w:val="0"/>
          <w:numId w:val="3"/>
        </w:numPr>
        <w:tabs>
          <w:tab w:val="left" w:pos="567"/>
          <w:tab w:val="num" w:pos="1569"/>
          <w:tab w:val="num" w:pos="12305"/>
        </w:tabs>
        <w:autoSpaceDE w:val="0"/>
        <w:autoSpaceDN w:val="0"/>
        <w:adjustRightInd/>
        <w:ind w:left="0" w:firstLine="0"/>
        <w:textAlignment w:val="auto"/>
        <w:rPr>
          <w:rFonts w:ascii="Verdana" w:eastAsia="Batang" w:hAnsi="Verdana" w:cs="Arial"/>
          <w:iCs/>
          <w:sz w:val="20"/>
          <w:szCs w:val="20"/>
          <w:lang w:val="en-US"/>
        </w:rPr>
      </w:pPr>
      <w:r w:rsidRPr="008A3740">
        <w:rPr>
          <w:rFonts w:ascii="Verdana" w:hAnsi="Verdana"/>
          <w:sz w:val="20"/>
          <w:szCs w:val="20"/>
          <w:lang w:val="en-US"/>
        </w:rPr>
        <w:t xml:space="preserve">The Court refers to the criteria adopted in the aforementioned cases and reiterates its constant case law </w:t>
      </w:r>
      <w:r w:rsidR="00082CA8" w:rsidRPr="008A3740">
        <w:rPr>
          <w:rFonts w:ascii="Verdana" w:hAnsi="Verdana"/>
          <w:sz w:val="20"/>
          <w:szCs w:val="20"/>
          <w:lang w:val="en-US"/>
        </w:rPr>
        <w:t xml:space="preserve">regarding its </w:t>
      </w:r>
      <w:r w:rsidR="004277E5" w:rsidRPr="008A3740">
        <w:rPr>
          <w:rFonts w:ascii="Verdana" w:hAnsi="Verdana"/>
          <w:sz w:val="20"/>
          <w:szCs w:val="20"/>
          <w:lang w:val="en-US"/>
        </w:rPr>
        <w:t xml:space="preserve">jurisdiction </w:t>
      </w:r>
      <w:r w:rsidRPr="008A3740">
        <w:rPr>
          <w:rFonts w:ascii="Verdana" w:hAnsi="Verdana"/>
          <w:sz w:val="20"/>
          <w:szCs w:val="20"/>
          <w:lang w:val="en-US"/>
        </w:rPr>
        <w:t>to examine the alleged violation of the right to social security contained in Article 26 of the Convention. Based on the foregoing,</w:t>
      </w:r>
      <w:r w:rsidRPr="008A3740">
        <w:rPr>
          <w:rFonts w:ascii="Verdana" w:eastAsia="Verdana" w:hAnsi="Verdana" w:cs="Verdana"/>
          <w:sz w:val="20"/>
          <w:szCs w:val="20"/>
          <w:lang w:val="en-US"/>
        </w:rPr>
        <w:t xml:space="preserve"> the Court </w:t>
      </w:r>
      <w:r w:rsidRPr="008A3740">
        <w:rPr>
          <w:rFonts w:ascii="Verdana" w:hAnsi="Verdana"/>
          <w:color w:val="000000"/>
          <w:sz w:val="20"/>
          <w:szCs w:val="20"/>
          <w:lang w:val="en-US"/>
        </w:rPr>
        <w:t xml:space="preserve">dismisses the preliminary </w:t>
      </w:r>
      <w:r w:rsidRPr="008A3740">
        <w:rPr>
          <w:rFonts w:ascii="Verdana" w:hAnsi="Verdana"/>
          <w:color w:val="000000"/>
          <w:sz w:val="20"/>
          <w:szCs w:val="20"/>
          <w:lang w:val="en-US"/>
        </w:rPr>
        <w:lastRenderedPageBreak/>
        <w:t>objection filed by the State, and will therefore rule on the merits of the matter in the corresponding section.</w:t>
      </w:r>
    </w:p>
    <w:p w14:paraId="51263C00" w14:textId="77777777" w:rsidR="008E6A56" w:rsidRPr="008A3740" w:rsidRDefault="008E6A56" w:rsidP="008E6A56">
      <w:pPr>
        <w:pStyle w:val="Ttulo"/>
        <w:rPr>
          <w:lang w:val="en-US"/>
        </w:rPr>
      </w:pPr>
      <w:bookmarkStart w:id="42" w:name="_Toc526152691"/>
      <w:bookmarkStart w:id="43" w:name="_Toc498333476"/>
      <w:bookmarkEnd w:id="36"/>
      <w:bookmarkEnd w:id="37"/>
      <w:bookmarkEnd w:id="39"/>
    </w:p>
    <w:p w14:paraId="42D8BB1E" w14:textId="77777777" w:rsidR="008E6A56" w:rsidRPr="008A3740" w:rsidRDefault="008E6A56" w:rsidP="008E6A56">
      <w:pPr>
        <w:pStyle w:val="Ttulo"/>
        <w:rPr>
          <w:lang w:val="en-US"/>
        </w:rPr>
      </w:pPr>
      <w:bookmarkStart w:id="44" w:name="_Toc375517114"/>
      <w:bookmarkStart w:id="45" w:name="_Toc459158102"/>
      <w:bookmarkStart w:id="46" w:name="_Toc470180046"/>
      <w:bookmarkStart w:id="47" w:name="_Toc514172609"/>
      <w:bookmarkStart w:id="48" w:name="_Toc5009865"/>
      <w:bookmarkEnd w:id="42"/>
      <w:r w:rsidRPr="008A3740">
        <w:rPr>
          <w:lang w:val="en-US"/>
        </w:rPr>
        <w:t>V</w:t>
      </w:r>
      <w:r w:rsidRPr="008A3740">
        <w:rPr>
          <w:lang w:val="en-US"/>
        </w:rPr>
        <w:br/>
        <w:t xml:space="preserve">EVIDENCE </w:t>
      </w:r>
      <w:bookmarkEnd w:id="44"/>
      <w:bookmarkEnd w:id="45"/>
      <w:bookmarkEnd w:id="46"/>
      <w:bookmarkEnd w:id="47"/>
      <w:bookmarkEnd w:id="48"/>
    </w:p>
    <w:p w14:paraId="0F8F560D" w14:textId="77777777" w:rsidR="008E6A56" w:rsidRPr="008A3740" w:rsidRDefault="008E6A56" w:rsidP="008E6A56">
      <w:pPr>
        <w:rPr>
          <w:lang w:val="en-US"/>
        </w:rPr>
      </w:pPr>
    </w:p>
    <w:p w14:paraId="08E4F6A2" w14:textId="77777777" w:rsidR="008E6A56" w:rsidRPr="008A3740" w:rsidRDefault="008E6A56" w:rsidP="00D17A65">
      <w:pPr>
        <w:pStyle w:val="Ttulo2"/>
        <w:numPr>
          <w:ilvl w:val="0"/>
          <w:numId w:val="6"/>
        </w:numPr>
        <w:rPr>
          <w:lang w:val="en-US"/>
        </w:rPr>
      </w:pPr>
      <w:bookmarkStart w:id="49" w:name="_Toc526152692"/>
      <w:bookmarkStart w:id="50" w:name="_Toc516046338"/>
      <w:bookmarkStart w:id="51" w:name="_Toc486842912"/>
      <w:bookmarkStart w:id="52" w:name="_Toc486842774"/>
      <w:bookmarkStart w:id="53" w:name="_Toc486693358"/>
      <w:bookmarkStart w:id="54" w:name="_Toc5009866"/>
      <w:r w:rsidRPr="008A3740">
        <w:rPr>
          <w:lang w:val="en-US"/>
        </w:rPr>
        <w:t>Admission of the documentary evidence</w:t>
      </w:r>
      <w:bookmarkEnd w:id="49"/>
      <w:bookmarkEnd w:id="50"/>
      <w:bookmarkEnd w:id="51"/>
      <w:bookmarkEnd w:id="52"/>
      <w:bookmarkEnd w:id="53"/>
      <w:bookmarkEnd w:id="54"/>
    </w:p>
    <w:p w14:paraId="52D66A62" w14:textId="77777777" w:rsidR="008E6A56" w:rsidRPr="008A3740" w:rsidRDefault="008E6A56" w:rsidP="008E6A56">
      <w:pPr>
        <w:pStyle w:val="Prrafodelista"/>
        <w:tabs>
          <w:tab w:val="left" w:pos="567"/>
        </w:tabs>
        <w:autoSpaceDE w:val="0"/>
        <w:autoSpaceDN w:val="0"/>
        <w:ind w:left="900"/>
        <w:rPr>
          <w:rFonts w:ascii="Verdana" w:hAnsi="Verdana"/>
          <w:b/>
          <w:i/>
          <w:sz w:val="20"/>
          <w:szCs w:val="20"/>
          <w:lang w:val="en-US"/>
        </w:rPr>
      </w:pPr>
    </w:p>
    <w:p w14:paraId="06BC210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Court </w:t>
      </w:r>
      <w:r w:rsidR="00161C9A" w:rsidRPr="008A3740">
        <w:rPr>
          <w:rFonts w:ascii="Verdana" w:hAnsi="Verdana"/>
          <w:sz w:val="20"/>
          <w:szCs w:val="20"/>
          <w:lang w:val="en-US"/>
        </w:rPr>
        <w:t xml:space="preserve">received </w:t>
      </w:r>
      <w:r w:rsidRPr="008A3740">
        <w:rPr>
          <w:rFonts w:ascii="Verdana" w:hAnsi="Verdana"/>
          <w:sz w:val="20"/>
          <w:szCs w:val="20"/>
          <w:lang w:val="en-US"/>
        </w:rPr>
        <w:t xml:space="preserve">various documents presented as evidence by the Commission, the representatives and the State, attached to their main briefs and as </w:t>
      </w:r>
      <w:r w:rsidR="00B44D4F" w:rsidRPr="008A3740">
        <w:rPr>
          <w:rFonts w:ascii="Verdana" w:hAnsi="Verdana"/>
          <w:sz w:val="20"/>
          <w:szCs w:val="20"/>
          <w:lang w:val="en-US"/>
        </w:rPr>
        <w:t>helpful</w:t>
      </w:r>
      <w:r w:rsidRPr="008A3740">
        <w:rPr>
          <w:rFonts w:ascii="Verdana" w:hAnsi="Verdana"/>
          <w:sz w:val="20"/>
          <w:szCs w:val="20"/>
          <w:lang w:val="en-US"/>
        </w:rPr>
        <w:t xml:space="preserve"> evidence (</w:t>
      </w:r>
      <w:r w:rsidRPr="008A3740">
        <w:rPr>
          <w:rFonts w:ascii="Verdana" w:hAnsi="Verdana"/>
          <w:i/>
          <w:sz w:val="20"/>
          <w:szCs w:val="20"/>
          <w:lang w:val="en-US"/>
        </w:rPr>
        <w:t>supra</w:t>
      </w:r>
      <w:r w:rsidRPr="008A3740">
        <w:rPr>
          <w:rFonts w:ascii="Verdana" w:hAnsi="Verdana"/>
          <w:sz w:val="20"/>
          <w:szCs w:val="20"/>
          <w:lang w:val="en-US"/>
        </w:rPr>
        <w:t xml:space="preserve"> paras. 6, 7, 8 and 14). In this case, as in others,</w:t>
      </w:r>
      <w:r w:rsidRPr="008A3740">
        <w:rPr>
          <w:rFonts w:ascii="Verdana" w:hAnsi="Verdana"/>
          <w:sz w:val="20"/>
          <w:szCs w:val="20"/>
          <w:vertAlign w:val="superscript"/>
          <w:lang w:val="en-US"/>
        </w:rPr>
        <w:footnoteReference w:id="29"/>
      </w:r>
      <w:r w:rsidRPr="008A3740">
        <w:rPr>
          <w:rFonts w:ascii="Verdana" w:hAnsi="Verdana"/>
          <w:sz w:val="20"/>
          <w:szCs w:val="20"/>
          <w:lang w:val="en-US"/>
        </w:rPr>
        <w:t xml:space="preserve"> the Court admits th</w:t>
      </w:r>
      <w:r w:rsidR="008E2A49" w:rsidRPr="008A3740">
        <w:rPr>
          <w:rFonts w:ascii="Verdana" w:hAnsi="Verdana"/>
          <w:sz w:val="20"/>
          <w:szCs w:val="20"/>
          <w:lang w:val="en-US"/>
        </w:rPr>
        <w:t xml:space="preserve">ose documents forwarded by the Commission and the parties </w:t>
      </w:r>
      <w:r w:rsidRPr="008A3740">
        <w:rPr>
          <w:rFonts w:ascii="Verdana" w:hAnsi="Verdana"/>
          <w:sz w:val="20"/>
          <w:szCs w:val="20"/>
          <w:lang w:val="en-US"/>
        </w:rPr>
        <w:t xml:space="preserve">at the </w:t>
      </w:r>
      <w:r w:rsidR="008E2A49" w:rsidRPr="008A3740">
        <w:rPr>
          <w:rFonts w:ascii="Verdana" w:hAnsi="Verdana"/>
          <w:sz w:val="20"/>
          <w:szCs w:val="20"/>
          <w:lang w:val="en-US"/>
        </w:rPr>
        <w:t xml:space="preserve">appropriate </w:t>
      </w:r>
      <w:r w:rsidRPr="008A3740">
        <w:rPr>
          <w:rFonts w:ascii="Verdana" w:hAnsi="Verdana"/>
          <w:sz w:val="20"/>
          <w:szCs w:val="20"/>
          <w:lang w:val="en-US"/>
        </w:rPr>
        <w:t>procedural opportunity (Article 57 of the Rules of Procedure)</w:t>
      </w:r>
      <w:r w:rsidR="00A41231" w:rsidRPr="008A3740">
        <w:rPr>
          <w:rFonts w:ascii="Verdana" w:hAnsi="Verdana"/>
          <w:sz w:val="20"/>
          <w:szCs w:val="20"/>
          <w:lang w:val="en-US"/>
        </w:rPr>
        <w:t>,</w:t>
      </w:r>
      <w:r w:rsidRPr="008A3740">
        <w:rPr>
          <w:rStyle w:val="Refdenotaalpie"/>
          <w:szCs w:val="20"/>
          <w:lang w:val="en-US"/>
        </w:rPr>
        <w:footnoteReference w:id="30"/>
      </w:r>
      <w:r w:rsidRPr="008A3740">
        <w:rPr>
          <w:rFonts w:ascii="Verdana" w:hAnsi="Verdana"/>
          <w:sz w:val="20"/>
          <w:szCs w:val="20"/>
          <w:lang w:val="en-US"/>
        </w:rPr>
        <w:t xml:space="preserve"> </w:t>
      </w:r>
      <w:r w:rsidR="00161C9A" w:rsidRPr="008A3740">
        <w:rPr>
          <w:rFonts w:ascii="Verdana" w:hAnsi="Verdana"/>
          <w:sz w:val="20"/>
          <w:szCs w:val="20"/>
          <w:lang w:val="en-US"/>
        </w:rPr>
        <w:t xml:space="preserve">together with </w:t>
      </w:r>
      <w:r w:rsidRPr="008A3740">
        <w:rPr>
          <w:rFonts w:ascii="Verdana" w:hAnsi="Verdana"/>
          <w:sz w:val="20"/>
          <w:szCs w:val="20"/>
          <w:lang w:val="en-US"/>
        </w:rPr>
        <w:t>those submitted by the St</w:t>
      </w:r>
      <w:r w:rsidR="00161C9A" w:rsidRPr="008A3740">
        <w:rPr>
          <w:rFonts w:ascii="Verdana" w:hAnsi="Verdana"/>
          <w:sz w:val="20"/>
          <w:szCs w:val="20"/>
          <w:lang w:val="en-US"/>
        </w:rPr>
        <w:t>ate at the request of the Court</w:t>
      </w:r>
      <w:r w:rsidRPr="008A3740">
        <w:rPr>
          <w:rFonts w:ascii="Verdana" w:hAnsi="Verdana"/>
          <w:sz w:val="20"/>
          <w:szCs w:val="20"/>
          <w:lang w:val="en-US"/>
        </w:rPr>
        <w:t xml:space="preserve"> as helpful e</w:t>
      </w:r>
      <w:r w:rsidR="00A41231" w:rsidRPr="008A3740">
        <w:rPr>
          <w:rFonts w:ascii="Verdana" w:hAnsi="Verdana"/>
          <w:sz w:val="20"/>
          <w:szCs w:val="20"/>
          <w:lang w:val="en-US"/>
        </w:rPr>
        <w:t>vidence, pursuant to Article 58(</w:t>
      </w:r>
      <w:r w:rsidRPr="008A3740">
        <w:rPr>
          <w:rFonts w:ascii="Verdana" w:hAnsi="Verdana"/>
          <w:sz w:val="20"/>
          <w:szCs w:val="20"/>
          <w:lang w:val="en-US"/>
        </w:rPr>
        <w:t xml:space="preserve">b), </w:t>
      </w:r>
      <w:r w:rsidR="00161C9A" w:rsidRPr="008A3740">
        <w:rPr>
          <w:rFonts w:ascii="Verdana" w:hAnsi="Verdana"/>
          <w:sz w:val="20"/>
          <w:szCs w:val="20"/>
          <w:lang w:val="en-US"/>
        </w:rPr>
        <w:t xml:space="preserve">which were not </w:t>
      </w:r>
      <w:r w:rsidR="008E2A49" w:rsidRPr="008A3740">
        <w:rPr>
          <w:rFonts w:ascii="Verdana" w:hAnsi="Verdana"/>
          <w:sz w:val="20"/>
          <w:szCs w:val="20"/>
          <w:lang w:val="en-US"/>
        </w:rPr>
        <w:t xml:space="preserve">contested </w:t>
      </w:r>
      <w:r w:rsidR="00161C9A" w:rsidRPr="008A3740">
        <w:rPr>
          <w:rFonts w:ascii="Verdana" w:hAnsi="Verdana"/>
          <w:sz w:val="20"/>
          <w:szCs w:val="20"/>
          <w:lang w:val="en-US"/>
        </w:rPr>
        <w:t>or opposed</w:t>
      </w:r>
      <w:r w:rsidRPr="008A3740">
        <w:rPr>
          <w:rStyle w:val="Refdenotaalpie"/>
          <w:szCs w:val="20"/>
          <w:lang w:val="en-US"/>
        </w:rPr>
        <w:footnoteReference w:id="31"/>
      </w:r>
      <w:r w:rsidRPr="008A3740">
        <w:rPr>
          <w:rFonts w:ascii="Verdana" w:hAnsi="Verdana"/>
          <w:sz w:val="20"/>
          <w:szCs w:val="20"/>
          <w:lang w:val="en-US"/>
        </w:rPr>
        <w:t xml:space="preserve"> and </w:t>
      </w:r>
      <w:r w:rsidR="008E2A49" w:rsidRPr="008A3740">
        <w:rPr>
          <w:rFonts w:ascii="Verdana" w:hAnsi="Verdana"/>
          <w:sz w:val="20"/>
          <w:szCs w:val="20"/>
          <w:lang w:val="en-US"/>
        </w:rPr>
        <w:t xml:space="preserve">the </w:t>
      </w:r>
      <w:r w:rsidRPr="008A3740">
        <w:rPr>
          <w:rFonts w:ascii="Verdana" w:hAnsi="Verdana"/>
          <w:sz w:val="20"/>
          <w:szCs w:val="20"/>
          <w:lang w:val="en-US"/>
        </w:rPr>
        <w:t xml:space="preserve">authenticity </w:t>
      </w:r>
      <w:r w:rsidR="008E2A49" w:rsidRPr="008A3740">
        <w:rPr>
          <w:rFonts w:ascii="Verdana" w:hAnsi="Verdana"/>
          <w:sz w:val="20"/>
          <w:szCs w:val="20"/>
          <w:lang w:val="en-US"/>
        </w:rPr>
        <w:t xml:space="preserve">of which </w:t>
      </w:r>
      <w:r w:rsidRPr="008A3740">
        <w:rPr>
          <w:rFonts w:ascii="Verdana" w:hAnsi="Verdana"/>
          <w:sz w:val="20"/>
          <w:szCs w:val="20"/>
          <w:lang w:val="en-US"/>
        </w:rPr>
        <w:t xml:space="preserve">was not challenged. Nevertheless, it will offer some pertinent considerations. </w:t>
      </w:r>
    </w:p>
    <w:p w14:paraId="7A4B9A79" w14:textId="77777777" w:rsidR="008E6A56" w:rsidRPr="008A3740" w:rsidRDefault="008E6A56" w:rsidP="008E6A56">
      <w:pPr>
        <w:tabs>
          <w:tab w:val="left" w:pos="567"/>
        </w:tabs>
        <w:rPr>
          <w:rFonts w:ascii="Verdana" w:hAnsi="Verdana"/>
          <w:sz w:val="20"/>
          <w:szCs w:val="20"/>
          <w:lang w:val="en-US"/>
        </w:rPr>
      </w:pPr>
    </w:p>
    <w:p w14:paraId="4172161C"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Together with their final written arguments, the representatives forwarded three documents and two videos related to the physical and mental health of Mr. Muelle Flores as well as some of the expenses incurred. The Court notes that the State presented observations and objected to some of the annexes forwarded by the representatives. </w:t>
      </w:r>
      <w:r w:rsidR="008E2A49" w:rsidRPr="008A3740">
        <w:rPr>
          <w:rFonts w:ascii="Verdana" w:hAnsi="Verdana"/>
          <w:sz w:val="20"/>
          <w:szCs w:val="20"/>
          <w:lang w:val="en-US"/>
        </w:rPr>
        <w:t>However, t</w:t>
      </w:r>
      <w:r w:rsidRPr="008A3740">
        <w:rPr>
          <w:rFonts w:ascii="Verdana" w:hAnsi="Verdana"/>
          <w:sz w:val="20"/>
          <w:szCs w:val="20"/>
          <w:lang w:val="en-US"/>
        </w:rPr>
        <w:t xml:space="preserve">his Court will refer </w:t>
      </w:r>
      <w:r w:rsidR="00161C9A" w:rsidRPr="008A3740">
        <w:rPr>
          <w:rFonts w:ascii="Verdana" w:hAnsi="Verdana"/>
          <w:sz w:val="20"/>
          <w:szCs w:val="20"/>
          <w:lang w:val="en-US"/>
        </w:rPr>
        <w:t xml:space="preserve">only </w:t>
      </w:r>
      <w:r w:rsidRPr="008A3740">
        <w:rPr>
          <w:rFonts w:ascii="Verdana" w:hAnsi="Verdana"/>
          <w:sz w:val="20"/>
          <w:szCs w:val="20"/>
          <w:lang w:val="en-US"/>
        </w:rPr>
        <w:t xml:space="preserve">to the arguments </w:t>
      </w:r>
      <w:r w:rsidR="00161C9A" w:rsidRPr="008A3740">
        <w:rPr>
          <w:rFonts w:ascii="Verdana" w:hAnsi="Verdana"/>
          <w:sz w:val="20"/>
          <w:szCs w:val="20"/>
          <w:lang w:val="en-US"/>
        </w:rPr>
        <w:t xml:space="preserve">presented by </w:t>
      </w:r>
      <w:r w:rsidRPr="008A3740">
        <w:rPr>
          <w:rFonts w:ascii="Verdana" w:hAnsi="Verdana"/>
          <w:sz w:val="20"/>
          <w:szCs w:val="20"/>
          <w:lang w:val="en-US"/>
        </w:rPr>
        <w:t xml:space="preserve">the State regarding the admissibility of the documentary evidence. In this regard, the State held that Annex I, </w:t>
      </w:r>
      <w:r w:rsidR="00161C9A" w:rsidRPr="008A3740">
        <w:rPr>
          <w:rFonts w:ascii="Verdana" w:hAnsi="Verdana"/>
          <w:sz w:val="20"/>
          <w:szCs w:val="20"/>
          <w:lang w:val="en-US"/>
        </w:rPr>
        <w:t xml:space="preserve">concerning the certificate issued by </w:t>
      </w:r>
      <w:r w:rsidRPr="008A3740">
        <w:rPr>
          <w:rFonts w:ascii="Verdana" w:hAnsi="Verdana"/>
          <w:sz w:val="20"/>
          <w:szCs w:val="20"/>
          <w:lang w:val="en-US"/>
        </w:rPr>
        <w:t xml:space="preserve">the Air Force Hospital, “[was] blurred and illegible” and lacked the formality of the “signature of the head of section of the F.A.P Central Hospital.” The Court finds that the document is legible and that it is signed by the attending physician, which it considers sufficient for its admission. </w:t>
      </w:r>
      <w:r w:rsidR="00161C9A" w:rsidRPr="008A3740">
        <w:rPr>
          <w:rFonts w:ascii="Verdana" w:hAnsi="Verdana"/>
          <w:sz w:val="20"/>
          <w:szCs w:val="20"/>
          <w:lang w:val="en-US"/>
        </w:rPr>
        <w:t xml:space="preserve">Moreover, </w:t>
      </w:r>
      <w:r w:rsidR="008E2A49" w:rsidRPr="008A3740">
        <w:rPr>
          <w:rFonts w:ascii="Verdana" w:hAnsi="Verdana"/>
          <w:sz w:val="20"/>
          <w:szCs w:val="20"/>
          <w:lang w:val="en-US"/>
        </w:rPr>
        <w:t>the</w:t>
      </w:r>
      <w:r w:rsidR="00161C9A" w:rsidRPr="008A3740">
        <w:rPr>
          <w:rFonts w:ascii="Verdana" w:hAnsi="Verdana"/>
          <w:sz w:val="20"/>
          <w:szCs w:val="20"/>
          <w:lang w:val="en-US"/>
        </w:rPr>
        <w:t xml:space="preserve"> </w:t>
      </w:r>
      <w:r w:rsidRPr="008A3740">
        <w:rPr>
          <w:rFonts w:ascii="Verdana" w:hAnsi="Verdana"/>
          <w:sz w:val="20"/>
          <w:szCs w:val="20"/>
          <w:lang w:val="en-US"/>
        </w:rPr>
        <w:t xml:space="preserve">document was issued </w:t>
      </w:r>
      <w:r w:rsidR="00B44D4F" w:rsidRPr="008A3740">
        <w:rPr>
          <w:rFonts w:ascii="Verdana" w:hAnsi="Verdana"/>
          <w:sz w:val="20"/>
          <w:szCs w:val="20"/>
          <w:lang w:val="en-US"/>
        </w:rPr>
        <w:t xml:space="preserve">after the representatives’ </w:t>
      </w:r>
      <w:r w:rsidRPr="008A3740">
        <w:rPr>
          <w:rFonts w:ascii="Verdana" w:hAnsi="Verdana"/>
          <w:sz w:val="20"/>
          <w:szCs w:val="20"/>
          <w:lang w:val="en-US"/>
        </w:rPr>
        <w:t xml:space="preserve">pleadings and motions brief, in relation to a supervening fact. Consequently, </w:t>
      </w:r>
      <w:r w:rsidR="00161C9A" w:rsidRPr="008A3740">
        <w:rPr>
          <w:rFonts w:ascii="Verdana" w:hAnsi="Verdana"/>
          <w:sz w:val="20"/>
          <w:szCs w:val="20"/>
          <w:lang w:val="en-US"/>
        </w:rPr>
        <w:t xml:space="preserve">the Court admits this document, </w:t>
      </w:r>
      <w:r w:rsidRPr="008A3740">
        <w:rPr>
          <w:rFonts w:ascii="Verdana" w:hAnsi="Verdana"/>
          <w:sz w:val="20"/>
          <w:szCs w:val="20"/>
          <w:lang w:val="en-US"/>
        </w:rPr>
        <w:t xml:space="preserve">pursuant to Article 57(2) of </w:t>
      </w:r>
      <w:r w:rsidR="00161C9A" w:rsidRPr="008A3740">
        <w:rPr>
          <w:rFonts w:ascii="Verdana" w:hAnsi="Verdana"/>
          <w:sz w:val="20"/>
          <w:szCs w:val="20"/>
          <w:lang w:val="en-US"/>
        </w:rPr>
        <w:t>its Rules of Procedure.</w:t>
      </w:r>
    </w:p>
    <w:p w14:paraId="50C6F747" w14:textId="77777777" w:rsidR="008E6A56" w:rsidRPr="008A3740" w:rsidRDefault="008E6A56" w:rsidP="008E6A56">
      <w:pPr>
        <w:pStyle w:val="Prrafodelista"/>
        <w:rPr>
          <w:rFonts w:ascii="Verdana" w:hAnsi="Verdana"/>
          <w:sz w:val="20"/>
          <w:szCs w:val="20"/>
          <w:lang w:val="en-US"/>
        </w:rPr>
      </w:pPr>
    </w:p>
    <w:p w14:paraId="7C094717" w14:textId="77777777" w:rsidR="008E6A56" w:rsidRPr="008A3740" w:rsidRDefault="00161C9A"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T</w:t>
      </w:r>
      <w:r w:rsidR="008E6A56" w:rsidRPr="008A3740">
        <w:rPr>
          <w:rFonts w:ascii="Verdana" w:hAnsi="Verdana"/>
          <w:sz w:val="20"/>
          <w:lang w:val="en-US"/>
        </w:rPr>
        <w:t xml:space="preserve">he State </w:t>
      </w:r>
      <w:r w:rsidRPr="008A3740">
        <w:rPr>
          <w:rFonts w:ascii="Verdana" w:hAnsi="Verdana"/>
          <w:sz w:val="20"/>
          <w:lang w:val="en-US"/>
        </w:rPr>
        <w:t xml:space="preserve">also </w:t>
      </w:r>
      <w:r w:rsidR="000C25A4" w:rsidRPr="008A3740">
        <w:rPr>
          <w:rFonts w:ascii="Verdana" w:hAnsi="Verdana"/>
          <w:sz w:val="20"/>
          <w:lang w:val="en-US"/>
        </w:rPr>
        <w:t xml:space="preserve">argued </w:t>
      </w:r>
      <w:r w:rsidR="008E6A56" w:rsidRPr="008A3740">
        <w:rPr>
          <w:rFonts w:ascii="Verdana" w:hAnsi="Verdana"/>
          <w:sz w:val="20"/>
          <w:lang w:val="en-US"/>
        </w:rPr>
        <w:t>that the representatives</w:t>
      </w:r>
      <w:r w:rsidR="000C25A4" w:rsidRPr="008A3740">
        <w:rPr>
          <w:rFonts w:ascii="Verdana" w:hAnsi="Verdana"/>
          <w:sz w:val="20"/>
          <w:lang w:val="en-US"/>
        </w:rPr>
        <w:t>’ transcription of the</w:t>
      </w:r>
      <w:r w:rsidR="008E6A56" w:rsidRPr="008A3740">
        <w:rPr>
          <w:rFonts w:ascii="Verdana" w:hAnsi="Verdana"/>
          <w:sz w:val="20"/>
          <w:lang w:val="en-US"/>
        </w:rPr>
        <w:t xml:space="preserve"> text of the medical certificate </w:t>
      </w:r>
      <w:r w:rsidR="00AC4BC0" w:rsidRPr="008A3740">
        <w:rPr>
          <w:rFonts w:ascii="Verdana" w:hAnsi="Verdana"/>
          <w:sz w:val="20"/>
          <w:lang w:val="en-US"/>
        </w:rPr>
        <w:t xml:space="preserve">provided by </w:t>
      </w:r>
      <w:r w:rsidR="008E6A56" w:rsidRPr="008A3740">
        <w:rPr>
          <w:rFonts w:ascii="Verdana" w:hAnsi="Verdana"/>
          <w:sz w:val="20"/>
          <w:lang w:val="en-US"/>
        </w:rPr>
        <w:t>the surgeon who performed the surgical intervention on Mr. Oscar Muelle Flores’ femoral hip fracture, “[was] not of a formal nature, since it ha[d] not been transcribed and signed by the attending physician; therefore, it was not a</w:t>
      </w:r>
      <w:r w:rsidR="00B44D4F" w:rsidRPr="008A3740">
        <w:rPr>
          <w:rFonts w:ascii="Verdana" w:hAnsi="Verdana"/>
          <w:sz w:val="20"/>
          <w:lang w:val="en-US"/>
        </w:rPr>
        <w:t>n appropriate</w:t>
      </w:r>
      <w:r w:rsidR="008E6A56" w:rsidRPr="008A3740">
        <w:rPr>
          <w:rFonts w:ascii="Verdana" w:hAnsi="Verdana"/>
          <w:sz w:val="20"/>
          <w:lang w:val="en-US"/>
        </w:rPr>
        <w:t xml:space="preserve"> document</w:t>
      </w:r>
      <w:r w:rsidR="00B44D4F" w:rsidRPr="008A3740">
        <w:rPr>
          <w:rFonts w:ascii="Verdana" w:hAnsi="Verdana"/>
          <w:sz w:val="20"/>
          <w:lang w:val="en-US"/>
        </w:rPr>
        <w:t>.”</w:t>
      </w:r>
      <w:r w:rsidR="008E6A56" w:rsidRPr="008A3740">
        <w:rPr>
          <w:rFonts w:ascii="Verdana" w:hAnsi="Verdana"/>
          <w:sz w:val="20"/>
          <w:lang w:val="en-US"/>
        </w:rPr>
        <w:t xml:space="preserve"> In this regard, the Court </w:t>
      </w:r>
      <w:r w:rsidR="008E2A49" w:rsidRPr="008A3740">
        <w:rPr>
          <w:rFonts w:ascii="Verdana" w:hAnsi="Verdana"/>
          <w:sz w:val="20"/>
          <w:lang w:val="en-US"/>
        </w:rPr>
        <w:t>decides</w:t>
      </w:r>
      <w:r w:rsidR="00AC4BC0" w:rsidRPr="008A3740">
        <w:rPr>
          <w:rFonts w:ascii="Verdana" w:hAnsi="Verdana"/>
          <w:sz w:val="20"/>
          <w:lang w:val="en-US"/>
        </w:rPr>
        <w:t xml:space="preserve"> to admit</w:t>
      </w:r>
      <w:r w:rsidR="008E6A56" w:rsidRPr="008A3740">
        <w:rPr>
          <w:rFonts w:ascii="Verdana" w:hAnsi="Verdana"/>
          <w:sz w:val="20"/>
          <w:lang w:val="en-US"/>
        </w:rPr>
        <w:t xml:space="preserve"> the transcription of the representatives since it considers that its aim is to clarify, </w:t>
      </w:r>
      <w:r w:rsidR="00B17EDA" w:rsidRPr="008A3740">
        <w:rPr>
          <w:rFonts w:ascii="Verdana" w:hAnsi="Verdana"/>
          <w:sz w:val="20"/>
          <w:lang w:val="en-US"/>
        </w:rPr>
        <w:t>in a reliable manner</w:t>
      </w:r>
      <w:r w:rsidR="008E6A56" w:rsidRPr="008A3740">
        <w:rPr>
          <w:rFonts w:ascii="Verdana" w:hAnsi="Verdana"/>
          <w:sz w:val="20"/>
          <w:lang w:val="en-US"/>
        </w:rPr>
        <w:t xml:space="preserve">, the content of the official medical certificate </w:t>
      </w:r>
      <w:r w:rsidR="00B17EDA" w:rsidRPr="008A3740">
        <w:rPr>
          <w:rFonts w:ascii="Verdana" w:hAnsi="Verdana"/>
          <w:sz w:val="20"/>
          <w:lang w:val="en-US"/>
        </w:rPr>
        <w:t xml:space="preserve">enclosed </w:t>
      </w:r>
      <w:r w:rsidR="008E6A56" w:rsidRPr="008A3740">
        <w:rPr>
          <w:rFonts w:ascii="Verdana" w:hAnsi="Verdana"/>
          <w:sz w:val="20"/>
          <w:lang w:val="en-US"/>
        </w:rPr>
        <w:t>in the evidence forwarded by them, which includes the corresponding formalities.</w:t>
      </w:r>
    </w:p>
    <w:p w14:paraId="0AF93791" w14:textId="77777777" w:rsidR="008E6A56" w:rsidRPr="008A3740" w:rsidRDefault="008E6A56" w:rsidP="008E6A56">
      <w:pPr>
        <w:rPr>
          <w:rFonts w:ascii="Verdana" w:hAnsi="Verdana"/>
          <w:sz w:val="20"/>
          <w:szCs w:val="20"/>
          <w:lang w:val="en-US"/>
        </w:rPr>
      </w:pPr>
    </w:p>
    <w:p w14:paraId="15D5730C" w14:textId="77777777" w:rsidR="008E6A56" w:rsidRPr="008A3740" w:rsidRDefault="008E6A56" w:rsidP="008E6A56">
      <w:pPr>
        <w:pStyle w:val="Ttulo2"/>
        <w:tabs>
          <w:tab w:val="clear" w:pos="360"/>
        </w:tabs>
        <w:ind w:hanging="360"/>
        <w:rPr>
          <w:lang w:val="en-US"/>
        </w:rPr>
      </w:pPr>
      <w:bookmarkStart w:id="67" w:name="_Toc526152693"/>
      <w:bookmarkStart w:id="68" w:name="_Toc5009867"/>
      <w:r w:rsidRPr="008A3740">
        <w:rPr>
          <w:lang w:val="en-US"/>
        </w:rPr>
        <w:t>Admission of the testimonial and expert evidence</w:t>
      </w:r>
      <w:bookmarkEnd w:id="67"/>
      <w:bookmarkEnd w:id="68"/>
    </w:p>
    <w:p w14:paraId="38AB3DC5" w14:textId="77777777" w:rsidR="008E6A56" w:rsidRPr="008A3740" w:rsidRDefault="008E6A56" w:rsidP="008E6A56">
      <w:pPr>
        <w:pStyle w:val="Ttulo"/>
        <w:rPr>
          <w:lang w:val="en-US"/>
        </w:rPr>
      </w:pPr>
    </w:p>
    <w:p w14:paraId="1C6D8111"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Court deems it pertinent to admit the testimony and expert opinions </w:t>
      </w:r>
      <w:r w:rsidR="00FD62F7" w:rsidRPr="008A3740">
        <w:rPr>
          <w:rFonts w:ascii="Verdana" w:hAnsi="Verdana"/>
          <w:sz w:val="20"/>
          <w:szCs w:val="20"/>
          <w:lang w:val="en-US"/>
        </w:rPr>
        <w:t xml:space="preserve">provided </w:t>
      </w:r>
      <w:r w:rsidR="00341993" w:rsidRPr="008A3740">
        <w:rPr>
          <w:rFonts w:ascii="Verdana" w:hAnsi="Verdana"/>
          <w:sz w:val="20"/>
          <w:szCs w:val="20"/>
          <w:lang w:val="en-US"/>
        </w:rPr>
        <w:t>by affidavit</w:t>
      </w:r>
      <w:r w:rsidRPr="008A3740">
        <w:rPr>
          <w:rFonts w:ascii="Verdana" w:hAnsi="Verdana"/>
          <w:sz w:val="20"/>
          <w:szCs w:val="20"/>
          <w:lang w:val="en-US"/>
        </w:rPr>
        <w:t xml:space="preserve">, </w:t>
      </w:r>
      <w:r w:rsidR="00FD62F7" w:rsidRPr="008A3740">
        <w:rPr>
          <w:rFonts w:ascii="Verdana" w:hAnsi="Verdana"/>
          <w:sz w:val="20"/>
          <w:szCs w:val="20"/>
          <w:lang w:val="en-US"/>
        </w:rPr>
        <w:t xml:space="preserve">only </w:t>
      </w:r>
      <w:r w:rsidRPr="008A3740">
        <w:rPr>
          <w:rFonts w:ascii="Verdana" w:hAnsi="Verdana"/>
          <w:sz w:val="20"/>
          <w:szCs w:val="20"/>
          <w:lang w:val="en-US"/>
        </w:rPr>
        <w:t xml:space="preserve">insofar </w:t>
      </w:r>
      <w:r w:rsidR="00FD62F7" w:rsidRPr="008A3740">
        <w:rPr>
          <w:rFonts w:ascii="Verdana" w:eastAsiaTheme="minorHAnsi" w:hAnsi="Verdana" w:cs="Verdana"/>
          <w:sz w:val="20"/>
          <w:szCs w:val="20"/>
          <w:lang w:val="en-US" w:eastAsia="en-US"/>
        </w:rPr>
        <w:t xml:space="preserve">as they are in </w:t>
      </w:r>
      <w:r w:rsidR="00B44D4F" w:rsidRPr="008A3740">
        <w:rPr>
          <w:rFonts w:ascii="Verdana" w:eastAsiaTheme="minorHAnsi" w:hAnsi="Verdana" w:cs="Verdana"/>
          <w:sz w:val="20"/>
          <w:szCs w:val="20"/>
          <w:lang w:val="en-US" w:eastAsia="en-US"/>
        </w:rPr>
        <w:t>keeping with the purpose defined</w:t>
      </w:r>
      <w:r w:rsidR="00B44D4F" w:rsidRPr="008A3740">
        <w:rPr>
          <w:rFonts w:ascii="Verdana" w:hAnsi="Verdana"/>
          <w:sz w:val="20"/>
          <w:szCs w:val="20"/>
          <w:lang w:val="en-US"/>
        </w:rPr>
        <w:t xml:space="preserve"> </w:t>
      </w:r>
      <w:r w:rsidRPr="008A3740">
        <w:rPr>
          <w:rFonts w:ascii="Verdana" w:hAnsi="Verdana"/>
          <w:sz w:val="20"/>
          <w:szCs w:val="20"/>
          <w:lang w:val="en-US"/>
        </w:rPr>
        <w:t xml:space="preserve">by the President in the Order </w:t>
      </w:r>
      <w:r w:rsidR="00B44D4F" w:rsidRPr="008A3740">
        <w:rPr>
          <w:rFonts w:ascii="Verdana" w:hAnsi="Verdana"/>
          <w:sz w:val="20"/>
          <w:szCs w:val="20"/>
          <w:lang w:val="en-US"/>
        </w:rPr>
        <w:t xml:space="preserve">requiring </w:t>
      </w:r>
      <w:r w:rsidR="00B44D4F" w:rsidRPr="008A3740">
        <w:rPr>
          <w:rFonts w:ascii="Verdana" w:hAnsi="Verdana"/>
          <w:sz w:val="20"/>
          <w:szCs w:val="20"/>
          <w:lang w:val="en-US"/>
        </w:rPr>
        <w:lastRenderedPageBreak/>
        <w:t xml:space="preserve">them </w:t>
      </w:r>
      <w:r w:rsidRPr="008A3740">
        <w:rPr>
          <w:rFonts w:ascii="Verdana" w:hAnsi="Verdana"/>
          <w:sz w:val="20"/>
          <w:szCs w:val="20"/>
          <w:lang w:val="en-US"/>
        </w:rPr>
        <w:t>(</w:t>
      </w:r>
      <w:r w:rsidRPr="008A3740">
        <w:rPr>
          <w:rFonts w:ascii="Verdana" w:hAnsi="Verdana"/>
          <w:i/>
          <w:sz w:val="20"/>
          <w:szCs w:val="20"/>
          <w:lang w:val="en-US"/>
        </w:rPr>
        <w:t>supra</w:t>
      </w:r>
      <w:r w:rsidRPr="008A3740">
        <w:rPr>
          <w:rFonts w:ascii="Verdana" w:hAnsi="Verdana"/>
          <w:sz w:val="20"/>
          <w:szCs w:val="20"/>
          <w:lang w:val="en-US"/>
        </w:rPr>
        <w:t xml:space="preserve"> para. 10) and </w:t>
      </w:r>
      <w:r w:rsidR="00FD62F7" w:rsidRPr="008A3740">
        <w:rPr>
          <w:rFonts w:ascii="Verdana" w:hAnsi="Verdana"/>
          <w:sz w:val="20"/>
          <w:szCs w:val="20"/>
          <w:lang w:val="en-US"/>
        </w:rPr>
        <w:t xml:space="preserve">with </w:t>
      </w:r>
      <w:r w:rsidRPr="008A3740">
        <w:rPr>
          <w:rFonts w:ascii="Verdana" w:hAnsi="Verdana"/>
          <w:sz w:val="20"/>
          <w:szCs w:val="20"/>
          <w:lang w:val="en-US"/>
        </w:rPr>
        <w:t xml:space="preserve">the </w:t>
      </w:r>
      <w:r w:rsidR="00B44D4F" w:rsidRPr="008A3740">
        <w:rPr>
          <w:rFonts w:ascii="Verdana" w:hAnsi="Verdana"/>
          <w:sz w:val="20"/>
          <w:szCs w:val="20"/>
          <w:lang w:val="en-US"/>
        </w:rPr>
        <w:t xml:space="preserve">purpose </w:t>
      </w:r>
      <w:r w:rsidRPr="008A3740">
        <w:rPr>
          <w:rFonts w:ascii="Verdana" w:hAnsi="Verdana"/>
          <w:sz w:val="20"/>
          <w:szCs w:val="20"/>
          <w:lang w:val="en-US"/>
        </w:rPr>
        <w:t xml:space="preserve">of the </w:t>
      </w:r>
      <w:r w:rsidR="00FD62F7" w:rsidRPr="008A3740">
        <w:rPr>
          <w:rFonts w:ascii="Verdana" w:hAnsi="Verdana"/>
          <w:sz w:val="20"/>
          <w:szCs w:val="20"/>
          <w:lang w:val="en-US"/>
        </w:rPr>
        <w:t xml:space="preserve">instant </w:t>
      </w:r>
      <w:r w:rsidRPr="008A3740">
        <w:rPr>
          <w:rFonts w:ascii="Verdana" w:hAnsi="Verdana"/>
          <w:sz w:val="20"/>
          <w:szCs w:val="20"/>
          <w:lang w:val="en-US"/>
        </w:rPr>
        <w:t>case.</w:t>
      </w:r>
      <w:r w:rsidRPr="008A3740">
        <w:rPr>
          <w:rStyle w:val="Refdenotaalpie"/>
          <w:szCs w:val="20"/>
          <w:lang w:val="en-US"/>
        </w:rPr>
        <w:footnoteReference w:id="32"/>
      </w:r>
    </w:p>
    <w:p w14:paraId="2FFD1C21" w14:textId="77777777" w:rsidR="008E6A56" w:rsidRPr="008A3740" w:rsidRDefault="008E6A56" w:rsidP="008E6A56">
      <w:pPr>
        <w:tabs>
          <w:tab w:val="left" w:pos="567"/>
        </w:tabs>
        <w:ind w:firstLine="720"/>
        <w:rPr>
          <w:rFonts w:ascii="Verdana" w:hAnsi="Verdana"/>
          <w:sz w:val="20"/>
          <w:szCs w:val="20"/>
          <w:lang w:val="en-US"/>
        </w:rPr>
      </w:pPr>
    </w:p>
    <w:p w14:paraId="1C2CE53F"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State presented </w:t>
      </w:r>
      <w:r w:rsidR="00A65D84" w:rsidRPr="008A3740">
        <w:rPr>
          <w:rFonts w:ascii="Verdana" w:hAnsi="Verdana"/>
          <w:sz w:val="20"/>
          <w:szCs w:val="20"/>
          <w:lang w:val="en-US"/>
        </w:rPr>
        <w:t>various observations</w:t>
      </w:r>
      <w:r w:rsidRPr="008A3740">
        <w:rPr>
          <w:rFonts w:ascii="Verdana" w:hAnsi="Verdana"/>
          <w:sz w:val="20"/>
          <w:szCs w:val="20"/>
          <w:lang w:val="en-US"/>
        </w:rPr>
        <w:t xml:space="preserve"> and asked the Court to assess these, in particular, </w:t>
      </w:r>
      <w:r w:rsidR="00A65D84" w:rsidRPr="008A3740">
        <w:rPr>
          <w:rFonts w:ascii="Verdana" w:hAnsi="Verdana"/>
          <w:sz w:val="20"/>
          <w:szCs w:val="20"/>
          <w:lang w:val="en-US"/>
        </w:rPr>
        <w:t xml:space="preserve">those </w:t>
      </w:r>
      <w:r w:rsidRPr="008A3740">
        <w:rPr>
          <w:rFonts w:ascii="Verdana" w:hAnsi="Verdana"/>
          <w:sz w:val="20"/>
          <w:szCs w:val="20"/>
          <w:lang w:val="en-US"/>
        </w:rPr>
        <w:t xml:space="preserve">regarding the transfer of the expert opinions to the present case, as well as in relation to the testimonies rendered by affidavit by </w:t>
      </w:r>
      <w:r w:rsidRPr="008A3740">
        <w:rPr>
          <w:rFonts w:ascii="Verdana" w:hAnsi="Verdana"/>
          <w:sz w:val="20"/>
          <w:lang w:val="en-US"/>
        </w:rPr>
        <w:t>Vibeke Ann Muelle and Jesús Aníbal Flores</w:t>
      </w:r>
      <w:r w:rsidRPr="008A3740">
        <w:rPr>
          <w:rFonts w:ascii="Verdana" w:hAnsi="Verdana"/>
          <w:sz w:val="20"/>
          <w:szCs w:val="20"/>
          <w:lang w:val="en-US"/>
        </w:rPr>
        <w:t xml:space="preserve">. </w:t>
      </w:r>
      <w:r w:rsidR="00A65D84" w:rsidRPr="008A3740">
        <w:rPr>
          <w:rFonts w:ascii="Verdana" w:hAnsi="Verdana"/>
          <w:sz w:val="20"/>
          <w:szCs w:val="20"/>
          <w:lang w:val="en-US"/>
        </w:rPr>
        <w:t xml:space="preserve">First, </w:t>
      </w:r>
      <w:r w:rsidRPr="008A3740">
        <w:rPr>
          <w:rFonts w:ascii="Verdana" w:hAnsi="Verdana"/>
          <w:sz w:val="20"/>
          <w:szCs w:val="20"/>
          <w:lang w:val="en-US"/>
        </w:rPr>
        <w:t xml:space="preserve">the Court </w:t>
      </w:r>
      <w:r w:rsidR="00A65D84" w:rsidRPr="008A3740">
        <w:rPr>
          <w:rFonts w:ascii="Verdana" w:hAnsi="Verdana"/>
          <w:sz w:val="20"/>
          <w:szCs w:val="20"/>
          <w:lang w:val="en-US"/>
        </w:rPr>
        <w:t>will refer</w:t>
      </w:r>
      <w:r w:rsidRPr="008A3740">
        <w:rPr>
          <w:rFonts w:ascii="Verdana" w:hAnsi="Verdana"/>
          <w:sz w:val="20"/>
          <w:szCs w:val="20"/>
          <w:lang w:val="en-US"/>
        </w:rPr>
        <w:t xml:space="preserve"> to the </w:t>
      </w:r>
      <w:r w:rsidR="00B44D4F" w:rsidRPr="008A3740">
        <w:rPr>
          <w:rFonts w:ascii="Verdana" w:hAnsi="Verdana"/>
          <w:sz w:val="20"/>
          <w:szCs w:val="20"/>
          <w:lang w:val="en-US"/>
        </w:rPr>
        <w:t xml:space="preserve">President’s </w:t>
      </w:r>
      <w:r w:rsidRPr="008A3740">
        <w:rPr>
          <w:rFonts w:ascii="Verdana" w:hAnsi="Verdana"/>
          <w:sz w:val="20"/>
          <w:szCs w:val="20"/>
          <w:lang w:val="en-US"/>
        </w:rPr>
        <w:t xml:space="preserve">Order of </w:t>
      </w:r>
      <w:r w:rsidR="00B44D4F" w:rsidRPr="008A3740">
        <w:rPr>
          <w:rFonts w:ascii="Verdana" w:hAnsi="Verdana"/>
          <w:sz w:val="20"/>
          <w:szCs w:val="20"/>
          <w:lang w:val="en-US"/>
        </w:rPr>
        <w:t>July</w:t>
      </w:r>
      <w:r w:rsidRPr="008A3740">
        <w:rPr>
          <w:rFonts w:ascii="Verdana" w:hAnsi="Verdana"/>
          <w:sz w:val="20"/>
          <w:szCs w:val="20"/>
          <w:lang w:val="en-US"/>
        </w:rPr>
        <w:t xml:space="preserve"> 27, 2018 (</w:t>
      </w:r>
      <w:r w:rsidRPr="008A3740">
        <w:rPr>
          <w:rFonts w:ascii="Verdana" w:hAnsi="Verdana"/>
          <w:i/>
          <w:sz w:val="20"/>
          <w:szCs w:val="20"/>
          <w:lang w:val="en-US"/>
        </w:rPr>
        <w:t xml:space="preserve">supra </w:t>
      </w:r>
      <w:r w:rsidRPr="008A3740">
        <w:rPr>
          <w:rFonts w:ascii="Verdana" w:hAnsi="Verdana"/>
          <w:sz w:val="20"/>
          <w:szCs w:val="20"/>
          <w:lang w:val="en-US"/>
        </w:rPr>
        <w:t xml:space="preserve">para. 10), in relation to the admissibility of the corresponding statements and the </w:t>
      </w:r>
      <w:r w:rsidR="004C0215" w:rsidRPr="008A3740">
        <w:rPr>
          <w:rFonts w:ascii="Verdana" w:hAnsi="Verdana"/>
          <w:sz w:val="20"/>
          <w:szCs w:val="20"/>
          <w:lang w:val="en-US"/>
        </w:rPr>
        <w:t xml:space="preserve">relevance </w:t>
      </w:r>
      <w:r w:rsidRPr="008A3740">
        <w:rPr>
          <w:rFonts w:ascii="Verdana" w:hAnsi="Verdana"/>
          <w:sz w:val="20"/>
          <w:szCs w:val="20"/>
          <w:lang w:val="en-US"/>
        </w:rPr>
        <w:t xml:space="preserve">of transferring the expert opinions. </w:t>
      </w:r>
      <w:r w:rsidR="004C0215" w:rsidRPr="008A3740">
        <w:rPr>
          <w:rFonts w:ascii="Verdana" w:hAnsi="Verdana"/>
          <w:sz w:val="20"/>
          <w:szCs w:val="20"/>
          <w:lang w:val="en-US"/>
        </w:rPr>
        <w:t>T</w:t>
      </w:r>
      <w:r w:rsidRPr="008A3740">
        <w:rPr>
          <w:rFonts w:ascii="Verdana" w:hAnsi="Verdana"/>
          <w:sz w:val="20"/>
          <w:szCs w:val="20"/>
          <w:lang w:val="en-US"/>
        </w:rPr>
        <w:t xml:space="preserve">he Court </w:t>
      </w:r>
      <w:r w:rsidR="004C0215" w:rsidRPr="008A3740">
        <w:rPr>
          <w:rFonts w:ascii="Verdana" w:hAnsi="Verdana"/>
          <w:sz w:val="20"/>
          <w:szCs w:val="20"/>
          <w:lang w:val="en-US"/>
        </w:rPr>
        <w:t xml:space="preserve">also </w:t>
      </w:r>
      <w:r w:rsidRPr="008A3740">
        <w:rPr>
          <w:rFonts w:ascii="Verdana" w:hAnsi="Verdana"/>
          <w:sz w:val="20"/>
          <w:szCs w:val="20"/>
          <w:lang w:val="en-US"/>
        </w:rPr>
        <w:t xml:space="preserve">considers that the </w:t>
      </w:r>
      <w:r w:rsidR="00772B35" w:rsidRPr="008A3740">
        <w:rPr>
          <w:rFonts w:ascii="Verdana" w:hAnsi="Verdana"/>
          <w:sz w:val="20"/>
          <w:szCs w:val="20"/>
          <w:lang w:val="en-US"/>
        </w:rPr>
        <w:t xml:space="preserve">State’s </w:t>
      </w:r>
      <w:r w:rsidRPr="008A3740">
        <w:rPr>
          <w:rFonts w:ascii="Verdana" w:hAnsi="Verdana" w:cs="Verdana"/>
          <w:sz w:val="20"/>
          <w:szCs w:val="20"/>
          <w:lang w:val="en-US"/>
        </w:rPr>
        <w:t xml:space="preserve">observations </w:t>
      </w:r>
      <w:r w:rsidR="00772B35" w:rsidRPr="008A3740">
        <w:rPr>
          <w:rFonts w:ascii="Verdana" w:hAnsi="Verdana" w:cs="Verdana"/>
          <w:sz w:val="20"/>
          <w:szCs w:val="20"/>
          <w:lang w:val="en-US"/>
        </w:rPr>
        <w:t xml:space="preserve">call into </w:t>
      </w:r>
      <w:r w:rsidRPr="008A3740">
        <w:rPr>
          <w:rFonts w:ascii="Verdana" w:hAnsi="Verdana" w:cs="Verdana"/>
          <w:sz w:val="20"/>
          <w:szCs w:val="20"/>
          <w:lang w:val="en-US"/>
        </w:rPr>
        <w:t xml:space="preserve">question the evidentiary weight of the statements, </w:t>
      </w:r>
      <w:r w:rsidR="00772B35" w:rsidRPr="008A3740">
        <w:rPr>
          <w:rFonts w:ascii="Verdana" w:hAnsi="Verdana" w:cs="Verdana"/>
          <w:sz w:val="20"/>
          <w:szCs w:val="20"/>
          <w:lang w:val="en-US"/>
        </w:rPr>
        <w:t xml:space="preserve">which does not pose a </w:t>
      </w:r>
      <w:r w:rsidRPr="008A3740">
        <w:rPr>
          <w:rFonts w:ascii="Verdana" w:hAnsi="Verdana" w:cs="Verdana"/>
          <w:sz w:val="20"/>
          <w:szCs w:val="20"/>
          <w:lang w:val="en-US"/>
        </w:rPr>
        <w:t xml:space="preserve">problem in terms of </w:t>
      </w:r>
      <w:r w:rsidR="00772B35" w:rsidRPr="008A3740">
        <w:rPr>
          <w:rFonts w:ascii="Verdana" w:hAnsi="Verdana" w:cs="Verdana"/>
          <w:sz w:val="20"/>
          <w:szCs w:val="20"/>
          <w:lang w:val="en-US"/>
        </w:rPr>
        <w:t xml:space="preserve">their </w:t>
      </w:r>
      <w:r w:rsidRPr="008A3740">
        <w:rPr>
          <w:rFonts w:ascii="Verdana" w:hAnsi="Verdana" w:cs="Verdana"/>
          <w:sz w:val="20"/>
          <w:szCs w:val="20"/>
          <w:lang w:val="en-US"/>
        </w:rPr>
        <w:t>admissibility.</w:t>
      </w:r>
      <w:r w:rsidRPr="008A3740">
        <w:rPr>
          <w:rStyle w:val="Refdenotaalpie"/>
          <w:szCs w:val="20"/>
          <w:lang w:val="en-US"/>
        </w:rPr>
        <w:footnoteReference w:id="33"/>
      </w:r>
      <w:r w:rsidRPr="008A3740">
        <w:rPr>
          <w:rFonts w:ascii="Verdana" w:hAnsi="Verdana"/>
          <w:sz w:val="20"/>
          <w:szCs w:val="20"/>
          <w:lang w:val="en-US" w:eastAsia="es-ES"/>
        </w:rPr>
        <w:t xml:space="preserve"> This Court will assess the State’s observations regarding the evidentiary value of the statements and expert opinions admitted, </w:t>
      </w:r>
      <w:r w:rsidR="00772B35" w:rsidRPr="008A3740">
        <w:rPr>
          <w:rFonts w:ascii="Verdana" w:hAnsi="Verdana"/>
          <w:sz w:val="20"/>
          <w:szCs w:val="20"/>
          <w:lang w:val="en-US" w:eastAsia="es-ES"/>
        </w:rPr>
        <w:t>as applicable</w:t>
      </w:r>
      <w:r w:rsidRPr="008A3740">
        <w:rPr>
          <w:rFonts w:ascii="Verdana" w:hAnsi="Verdana"/>
          <w:sz w:val="20"/>
          <w:szCs w:val="20"/>
          <w:lang w:val="en-US" w:eastAsia="es-ES"/>
        </w:rPr>
        <w:t>, together with the entire body of evidence in the present case.</w:t>
      </w:r>
    </w:p>
    <w:bookmarkEnd w:id="43"/>
    <w:p w14:paraId="016371C4" w14:textId="77777777" w:rsidR="008E6A56" w:rsidRPr="008A3740" w:rsidRDefault="008E6A56" w:rsidP="008E6A56">
      <w:pPr>
        <w:pStyle w:val="Prrafodelista"/>
        <w:tabs>
          <w:tab w:val="left" w:pos="0"/>
        </w:tabs>
        <w:ind w:left="0"/>
        <w:textAlignment w:val="auto"/>
        <w:rPr>
          <w:rFonts w:ascii="Verdana" w:hAnsi="Verdana"/>
          <w:sz w:val="20"/>
          <w:szCs w:val="20"/>
          <w:lang w:val="en-US"/>
        </w:rPr>
      </w:pPr>
    </w:p>
    <w:p w14:paraId="5F101171" w14:textId="77777777" w:rsidR="008E6A56" w:rsidRPr="008A3740" w:rsidRDefault="008E6A56" w:rsidP="008E6A56">
      <w:pPr>
        <w:pStyle w:val="Ttulo"/>
        <w:rPr>
          <w:lang w:val="en-US"/>
        </w:rPr>
      </w:pPr>
      <w:bookmarkStart w:id="69" w:name="_Toc495658661"/>
      <w:bookmarkStart w:id="70" w:name="_Toc498013630"/>
      <w:bookmarkStart w:id="71" w:name="_Toc514172615"/>
      <w:bookmarkStart w:id="72" w:name="_Toc5009868"/>
      <w:r w:rsidRPr="008A3740">
        <w:rPr>
          <w:lang w:val="en-US"/>
        </w:rPr>
        <w:t>Vi</w:t>
      </w:r>
      <w:r w:rsidRPr="008A3740">
        <w:rPr>
          <w:lang w:val="en-US"/>
        </w:rPr>
        <w:br/>
        <w:t>FACTS</w:t>
      </w:r>
      <w:bookmarkEnd w:id="69"/>
      <w:bookmarkEnd w:id="70"/>
      <w:bookmarkEnd w:id="71"/>
      <w:bookmarkEnd w:id="72"/>
    </w:p>
    <w:p w14:paraId="067A0076" w14:textId="77777777" w:rsidR="008E6A56" w:rsidRPr="008A3740" w:rsidRDefault="008E6A56" w:rsidP="008E6A56">
      <w:pPr>
        <w:widowControl/>
        <w:autoSpaceDE w:val="0"/>
        <w:autoSpaceDN w:val="0"/>
        <w:textAlignment w:val="auto"/>
        <w:rPr>
          <w:rFonts w:ascii="Verdana" w:hAnsi="Verdana" w:cs="Arial"/>
          <w:bCs/>
          <w:sz w:val="20"/>
          <w:szCs w:val="20"/>
          <w:lang w:val="en-US" w:eastAsia="en-US"/>
        </w:rPr>
      </w:pPr>
    </w:p>
    <w:p w14:paraId="117056BB" w14:textId="77777777" w:rsidR="008E6A56" w:rsidRPr="008A3740" w:rsidRDefault="008E6A56" w:rsidP="00D17A65">
      <w:pPr>
        <w:pStyle w:val="Ttulo2"/>
        <w:numPr>
          <w:ilvl w:val="0"/>
          <w:numId w:val="6"/>
        </w:numPr>
        <w:rPr>
          <w:lang w:val="en-US"/>
        </w:rPr>
      </w:pPr>
      <w:r w:rsidRPr="008A3740">
        <w:rPr>
          <w:lang w:val="en-US"/>
        </w:rPr>
        <w:t>Background</w:t>
      </w:r>
    </w:p>
    <w:p w14:paraId="1DBC0FB0" w14:textId="77777777" w:rsidR="008E6A56" w:rsidRPr="008A3740" w:rsidRDefault="008E6A56" w:rsidP="008E6A56">
      <w:pPr>
        <w:pStyle w:val="Prrafodelista"/>
        <w:ind w:left="0"/>
        <w:rPr>
          <w:rFonts w:ascii="Verdana" w:hAnsi="Verdana"/>
          <w:bCs/>
          <w:sz w:val="20"/>
          <w:szCs w:val="20"/>
          <w:lang w:val="en-US"/>
        </w:rPr>
      </w:pPr>
    </w:p>
    <w:p w14:paraId="52B29EEA"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bCs/>
          <w:sz w:val="20"/>
          <w:szCs w:val="20"/>
          <w:lang w:val="en-US"/>
        </w:rPr>
        <w:t>Oscar Muelle Flores is a civil engineer</w:t>
      </w:r>
      <w:r w:rsidRPr="008A3740">
        <w:rPr>
          <w:rStyle w:val="Refdenotaalpie"/>
          <w:szCs w:val="20"/>
          <w:lang w:val="en-US"/>
        </w:rPr>
        <w:footnoteReference w:id="34"/>
      </w:r>
      <w:r w:rsidRPr="008A3740">
        <w:rPr>
          <w:rFonts w:ascii="Verdana" w:hAnsi="Verdana"/>
          <w:bCs/>
          <w:sz w:val="20"/>
          <w:szCs w:val="20"/>
          <w:lang w:val="en-US"/>
        </w:rPr>
        <w:t xml:space="preserve"> who worked for a mining company, the </w:t>
      </w:r>
      <w:r w:rsidR="00482F70" w:rsidRPr="008A3740">
        <w:rPr>
          <w:rFonts w:ascii="Verdana" w:hAnsi="Verdana"/>
          <w:bCs/>
          <w:i/>
          <w:sz w:val="20"/>
          <w:szCs w:val="20"/>
        </w:rPr>
        <w:t>Empresa Minera Especial Tintaya S.A.</w:t>
      </w:r>
      <w:r w:rsidRPr="008A3740">
        <w:rPr>
          <w:rFonts w:ascii="Verdana" w:hAnsi="Verdana"/>
          <w:bCs/>
          <w:sz w:val="20"/>
          <w:szCs w:val="20"/>
          <w:lang w:val="en-US"/>
        </w:rPr>
        <w:t xml:space="preserve"> (hereinafter “Tintaya S.A.” or “Tintaya company”), from June 1, 1981</w:t>
      </w:r>
      <w:r w:rsidR="00482F70" w:rsidRPr="008A3740">
        <w:rPr>
          <w:rFonts w:ascii="Verdana" w:hAnsi="Verdana"/>
          <w:bCs/>
          <w:sz w:val="20"/>
          <w:szCs w:val="20"/>
          <w:lang w:val="en-US"/>
        </w:rPr>
        <w:t>,</w:t>
      </w:r>
      <w:r w:rsidRPr="008A3740">
        <w:rPr>
          <w:rFonts w:ascii="Verdana" w:hAnsi="Verdana"/>
          <w:bCs/>
          <w:sz w:val="20"/>
          <w:szCs w:val="20"/>
          <w:lang w:val="en-US"/>
        </w:rPr>
        <w:t xml:space="preserve"> until September 30, 1990.</w:t>
      </w:r>
      <w:r w:rsidRPr="008A3740">
        <w:rPr>
          <w:rStyle w:val="Refdenotaalpie"/>
          <w:szCs w:val="20"/>
          <w:lang w:val="en-US"/>
        </w:rPr>
        <w:footnoteReference w:id="35"/>
      </w:r>
      <w:r w:rsidRPr="008A3740">
        <w:rPr>
          <w:rFonts w:ascii="Verdana" w:hAnsi="Verdana"/>
          <w:bCs/>
          <w:sz w:val="20"/>
          <w:szCs w:val="20"/>
          <w:lang w:val="en-US"/>
        </w:rPr>
        <w:t xml:space="preserve"> Tintaya S.A. was a State-owned enterprise until it was privatized in November 1994 (</w:t>
      </w:r>
      <w:r w:rsidRPr="008A3740">
        <w:rPr>
          <w:rFonts w:ascii="Verdana" w:hAnsi="Verdana"/>
          <w:bCs/>
          <w:i/>
          <w:sz w:val="20"/>
          <w:szCs w:val="20"/>
          <w:lang w:val="en-US"/>
        </w:rPr>
        <w:t>infra</w:t>
      </w:r>
      <w:r w:rsidRPr="008A3740">
        <w:rPr>
          <w:rFonts w:ascii="Verdana" w:hAnsi="Verdana"/>
          <w:bCs/>
          <w:sz w:val="20"/>
          <w:szCs w:val="20"/>
          <w:lang w:val="en-US"/>
        </w:rPr>
        <w:t xml:space="preserve"> para. 57). During that </w:t>
      </w:r>
      <w:r w:rsidR="00482F70" w:rsidRPr="008A3740">
        <w:rPr>
          <w:rFonts w:ascii="Verdana" w:hAnsi="Verdana"/>
          <w:bCs/>
          <w:sz w:val="20"/>
          <w:szCs w:val="20"/>
          <w:lang w:val="en-US"/>
        </w:rPr>
        <w:t>time</w:t>
      </w:r>
      <w:r w:rsidRPr="008A3740">
        <w:rPr>
          <w:rFonts w:ascii="Verdana" w:hAnsi="Verdana"/>
          <w:bCs/>
          <w:sz w:val="20"/>
          <w:szCs w:val="20"/>
          <w:lang w:val="en-US"/>
        </w:rPr>
        <w:t xml:space="preserve">, Mr. Muelle held various different positions within the company, the </w:t>
      </w:r>
      <w:r w:rsidR="00482F70" w:rsidRPr="008A3740">
        <w:rPr>
          <w:rFonts w:ascii="Verdana" w:hAnsi="Verdana"/>
          <w:bCs/>
          <w:sz w:val="20"/>
          <w:szCs w:val="20"/>
          <w:lang w:val="en-US"/>
        </w:rPr>
        <w:t>last one being the position of Assistant</w:t>
      </w:r>
      <w:r w:rsidRPr="008A3740">
        <w:rPr>
          <w:rFonts w:ascii="Verdana" w:hAnsi="Verdana"/>
          <w:bCs/>
          <w:sz w:val="20"/>
          <w:szCs w:val="20"/>
          <w:lang w:val="en-US"/>
        </w:rPr>
        <w:t xml:space="preserve"> General Manager until his retirement.</w:t>
      </w:r>
      <w:r w:rsidRPr="008A3740">
        <w:rPr>
          <w:rStyle w:val="Refdenotaalpie"/>
          <w:szCs w:val="20"/>
          <w:lang w:val="en-US"/>
        </w:rPr>
        <w:footnoteReference w:id="36"/>
      </w:r>
    </w:p>
    <w:p w14:paraId="298757E4" w14:textId="77777777" w:rsidR="008E6A56" w:rsidRPr="008A3740" w:rsidRDefault="008E6A56" w:rsidP="008E6A56">
      <w:pPr>
        <w:tabs>
          <w:tab w:val="left" w:pos="567"/>
        </w:tabs>
        <w:rPr>
          <w:rFonts w:ascii="Verdana" w:hAnsi="Verdana"/>
          <w:sz w:val="20"/>
          <w:szCs w:val="20"/>
          <w:lang w:val="en-US"/>
        </w:rPr>
      </w:pPr>
    </w:p>
    <w:p w14:paraId="48439A59"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bCs/>
          <w:sz w:val="20"/>
          <w:szCs w:val="20"/>
          <w:lang w:val="en-US"/>
        </w:rPr>
        <w:t>On May 15, 1990, the State-owned company issu</w:t>
      </w:r>
      <w:r w:rsidR="0027514B" w:rsidRPr="008A3740">
        <w:rPr>
          <w:rFonts w:ascii="Verdana" w:hAnsi="Verdana"/>
          <w:bCs/>
          <w:sz w:val="20"/>
          <w:szCs w:val="20"/>
          <w:lang w:val="en-US"/>
        </w:rPr>
        <w:t xml:space="preserve">ed Resolution No. AD-0884/90-R, according to </w:t>
      </w:r>
      <w:r w:rsidR="00DC5A2E" w:rsidRPr="008A3740">
        <w:rPr>
          <w:rFonts w:ascii="Verdana" w:hAnsi="Verdana"/>
          <w:bCs/>
          <w:sz w:val="20"/>
          <w:szCs w:val="20"/>
          <w:lang w:val="en-US"/>
        </w:rPr>
        <w:t xml:space="preserve">which </w:t>
      </w:r>
      <w:r w:rsidRPr="008A3740">
        <w:rPr>
          <w:rFonts w:ascii="Verdana" w:hAnsi="Verdana"/>
          <w:bCs/>
          <w:sz w:val="20"/>
          <w:szCs w:val="20"/>
          <w:lang w:val="en-US"/>
        </w:rPr>
        <w:t xml:space="preserve">Mr. </w:t>
      </w:r>
      <w:r w:rsidR="00DC5A2E" w:rsidRPr="008A3740">
        <w:rPr>
          <w:rFonts w:ascii="Verdana" w:hAnsi="Verdana"/>
          <w:bCs/>
          <w:sz w:val="20"/>
          <w:szCs w:val="20"/>
          <w:lang w:val="en-US"/>
        </w:rPr>
        <w:t xml:space="preserve">Muelle Flores </w:t>
      </w:r>
      <w:r w:rsidR="0027514B" w:rsidRPr="008A3740">
        <w:rPr>
          <w:rFonts w:ascii="Verdana" w:hAnsi="Verdana"/>
          <w:bCs/>
          <w:sz w:val="20"/>
          <w:szCs w:val="20"/>
          <w:lang w:val="en-US"/>
        </w:rPr>
        <w:t xml:space="preserve">was included </w:t>
      </w:r>
      <w:r w:rsidR="00DC5A2E" w:rsidRPr="008A3740">
        <w:rPr>
          <w:rFonts w:ascii="Verdana" w:hAnsi="Verdana"/>
          <w:bCs/>
          <w:sz w:val="20"/>
          <w:szCs w:val="20"/>
          <w:lang w:val="en-US"/>
        </w:rPr>
        <w:t>in</w:t>
      </w:r>
      <w:r w:rsidRPr="008A3740">
        <w:rPr>
          <w:rFonts w:ascii="Verdana" w:hAnsi="Verdana"/>
          <w:bCs/>
          <w:sz w:val="20"/>
          <w:szCs w:val="20"/>
          <w:lang w:val="en-US"/>
        </w:rPr>
        <w:t xml:space="preserve"> the pension scheme </w:t>
      </w:r>
      <w:r w:rsidR="0027514B" w:rsidRPr="008A3740">
        <w:rPr>
          <w:rFonts w:ascii="Verdana" w:hAnsi="Verdana"/>
          <w:bCs/>
          <w:sz w:val="20"/>
          <w:szCs w:val="20"/>
          <w:lang w:val="en-US"/>
        </w:rPr>
        <w:t>under Decree Law No. 20530 “Rules G</w:t>
      </w:r>
      <w:r w:rsidRPr="008A3740">
        <w:rPr>
          <w:rFonts w:ascii="Verdana" w:hAnsi="Verdana"/>
          <w:bCs/>
          <w:sz w:val="20"/>
          <w:szCs w:val="20"/>
          <w:lang w:val="en-US"/>
        </w:rPr>
        <w:t>overning Pensions and Benefits for Civil Serv</w:t>
      </w:r>
      <w:r w:rsidR="0027514B" w:rsidRPr="008A3740">
        <w:rPr>
          <w:rFonts w:ascii="Verdana" w:hAnsi="Verdana"/>
          <w:bCs/>
          <w:sz w:val="20"/>
          <w:szCs w:val="20"/>
          <w:lang w:val="en-US"/>
        </w:rPr>
        <w:t>ants in the Servic</w:t>
      </w:r>
      <w:r w:rsidRPr="008A3740">
        <w:rPr>
          <w:rFonts w:ascii="Verdana" w:hAnsi="Verdana"/>
          <w:bCs/>
          <w:sz w:val="20"/>
          <w:szCs w:val="20"/>
          <w:lang w:val="en-US"/>
        </w:rPr>
        <w:t>e</w:t>
      </w:r>
      <w:r w:rsidR="0027514B" w:rsidRPr="008A3740">
        <w:rPr>
          <w:rFonts w:ascii="Verdana" w:hAnsi="Verdana"/>
          <w:bCs/>
          <w:sz w:val="20"/>
          <w:szCs w:val="20"/>
          <w:lang w:val="en-US"/>
        </w:rPr>
        <w:t xml:space="preserve"> of</w:t>
      </w:r>
      <w:r w:rsidRPr="008A3740">
        <w:rPr>
          <w:rFonts w:ascii="Verdana" w:hAnsi="Verdana"/>
          <w:bCs/>
          <w:sz w:val="20"/>
          <w:szCs w:val="20"/>
          <w:lang w:val="en-US"/>
        </w:rPr>
        <w:t xml:space="preserve"> the State,”</w:t>
      </w:r>
      <w:r w:rsidRPr="008A3740">
        <w:rPr>
          <w:rStyle w:val="Refdenotaalpie"/>
          <w:szCs w:val="20"/>
          <w:lang w:val="en-US"/>
        </w:rPr>
        <w:footnoteReference w:id="37"/>
      </w:r>
      <w:r w:rsidRPr="008A3740">
        <w:rPr>
          <w:rFonts w:ascii="Verdana" w:hAnsi="Verdana"/>
          <w:bCs/>
          <w:sz w:val="20"/>
          <w:szCs w:val="20"/>
          <w:lang w:val="en-US"/>
        </w:rPr>
        <w:t xml:space="preserve"> which acknowledged that Mr. Muelle had </w:t>
      </w:r>
      <w:r w:rsidR="0027514B" w:rsidRPr="008A3740">
        <w:rPr>
          <w:rFonts w:ascii="Verdana" w:hAnsi="Verdana"/>
          <w:bCs/>
          <w:sz w:val="20"/>
          <w:szCs w:val="20"/>
          <w:lang w:val="en-US"/>
        </w:rPr>
        <w:t xml:space="preserve">provided </w:t>
      </w:r>
      <w:r w:rsidRPr="008A3740">
        <w:rPr>
          <w:rFonts w:ascii="Verdana" w:hAnsi="Verdana"/>
          <w:bCs/>
          <w:sz w:val="20"/>
          <w:szCs w:val="20"/>
          <w:lang w:val="en-US"/>
        </w:rPr>
        <w:t>services to the State for 35 years, 10 months and 27 days.</w:t>
      </w:r>
      <w:r w:rsidRPr="008A3740">
        <w:rPr>
          <w:rStyle w:val="Refdenotaalpie"/>
          <w:szCs w:val="20"/>
          <w:lang w:val="en-US"/>
        </w:rPr>
        <w:footnoteReference w:id="38"/>
      </w:r>
    </w:p>
    <w:p w14:paraId="64851DF9" w14:textId="77777777" w:rsidR="008E6A56" w:rsidRPr="008A3740" w:rsidRDefault="008E6A56" w:rsidP="008E6A56">
      <w:pPr>
        <w:pStyle w:val="Prrafodelista"/>
        <w:ind w:left="0"/>
        <w:rPr>
          <w:rFonts w:ascii="Verdana" w:hAnsi="Verdana"/>
          <w:sz w:val="20"/>
          <w:szCs w:val="20"/>
          <w:lang w:val="en-US"/>
        </w:rPr>
      </w:pPr>
    </w:p>
    <w:p w14:paraId="61DBCAE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bCs/>
          <w:sz w:val="20"/>
          <w:szCs w:val="20"/>
          <w:lang w:val="en-US"/>
        </w:rPr>
        <w:t xml:space="preserve">The decision to include Mr. Muelle Flores in the aforementioned </w:t>
      </w:r>
      <w:r w:rsidR="0027514B" w:rsidRPr="008A3740">
        <w:rPr>
          <w:rFonts w:ascii="Verdana" w:hAnsi="Verdana"/>
          <w:bCs/>
          <w:sz w:val="20"/>
          <w:szCs w:val="20"/>
          <w:lang w:val="en-US"/>
        </w:rPr>
        <w:t xml:space="preserve">pension scheme was based on </w:t>
      </w:r>
      <w:r w:rsidRPr="008A3740">
        <w:rPr>
          <w:rFonts w:ascii="Verdana" w:hAnsi="Verdana"/>
          <w:bCs/>
          <w:sz w:val="20"/>
          <w:szCs w:val="20"/>
          <w:lang w:val="en-US"/>
        </w:rPr>
        <w:t>Board of</w:t>
      </w:r>
      <w:r w:rsidR="0027514B" w:rsidRPr="008A3740">
        <w:rPr>
          <w:rFonts w:ascii="Verdana" w:hAnsi="Verdana"/>
          <w:bCs/>
          <w:sz w:val="20"/>
          <w:szCs w:val="20"/>
          <w:lang w:val="en-US"/>
        </w:rPr>
        <w:t xml:space="preserve"> Directors Decisions </w:t>
      </w:r>
      <w:r w:rsidRPr="008A3740">
        <w:rPr>
          <w:rFonts w:ascii="Verdana" w:hAnsi="Verdana"/>
          <w:bCs/>
          <w:sz w:val="20"/>
          <w:szCs w:val="20"/>
          <w:lang w:val="en-US"/>
        </w:rPr>
        <w:t>No. 155/88 of December 22, 1988 and No. 029/90 of February 8, 1990</w:t>
      </w:r>
      <w:r w:rsidRPr="008A3740">
        <w:rPr>
          <w:rStyle w:val="Refdenotaalpie"/>
          <w:szCs w:val="20"/>
          <w:lang w:val="en-US"/>
        </w:rPr>
        <w:footnoteReference w:id="39"/>
      </w:r>
      <w:r w:rsidRPr="008A3740">
        <w:rPr>
          <w:rFonts w:ascii="Verdana" w:hAnsi="Verdana"/>
          <w:bCs/>
          <w:sz w:val="20"/>
          <w:szCs w:val="20"/>
          <w:lang w:val="en-US"/>
        </w:rPr>
        <w:t xml:space="preserve">, which authorized the </w:t>
      </w:r>
      <w:r w:rsidR="00400FFA" w:rsidRPr="008A3740">
        <w:rPr>
          <w:rFonts w:ascii="Verdana" w:hAnsi="Verdana"/>
          <w:bCs/>
          <w:sz w:val="20"/>
          <w:szCs w:val="20"/>
          <w:lang w:val="en-US"/>
        </w:rPr>
        <w:t xml:space="preserve">government </w:t>
      </w:r>
      <w:r w:rsidRPr="008A3740">
        <w:rPr>
          <w:rFonts w:ascii="Verdana" w:hAnsi="Verdana"/>
          <w:bCs/>
          <w:sz w:val="20"/>
          <w:szCs w:val="20"/>
          <w:lang w:val="en-US"/>
        </w:rPr>
        <w:t xml:space="preserve">to include </w:t>
      </w:r>
      <w:r w:rsidR="00400FFA" w:rsidRPr="008A3740">
        <w:rPr>
          <w:rFonts w:ascii="Verdana" w:hAnsi="Verdana"/>
          <w:bCs/>
          <w:sz w:val="20"/>
          <w:szCs w:val="20"/>
          <w:lang w:val="en-US"/>
        </w:rPr>
        <w:t xml:space="preserve">company </w:t>
      </w:r>
      <w:r w:rsidRPr="008A3740">
        <w:rPr>
          <w:rFonts w:ascii="Verdana" w:hAnsi="Verdana"/>
          <w:bCs/>
          <w:sz w:val="20"/>
          <w:szCs w:val="20"/>
          <w:lang w:val="en-US"/>
        </w:rPr>
        <w:t xml:space="preserve">employees in that </w:t>
      </w:r>
      <w:r w:rsidR="00400FFA" w:rsidRPr="008A3740">
        <w:rPr>
          <w:rFonts w:ascii="Verdana" w:hAnsi="Verdana"/>
          <w:bCs/>
          <w:sz w:val="20"/>
          <w:szCs w:val="20"/>
          <w:lang w:val="en-US"/>
        </w:rPr>
        <w:t>pension scheme and established the corresponding regulations for that</w:t>
      </w:r>
      <w:r w:rsidRPr="008A3740">
        <w:rPr>
          <w:rFonts w:ascii="Verdana" w:hAnsi="Verdana"/>
          <w:bCs/>
          <w:sz w:val="20"/>
          <w:szCs w:val="20"/>
          <w:lang w:val="en-US"/>
        </w:rPr>
        <w:t xml:space="preserve"> purpose.</w:t>
      </w:r>
      <w:r w:rsidRPr="008A3740">
        <w:rPr>
          <w:rStyle w:val="Refdenotaalpie"/>
          <w:szCs w:val="20"/>
          <w:lang w:val="en-US"/>
        </w:rPr>
        <w:footnoteReference w:id="40"/>
      </w:r>
    </w:p>
    <w:p w14:paraId="4803B38B" w14:textId="77777777" w:rsidR="008E6A56" w:rsidRPr="008A3740" w:rsidRDefault="008E6A56" w:rsidP="008E6A56">
      <w:pPr>
        <w:pStyle w:val="Prrafodelista"/>
        <w:ind w:left="0"/>
        <w:rPr>
          <w:rFonts w:ascii="Verdana" w:hAnsi="Verdana"/>
          <w:sz w:val="20"/>
          <w:szCs w:val="20"/>
          <w:lang w:val="en-US"/>
        </w:rPr>
      </w:pPr>
    </w:p>
    <w:p w14:paraId="510BBB1B" w14:textId="77777777" w:rsidR="008E6A56" w:rsidRPr="008A3740" w:rsidRDefault="00481A08"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bCs/>
          <w:sz w:val="20"/>
          <w:szCs w:val="20"/>
          <w:lang w:val="en-US"/>
        </w:rPr>
        <w:t xml:space="preserve">The </w:t>
      </w:r>
      <w:r w:rsidR="008E6A56" w:rsidRPr="008A3740">
        <w:rPr>
          <w:rFonts w:ascii="Verdana" w:hAnsi="Verdana"/>
          <w:bCs/>
          <w:sz w:val="20"/>
          <w:szCs w:val="20"/>
          <w:lang w:val="en-US"/>
        </w:rPr>
        <w:t xml:space="preserve">Decree Law No. 20530 </w:t>
      </w:r>
      <w:r w:rsidRPr="008A3740">
        <w:rPr>
          <w:rFonts w:ascii="Verdana" w:hAnsi="Verdana"/>
          <w:bCs/>
          <w:sz w:val="20"/>
          <w:szCs w:val="20"/>
          <w:lang w:val="en-US"/>
        </w:rPr>
        <w:t xml:space="preserve">pension scheme regulated “State </w:t>
      </w:r>
      <w:r w:rsidR="00B44D4F" w:rsidRPr="008A3740">
        <w:rPr>
          <w:rFonts w:ascii="Verdana" w:hAnsi="Verdana"/>
          <w:bCs/>
          <w:sz w:val="20"/>
          <w:szCs w:val="20"/>
          <w:lang w:val="en-US"/>
        </w:rPr>
        <w:t xml:space="preserve">pensions and benefits </w:t>
      </w:r>
      <w:r w:rsidRPr="008A3740">
        <w:rPr>
          <w:rFonts w:ascii="Verdana" w:hAnsi="Verdana"/>
          <w:bCs/>
          <w:sz w:val="20"/>
          <w:szCs w:val="20"/>
          <w:lang w:val="en-US"/>
        </w:rPr>
        <w:t xml:space="preserve">for civil </w:t>
      </w:r>
      <w:r w:rsidR="008E6A56" w:rsidRPr="008A3740">
        <w:rPr>
          <w:rFonts w:ascii="Verdana" w:hAnsi="Verdana"/>
          <w:bCs/>
          <w:sz w:val="20"/>
          <w:szCs w:val="20"/>
          <w:lang w:val="en-US"/>
        </w:rPr>
        <w:t xml:space="preserve">services </w:t>
      </w:r>
      <w:r w:rsidRPr="008A3740">
        <w:rPr>
          <w:rFonts w:ascii="Verdana" w:hAnsi="Verdana"/>
          <w:bCs/>
          <w:sz w:val="20"/>
          <w:szCs w:val="20"/>
          <w:lang w:val="en-US"/>
        </w:rPr>
        <w:t xml:space="preserve">rendered by </w:t>
      </w:r>
      <w:r w:rsidR="008E6A56" w:rsidRPr="008A3740">
        <w:rPr>
          <w:rFonts w:ascii="Verdana" w:hAnsi="Verdana"/>
          <w:bCs/>
          <w:sz w:val="20"/>
          <w:szCs w:val="20"/>
          <w:lang w:val="en-US"/>
        </w:rPr>
        <w:t xml:space="preserve">workers of the national public sector” </w:t>
      </w:r>
      <w:r w:rsidRPr="008A3740">
        <w:rPr>
          <w:rFonts w:ascii="Verdana" w:hAnsi="Verdana"/>
          <w:bCs/>
          <w:sz w:val="20"/>
          <w:szCs w:val="20"/>
          <w:lang w:val="en-US"/>
        </w:rPr>
        <w:t xml:space="preserve">who </w:t>
      </w:r>
      <w:r w:rsidR="008E6A56" w:rsidRPr="008A3740">
        <w:rPr>
          <w:rFonts w:ascii="Verdana" w:hAnsi="Verdana"/>
          <w:bCs/>
          <w:sz w:val="20"/>
          <w:szCs w:val="20"/>
          <w:lang w:val="en-US"/>
        </w:rPr>
        <w:t xml:space="preserve">were not included in the </w:t>
      </w:r>
      <w:r w:rsidRPr="008A3740">
        <w:rPr>
          <w:rFonts w:ascii="Verdana" w:hAnsi="Verdana"/>
          <w:sz w:val="20"/>
          <w:szCs w:val="20"/>
          <w:lang w:val="en-US"/>
        </w:rPr>
        <w:t xml:space="preserve">National Pensions System established by </w:t>
      </w:r>
      <w:r w:rsidR="008E6A56" w:rsidRPr="008A3740">
        <w:rPr>
          <w:rFonts w:ascii="Verdana" w:hAnsi="Verdana"/>
          <w:sz w:val="20"/>
          <w:szCs w:val="20"/>
          <w:lang w:val="en-US"/>
        </w:rPr>
        <w:t>Decree Law N°19990</w:t>
      </w:r>
      <w:r w:rsidR="008E6A56" w:rsidRPr="008A3740">
        <w:rPr>
          <w:rStyle w:val="Refdenotaalpie"/>
          <w:szCs w:val="20"/>
          <w:lang w:val="en-US"/>
        </w:rPr>
        <w:footnoteReference w:id="41"/>
      </w:r>
      <w:r w:rsidR="008E6A56" w:rsidRPr="008A3740">
        <w:rPr>
          <w:rFonts w:ascii="Verdana" w:hAnsi="Verdana"/>
          <w:sz w:val="20"/>
          <w:szCs w:val="20"/>
          <w:lang w:val="en-US"/>
        </w:rPr>
        <w:t xml:space="preserve"> of 1973. </w:t>
      </w:r>
      <w:r w:rsidRPr="008A3740">
        <w:rPr>
          <w:rFonts w:ascii="Verdana" w:hAnsi="Verdana"/>
          <w:sz w:val="20"/>
          <w:szCs w:val="20"/>
          <w:lang w:val="en-US"/>
        </w:rPr>
        <w:t xml:space="preserve">Under </w:t>
      </w:r>
      <w:r w:rsidR="00255140" w:rsidRPr="008A3740">
        <w:rPr>
          <w:rFonts w:ascii="Verdana" w:hAnsi="Verdana"/>
          <w:sz w:val="20"/>
          <w:szCs w:val="20"/>
          <w:lang w:val="en-US"/>
        </w:rPr>
        <w:t>that scheme</w:t>
      </w:r>
      <w:r w:rsidRPr="008A3740">
        <w:rPr>
          <w:rFonts w:ascii="Verdana" w:hAnsi="Verdana"/>
          <w:bCs/>
          <w:sz w:val="20"/>
          <w:szCs w:val="20"/>
          <w:lang w:val="en-US"/>
        </w:rPr>
        <w:t>,</w:t>
      </w:r>
      <w:r w:rsidR="008E6A56" w:rsidRPr="008A3740">
        <w:rPr>
          <w:rFonts w:ascii="Verdana" w:hAnsi="Verdana"/>
          <w:bCs/>
          <w:sz w:val="20"/>
          <w:szCs w:val="20"/>
          <w:lang w:val="en-US"/>
        </w:rPr>
        <w:t xml:space="preserve"> created to “compensate state workers who could not </w:t>
      </w:r>
      <w:r w:rsidRPr="008A3740">
        <w:rPr>
          <w:rFonts w:ascii="Verdana" w:hAnsi="Verdana"/>
          <w:bCs/>
          <w:sz w:val="20"/>
          <w:szCs w:val="20"/>
          <w:lang w:val="en-US"/>
        </w:rPr>
        <w:t xml:space="preserve">join </w:t>
      </w:r>
      <w:r w:rsidR="008E6A56" w:rsidRPr="008A3740">
        <w:rPr>
          <w:rFonts w:ascii="Verdana" w:hAnsi="Verdana"/>
          <w:bCs/>
          <w:sz w:val="20"/>
          <w:szCs w:val="20"/>
          <w:lang w:val="en-US"/>
        </w:rPr>
        <w:t>the National Pensions System</w:t>
      </w:r>
      <w:r w:rsidRPr="008A3740">
        <w:rPr>
          <w:rFonts w:ascii="Verdana" w:hAnsi="Verdana"/>
          <w:bCs/>
          <w:sz w:val="20"/>
          <w:szCs w:val="20"/>
          <w:lang w:val="en-US"/>
        </w:rPr>
        <w:t>,</w:t>
      </w:r>
      <w:r w:rsidR="008E6A56" w:rsidRPr="008A3740">
        <w:rPr>
          <w:rFonts w:ascii="Verdana" w:hAnsi="Verdana"/>
          <w:bCs/>
          <w:sz w:val="20"/>
          <w:szCs w:val="20"/>
          <w:lang w:val="en-US"/>
        </w:rPr>
        <w:t>”</w:t>
      </w:r>
      <w:r w:rsidR="008E6A56" w:rsidRPr="008A3740">
        <w:rPr>
          <w:rStyle w:val="Refdenotaalpie"/>
          <w:szCs w:val="20"/>
          <w:lang w:val="en-US"/>
        </w:rPr>
        <w:footnoteReference w:id="42"/>
      </w:r>
      <w:r w:rsidR="008E6A56" w:rsidRPr="008A3740">
        <w:rPr>
          <w:rFonts w:ascii="Verdana" w:hAnsi="Verdana"/>
          <w:bCs/>
          <w:sz w:val="20"/>
          <w:szCs w:val="20"/>
          <w:lang w:val="en-US"/>
        </w:rPr>
        <w:t xml:space="preserve"> workers acquired the right to a pension upon completing 15 years </w:t>
      </w:r>
      <w:r w:rsidR="00A41231" w:rsidRPr="008A3740">
        <w:rPr>
          <w:rFonts w:ascii="Verdana" w:hAnsi="Verdana"/>
          <w:bCs/>
          <w:sz w:val="20"/>
          <w:szCs w:val="20"/>
          <w:lang w:val="en-US"/>
        </w:rPr>
        <w:t>of service</w:t>
      </w:r>
      <w:r w:rsidR="008E6A56" w:rsidRPr="008A3740">
        <w:rPr>
          <w:rFonts w:ascii="Verdana" w:hAnsi="Verdana"/>
          <w:bCs/>
          <w:sz w:val="20"/>
          <w:szCs w:val="20"/>
          <w:lang w:val="en-US"/>
        </w:rPr>
        <w:t xml:space="preserve"> to the State, in the case of men</w:t>
      </w:r>
      <w:r w:rsidR="00255140" w:rsidRPr="008A3740">
        <w:rPr>
          <w:rFonts w:ascii="Verdana" w:hAnsi="Verdana"/>
          <w:bCs/>
          <w:sz w:val="20"/>
          <w:szCs w:val="20"/>
          <w:lang w:val="en-US"/>
        </w:rPr>
        <w:t>,</w:t>
      </w:r>
      <w:r w:rsidR="008E6A56" w:rsidRPr="008A3740">
        <w:rPr>
          <w:rFonts w:ascii="Verdana" w:hAnsi="Verdana"/>
          <w:bCs/>
          <w:sz w:val="20"/>
          <w:szCs w:val="20"/>
          <w:lang w:val="en-US"/>
        </w:rPr>
        <w:t xml:space="preserve"> and 12.5 years in the case of women.</w:t>
      </w:r>
      <w:r w:rsidR="008E6A56" w:rsidRPr="008A3740">
        <w:rPr>
          <w:rStyle w:val="Refdenotaalpie"/>
          <w:szCs w:val="20"/>
          <w:lang w:val="en-US"/>
        </w:rPr>
        <w:footnoteReference w:id="43"/>
      </w:r>
      <w:r w:rsidR="008E6A56" w:rsidRPr="008A3740">
        <w:rPr>
          <w:rFonts w:ascii="Verdana" w:hAnsi="Verdana"/>
          <w:bCs/>
          <w:sz w:val="20"/>
          <w:szCs w:val="20"/>
          <w:lang w:val="en-US"/>
        </w:rPr>
        <w:t xml:space="preserve"> The pension was calculated “on the basis of the last </w:t>
      </w:r>
      <w:r w:rsidR="002538FA" w:rsidRPr="008A3740">
        <w:rPr>
          <w:rFonts w:ascii="Verdana" w:hAnsi="Verdana"/>
          <w:bCs/>
          <w:sz w:val="20"/>
          <w:szCs w:val="20"/>
          <w:lang w:val="en-US"/>
        </w:rPr>
        <w:t xml:space="preserve">twelve (12) salaries earned and </w:t>
      </w:r>
      <w:r w:rsidR="00255140" w:rsidRPr="008A3740">
        <w:rPr>
          <w:rFonts w:ascii="Verdana" w:hAnsi="Verdana"/>
          <w:bCs/>
          <w:sz w:val="20"/>
          <w:szCs w:val="20"/>
          <w:lang w:val="en-US"/>
        </w:rPr>
        <w:t>at</w:t>
      </w:r>
      <w:r w:rsidR="008E6A56" w:rsidRPr="008A3740">
        <w:rPr>
          <w:rFonts w:ascii="Verdana" w:hAnsi="Verdana"/>
          <w:bCs/>
          <w:sz w:val="20"/>
          <w:szCs w:val="20"/>
          <w:lang w:val="en-US"/>
        </w:rPr>
        <w:t xml:space="preserve"> </w:t>
      </w:r>
      <w:r w:rsidR="002538FA" w:rsidRPr="008A3740">
        <w:rPr>
          <w:rFonts w:ascii="Verdana" w:hAnsi="Verdana"/>
          <w:bCs/>
          <w:sz w:val="20"/>
          <w:szCs w:val="20"/>
          <w:lang w:val="en-US"/>
        </w:rPr>
        <w:t xml:space="preserve">a ratio </w:t>
      </w:r>
      <w:r w:rsidR="008E6A56" w:rsidRPr="008A3740">
        <w:rPr>
          <w:rFonts w:ascii="Verdana" w:hAnsi="Verdana"/>
          <w:bCs/>
          <w:sz w:val="20"/>
          <w:szCs w:val="20"/>
          <w:lang w:val="en-US"/>
        </w:rPr>
        <w:t>of 1/30 per year of service for men and 1/25 per year of service for women.”</w:t>
      </w:r>
      <w:r w:rsidR="008E6A56" w:rsidRPr="008A3740">
        <w:rPr>
          <w:rStyle w:val="Refdenotaalpie"/>
          <w:szCs w:val="20"/>
          <w:lang w:val="en-US"/>
        </w:rPr>
        <w:footnoteReference w:id="44"/>
      </w:r>
      <w:r w:rsidR="008E6A56" w:rsidRPr="008A3740">
        <w:rPr>
          <w:rFonts w:ascii="Verdana" w:hAnsi="Verdana"/>
          <w:bCs/>
          <w:sz w:val="20"/>
          <w:szCs w:val="20"/>
          <w:lang w:val="en-US"/>
        </w:rPr>
        <w:t xml:space="preserve"> </w:t>
      </w:r>
    </w:p>
    <w:p w14:paraId="4A15CBF5" w14:textId="77777777" w:rsidR="008E6A56" w:rsidRPr="008A3740" w:rsidRDefault="008E6A56" w:rsidP="008E6A56">
      <w:pPr>
        <w:pStyle w:val="Prrafodelista"/>
        <w:rPr>
          <w:rFonts w:ascii="Verdana" w:hAnsi="Verdana"/>
          <w:sz w:val="20"/>
          <w:szCs w:val="20"/>
          <w:lang w:val="en-US"/>
        </w:rPr>
      </w:pPr>
    </w:p>
    <w:p w14:paraId="413E44FB"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With the promulgation of the </w:t>
      </w:r>
      <w:r w:rsidR="00D9141C" w:rsidRPr="008A3740">
        <w:rPr>
          <w:rFonts w:ascii="Verdana" w:hAnsi="Verdana"/>
          <w:sz w:val="20"/>
          <w:szCs w:val="20"/>
          <w:lang w:val="en-US"/>
        </w:rPr>
        <w:t>Constitution</w:t>
      </w:r>
      <w:r w:rsidR="00923477" w:rsidRPr="008A3740">
        <w:rPr>
          <w:rFonts w:ascii="Verdana" w:hAnsi="Verdana"/>
          <w:sz w:val="20"/>
          <w:szCs w:val="20"/>
          <w:lang w:val="en-US"/>
        </w:rPr>
        <w:t xml:space="preserve"> of 1979</w:t>
      </w:r>
      <w:r w:rsidR="00D9141C" w:rsidRPr="008A3740">
        <w:rPr>
          <w:rFonts w:ascii="Verdana" w:hAnsi="Verdana"/>
          <w:sz w:val="20"/>
          <w:szCs w:val="20"/>
          <w:lang w:val="en-US"/>
        </w:rPr>
        <w:t>, a</w:t>
      </w:r>
      <w:r w:rsidRPr="008A3740">
        <w:rPr>
          <w:rFonts w:ascii="Verdana" w:hAnsi="Verdana"/>
          <w:sz w:val="20"/>
          <w:szCs w:val="20"/>
          <w:lang w:val="en-US"/>
        </w:rPr>
        <w:t xml:space="preserve">fter the issue of Decree Law No. 20530, </w:t>
      </w:r>
      <w:r w:rsidR="001740E2" w:rsidRPr="008A3740">
        <w:rPr>
          <w:rFonts w:ascii="Verdana" w:hAnsi="Verdana"/>
          <w:sz w:val="20"/>
          <w:szCs w:val="20"/>
          <w:lang w:val="en-US"/>
        </w:rPr>
        <w:t xml:space="preserve">the </w:t>
      </w:r>
      <w:r w:rsidRPr="008A3740">
        <w:rPr>
          <w:rFonts w:ascii="Verdana" w:hAnsi="Verdana"/>
          <w:bCs/>
          <w:sz w:val="20"/>
          <w:szCs w:val="20"/>
          <w:lang w:val="en-US"/>
        </w:rPr>
        <w:t>Eighth G</w:t>
      </w:r>
      <w:r w:rsidR="001740E2" w:rsidRPr="008A3740">
        <w:rPr>
          <w:rFonts w:ascii="Verdana" w:hAnsi="Verdana"/>
          <w:bCs/>
          <w:sz w:val="20"/>
          <w:szCs w:val="20"/>
          <w:lang w:val="en-US"/>
        </w:rPr>
        <w:t xml:space="preserve">eneral and Transitory Provision established </w:t>
      </w:r>
      <w:r w:rsidRPr="008A3740">
        <w:rPr>
          <w:rFonts w:ascii="Verdana" w:hAnsi="Verdana"/>
          <w:bCs/>
          <w:sz w:val="20"/>
          <w:szCs w:val="20"/>
          <w:lang w:val="en-US"/>
        </w:rPr>
        <w:t xml:space="preserve">the right </w:t>
      </w:r>
      <w:r w:rsidR="00D9141C" w:rsidRPr="008A3740">
        <w:rPr>
          <w:rFonts w:ascii="Verdana" w:hAnsi="Verdana"/>
          <w:bCs/>
          <w:sz w:val="20"/>
          <w:szCs w:val="20"/>
          <w:lang w:val="en-US"/>
        </w:rPr>
        <w:t xml:space="preserve">of </w:t>
      </w:r>
      <w:r w:rsidR="00E86B95" w:rsidRPr="008A3740">
        <w:rPr>
          <w:rFonts w:ascii="Verdana" w:hAnsi="Verdana"/>
          <w:bCs/>
          <w:sz w:val="20"/>
          <w:szCs w:val="20"/>
          <w:lang w:val="en-US"/>
        </w:rPr>
        <w:t xml:space="preserve">retired </w:t>
      </w:r>
      <w:r w:rsidR="00D9141C" w:rsidRPr="008A3740">
        <w:rPr>
          <w:rFonts w:ascii="Verdana" w:hAnsi="Verdana"/>
          <w:bCs/>
          <w:sz w:val="20"/>
          <w:szCs w:val="20"/>
          <w:lang w:val="en-US"/>
        </w:rPr>
        <w:t xml:space="preserve">workers </w:t>
      </w:r>
      <w:r w:rsidR="00E86B95" w:rsidRPr="008A3740">
        <w:rPr>
          <w:rFonts w:ascii="Verdana" w:hAnsi="Verdana"/>
          <w:bCs/>
          <w:sz w:val="20"/>
          <w:szCs w:val="20"/>
          <w:lang w:val="en-US"/>
        </w:rPr>
        <w:t xml:space="preserve">included in </w:t>
      </w:r>
      <w:r w:rsidR="00D9141C" w:rsidRPr="008A3740">
        <w:rPr>
          <w:rFonts w:ascii="Verdana" w:hAnsi="Verdana"/>
          <w:bCs/>
          <w:sz w:val="20"/>
          <w:szCs w:val="20"/>
          <w:lang w:val="en-US"/>
        </w:rPr>
        <w:t xml:space="preserve">this </w:t>
      </w:r>
      <w:r w:rsidR="00E86B95" w:rsidRPr="008A3740">
        <w:rPr>
          <w:rFonts w:ascii="Verdana" w:hAnsi="Verdana"/>
          <w:bCs/>
          <w:sz w:val="20"/>
          <w:szCs w:val="20"/>
          <w:lang w:val="en-US"/>
        </w:rPr>
        <w:t>pension scheme</w:t>
      </w:r>
      <w:r w:rsidR="00D9141C" w:rsidRPr="008A3740">
        <w:rPr>
          <w:rFonts w:ascii="Verdana" w:hAnsi="Verdana"/>
          <w:bCs/>
          <w:sz w:val="20"/>
          <w:szCs w:val="20"/>
          <w:lang w:val="en-US"/>
        </w:rPr>
        <w:t xml:space="preserve">, </w:t>
      </w:r>
      <w:r w:rsidR="00E86B95" w:rsidRPr="008A3740">
        <w:rPr>
          <w:rFonts w:ascii="Verdana" w:hAnsi="Verdana"/>
          <w:bCs/>
          <w:sz w:val="20"/>
          <w:szCs w:val="20"/>
          <w:lang w:val="en-US"/>
        </w:rPr>
        <w:t xml:space="preserve">and </w:t>
      </w:r>
      <w:r w:rsidR="00D9141C" w:rsidRPr="008A3740">
        <w:rPr>
          <w:rFonts w:ascii="Verdana" w:hAnsi="Verdana"/>
          <w:bCs/>
          <w:sz w:val="20"/>
          <w:szCs w:val="20"/>
          <w:lang w:val="en-US"/>
        </w:rPr>
        <w:t>with more than 20 yea</w:t>
      </w:r>
      <w:r w:rsidR="00E86B95" w:rsidRPr="008A3740">
        <w:rPr>
          <w:rFonts w:ascii="Verdana" w:hAnsi="Verdana"/>
          <w:bCs/>
          <w:sz w:val="20"/>
          <w:szCs w:val="20"/>
          <w:lang w:val="en-US"/>
        </w:rPr>
        <w:t xml:space="preserve">rs of service to the State, to have their pensions </w:t>
      </w:r>
      <w:r w:rsidR="00D9141C" w:rsidRPr="008A3740">
        <w:rPr>
          <w:rFonts w:ascii="Verdana" w:hAnsi="Verdana"/>
          <w:bCs/>
          <w:sz w:val="20"/>
          <w:szCs w:val="20"/>
          <w:lang w:val="en-US"/>
        </w:rPr>
        <w:t>progressive</w:t>
      </w:r>
      <w:r w:rsidR="00E86B95" w:rsidRPr="008A3740">
        <w:rPr>
          <w:rFonts w:ascii="Verdana" w:hAnsi="Verdana"/>
          <w:bCs/>
          <w:sz w:val="20"/>
          <w:szCs w:val="20"/>
          <w:lang w:val="en-US"/>
        </w:rPr>
        <w:t>ly</w:t>
      </w:r>
      <w:r w:rsidR="00D9141C" w:rsidRPr="008A3740">
        <w:rPr>
          <w:rFonts w:ascii="Verdana" w:hAnsi="Verdana"/>
          <w:bCs/>
          <w:sz w:val="20"/>
          <w:szCs w:val="20"/>
          <w:lang w:val="en-US"/>
        </w:rPr>
        <w:t xml:space="preserve"> adjust</w:t>
      </w:r>
      <w:r w:rsidR="00E86B95" w:rsidRPr="008A3740">
        <w:rPr>
          <w:rFonts w:ascii="Verdana" w:hAnsi="Verdana"/>
          <w:bCs/>
          <w:sz w:val="20"/>
          <w:szCs w:val="20"/>
          <w:lang w:val="en-US"/>
        </w:rPr>
        <w:t xml:space="preserve">ed or </w:t>
      </w:r>
      <w:r w:rsidR="00D9141C" w:rsidRPr="008A3740">
        <w:rPr>
          <w:rFonts w:ascii="Verdana" w:hAnsi="Verdana"/>
          <w:bCs/>
          <w:sz w:val="20"/>
          <w:szCs w:val="20"/>
          <w:lang w:val="en-US"/>
        </w:rPr>
        <w:t>equaliz</w:t>
      </w:r>
      <w:r w:rsidR="00E86B95" w:rsidRPr="008A3740">
        <w:rPr>
          <w:rFonts w:ascii="Verdana" w:hAnsi="Verdana"/>
          <w:bCs/>
          <w:sz w:val="20"/>
          <w:szCs w:val="20"/>
          <w:lang w:val="en-US"/>
        </w:rPr>
        <w:t>ed</w:t>
      </w:r>
      <w:r w:rsidR="00D9141C" w:rsidRPr="008A3740">
        <w:rPr>
          <w:rFonts w:ascii="Verdana" w:hAnsi="Verdana"/>
          <w:bCs/>
          <w:sz w:val="20"/>
          <w:szCs w:val="20"/>
          <w:lang w:val="en-US"/>
        </w:rPr>
        <w:t xml:space="preserve"> with the</w:t>
      </w:r>
      <w:r w:rsidR="001740E2" w:rsidRPr="008A3740">
        <w:rPr>
          <w:rFonts w:ascii="Verdana" w:hAnsi="Verdana"/>
          <w:bCs/>
          <w:sz w:val="20"/>
          <w:szCs w:val="20"/>
          <w:lang w:val="en-US"/>
        </w:rPr>
        <w:t xml:space="preserve"> wages of active </w:t>
      </w:r>
      <w:r w:rsidRPr="008A3740">
        <w:rPr>
          <w:rFonts w:ascii="Verdana" w:hAnsi="Verdana"/>
          <w:bCs/>
          <w:sz w:val="20"/>
          <w:szCs w:val="20"/>
          <w:lang w:val="en-US"/>
        </w:rPr>
        <w:t>public o</w:t>
      </w:r>
      <w:r w:rsidR="001740E2" w:rsidRPr="008A3740">
        <w:rPr>
          <w:rFonts w:ascii="Verdana" w:hAnsi="Verdana"/>
          <w:bCs/>
          <w:sz w:val="20"/>
          <w:szCs w:val="20"/>
          <w:lang w:val="en-US"/>
        </w:rPr>
        <w:t>fficials and/or public servants.</w:t>
      </w:r>
      <w:r w:rsidRPr="008A3740">
        <w:rPr>
          <w:rStyle w:val="Refdenotaalpie"/>
          <w:szCs w:val="20"/>
          <w:lang w:val="en-US"/>
        </w:rPr>
        <w:footnoteReference w:id="45"/>
      </w:r>
      <w:r w:rsidRPr="008A3740">
        <w:rPr>
          <w:rFonts w:ascii="Verdana" w:hAnsi="Verdana"/>
          <w:bCs/>
          <w:sz w:val="20"/>
          <w:szCs w:val="20"/>
          <w:lang w:val="en-US"/>
        </w:rPr>
        <w:t xml:space="preserve"> For this reason, Decree Law No. 20530 was known as the “</w:t>
      </w:r>
      <w:r w:rsidR="00FB024A" w:rsidRPr="008A3740">
        <w:rPr>
          <w:rFonts w:ascii="Verdana" w:hAnsi="Verdana"/>
          <w:bCs/>
          <w:i/>
          <w:sz w:val="20"/>
          <w:szCs w:val="20"/>
          <w:lang w:val="en-US"/>
        </w:rPr>
        <w:t>C</w:t>
      </w:r>
      <w:r w:rsidRPr="008A3740">
        <w:rPr>
          <w:rFonts w:ascii="Verdana" w:hAnsi="Verdana"/>
          <w:bCs/>
          <w:i/>
          <w:sz w:val="20"/>
          <w:szCs w:val="20"/>
          <w:lang w:val="en-US"/>
        </w:rPr>
        <w:t>édula viva</w:t>
      </w:r>
      <w:r w:rsidRPr="008A3740">
        <w:rPr>
          <w:rFonts w:ascii="Verdana" w:hAnsi="Verdana"/>
          <w:bCs/>
          <w:sz w:val="20"/>
          <w:szCs w:val="20"/>
          <w:lang w:val="en-US"/>
        </w:rPr>
        <w:t xml:space="preserve">” system or the “renewable pension,” due to the “mirror effect” that automatically equalized the pensions </w:t>
      </w:r>
      <w:r w:rsidR="001740E2" w:rsidRPr="008A3740">
        <w:rPr>
          <w:rFonts w:ascii="Verdana" w:hAnsi="Verdana"/>
          <w:bCs/>
          <w:sz w:val="20"/>
          <w:szCs w:val="20"/>
          <w:lang w:val="en-US"/>
        </w:rPr>
        <w:t xml:space="preserve">for dismissed or retired workers </w:t>
      </w:r>
      <w:r w:rsidRPr="008A3740">
        <w:rPr>
          <w:rFonts w:ascii="Verdana" w:hAnsi="Verdana"/>
          <w:bCs/>
          <w:sz w:val="20"/>
          <w:szCs w:val="20"/>
          <w:lang w:val="en-US"/>
        </w:rPr>
        <w:t xml:space="preserve">with the </w:t>
      </w:r>
      <w:r w:rsidR="001740E2" w:rsidRPr="008A3740">
        <w:rPr>
          <w:rFonts w:ascii="Verdana" w:hAnsi="Verdana"/>
          <w:bCs/>
          <w:sz w:val="20"/>
          <w:szCs w:val="20"/>
          <w:lang w:val="en-US"/>
        </w:rPr>
        <w:t xml:space="preserve">wages of active workers </w:t>
      </w:r>
      <w:r w:rsidRPr="008A3740">
        <w:rPr>
          <w:rFonts w:ascii="Verdana" w:hAnsi="Verdana"/>
          <w:bCs/>
          <w:sz w:val="20"/>
          <w:szCs w:val="20"/>
          <w:lang w:val="en-US"/>
        </w:rPr>
        <w:t>(active publi</w:t>
      </w:r>
      <w:r w:rsidR="00FB024A" w:rsidRPr="008A3740">
        <w:rPr>
          <w:rFonts w:ascii="Verdana" w:hAnsi="Verdana"/>
          <w:bCs/>
          <w:sz w:val="20"/>
          <w:szCs w:val="20"/>
          <w:lang w:val="en-US"/>
        </w:rPr>
        <w:t>c servants), using as reference</w:t>
      </w:r>
      <w:r w:rsidRPr="008A3740">
        <w:rPr>
          <w:rFonts w:ascii="Verdana" w:hAnsi="Verdana"/>
          <w:bCs/>
          <w:sz w:val="20"/>
          <w:szCs w:val="20"/>
          <w:lang w:val="en-US"/>
        </w:rPr>
        <w:t xml:space="preserve"> the last position held by the pensioner.</w:t>
      </w:r>
      <w:r w:rsidRPr="008A3740">
        <w:rPr>
          <w:rStyle w:val="Refdenotaalpie"/>
          <w:szCs w:val="20"/>
          <w:lang w:val="en-US"/>
        </w:rPr>
        <w:footnoteReference w:id="46"/>
      </w:r>
      <w:r w:rsidRPr="008A3740">
        <w:rPr>
          <w:rFonts w:ascii="Verdana" w:hAnsi="Verdana"/>
          <w:bCs/>
          <w:sz w:val="20"/>
          <w:szCs w:val="20"/>
          <w:lang w:val="en-US"/>
        </w:rPr>
        <w:t xml:space="preserve"> In this sense, the pension received by the beneficiary was equal to that of the active worker, and therefore the </w:t>
      </w:r>
      <w:r w:rsidR="00FB024A" w:rsidRPr="008A3740">
        <w:rPr>
          <w:rFonts w:ascii="Verdana" w:hAnsi="Verdana"/>
          <w:bCs/>
          <w:sz w:val="20"/>
          <w:szCs w:val="20"/>
          <w:lang w:val="en-US"/>
        </w:rPr>
        <w:t xml:space="preserve">readjustment was </w:t>
      </w:r>
      <w:r w:rsidR="00E914BD" w:rsidRPr="008A3740">
        <w:rPr>
          <w:rFonts w:ascii="Verdana" w:hAnsi="Verdana"/>
          <w:bCs/>
          <w:sz w:val="20"/>
          <w:szCs w:val="20"/>
          <w:lang w:val="en-US"/>
        </w:rPr>
        <w:t xml:space="preserve">in line with </w:t>
      </w:r>
      <w:r w:rsidRPr="008A3740">
        <w:rPr>
          <w:rFonts w:ascii="Verdana" w:hAnsi="Verdana"/>
          <w:bCs/>
          <w:sz w:val="20"/>
          <w:szCs w:val="20"/>
          <w:lang w:val="en-US"/>
        </w:rPr>
        <w:t>increase</w:t>
      </w:r>
      <w:r w:rsidR="00FB024A" w:rsidRPr="008A3740">
        <w:rPr>
          <w:rFonts w:ascii="Verdana" w:hAnsi="Verdana"/>
          <w:bCs/>
          <w:sz w:val="20"/>
          <w:szCs w:val="20"/>
          <w:lang w:val="en-US"/>
        </w:rPr>
        <w:t>s</w:t>
      </w:r>
      <w:r w:rsidRPr="008A3740">
        <w:rPr>
          <w:rFonts w:ascii="Verdana" w:hAnsi="Verdana"/>
          <w:bCs/>
          <w:sz w:val="20"/>
          <w:szCs w:val="20"/>
          <w:lang w:val="en-US"/>
        </w:rPr>
        <w:t xml:space="preserve"> </w:t>
      </w:r>
      <w:r w:rsidR="00FB024A" w:rsidRPr="008A3740">
        <w:rPr>
          <w:rFonts w:ascii="Verdana" w:hAnsi="Verdana"/>
          <w:bCs/>
          <w:sz w:val="20"/>
          <w:szCs w:val="20"/>
          <w:lang w:val="en-US"/>
        </w:rPr>
        <w:t xml:space="preserve">in </w:t>
      </w:r>
      <w:r w:rsidRPr="008A3740">
        <w:rPr>
          <w:rFonts w:ascii="Verdana" w:hAnsi="Verdana"/>
          <w:bCs/>
          <w:sz w:val="20"/>
          <w:szCs w:val="20"/>
          <w:lang w:val="en-US"/>
        </w:rPr>
        <w:t xml:space="preserve">the latter’s </w:t>
      </w:r>
      <w:r w:rsidR="00E914BD" w:rsidRPr="008A3740">
        <w:rPr>
          <w:rFonts w:ascii="Verdana" w:hAnsi="Verdana"/>
          <w:bCs/>
          <w:sz w:val="20"/>
          <w:szCs w:val="20"/>
          <w:lang w:val="en-US"/>
        </w:rPr>
        <w:t xml:space="preserve">wages </w:t>
      </w:r>
      <w:r w:rsidRPr="008A3740">
        <w:rPr>
          <w:rFonts w:ascii="Verdana" w:hAnsi="Verdana"/>
          <w:bCs/>
          <w:sz w:val="20"/>
          <w:szCs w:val="20"/>
          <w:lang w:val="en-US"/>
        </w:rPr>
        <w:t>(</w:t>
      </w:r>
      <w:r w:rsidRPr="008A3740">
        <w:rPr>
          <w:rFonts w:ascii="Verdana" w:hAnsi="Verdana"/>
          <w:bCs/>
          <w:i/>
          <w:sz w:val="20"/>
          <w:szCs w:val="20"/>
          <w:lang w:val="en-US"/>
        </w:rPr>
        <w:t>infra</w:t>
      </w:r>
      <w:r w:rsidRPr="008A3740">
        <w:rPr>
          <w:rFonts w:ascii="Verdana" w:hAnsi="Verdana"/>
          <w:bCs/>
          <w:sz w:val="20"/>
          <w:szCs w:val="20"/>
          <w:lang w:val="en-US"/>
        </w:rPr>
        <w:t xml:space="preserve"> para. 48). </w:t>
      </w:r>
    </w:p>
    <w:p w14:paraId="0CE915E5" w14:textId="77777777" w:rsidR="008E6A56" w:rsidRPr="008A3740" w:rsidRDefault="008E6A56" w:rsidP="008E6A56">
      <w:pPr>
        <w:pStyle w:val="Prrafodelista"/>
        <w:rPr>
          <w:rFonts w:ascii="Verdana" w:hAnsi="Verdana"/>
          <w:sz w:val="20"/>
          <w:szCs w:val="20"/>
          <w:lang w:val="en-US"/>
        </w:rPr>
      </w:pPr>
    </w:p>
    <w:p w14:paraId="64F9BB52"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benefit of </w:t>
      </w:r>
      <w:r w:rsidR="001740E2" w:rsidRPr="008A3740">
        <w:rPr>
          <w:rFonts w:ascii="Verdana" w:hAnsi="Verdana"/>
          <w:sz w:val="20"/>
          <w:szCs w:val="20"/>
          <w:lang w:val="en-US"/>
        </w:rPr>
        <w:t xml:space="preserve">pension equalization </w:t>
      </w:r>
      <w:r w:rsidRPr="008A3740">
        <w:rPr>
          <w:rFonts w:ascii="Verdana" w:hAnsi="Verdana"/>
          <w:sz w:val="20"/>
          <w:szCs w:val="20"/>
          <w:lang w:val="en-US"/>
        </w:rPr>
        <w:t xml:space="preserve">was a privilege extended by the Constitution </w:t>
      </w:r>
      <w:r w:rsidR="007041E8" w:rsidRPr="008A3740">
        <w:rPr>
          <w:rFonts w:ascii="Verdana" w:hAnsi="Verdana"/>
          <w:sz w:val="20"/>
          <w:szCs w:val="20"/>
          <w:lang w:val="en-US"/>
        </w:rPr>
        <w:t xml:space="preserve">to </w:t>
      </w:r>
      <w:r w:rsidRPr="008A3740">
        <w:rPr>
          <w:rFonts w:ascii="Verdana" w:hAnsi="Verdana"/>
          <w:sz w:val="20"/>
          <w:szCs w:val="20"/>
          <w:lang w:val="en-US"/>
        </w:rPr>
        <w:t xml:space="preserve">persons subject to Decree Law No. 20530, </w:t>
      </w:r>
      <w:r w:rsidR="006A3390" w:rsidRPr="008A3740">
        <w:rPr>
          <w:rFonts w:ascii="Verdana" w:hAnsi="Verdana"/>
          <w:sz w:val="20"/>
          <w:szCs w:val="20"/>
          <w:lang w:val="en-US"/>
        </w:rPr>
        <w:t xml:space="preserve">as </w:t>
      </w:r>
      <w:r w:rsidRPr="008A3740">
        <w:rPr>
          <w:rFonts w:ascii="Verdana" w:hAnsi="Verdana"/>
          <w:sz w:val="20"/>
          <w:szCs w:val="20"/>
          <w:lang w:val="en-US"/>
        </w:rPr>
        <w:t>it was not orig</w:t>
      </w:r>
      <w:r w:rsidR="007041E8" w:rsidRPr="008A3740">
        <w:rPr>
          <w:rFonts w:ascii="Verdana" w:hAnsi="Verdana"/>
          <w:sz w:val="20"/>
          <w:szCs w:val="20"/>
          <w:lang w:val="en-US"/>
        </w:rPr>
        <w:t>ina</w:t>
      </w:r>
      <w:r w:rsidR="006A3390" w:rsidRPr="008A3740">
        <w:rPr>
          <w:rFonts w:ascii="Verdana" w:hAnsi="Verdana"/>
          <w:sz w:val="20"/>
          <w:szCs w:val="20"/>
          <w:lang w:val="en-US"/>
        </w:rPr>
        <w:t>lly included in the text of said</w:t>
      </w:r>
      <w:r w:rsidR="007041E8" w:rsidRPr="008A3740">
        <w:rPr>
          <w:rFonts w:ascii="Verdana" w:hAnsi="Verdana"/>
          <w:sz w:val="20"/>
          <w:szCs w:val="20"/>
          <w:lang w:val="en-US"/>
        </w:rPr>
        <w:t xml:space="preserve"> </w:t>
      </w:r>
      <w:r w:rsidRPr="008A3740">
        <w:rPr>
          <w:rFonts w:ascii="Verdana" w:hAnsi="Verdana"/>
          <w:sz w:val="20"/>
          <w:szCs w:val="20"/>
          <w:lang w:val="en-US"/>
        </w:rPr>
        <w:t xml:space="preserve">Decree. This benefit was </w:t>
      </w:r>
      <w:r w:rsidR="00FB024A" w:rsidRPr="008A3740">
        <w:rPr>
          <w:rFonts w:ascii="Verdana" w:hAnsi="Verdana"/>
          <w:sz w:val="20"/>
          <w:szCs w:val="20"/>
          <w:lang w:val="en-US"/>
        </w:rPr>
        <w:t xml:space="preserve">implemented </w:t>
      </w:r>
      <w:r w:rsidRPr="008A3740">
        <w:rPr>
          <w:rFonts w:ascii="Verdana" w:hAnsi="Verdana"/>
          <w:sz w:val="20"/>
          <w:szCs w:val="20"/>
          <w:lang w:val="en-US"/>
        </w:rPr>
        <w:t>through Law No. 23495 of November 1982 and its Regulations</w:t>
      </w:r>
      <w:r w:rsidR="006A3390" w:rsidRPr="008A3740">
        <w:rPr>
          <w:rFonts w:ascii="Verdana" w:hAnsi="Verdana"/>
          <w:sz w:val="20"/>
          <w:szCs w:val="20"/>
          <w:lang w:val="en-US"/>
        </w:rPr>
        <w:t>,</w:t>
      </w:r>
      <w:r w:rsidRPr="008A3740">
        <w:rPr>
          <w:rFonts w:ascii="Verdana" w:hAnsi="Verdana"/>
          <w:sz w:val="20"/>
          <w:szCs w:val="20"/>
          <w:lang w:val="en-US"/>
        </w:rPr>
        <w:t xml:space="preserve"> and </w:t>
      </w:r>
      <w:r w:rsidR="00FB024A" w:rsidRPr="008A3740">
        <w:rPr>
          <w:rFonts w:ascii="Verdana" w:hAnsi="Verdana"/>
          <w:sz w:val="20"/>
          <w:szCs w:val="20"/>
          <w:lang w:val="en-US"/>
        </w:rPr>
        <w:t xml:space="preserve">through </w:t>
      </w:r>
      <w:r w:rsidRPr="008A3740">
        <w:rPr>
          <w:rFonts w:ascii="Verdana" w:hAnsi="Verdana"/>
          <w:sz w:val="20"/>
          <w:szCs w:val="20"/>
          <w:lang w:val="en-US"/>
        </w:rPr>
        <w:t>Supreme Decree No. 015-83-PCM of March 1983. Article 5 o</w:t>
      </w:r>
      <w:r w:rsidR="006A3390" w:rsidRPr="008A3740">
        <w:rPr>
          <w:rFonts w:ascii="Verdana" w:hAnsi="Verdana"/>
          <w:sz w:val="20"/>
          <w:szCs w:val="20"/>
          <w:lang w:val="en-US"/>
        </w:rPr>
        <w:t>f that</w:t>
      </w:r>
      <w:r w:rsidR="002538FA" w:rsidRPr="008A3740">
        <w:rPr>
          <w:rFonts w:ascii="Verdana" w:hAnsi="Verdana"/>
          <w:sz w:val="20"/>
          <w:szCs w:val="20"/>
          <w:lang w:val="en-US"/>
        </w:rPr>
        <w:t xml:space="preserve"> Law established that: “a</w:t>
      </w:r>
      <w:r w:rsidRPr="008A3740">
        <w:rPr>
          <w:rFonts w:ascii="Verdana" w:hAnsi="Verdana"/>
          <w:sz w:val="20"/>
          <w:szCs w:val="20"/>
          <w:lang w:val="en-US"/>
        </w:rPr>
        <w:t xml:space="preserve">ny </w:t>
      </w:r>
      <w:r w:rsidR="001740E2" w:rsidRPr="008A3740">
        <w:rPr>
          <w:rFonts w:ascii="Verdana" w:hAnsi="Verdana"/>
          <w:sz w:val="20"/>
          <w:szCs w:val="20"/>
          <w:lang w:val="en-US"/>
        </w:rPr>
        <w:t>post-equalization increase awarded to active public servants in the same or a similar position to the last position held by the di</w:t>
      </w:r>
      <w:r w:rsidR="006A3390" w:rsidRPr="008A3740">
        <w:rPr>
          <w:rFonts w:ascii="Verdana" w:hAnsi="Verdana"/>
          <w:sz w:val="20"/>
          <w:szCs w:val="20"/>
          <w:lang w:val="en-US"/>
        </w:rPr>
        <w:t xml:space="preserve">smissed or retired worker shall </w:t>
      </w:r>
      <w:r w:rsidR="001740E2" w:rsidRPr="008A3740">
        <w:rPr>
          <w:rFonts w:ascii="Verdana" w:hAnsi="Verdana"/>
          <w:sz w:val="20"/>
          <w:szCs w:val="20"/>
          <w:lang w:val="en-US"/>
        </w:rPr>
        <w:t>give rise to the same pension increase to which the active public servant is entitled</w:t>
      </w:r>
      <w:r w:rsidRPr="008A3740">
        <w:rPr>
          <w:rFonts w:ascii="Verdana" w:hAnsi="Verdana"/>
          <w:bCs/>
          <w:sz w:val="20"/>
          <w:szCs w:val="20"/>
          <w:lang w:val="en-US"/>
        </w:rPr>
        <w:t>.”</w:t>
      </w:r>
      <w:r w:rsidRPr="008A3740">
        <w:rPr>
          <w:rStyle w:val="Refdenotaalpie"/>
          <w:szCs w:val="20"/>
          <w:lang w:val="en-US"/>
        </w:rPr>
        <w:footnoteReference w:id="47"/>
      </w:r>
      <w:r w:rsidRPr="008A3740">
        <w:rPr>
          <w:rFonts w:ascii="Verdana" w:hAnsi="Verdana"/>
          <w:bCs/>
          <w:sz w:val="20"/>
          <w:szCs w:val="20"/>
          <w:lang w:val="en-US"/>
        </w:rPr>
        <w:t xml:space="preserve"> </w:t>
      </w:r>
    </w:p>
    <w:p w14:paraId="5B941D6B" w14:textId="77777777" w:rsidR="008E6A56" w:rsidRPr="008A3740" w:rsidRDefault="008E6A56" w:rsidP="008E6A56">
      <w:pPr>
        <w:pStyle w:val="Prrafodelista"/>
        <w:rPr>
          <w:rFonts w:ascii="Verdana" w:hAnsi="Verdana"/>
          <w:sz w:val="20"/>
          <w:szCs w:val="20"/>
          <w:lang w:val="en-US"/>
        </w:rPr>
      </w:pPr>
    </w:p>
    <w:p w14:paraId="5C396989"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On September 30, 1990 Mr.</w:t>
      </w:r>
      <w:r w:rsidR="002538FA" w:rsidRPr="008A3740">
        <w:rPr>
          <w:rFonts w:ascii="Verdana" w:hAnsi="Verdana"/>
          <w:sz w:val="20"/>
          <w:szCs w:val="20"/>
          <w:lang w:val="en-US"/>
        </w:rPr>
        <w:t xml:space="preserve"> Muelle Flores retired from </w:t>
      </w:r>
      <w:r w:rsidRPr="008A3740">
        <w:rPr>
          <w:rFonts w:ascii="Verdana" w:hAnsi="Verdana"/>
          <w:sz w:val="20"/>
          <w:szCs w:val="20"/>
          <w:lang w:val="en-US"/>
        </w:rPr>
        <w:t xml:space="preserve">Tintaya </w:t>
      </w:r>
      <w:r w:rsidR="007041E8" w:rsidRPr="008A3740">
        <w:rPr>
          <w:rFonts w:ascii="Verdana" w:hAnsi="Verdana"/>
          <w:sz w:val="20"/>
          <w:szCs w:val="20"/>
          <w:lang w:val="en-US"/>
        </w:rPr>
        <w:t>S.A.</w:t>
      </w:r>
      <w:r w:rsidRPr="008A3740">
        <w:rPr>
          <w:rFonts w:ascii="Verdana" w:hAnsi="Verdana"/>
          <w:sz w:val="20"/>
          <w:szCs w:val="20"/>
          <w:lang w:val="en-US"/>
        </w:rPr>
        <w:t xml:space="preserve">, </w:t>
      </w:r>
      <w:r w:rsidR="006A3390" w:rsidRPr="008A3740">
        <w:rPr>
          <w:rFonts w:ascii="Verdana" w:hAnsi="Verdana"/>
          <w:sz w:val="20"/>
          <w:szCs w:val="20"/>
          <w:lang w:val="en-US"/>
        </w:rPr>
        <w:t xml:space="preserve">a </w:t>
      </w:r>
      <w:r w:rsidR="00332B2C" w:rsidRPr="008A3740">
        <w:rPr>
          <w:rFonts w:ascii="Verdana" w:hAnsi="Verdana"/>
          <w:sz w:val="20"/>
          <w:szCs w:val="20"/>
          <w:lang w:val="en-US"/>
        </w:rPr>
        <w:t>State-owned company governed by private law</w:t>
      </w:r>
      <w:r w:rsidRPr="008A3740">
        <w:rPr>
          <w:rFonts w:ascii="Verdana" w:hAnsi="Verdana"/>
          <w:sz w:val="20"/>
          <w:szCs w:val="20"/>
          <w:lang w:val="en-US"/>
        </w:rPr>
        <w:t xml:space="preserve">. Mr. Muelle Flores received his pension in accordance with </w:t>
      </w:r>
      <w:r w:rsidRPr="008A3740">
        <w:rPr>
          <w:rFonts w:ascii="Verdana" w:hAnsi="Verdana"/>
          <w:bCs/>
          <w:sz w:val="20"/>
          <w:szCs w:val="20"/>
          <w:lang w:val="en-US"/>
        </w:rPr>
        <w:t>Decree Law No. 20530</w:t>
      </w:r>
      <w:r w:rsidRPr="008A3740">
        <w:rPr>
          <w:rFonts w:ascii="Verdana" w:hAnsi="Verdana"/>
          <w:sz w:val="20"/>
          <w:szCs w:val="20"/>
          <w:lang w:val="en-US"/>
        </w:rPr>
        <w:t>, from October 1, 1990 until January 1991. On February 27, 1991</w:t>
      </w:r>
      <w:r w:rsidR="007041E8" w:rsidRPr="008A3740">
        <w:rPr>
          <w:rFonts w:ascii="Verdana" w:hAnsi="Verdana"/>
          <w:sz w:val="20"/>
          <w:szCs w:val="20"/>
          <w:lang w:val="en-US"/>
        </w:rPr>
        <w:t>,</w:t>
      </w:r>
      <w:r w:rsidR="00923477" w:rsidRPr="008A3740">
        <w:rPr>
          <w:rFonts w:ascii="Verdana" w:hAnsi="Verdana"/>
          <w:sz w:val="20"/>
          <w:szCs w:val="20"/>
          <w:lang w:val="en-US"/>
        </w:rPr>
        <w:t xml:space="preserve"> he received C</w:t>
      </w:r>
      <w:r w:rsidRPr="008A3740">
        <w:rPr>
          <w:rFonts w:ascii="Verdana" w:hAnsi="Verdana"/>
          <w:sz w:val="20"/>
          <w:szCs w:val="20"/>
          <w:lang w:val="en-US"/>
        </w:rPr>
        <w:t xml:space="preserve">ommunication No. GA/0130/91 </w:t>
      </w:r>
      <w:r w:rsidR="007041E8" w:rsidRPr="008A3740">
        <w:rPr>
          <w:rFonts w:ascii="Verdana" w:hAnsi="Verdana"/>
          <w:sz w:val="20"/>
          <w:szCs w:val="20"/>
          <w:lang w:val="en-US"/>
        </w:rPr>
        <w:t xml:space="preserve">from </w:t>
      </w:r>
      <w:r w:rsidRPr="008A3740">
        <w:rPr>
          <w:rFonts w:ascii="Verdana" w:hAnsi="Verdana"/>
          <w:sz w:val="20"/>
          <w:szCs w:val="20"/>
          <w:lang w:val="en-US"/>
        </w:rPr>
        <w:t xml:space="preserve">the </w:t>
      </w:r>
      <w:r w:rsidR="007041E8" w:rsidRPr="008A3740">
        <w:rPr>
          <w:rFonts w:ascii="Verdana" w:hAnsi="Verdana"/>
          <w:sz w:val="20"/>
          <w:szCs w:val="20"/>
          <w:lang w:val="en-US"/>
        </w:rPr>
        <w:t xml:space="preserve">company’s </w:t>
      </w:r>
      <w:r w:rsidR="006A3390" w:rsidRPr="008A3740">
        <w:rPr>
          <w:rFonts w:ascii="Verdana" w:hAnsi="Verdana"/>
          <w:sz w:val="20"/>
          <w:szCs w:val="20"/>
          <w:lang w:val="en-US"/>
        </w:rPr>
        <w:t>administrative</w:t>
      </w:r>
      <w:r w:rsidRPr="008A3740">
        <w:rPr>
          <w:rFonts w:ascii="Verdana" w:hAnsi="Verdana"/>
          <w:sz w:val="20"/>
          <w:szCs w:val="20"/>
          <w:lang w:val="en-US"/>
        </w:rPr>
        <w:t xml:space="preserve"> manager</w:t>
      </w:r>
      <w:r w:rsidR="007041E8" w:rsidRPr="008A3740">
        <w:rPr>
          <w:rFonts w:ascii="Verdana" w:hAnsi="Verdana"/>
          <w:sz w:val="20"/>
          <w:szCs w:val="20"/>
          <w:lang w:val="en-US"/>
        </w:rPr>
        <w:t>,</w:t>
      </w:r>
      <w:r w:rsidRPr="008A3740">
        <w:rPr>
          <w:rFonts w:ascii="Verdana" w:hAnsi="Verdana"/>
          <w:sz w:val="20"/>
          <w:szCs w:val="20"/>
          <w:lang w:val="en-US"/>
        </w:rPr>
        <w:t xml:space="preserve"> </w:t>
      </w:r>
      <w:r w:rsidR="007041E8" w:rsidRPr="008A3740">
        <w:rPr>
          <w:rFonts w:ascii="Verdana" w:hAnsi="Verdana"/>
          <w:sz w:val="20"/>
          <w:szCs w:val="20"/>
          <w:lang w:val="en-US"/>
        </w:rPr>
        <w:t xml:space="preserve">unilaterally </w:t>
      </w:r>
      <w:r w:rsidRPr="008A3740">
        <w:rPr>
          <w:rFonts w:ascii="Verdana" w:hAnsi="Verdana"/>
          <w:sz w:val="20"/>
          <w:szCs w:val="20"/>
          <w:lang w:val="en-US"/>
        </w:rPr>
        <w:t>inform</w:t>
      </w:r>
      <w:r w:rsidR="007041E8" w:rsidRPr="008A3740">
        <w:rPr>
          <w:rFonts w:ascii="Verdana" w:hAnsi="Verdana"/>
          <w:sz w:val="20"/>
          <w:szCs w:val="20"/>
          <w:lang w:val="en-US"/>
        </w:rPr>
        <w:t xml:space="preserve">ing </w:t>
      </w:r>
      <w:r w:rsidRPr="008A3740">
        <w:rPr>
          <w:rFonts w:ascii="Verdana" w:hAnsi="Verdana"/>
          <w:sz w:val="20"/>
          <w:szCs w:val="20"/>
          <w:lang w:val="en-US"/>
        </w:rPr>
        <w:t xml:space="preserve">him that, </w:t>
      </w:r>
      <w:r w:rsidR="001740E2" w:rsidRPr="008A3740">
        <w:rPr>
          <w:rFonts w:ascii="Verdana" w:hAnsi="Verdana"/>
          <w:sz w:val="20"/>
          <w:szCs w:val="20"/>
          <w:lang w:val="en-US"/>
        </w:rPr>
        <w:t xml:space="preserve">on the advice </w:t>
      </w:r>
      <w:r w:rsidR="006A3390" w:rsidRPr="008A3740">
        <w:rPr>
          <w:rFonts w:ascii="Verdana" w:hAnsi="Verdana"/>
          <w:sz w:val="20"/>
          <w:szCs w:val="20"/>
          <w:lang w:val="en-US"/>
        </w:rPr>
        <w:t>of an</w:t>
      </w:r>
      <w:r w:rsidRPr="008A3740">
        <w:rPr>
          <w:rFonts w:ascii="Verdana" w:hAnsi="Verdana"/>
          <w:sz w:val="20"/>
          <w:szCs w:val="20"/>
          <w:lang w:val="en-US"/>
        </w:rPr>
        <w:t xml:space="preserve"> external legal adviser, </w:t>
      </w:r>
      <w:r w:rsidR="007041E8" w:rsidRPr="008A3740">
        <w:rPr>
          <w:rFonts w:ascii="Verdana" w:hAnsi="Verdana"/>
          <w:sz w:val="20"/>
          <w:szCs w:val="20"/>
          <w:lang w:val="en-US"/>
        </w:rPr>
        <w:t>the pension scheme under Decree Law 20530 was being suspended.</w:t>
      </w:r>
      <w:r w:rsidRPr="008A3740">
        <w:rPr>
          <w:rStyle w:val="Refdenotaalpie"/>
          <w:szCs w:val="20"/>
          <w:lang w:val="en-US"/>
        </w:rPr>
        <w:footnoteReference w:id="48"/>
      </w:r>
      <w:r w:rsidRPr="008A3740">
        <w:rPr>
          <w:rFonts w:ascii="Verdana" w:hAnsi="Verdana"/>
          <w:b/>
          <w:sz w:val="20"/>
          <w:szCs w:val="20"/>
          <w:lang w:val="en-US"/>
        </w:rPr>
        <w:t xml:space="preserve"> </w:t>
      </w:r>
      <w:r w:rsidRPr="008A3740">
        <w:rPr>
          <w:rFonts w:ascii="Verdana" w:hAnsi="Verdana"/>
          <w:sz w:val="20"/>
          <w:szCs w:val="20"/>
          <w:lang w:val="en-US"/>
        </w:rPr>
        <w:t xml:space="preserve">Mr. Muelle Flores was informed that the Decree </w:t>
      </w:r>
      <w:r w:rsidR="007041E8" w:rsidRPr="008A3740">
        <w:rPr>
          <w:rFonts w:ascii="Verdana" w:hAnsi="Verdana"/>
          <w:sz w:val="20"/>
          <w:szCs w:val="20"/>
          <w:lang w:val="en-US"/>
        </w:rPr>
        <w:t xml:space="preserve">was no longer applicable to company </w:t>
      </w:r>
      <w:r w:rsidRPr="008A3740">
        <w:rPr>
          <w:rFonts w:ascii="Verdana" w:hAnsi="Verdana"/>
          <w:sz w:val="20"/>
          <w:szCs w:val="20"/>
          <w:lang w:val="en-US"/>
        </w:rPr>
        <w:lastRenderedPageBreak/>
        <w:t>personnel given that, although it was a State</w:t>
      </w:r>
      <w:r w:rsidR="00923477" w:rsidRPr="008A3740">
        <w:rPr>
          <w:rFonts w:ascii="Verdana" w:hAnsi="Verdana"/>
          <w:sz w:val="20"/>
          <w:szCs w:val="20"/>
          <w:lang w:val="en-US"/>
        </w:rPr>
        <w:t>-owned</w:t>
      </w:r>
      <w:r w:rsidRPr="008A3740">
        <w:rPr>
          <w:rFonts w:ascii="Verdana" w:hAnsi="Verdana"/>
          <w:sz w:val="20"/>
          <w:szCs w:val="20"/>
          <w:lang w:val="en-US"/>
        </w:rPr>
        <w:t xml:space="preserve"> Company, it was governed by private law and </w:t>
      </w:r>
      <w:r w:rsidR="00332B2C" w:rsidRPr="008A3740">
        <w:rPr>
          <w:rFonts w:ascii="Verdana" w:hAnsi="Verdana"/>
          <w:sz w:val="20"/>
          <w:szCs w:val="20"/>
          <w:lang w:val="en-US"/>
        </w:rPr>
        <w:t xml:space="preserve">operated under </w:t>
      </w:r>
      <w:r w:rsidRPr="008A3740">
        <w:rPr>
          <w:rFonts w:ascii="Verdana" w:hAnsi="Verdana"/>
          <w:sz w:val="20"/>
          <w:szCs w:val="20"/>
          <w:lang w:val="en-US"/>
        </w:rPr>
        <w:t xml:space="preserve">the </w:t>
      </w:r>
      <w:r w:rsidR="007041E8" w:rsidRPr="008A3740">
        <w:rPr>
          <w:rFonts w:ascii="Verdana" w:hAnsi="Verdana"/>
          <w:sz w:val="20"/>
          <w:szCs w:val="20"/>
          <w:lang w:val="en-US"/>
        </w:rPr>
        <w:t>private sector labor regime</w:t>
      </w:r>
      <w:r w:rsidRPr="008A3740">
        <w:rPr>
          <w:rFonts w:ascii="Verdana" w:hAnsi="Verdana"/>
          <w:sz w:val="20"/>
          <w:szCs w:val="20"/>
          <w:lang w:val="en-US"/>
        </w:rPr>
        <w:t xml:space="preserve">, so that its workers could not be considered as public servants but </w:t>
      </w:r>
      <w:r w:rsidR="007041E8" w:rsidRPr="008A3740">
        <w:rPr>
          <w:rFonts w:ascii="Verdana" w:hAnsi="Verdana"/>
          <w:sz w:val="20"/>
          <w:szCs w:val="20"/>
          <w:lang w:val="en-US"/>
        </w:rPr>
        <w:t xml:space="preserve">rather as </w:t>
      </w:r>
      <w:r w:rsidRPr="008A3740">
        <w:rPr>
          <w:rFonts w:ascii="Verdana" w:hAnsi="Verdana"/>
          <w:sz w:val="20"/>
          <w:szCs w:val="20"/>
          <w:lang w:val="en-US"/>
        </w:rPr>
        <w:t>private workers.</w:t>
      </w:r>
      <w:r w:rsidRPr="008A3740">
        <w:rPr>
          <w:rStyle w:val="Refdenotaalpie"/>
          <w:szCs w:val="20"/>
          <w:lang w:val="en-US"/>
        </w:rPr>
        <w:footnoteReference w:id="49"/>
      </w:r>
      <w:r w:rsidRPr="008A3740">
        <w:rPr>
          <w:rFonts w:ascii="Verdana" w:hAnsi="Verdana"/>
          <w:sz w:val="20"/>
          <w:szCs w:val="20"/>
          <w:lang w:val="en-US"/>
        </w:rPr>
        <w:t xml:space="preserve"> </w:t>
      </w:r>
      <w:r w:rsidR="007041E8" w:rsidRPr="008A3740">
        <w:rPr>
          <w:rFonts w:ascii="Verdana" w:hAnsi="Verdana"/>
          <w:sz w:val="20"/>
          <w:szCs w:val="20"/>
          <w:lang w:val="en-US"/>
        </w:rPr>
        <w:t xml:space="preserve">He was also informed </w:t>
      </w:r>
      <w:r w:rsidRPr="008A3740">
        <w:rPr>
          <w:rFonts w:ascii="Verdana" w:hAnsi="Verdana"/>
          <w:sz w:val="20"/>
          <w:szCs w:val="20"/>
          <w:lang w:val="en-US"/>
        </w:rPr>
        <w:t>that his inc</w:t>
      </w:r>
      <w:r w:rsidR="006A3390" w:rsidRPr="008A3740">
        <w:rPr>
          <w:rFonts w:ascii="Verdana" w:hAnsi="Verdana"/>
          <w:sz w:val="20"/>
          <w:szCs w:val="20"/>
          <w:lang w:val="en-US"/>
        </w:rPr>
        <w:t xml:space="preserve">lusion in that system </w:t>
      </w:r>
      <w:r w:rsidRPr="008A3740">
        <w:rPr>
          <w:rFonts w:ascii="Verdana" w:hAnsi="Verdana"/>
          <w:sz w:val="20"/>
          <w:szCs w:val="20"/>
          <w:lang w:val="en-US"/>
        </w:rPr>
        <w:t xml:space="preserve">contravened Article 14 of </w:t>
      </w:r>
      <w:r w:rsidR="006A3390" w:rsidRPr="008A3740">
        <w:rPr>
          <w:rFonts w:ascii="Verdana" w:hAnsi="Verdana"/>
          <w:sz w:val="20"/>
          <w:szCs w:val="20"/>
          <w:lang w:val="en-US"/>
        </w:rPr>
        <w:t>the</w:t>
      </w:r>
      <w:r w:rsidR="007041E8" w:rsidRPr="008A3740">
        <w:rPr>
          <w:rFonts w:ascii="Verdana" w:hAnsi="Verdana"/>
          <w:sz w:val="20"/>
          <w:szCs w:val="20"/>
          <w:lang w:val="en-US"/>
        </w:rPr>
        <w:t xml:space="preserve"> </w:t>
      </w:r>
      <w:r w:rsidRPr="008A3740">
        <w:rPr>
          <w:rFonts w:ascii="Verdana" w:hAnsi="Verdana"/>
          <w:sz w:val="20"/>
          <w:szCs w:val="20"/>
          <w:lang w:val="en-US"/>
        </w:rPr>
        <w:t>Decree Law, which pr</w:t>
      </w:r>
      <w:r w:rsidR="006A3390" w:rsidRPr="008A3740">
        <w:rPr>
          <w:rFonts w:ascii="Verdana" w:hAnsi="Verdana"/>
          <w:sz w:val="20"/>
          <w:szCs w:val="20"/>
          <w:lang w:val="en-US"/>
        </w:rPr>
        <w:t xml:space="preserve">ecluded </w:t>
      </w:r>
      <w:r w:rsidRPr="008A3740">
        <w:rPr>
          <w:rFonts w:ascii="Verdana" w:hAnsi="Verdana"/>
          <w:sz w:val="20"/>
          <w:szCs w:val="20"/>
          <w:lang w:val="en-US"/>
        </w:rPr>
        <w:t xml:space="preserve">the accumulation of </w:t>
      </w:r>
      <w:r w:rsidR="006A3390" w:rsidRPr="008A3740">
        <w:rPr>
          <w:rFonts w:ascii="Verdana" w:hAnsi="Verdana"/>
          <w:sz w:val="20"/>
          <w:szCs w:val="20"/>
          <w:lang w:val="en-US"/>
        </w:rPr>
        <w:t xml:space="preserve">public service under </w:t>
      </w:r>
      <w:r w:rsidRPr="008A3740">
        <w:rPr>
          <w:rFonts w:ascii="Verdana" w:hAnsi="Verdana"/>
          <w:sz w:val="20"/>
          <w:szCs w:val="20"/>
          <w:lang w:val="en-US"/>
        </w:rPr>
        <w:t>different types of labor regimes (public and private).</w:t>
      </w:r>
      <w:r w:rsidRPr="008A3740">
        <w:rPr>
          <w:rStyle w:val="Refdenotaalpie"/>
          <w:szCs w:val="20"/>
          <w:lang w:val="en-US"/>
        </w:rPr>
        <w:footnoteReference w:id="50"/>
      </w:r>
    </w:p>
    <w:p w14:paraId="21929A8B" w14:textId="77777777" w:rsidR="008E6A56" w:rsidRPr="008A3740" w:rsidRDefault="008E6A56" w:rsidP="008E6A56">
      <w:pPr>
        <w:pStyle w:val="Prrafodelista"/>
        <w:rPr>
          <w:rFonts w:ascii="Verdana" w:hAnsi="Verdana"/>
          <w:sz w:val="20"/>
          <w:szCs w:val="20"/>
          <w:lang w:val="en-US"/>
        </w:rPr>
      </w:pPr>
    </w:p>
    <w:p w14:paraId="103F7DF2"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bCs/>
          <w:sz w:val="20"/>
          <w:szCs w:val="20"/>
          <w:lang w:val="en-US"/>
        </w:rPr>
        <w:t xml:space="preserve">In order to reverse the suspension of </w:t>
      </w:r>
      <w:r w:rsidR="006A3390" w:rsidRPr="008A3740">
        <w:rPr>
          <w:rFonts w:ascii="Verdana" w:hAnsi="Verdana"/>
          <w:bCs/>
          <w:sz w:val="20"/>
          <w:szCs w:val="20"/>
          <w:lang w:val="en-US"/>
        </w:rPr>
        <w:t>his pension payments</w:t>
      </w:r>
      <w:r w:rsidRPr="008A3740">
        <w:rPr>
          <w:rFonts w:ascii="Verdana" w:hAnsi="Verdana"/>
          <w:bCs/>
          <w:sz w:val="20"/>
          <w:szCs w:val="20"/>
          <w:lang w:val="en-US"/>
        </w:rPr>
        <w:t xml:space="preserve">, Mr. Muelle Flores filed and participated in a </w:t>
      </w:r>
      <w:r w:rsidR="006A3390" w:rsidRPr="008A3740">
        <w:rPr>
          <w:rFonts w:ascii="Verdana" w:hAnsi="Verdana"/>
          <w:bCs/>
          <w:sz w:val="20"/>
          <w:szCs w:val="20"/>
          <w:lang w:val="en-US"/>
        </w:rPr>
        <w:t xml:space="preserve">number </w:t>
      </w:r>
      <w:r w:rsidRPr="008A3740">
        <w:rPr>
          <w:rFonts w:ascii="Verdana" w:hAnsi="Verdana"/>
          <w:bCs/>
          <w:sz w:val="20"/>
          <w:szCs w:val="20"/>
          <w:lang w:val="en-US"/>
        </w:rPr>
        <w:t xml:space="preserve">of legal actions </w:t>
      </w:r>
      <w:r w:rsidR="006A3390" w:rsidRPr="008A3740">
        <w:rPr>
          <w:rFonts w:ascii="Verdana" w:hAnsi="Verdana"/>
          <w:bCs/>
          <w:sz w:val="20"/>
          <w:szCs w:val="20"/>
          <w:lang w:val="en-US"/>
        </w:rPr>
        <w:t xml:space="preserve">seeking to be </w:t>
      </w:r>
      <w:r w:rsidRPr="008A3740">
        <w:rPr>
          <w:rFonts w:ascii="Verdana" w:hAnsi="Verdana"/>
          <w:bCs/>
          <w:sz w:val="20"/>
          <w:szCs w:val="20"/>
          <w:lang w:val="en-US"/>
        </w:rPr>
        <w:t>re</w:t>
      </w:r>
      <w:r w:rsidR="006A3390" w:rsidRPr="008A3740">
        <w:rPr>
          <w:rFonts w:ascii="Verdana" w:hAnsi="Verdana"/>
          <w:bCs/>
          <w:sz w:val="20"/>
          <w:szCs w:val="20"/>
          <w:lang w:val="en-US"/>
        </w:rPr>
        <w:t xml:space="preserve">instated in </w:t>
      </w:r>
      <w:r w:rsidRPr="008A3740">
        <w:rPr>
          <w:rFonts w:ascii="Verdana" w:hAnsi="Verdana"/>
          <w:bCs/>
          <w:sz w:val="20"/>
          <w:szCs w:val="20"/>
          <w:lang w:val="en-US"/>
        </w:rPr>
        <w:t>the pension regime of Decree Law No. 20530, including: two a</w:t>
      </w:r>
      <w:r w:rsidR="006A3390" w:rsidRPr="008A3740">
        <w:rPr>
          <w:rFonts w:ascii="Verdana" w:hAnsi="Verdana"/>
          <w:bCs/>
          <w:sz w:val="20"/>
          <w:szCs w:val="20"/>
          <w:lang w:val="en-US"/>
        </w:rPr>
        <w:t xml:space="preserve">pplications for </w:t>
      </w:r>
      <w:r w:rsidRPr="008A3740">
        <w:rPr>
          <w:rFonts w:ascii="Verdana" w:hAnsi="Verdana"/>
          <w:bCs/>
          <w:i/>
          <w:sz w:val="20"/>
          <w:szCs w:val="20"/>
          <w:lang w:val="en-US"/>
        </w:rPr>
        <w:t>amparo</w:t>
      </w:r>
      <w:r w:rsidRPr="008A3740">
        <w:rPr>
          <w:rFonts w:ascii="Verdana" w:hAnsi="Verdana"/>
          <w:bCs/>
          <w:sz w:val="20"/>
          <w:szCs w:val="20"/>
          <w:lang w:val="en-US"/>
        </w:rPr>
        <w:t>; a</w:t>
      </w:r>
      <w:r w:rsidR="006A3390" w:rsidRPr="008A3740">
        <w:rPr>
          <w:rFonts w:ascii="Verdana" w:hAnsi="Verdana"/>
          <w:bCs/>
          <w:sz w:val="20"/>
          <w:szCs w:val="20"/>
          <w:lang w:val="en-US"/>
        </w:rPr>
        <w:t xml:space="preserve"> contentious </w:t>
      </w:r>
      <w:r w:rsidR="007041E8" w:rsidRPr="008A3740">
        <w:rPr>
          <w:rFonts w:ascii="Verdana" w:hAnsi="Verdana"/>
          <w:bCs/>
          <w:sz w:val="20"/>
          <w:szCs w:val="20"/>
          <w:lang w:val="en-US"/>
        </w:rPr>
        <w:t>administrative</w:t>
      </w:r>
      <w:r w:rsidRPr="008A3740">
        <w:rPr>
          <w:rFonts w:ascii="Verdana" w:hAnsi="Verdana"/>
          <w:bCs/>
          <w:sz w:val="20"/>
          <w:szCs w:val="20"/>
          <w:lang w:val="en-US"/>
        </w:rPr>
        <w:t xml:space="preserve"> proceeding</w:t>
      </w:r>
      <w:r w:rsidRPr="008A3740">
        <w:rPr>
          <w:rFonts w:ascii="Verdana" w:hAnsi="Verdana"/>
          <w:sz w:val="20"/>
          <w:szCs w:val="20"/>
          <w:lang w:val="en-US"/>
        </w:rPr>
        <w:t>, and a</w:t>
      </w:r>
      <w:r w:rsidR="00144448" w:rsidRPr="008A3740">
        <w:rPr>
          <w:rFonts w:ascii="Verdana" w:hAnsi="Verdana"/>
          <w:sz w:val="20"/>
          <w:szCs w:val="20"/>
          <w:lang w:val="en-US"/>
        </w:rPr>
        <w:t xml:space="preserve"> judgment e</w:t>
      </w:r>
      <w:r w:rsidR="000F189D" w:rsidRPr="008A3740">
        <w:rPr>
          <w:rFonts w:ascii="Verdana" w:hAnsi="Verdana"/>
          <w:sz w:val="20"/>
          <w:szCs w:val="20"/>
          <w:lang w:val="en-US"/>
        </w:rPr>
        <w:t xml:space="preserve">xecution </w:t>
      </w:r>
      <w:r w:rsidRPr="008A3740">
        <w:rPr>
          <w:rFonts w:ascii="Verdana" w:hAnsi="Verdana"/>
          <w:sz w:val="20"/>
          <w:szCs w:val="20"/>
          <w:lang w:val="en-US"/>
        </w:rPr>
        <w:t>proceeding</w:t>
      </w:r>
      <w:r w:rsidR="00144448" w:rsidRPr="008A3740">
        <w:rPr>
          <w:rFonts w:ascii="Verdana" w:hAnsi="Verdana"/>
          <w:sz w:val="20"/>
          <w:szCs w:val="20"/>
          <w:lang w:val="en-US"/>
        </w:rPr>
        <w:t>,</w:t>
      </w:r>
      <w:r w:rsidRPr="008A3740">
        <w:rPr>
          <w:rStyle w:val="Refdenotaalpie"/>
          <w:szCs w:val="20"/>
          <w:lang w:val="en-US"/>
        </w:rPr>
        <w:footnoteReference w:id="51"/>
      </w:r>
      <w:r w:rsidRPr="008A3740">
        <w:rPr>
          <w:rFonts w:ascii="Verdana" w:hAnsi="Verdana"/>
          <w:b/>
          <w:sz w:val="20"/>
          <w:szCs w:val="20"/>
          <w:lang w:val="en-US"/>
        </w:rPr>
        <w:t xml:space="preserve"> </w:t>
      </w:r>
      <w:r w:rsidR="00144448" w:rsidRPr="008A3740">
        <w:rPr>
          <w:rFonts w:ascii="Verdana" w:hAnsi="Verdana"/>
          <w:sz w:val="20"/>
          <w:szCs w:val="20"/>
          <w:lang w:val="en-US"/>
        </w:rPr>
        <w:t xml:space="preserve">which are </w:t>
      </w:r>
      <w:r w:rsidRPr="008A3740">
        <w:rPr>
          <w:rFonts w:ascii="Verdana" w:hAnsi="Verdana"/>
          <w:sz w:val="20"/>
          <w:szCs w:val="20"/>
          <w:lang w:val="en-US"/>
        </w:rPr>
        <w:t>described in the following sections.</w:t>
      </w:r>
    </w:p>
    <w:p w14:paraId="6ECF7046" w14:textId="77777777" w:rsidR="008E6A56" w:rsidRPr="008A3740" w:rsidRDefault="008E6A56" w:rsidP="008E6A56">
      <w:pPr>
        <w:pStyle w:val="Prrafodelista"/>
        <w:rPr>
          <w:rFonts w:ascii="Verdana" w:hAnsi="Verdana"/>
          <w:sz w:val="20"/>
          <w:szCs w:val="20"/>
          <w:lang w:val="en-US"/>
        </w:rPr>
      </w:pPr>
    </w:p>
    <w:p w14:paraId="2713129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From the date </w:t>
      </w:r>
      <w:r w:rsidR="00D363E4" w:rsidRPr="008A3740">
        <w:rPr>
          <w:rFonts w:ascii="Verdana" w:hAnsi="Verdana"/>
          <w:sz w:val="20"/>
          <w:szCs w:val="20"/>
          <w:lang w:val="en-US"/>
        </w:rPr>
        <w:t xml:space="preserve">on which payment of his pension was suspended </w:t>
      </w:r>
      <w:r w:rsidRPr="008A3740">
        <w:rPr>
          <w:rFonts w:ascii="Verdana" w:hAnsi="Verdana"/>
          <w:sz w:val="20"/>
          <w:szCs w:val="20"/>
          <w:lang w:val="en-US"/>
        </w:rPr>
        <w:t>until the present, Mr. Mu</w:t>
      </w:r>
      <w:r w:rsidR="00D363E4" w:rsidRPr="008A3740">
        <w:rPr>
          <w:rFonts w:ascii="Verdana" w:hAnsi="Verdana"/>
          <w:sz w:val="20"/>
          <w:szCs w:val="20"/>
          <w:lang w:val="en-US"/>
        </w:rPr>
        <w:t xml:space="preserve">elle Flores has not been paid his full </w:t>
      </w:r>
      <w:r w:rsidRPr="008A3740">
        <w:rPr>
          <w:rFonts w:ascii="Verdana" w:hAnsi="Verdana"/>
          <w:sz w:val="20"/>
          <w:szCs w:val="20"/>
          <w:lang w:val="en-US"/>
        </w:rPr>
        <w:t>pension, notwithstanding certain partial payments made from 1999 until 2001 (</w:t>
      </w:r>
      <w:r w:rsidRPr="008A3740">
        <w:rPr>
          <w:rFonts w:ascii="Verdana" w:hAnsi="Verdana"/>
          <w:i/>
          <w:sz w:val="20"/>
          <w:szCs w:val="20"/>
          <w:lang w:val="en-US"/>
        </w:rPr>
        <w:t>infra</w:t>
      </w:r>
      <w:r w:rsidRPr="008A3740">
        <w:rPr>
          <w:rFonts w:ascii="Verdana" w:hAnsi="Verdana"/>
          <w:sz w:val="20"/>
          <w:szCs w:val="20"/>
          <w:lang w:val="en-US"/>
        </w:rPr>
        <w:t xml:space="preserve"> paras. 79, 80 and 216).</w:t>
      </w:r>
    </w:p>
    <w:p w14:paraId="21BCC05D" w14:textId="77777777" w:rsidR="008E6A56" w:rsidRPr="008A3740" w:rsidRDefault="008E6A56" w:rsidP="008E6A56">
      <w:pPr>
        <w:pStyle w:val="Prrafodelista"/>
        <w:rPr>
          <w:rFonts w:ascii="Verdana" w:hAnsi="Verdana"/>
          <w:sz w:val="20"/>
          <w:szCs w:val="20"/>
          <w:lang w:val="en-US"/>
        </w:rPr>
      </w:pPr>
    </w:p>
    <w:p w14:paraId="612C6848"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Oscar Muelle Flores is </w:t>
      </w:r>
      <w:r w:rsidR="00D363E4" w:rsidRPr="008A3740">
        <w:rPr>
          <w:rFonts w:ascii="Verdana" w:hAnsi="Verdana"/>
          <w:sz w:val="20"/>
          <w:szCs w:val="20"/>
          <w:lang w:val="en-US"/>
        </w:rPr>
        <w:t xml:space="preserve">currently </w:t>
      </w:r>
      <w:r w:rsidRPr="008A3740">
        <w:rPr>
          <w:rFonts w:ascii="Verdana" w:hAnsi="Verdana"/>
          <w:sz w:val="20"/>
          <w:szCs w:val="20"/>
          <w:lang w:val="en-US"/>
        </w:rPr>
        <w:t xml:space="preserve">82 years </w:t>
      </w:r>
      <w:r w:rsidR="002538FA" w:rsidRPr="008A3740">
        <w:rPr>
          <w:rFonts w:ascii="Verdana" w:hAnsi="Verdana"/>
          <w:sz w:val="20"/>
          <w:szCs w:val="20"/>
          <w:lang w:val="en-US"/>
        </w:rPr>
        <w:t>of age</w:t>
      </w:r>
      <w:r w:rsidRPr="008A3740">
        <w:rPr>
          <w:rStyle w:val="Refdenotaalpie"/>
          <w:szCs w:val="20"/>
          <w:lang w:val="en-US"/>
        </w:rPr>
        <w:footnoteReference w:id="52"/>
      </w:r>
      <w:r w:rsidRPr="008A3740">
        <w:rPr>
          <w:rFonts w:ascii="Verdana" w:hAnsi="Verdana"/>
          <w:sz w:val="20"/>
          <w:szCs w:val="20"/>
          <w:lang w:val="en-US"/>
        </w:rPr>
        <w:t xml:space="preserve"> and </w:t>
      </w:r>
      <w:r w:rsidRPr="008A3740">
        <w:rPr>
          <w:rFonts w:ascii="Verdana" w:hAnsi="Verdana"/>
          <w:bCs/>
          <w:sz w:val="20"/>
          <w:szCs w:val="20"/>
          <w:lang w:val="en-US"/>
        </w:rPr>
        <w:t xml:space="preserve">suffers from a severe hearing disability (hypoacusis) as a result of </w:t>
      </w:r>
      <w:r w:rsidR="002538FA" w:rsidRPr="008A3740">
        <w:rPr>
          <w:rFonts w:ascii="Verdana" w:hAnsi="Verdana"/>
          <w:bCs/>
          <w:sz w:val="20"/>
          <w:szCs w:val="20"/>
          <w:lang w:val="en-US"/>
        </w:rPr>
        <w:t xml:space="preserve">the total loss of </w:t>
      </w:r>
      <w:r w:rsidRPr="008A3740">
        <w:rPr>
          <w:rFonts w:ascii="Verdana" w:hAnsi="Verdana"/>
          <w:bCs/>
          <w:sz w:val="20"/>
          <w:szCs w:val="20"/>
          <w:lang w:val="en-US"/>
        </w:rPr>
        <w:t xml:space="preserve">hearing in one </w:t>
      </w:r>
      <w:r w:rsidR="002538FA" w:rsidRPr="008A3740">
        <w:rPr>
          <w:rFonts w:ascii="Verdana" w:hAnsi="Verdana"/>
          <w:bCs/>
          <w:sz w:val="20"/>
          <w:szCs w:val="20"/>
          <w:lang w:val="en-US"/>
        </w:rPr>
        <w:t>of his ears 15 years ago and a decrease in hearing in the other ear</w:t>
      </w:r>
      <w:r w:rsidRPr="008A3740">
        <w:rPr>
          <w:rFonts w:ascii="Verdana" w:hAnsi="Verdana"/>
          <w:bCs/>
          <w:sz w:val="20"/>
          <w:szCs w:val="20"/>
          <w:lang w:val="en-US"/>
        </w:rPr>
        <w:t>.</w:t>
      </w:r>
      <w:r w:rsidRPr="008A3740">
        <w:rPr>
          <w:rStyle w:val="Refdenotaalpie"/>
          <w:szCs w:val="20"/>
          <w:lang w:val="en-US"/>
        </w:rPr>
        <w:footnoteReference w:id="53"/>
      </w:r>
      <w:r w:rsidRPr="008A3740">
        <w:rPr>
          <w:rFonts w:ascii="Verdana" w:hAnsi="Verdana"/>
          <w:bCs/>
          <w:sz w:val="20"/>
          <w:szCs w:val="20"/>
          <w:lang w:val="en-US"/>
        </w:rPr>
        <w:t xml:space="preserve"> </w:t>
      </w:r>
      <w:r w:rsidR="002538FA" w:rsidRPr="008A3740">
        <w:rPr>
          <w:rFonts w:ascii="Verdana" w:hAnsi="Verdana"/>
          <w:bCs/>
          <w:sz w:val="20"/>
          <w:szCs w:val="20"/>
          <w:lang w:val="en-US"/>
        </w:rPr>
        <w:t xml:space="preserve">Also, </w:t>
      </w:r>
      <w:r w:rsidRPr="008A3740">
        <w:rPr>
          <w:rFonts w:ascii="Verdana" w:hAnsi="Verdana"/>
          <w:bCs/>
          <w:sz w:val="20"/>
          <w:szCs w:val="20"/>
          <w:lang w:val="en-US"/>
        </w:rPr>
        <w:t xml:space="preserve">in May </w:t>
      </w:r>
      <w:r w:rsidRPr="008A3740">
        <w:rPr>
          <w:rFonts w:ascii="Verdana" w:hAnsi="Verdana"/>
          <w:sz w:val="20"/>
          <w:szCs w:val="20"/>
          <w:lang w:val="en-US"/>
        </w:rPr>
        <w:t>2018, Mr. Muelle Flores was diagnosed with “</w:t>
      </w:r>
      <w:r w:rsidR="002538FA" w:rsidRPr="008A3740">
        <w:rPr>
          <w:rFonts w:ascii="Verdana" w:hAnsi="Verdana"/>
          <w:sz w:val="20"/>
          <w:szCs w:val="20"/>
          <w:lang w:val="en-US"/>
        </w:rPr>
        <w:t>senile dementia (</w:t>
      </w:r>
      <w:r w:rsidRPr="008A3740">
        <w:rPr>
          <w:rFonts w:ascii="Verdana" w:hAnsi="Verdana"/>
          <w:sz w:val="20"/>
          <w:szCs w:val="20"/>
          <w:lang w:val="en-US"/>
        </w:rPr>
        <w:t>Alzheimer</w:t>
      </w:r>
      <w:r w:rsidR="002538FA" w:rsidRPr="008A3740">
        <w:rPr>
          <w:rFonts w:ascii="Verdana" w:hAnsi="Verdana"/>
          <w:sz w:val="20"/>
          <w:szCs w:val="20"/>
          <w:lang w:val="en-US"/>
        </w:rPr>
        <w:t>’s</w:t>
      </w:r>
      <w:r w:rsidRPr="008A3740">
        <w:rPr>
          <w:rFonts w:ascii="Verdana" w:hAnsi="Verdana"/>
          <w:sz w:val="20"/>
          <w:szCs w:val="20"/>
          <w:lang w:val="en-US"/>
        </w:rPr>
        <w:t xml:space="preserve"> type</w:t>
      </w:r>
      <w:r w:rsidR="002538FA" w:rsidRPr="008A3740">
        <w:rPr>
          <w:rFonts w:ascii="Verdana" w:hAnsi="Verdana"/>
          <w:sz w:val="20"/>
          <w:szCs w:val="20"/>
          <w:lang w:val="en-US"/>
        </w:rPr>
        <w:t>)</w:t>
      </w:r>
      <w:r w:rsidRPr="008A3740">
        <w:rPr>
          <w:rFonts w:ascii="Verdana" w:hAnsi="Verdana"/>
          <w:sz w:val="20"/>
          <w:szCs w:val="20"/>
          <w:lang w:val="en-US"/>
        </w:rPr>
        <w:t>” and</w:t>
      </w:r>
      <w:r w:rsidR="002538FA" w:rsidRPr="008A3740">
        <w:rPr>
          <w:rFonts w:ascii="Verdana" w:hAnsi="Verdana"/>
          <w:sz w:val="20"/>
          <w:szCs w:val="20"/>
          <w:lang w:val="en-US"/>
        </w:rPr>
        <w:t>,</w:t>
      </w:r>
      <w:r w:rsidRPr="008A3740">
        <w:rPr>
          <w:rFonts w:ascii="Verdana" w:hAnsi="Verdana"/>
          <w:sz w:val="20"/>
          <w:szCs w:val="20"/>
          <w:lang w:val="en-US"/>
        </w:rPr>
        <w:t xml:space="preserve"> in July 2018</w:t>
      </w:r>
      <w:r w:rsidR="002538FA" w:rsidRPr="008A3740">
        <w:rPr>
          <w:rFonts w:ascii="Verdana" w:hAnsi="Verdana"/>
          <w:sz w:val="20"/>
          <w:szCs w:val="20"/>
          <w:lang w:val="en-US"/>
        </w:rPr>
        <w:t>,</w:t>
      </w:r>
      <w:r w:rsidRPr="008A3740">
        <w:rPr>
          <w:rFonts w:ascii="Verdana" w:hAnsi="Verdana"/>
          <w:sz w:val="20"/>
          <w:szCs w:val="20"/>
          <w:lang w:val="en-US"/>
        </w:rPr>
        <w:t xml:space="preserve"> suffered a f</w:t>
      </w:r>
      <w:r w:rsidR="002538FA" w:rsidRPr="008A3740">
        <w:rPr>
          <w:rFonts w:ascii="Verdana" w:hAnsi="Verdana"/>
          <w:sz w:val="20"/>
          <w:szCs w:val="20"/>
          <w:lang w:val="en-US"/>
        </w:rPr>
        <w:t>emoral fracture and underwent a hip replacement operation</w:t>
      </w:r>
      <w:r w:rsidRPr="008A3740">
        <w:rPr>
          <w:rFonts w:ascii="Verdana" w:hAnsi="Verdana"/>
          <w:sz w:val="20"/>
          <w:szCs w:val="20"/>
          <w:lang w:val="en-US"/>
        </w:rPr>
        <w:t>.</w:t>
      </w:r>
      <w:r w:rsidRPr="008A3740">
        <w:rPr>
          <w:rStyle w:val="Refdenotaalpie"/>
          <w:szCs w:val="20"/>
          <w:lang w:val="en-US"/>
        </w:rPr>
        <w:footnoteReference w:id="54"/>
      </w:r>
    </w:p>
    <w:p w14:paraId="7FA96A58" w14:textId="77777777" w:rsidR="008E6A56" w:rsidRPr="008A3740" w:rsidRDefault="008E6A56" w:rsidP="008E6A56">
      <w:pPr>
        <w:pStyle w:val="Ttulo2"/>
        <w:numPr>
          <w:ilvl w:val="0"/>
          <w:numId w:val="0"/>
        </w:numPr>
        <w:ind w:left="720"/>
        <w:rPr>
          <w:lang w:val="en-US"/>
        </w:rPr>
      </w:pPr>
    </w:p>
    <w:p w14:paraId="2161AA28" w14:textId="77777777" w:rsidR="008E6A56" w:rsidRPr="008A3740" w:rsidRDefault="008E6A56" w:rsidP="005636B7">
      <w:pPr>
        <w:pStyle w:val="Ttulo2"/>
        <w:tabs>
          <w:tab w:val="clear" w:pos="360"/>
        </w:tabs>
        <w:ind w:left="1440" w:hanging="1080"/>
        <w:rPr>
          <w:lang w:val="en-US"/>
        </w:rPr>
      </w:pPr>
      <w:bookmarkStart w:id="73" w:name="_Toc5009870"/>
      <w:r w:rsidRPr="008A3740">
        <w:rPr>
          <w:lang w:val="en-US"/>
        </w:rPr>
        <w:t>First amparo</w:t>
      </w:r>
      <w:bookmarkEnd w:id="73"/>
      <w:r w:rsidRPr="008A3740">
        <w:rPr>
          <w:lang w:val="en-US"/>
        </w:rPr>
        <w:t xml:space="preserve"> proceeding </w:t>
      </w:r>
    </w:p>
    <w:p w14:paraId="3AC9817F" w14:textId="77777777" w:rsidR="008E6A56" w:rsidRPr="008A3740" w:rsidRDefault="008E6A56" w:rsidP="008E6A56">
      <w:pPr>
        <w:pStyle w:val="Ttulo2"/>
        <w:numPr>
          <w:ilvl w:val="0"/>
          <w:numId w:val="0"/>
        </w:numPr>
        <w:ind w:left="720"/>
        <w:rPr>
          <w:lang w:val="en-US"/>
        </w:rPr>
      </w:pPr>
    </w:p>
    <w:p w14:paraId="5F79AB1E"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On April 18, 1991, Mr. Muelle Flores filed a</w:t>
      </w:r>
      <w:r w:rsidR="005636B7" w:rsidRPr="008A3740">
        <w:rPr>
          <w:rFonts w:ascii="Verdana" w:hAnsi="Verdana"/>
          <w:sz w:val="20"/>
          <w:szCs w:val="20"/>
          <w:lang w:val="en-US"/>
        </w:rPr>
        <w:t xml:space="preserve">n application for </w:t>
      </w:r>
      <w:r w:rsidRPr="008A3740">
        <w:rPr>
          <w:rFonts w:ascii="Verdana" w:hAnsi="Verdana"/>
          <w:i/>
          <w:sz w:val="20"/>
          <w:szCs w:val="20"/>
          <w:lang w:val="en-US"/>
        </w:rPr>
        <w:t>amparo</w:t>
      </w:r>
      <w:r w:rsidRPr="008A3740">
        <w:rPr>
          <w:rFonts w:ascii="Verdana" w:hAnsi="Verdana"/>
          <w:sz w:val="20"/>
          <w:szCs w:val="20"/>
          <w:lang w:val="en-US"/>
        </w:rPr>
        <w:t xml:space="preserve"> for the violation of </w:t>
      </w:r>
      <w:r w:rsidR="005636B7" w:rsidRPr="008A3740">
        <w:rPr>
          <w:rFonts w:ascii="Verdana" w:hAnsi="Verdana"/>
          <w:sz w:val="20"/>
          <w:szCs w:val="20"/>
          <w:lang w:val="en-US"/>
        </w:rPr>
        <w:t xml:space="preserve">several </w:t>
      </w:r>
      <w:r w:rsidRPr="008A3740">
        <w:rPr>
          <w:rFonts w:ascii="Verdana" w:hAnsi="Verdana"/>
          <w:sz w:val="20"/>
          <w:szCs w:val="20"/>
          <w:lang w:val="en-US"/>
        </w:rPr>
        <w:t>rights recognized in the Constitution of Peru, including the right to social security, and asked to be rein</w:t>
      </w:r>
      <w:r w:rsidR="005636B7" w:rsidRPr="008A3740">
        <w:rPr>
          <w:rFonts w:ascii="Verdana" w:hAnsi="Verdana"/>
          <w:sz w:val="20"/>
          <w:szCs w:val="20"/>
          <w:lang w:val="en-US"/>
        </w:rPr>
        <w:t xml:space="preserve">stated in </w:t>
      </w:r>
      <w:r w:rsidRPr="008A3740">
        <w:rPr>
          <w:rFonts w:ascii="Verdana" w:hAnsi="Verdana"/>
          <w:sz w:val="20"/>
          <w:szCs w:val="20"/>
          <w:lang w:val="en-US"/>
        </w:rPr>
        <w:t xml:space="preserve">the pension </w:t>
      </w:r>
      <w:r w:rsidR="005636B7" w:rsidRPr="008A3740">
        <w:rPr>
          <w:rFonts w:ascii="Verdana" w:hAnsi="Verdana"/>
          <w:sz w:val="20"/>
          <w:szCs w:val="20"/>
          <w:lang w:val="en-US"/>
        </w:rPr>
        <w:t xml:space="preserve">scheme under </w:t>
      </w:r>
      <w:r w:rsidRPr="008A3740">
        <w:rPr>
          <w:rFonts w:ascii="Verdana" w:hAnsi="Verdana"/>
          <w:sz w:val="20"/>
          <w:szCs w:val="20"/>
          <w:lang w:val="en-US"/>
        </w:rPr>
        <w:t>Decree Law No. 20</w:t>
      </w:r>
      <w:r w:rsidR="00144448" w:rsidRPr="008A3740">
        <w:rPr>
          <w:rFonts w:ascii="Verdana" w:hAnsi="Verdana"/>
          <w:sz w:val="20"/>
          <w:szCs w:val="20"/>
          <w:lang w:val="en-US"/>
        </w:rPr>
        <w:t xml:space="preserve">530, as well as the payment of </w:t>
      </w:r>
      <w:r w:rsidRPr="008A3740">
        <w:rPr>
          <w:rFonts w:ascii="Verdana" w:hAnsi="Verdana"/>
          <w:sz w:val="20"/>
          <w:szCs w:val="20"/>
          <w:lang w:val="en-US"/>
        </w:rPr>
        <w:t xml:space="preserve">the </w:t>
      </w:r>
      <w:r w:rsidR="00144448" w:rsidRPr="008A3740">
        <w:rPr>
          <w:rFonts w:ascii="Verdana" w:hAnsi="Verdana"/>
          <w:sz w:val="20"/>
          <w:szCs w:val="20"/>
          <w:lang w:val="en-US"/>
        </w:rPr>
        <w:t>a</w:t>
      </w:r>
      <w:r w:rsidRPr="008A3740">
        <w:rPr>
          <w:rFonts w:ascii="Verdana" w:hAnsi="Verdana"/>
          <w:sz w:val="20"/>
          <w:szCs w:val="20"/>
          <w:lang w:val="en-US"/>
        </w:rPr>
        <w:t xml:space="preserve">mounts </w:t>
      </w:r>
      <w:r w:rsidR="005636B7" w:rsidRPr="008A3740">
        <w:rPr>
          <w:rFonts w:ascii="Verdana" w:hAnsi="Verdana"/>
          <w:sz w:val="20"/>
          <w:szCs w:val="20"/>
          <w:lang w:val="en-US"/>
        </w:rPr>
        <w:t xml:space="preserve">owed to him </w:t>
      </w:r>
      <w:r w:rsidRPr="008A3740">
        <w:rPr>
          <w:rFonts w:ascii="Verdana" w:hAnsi="Verdana"/>
          <w:sz w:val="20"/>
          <w:szCs w:val="20"/>
          <w:lang w:val="en-US"/>
        </w:rPr>
        <w:t xml:space="preserve">with interest, </w:t>
      </w:r>
      <w:r w:rsidR="00144448" w:rsidRPr="008A3740">
        <w:rPr>
          <w:rFonts w:ascii="Verdana" w:hAnsi="Verdana"/>
          <w:sz w:val="20"/>
          <w:szCs w:val="20"/>
          <w:lang w:val="en-US"/>
        </w:rPr>
        <w:t xml:space="preserve">which were unpaid </w:t>
      </w:r>
      <w:r w:rsidR="005636B7" w:rsidRPr="008A3740">
        <w:rPr>
          <w:rFonts w:ascii="Verdana" w:hAnsi="Verdana"/>
          <w:sz w:val="20"/>
          <w:szCs w:val="20"/>
          <w:lang w:val="en-US"/>
        </w:rPr>
        <w:t xml:space="preserve">following the </w:t>
      </w:r>
      <w:r w:rsidRPr="008A3740">
        <w:rPr>
          <w:rFonts w:ascii="Verdana" w:hAnsi="Verdana"/>
          <w:sz w:val="20"/>
          <w:szCs w:val="20"/>
          <w:lang w:val="en-US"/>
        </w:rPr>
        <w:t>suspension</w:t>
      </w:r>
      <w:r w:rsidR="00144448" w:rsidRPr="008A3740">
        <w:rPr>
          <w:rFonts w:ascii="Verdana" w:hAnsi="Verdana"/>
          <w:sz w:val="20"/>
          <w:szCs w:val="20"/>
          <w:lang w:val="en-US"/>
        </w:rPr>
        <w:t>.</w:t>
      </w:r>
      <w:r w:rsidRPr="008A3740">
        <w:rPr>
          <w:rStyle w:val="Refdenotaalpie"/>
          <w:szCs w:val="20"/>
          <w:lang w:val="en-US"/>
        </w:rPr>
        <w:footnoteReference w:id="55"/>
      </w:r>
    </w:p>
    <w:p w14:paraId="59A690C3" w14:textId="77777777" w:rsidR="008E6A56" w:rsidRPr="008A3740" w:rsidRDefault="008E6A56" w:rsidP="008E6A56">
      <w:pPr>
        <w:tabs>
          <w:tab w:val="left" w:pos="567"/>
        </w:tabs>
        <w:rPr>
          <w:rFonts w:ascii="Verdana" w:hAnsi="Verdana"/>
          <w:sz w:val="20"/>
          <w:szCs w:val="20"/>
          <w:lang w:val="en-US"/>
        </w:rPr>
      </w:pPr>
    </w:p>
    <w:p w14:paraId="660C7423"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July 19, 1991, the </w:t>
      </w:r>
      <w:r w:rsidR="00144448" w:rsidRPr="008A3740">
        <w:rPr>
          <w:rFonts w:ascii="Verdana" w:hAnsi="Verdana"/>
          <w:bCs/>
          <w:sz w:val="20"/>
          <w:szCs w:val="20"/>
          <w:lang w:val="en-US"/>
        </w:rPr>
        <w:t xml:space="preserve">Fifth Civil Court of </w:t>
      </w:r>
      <w:r w:rsidRPr="008A3740">
        <w:rPr>
          <w:rFonts w:ascii="Verdana" w:hAnsi="Verdana"/>
          <w:bCs/>
          <w:sz w:val="20"/>
          <w:szCs w:val="20"/>
          <w:lang w:val="en-US"/>
        </w:rPr>
        <w:t xml:space="preserve">Lima </w:t>
      </w:r>
      <w:r w:rsidRPr="008A3740">
        <w:rPr>
          <w:rFonts w:ascii="Verdana" w:hAnsi="Verdana"/>
          <w:sz w:val="20"/>
          <w:szCs w:val="20"/>
          <w:lang w:val="en-US"/>
        </w:rPr>
        <w:t xml:space="preserve">declared </w:t>
      </w:r>
      <w:r w:rsidR="00144448" w:rsidRPr="008A3740">
        <w:rPr>
          <w:rFonts w:ascii="Verdana" w:hAnsi="Verdana"/>
          <w:sz w:val="20"/>
          <w:szCs w:val="20"/>
          <w:lang w:val="en-US"/>
        </w:rPr>
        <w:t xml:space="preserve">the application well-founded </w:t>
      </w:r>
      <w:r w:rsidRPr="008A3740">
        <w:rPr>
          <w:rFonts w:ascii="Verdana" w:hAnsi="Verdana"/>
          <w:sz w:val="20"/>
          <w:szCs w:val="20"/>
          <w:lang w:val="en-US"/>
        </w:rPr>
        <w:t xml:space="preserve">and </w:t>
      </w:r>
      <w:r w:rsidR="00144448" w:rsidRPr="008A3740">
        <w:rPr>
          <w:rFonts w:ascii="Verdana" w:hAnsi="Verdana"/>
          <w:sz w:val="20"/>
          <w:szCs w:val="20"/>
          <w:lang w:val="en-US"/>
        </w:rPr>
        <w:t xml:space="preserve">ruled </w:t>
      </w:r>
      <w:r w:rsidR="00144448" w:rsidRPr="008A3740">
        <w:rPr>
          <w:rFonts w:ascii="Verdana" w:hAnsi="Verdana"/>
          <w:sz w:val="20"/>
          <w:szCs w:val="20"/>
          <w:lang w:val="en-US"/>
        </w:rPr>
        <w:lastRenderedPageBreak/>
        <w:t xml:space="preserve">in favor of Mr. Muelle Flores, </w:t>
      </w:r>
      <w:r w:rsidR="007E7391" w:rsidRPr="008A3740">
        <w:rPr>
          <w:rFonts w:ascii="Verdana" w:hAnsi="Verdana"/>
          <w:sz w:val="20"/>
          <w:szCs w:val="20"/>
          <w:lang w:val="en-US"/>
        </w:rPr>
        <w:t xml:space="preserve">revoking </w:t>
      </w:r>
      <w:r w:rsidRPr="008A3740">
        <w:rPr>
          <w:rFonts w:ascii="Verdana" w:hAnsi="Verdana"/>
          <w:sz w:val="20"/>
          <w:szCs w:val="20"/>
          <w:lang w:val="en-US"/>
        </w:rPr>
        <w:t xml:space="preserve">the suspension of </w:t>
      </w:r>
      <w:r w:rsidR="007E7391" w:rsidRPr="008A3740">
        <w:rPr>
          <w:rFonts w:ascii="Verdana" w:hAnsi="Verdana"/>
          <w:sz w:val="20"/>
          <w:szCs w:val="20"/>
          <w:lang w:val="en-US"/>
        </w:rPr>
        <w:t>his pension under the Decree Law No. 20530</w:t>
      </w:r>
      <w:r w:rsidR="00144448" w:rsidRPr="008A3740">
        <w:rPr>
          <w:rFonts w:ascii="Verdana" w:hAnsi="Verdana"/>
          <w:sz w:val="20"/>
          <w:szCs w:val="20"/>
          <w:lang w:val="en-US"/>
        </w:rPr>
        <w:t xml:space="preserve"> </w:t>
      </w:r>
      <w:r w:rsidR="00923477" w:rsidRPr="008A3740">
        <w:rPr>
          <w:rFonts w:ascii="Verdana" w:hAnsi="Verdana"/>
          <w:sz w:val="20"/>
          <w:szCs w:val="20"/>
          <w:lang w:val="en-US"/>
        </w:rPr>
        <w:t>s</w:t>
      </w:r>
      <w:r w:rsidR="007E7391" w:rsidRPr="008A3740">
        <w:rPr>
          <w:rFonts w:ascii="Verdana" w:hAnsi="Verdana"/>
          <w:sz w:val="20"/>
          <w:szCs w:val="20"/>
          <w:lang w:val="en-US"/>
        </w:rPr>
        <w:t xml:space="preserve">cheme. Regarding </w:t>
      </w:r>
      <w:r w:rsidR="00144448" w:rsidRPr="008A3740">
        <w:rPr>
          <w:rFonts w:ascii="Verdana" w:hAnsi="Verdana"/>
          <w:sz w:val="20"/>
          <w:szCs w:val="20"/>
          <w:lang w:val="en-US"/>
        </w:rPr>
        <w:t xml:space="preserve">Mr. Muelle Flores’ </w:t>
      </w:r>
      <w:r w:rsidRPr="008A3740">
        <w:rPr>
          <w:rFonts w:ascii="Verdana" w:hAnsi="Verdana"/>
          <w:sz w:val="20"/>
          <w:szCs w:val="20"/>
          <w:lang w:val="en-US"/>
        </w:rPr>
        <w:t>inc</w:t>
      </w:r>
      <w:r w:rsidR="007E7391" w:rsidRPr="008A3740">
        <w:rPr>
          <w:rFonts w:ascii="Verdana" w:hAnsi="Verdana"/>
          <w:sz w:val="20"/>
          <w:szCs w:val="20"/>
          <w:lang w:val="en-US"/>
        </w:rPr>
        <w:t>lusion in that</w:t>
      </w:r>
      <w:r w:rsidR="00144448" w:rsidRPr="008A3740">
        <w:rPr>
          <w:rFonts w:ascii="Verdana" w:hAnsi="Verdana"/>
          <w:sz w:val="20"/>
          <w:szCs w:val="20"/>
          <w:lang w:val="en-US"/>
        </w:rPr>
        <w:t xml:space="preserve"> </w:t>
      </w:r>
      <w:r w:rsidRPr="008A3740">
        <w:rPr>
          <w:rFonts w:ascii="Verdana" w:hAnsi="Verdana"/>
          <w:sz w:val="20"/>
          <w:szCs w:val="20"/>
          <w:lang w:val="en-US"/>
        </w:rPr>
        <w:t>pension s</w:t>
      </w:r>
      <w:r w:rsidR="00923477" w:rsidRPr="008A3740">
        <w:rPr>
          <w:rFonts w:ascii="Verdana" w:hAnsi="Verdana"/>
          <w:sz w:val="20"/>
          <w:szCs w:val="20"/>
          <w:lang w:val="en-US"/>
        </w:rPr>
        <w:t>ystem</w:t>
      </w:r>
      <w:r w:rsidR="007E7391" w:rsidRPr="008A3740">
        <w:rPr>
          <w:rFonts w:ascii="Verdana" w:hAnsi="Verdana"/>
          <w:sz w:val="20"/>
          <w:szCs w:val="20"/>
          <w:lang w:val="en-US"/>
        </w:rPr>
        <w:t>, the court concluded</w:t>
      </w:r>
      <w:r w:rsidRPr="008A3740">
        <w:rPr>
          <w:rFonts w:ascii="Verdana" w:hAnsi="Verdana"/>
          <w:sz w:val="20"/>
          <w:szCs w:val="20"/>
          <w:lang w:val="en-US"/>
        </w:rPr>
        <w:t xml:space="preserve"> </w:t>
      </w:r>
      <w:r w:rsidR="007E7391" w:rsidRPr="008A3740">
        <w:rPr>
          <w:rFonts w:ascii="Verdana" w:hAnsi="Verdana"/>
          <w:sz w:val="20"/>
          <w:szCs w:val="20"/>
          <w:lang w:val="en-US"/>
        </w:rPr>
        <w:t xml:space="preserve">that this </w:t>
      </w:r>
      <w:r w:rsidRPr="008A3740">
        <w:rPr>
          <w:rFonts w:ascii="Verdana" w:hAnsi="Verdana"/>
          <w:sz w:val="20"/>
          <w:szCs w:val="20"/>
          <w:lang w:val="en-US"/>
        </w:rPr>
        <w:t xml:space="preserve">was </w:t>
      </w:r>
      <w:r w:rsidR="007E7391" w:rsidRPr="008A3740">
        <w:rPr>
          <w:rFonts w:ascii="Verdana" w:hAnsi="Verdana"/>
          <w:sz w:val="20"/>
          <w:szCs w:val="20"/>
          <w:lang w:val="en-US"/>
        </w:rPr>
        <w:t xml:space="preserve">carried out </w:t>
      </w:r>
      <w:r w:rsidRPr="008A3740">
        <w:rPr>
          <w:rFonts w:ascii="Verdana" w:hAnsi="Verdana"/>
          <w:sz w:val="20"/>
          <w:szCs w:val="20"/>
          <w:lang w:val="en-US"/>
        </w:rPr>
        <w:t xml:space="preserve">by the company </w:t>
      </w:r>
      <w:r w:rsidR="007E7391" w:rsidRPr="008A3740">
        <w:rPr>
          <w:rFonts w:ascii="Verdana" w:hAnsi="Verdana"/>
          <w:sz w:val="20"/>
          <w:szCs w:val="20"/>
          <w:lang w:val="en-US"/>
        </w:rPr>
        <w:t xml:space="preserve">that employed him; </w:t>
      </w:r>
      <w:r w:rsidR="00144448" w:rsidRPr="008A3740">
        <w:rPr>
          <w:rFonts w:ascii="Verdana" w:hAnsi="Verdana"/>
          <w:sz w:val="20"/>
          <w:szCs w:val="20"/>
          <w:lang w:val="en-US"/>
        </w:rPr>
        <w:t xml:space="preserve">in other words, </w:t>
      </w:r>
      <w:r w:rsidR="007E7391" w:rsidRPr="008A3740">
        <w:rPr>
          <w:rFonts w:ascii="Verdana" w:hAnsi="Verdana"/>
          <w:sz w:val="20"/>
          <w:szCs w:val="20"/>
          <w:lang w:val="en-US"/>
        </w:rPr>
        <w:t>“</w:t>
      </w:r>
      <w:r w:rsidR="00144448" w:rsidRPr="008A3740">
        <w:rPr>
          <w:rFonts w:ascii="Verdana" w:hAnsi="Verdana"/>
          <w:sz w:val="20"/>
          <w:szCs w:val="20"/>
          <w:lang w:val="en-US"/>
        </w:rPr>
        <w:t xml:space="preserve">his </w:t>
      </w:r>
      <w:r w:rsidRPr="008A3740">
        <w:rPr>
          <w:rFonts w:ascii="Verdana" w:hAnsi="Verdana"/>
          <w:sz w:val="20"/>
          <w:szCs w:val="20"/>
          <w:lang w:val="en-US"/>
        </w:rPr>
        <w:t>inc</w:t>
      </w:r>
      <w:r w:rsidR="00144448" w:rsidRPr="008A3740">
        <w:rPr>
          <w:rFonts w:ascii="Verdana" w:hAnsi="Verdana"/>
          <w:sz w:val="20"/>
          <w:szCs w:val="20"/>
          <w:lang w:val="en-US"/>
        </w:rPr>
        <w:t xml:space="preserve">lusion established </w:t>
      </w:r>
      <w:r w:rsidR="007E7391" w:rsidRPr="008A3740">
        <w:rPr>
          <w:rFonts w:ascii="Verdana" w:hAnsi="Verdana"/>
          <w:sz w:val="20"/>
          <w:szCs w:val="20"/>
          <w:lang w:val="en-US"/>
        </w:rPr>
        <w:t xml:space="preserve">a </w:t>
      </w:r>
      <w:r w:rsidR="00144448" w:rsidRPr="008A3740">
        <w:rPr>
          <w:rFonts w:ascii="Verdana" w:hAnsi="Verdana"/>
          <w:sz w:val="20"/>
          <w:szCs w:val="20"/>
          <w:lang w:val="en-US"/>
        </w:rPr>
        <w:t>substantive legal relationship between employee and employer, that is to say, one that gave rise to material rights and obligations that both parties must comply with</w:t>
      </w:r>
      <w:r w:rsidR="006120C1" w:rsidRPr="008A3740">
        <w:rPr>
          <w:rFonts w:ascii="Verdana" w:hAnsi="Verdana"/>
          <w:sz w:val="20"/>
          <w:szCs w:val="20"/>
          <w:lang w:val="en-US"/>
        </w:rPr>
        <w:t>.</w:t>
      </w:r>
      <w:r w:rsidRPr="008A3740">
        <w:rPr>
          <w:rFonts w:ascii="Verdana" w:hAnsi="Verdana"/>
          <w:sz w:val="20"/>
          <w:szCs w:val="20"/>
          <w:lang w:val="en-US"/>
        </w:rPr>
        <w:t xml:space="preserve">” </w:t>
      </w:r>
      <w:r w:rsidR="006120C1" w:rsidRPr="008A3740">
        <w:rPr>
          <w:rFonts w:ascii="Verdana" w:hAnsi="Verdana"/>
          <w:sz w:val="20"/>
          <w:szCs w:val="20"/>
          <w:lang w:val="en-US"/>
        </w:rPr>
        <w:t>Therefore</w:t>
      </w:r>
      <w:r w:rsidR="00C43170" w:rsidRPr="008A3740">
        <w:rPr>
          <w:rFonts w:ascii="Verdana" w:hAnsi="Verdana"/>
          <w:sz w:val="20"/>
          <w:szCs w:val="20"/>
          <w:lang w:val="en-US"/>
        </w:rPr>
        <w:t>, the company c</w:t>
      </w:r>
      <w:r w:rsidR="007E7391" w:rsidRPr="008A3740">
        <w:rPr>
          <w:rFonts w:ascii="Verdana" w:hAnsi="Verdana"/>
          <w:sz w:val="20"/>
          <w:szCs w:val="20"/>
          <w:lang w:val="en-US"/>
        </w:rPr>
        <w:t xml:space="preserve">ould not </w:t>
      </w:r>
      <w:r w:rsidR="006120C1" w:rsidRPr="008A3740">
        <w:rPr>
          <w:rFonts w:ascii="Verdana" w:hAnsi="Verdana"/>
          <w:sz w:val="20"/>
          <w:szCs w:val="20"/>
          <w:lang w:val="en-US"/>
        </w:rPr>
        <w:t xml:space="preserve">suspend </w:t>
      </w:r>
      <w:r w:rsidR="00C43170" w:rsidRPr="008A3740">
        <w:rPr>
          <w:rFonts w:ascii="Verdana" w:hAnsi="Verdana"/>
          <w:sz w:val="20"/>
          <w:szCs w:val="20"/>
          <w:lang w:val="en-US"/>
        </w:rPr>
        <w:t xml:space="preserve">those rights </w:t>
      </w:r>
      <w:r w:rsidR="006120C1" w:rsidRPr="008A3740">
        <w:rPr>
          <w:rFonts w:ascii="Verdana" w:hAnsi="Verdana"/>
          <w:sz w:val="20"/>
          <w:szCs w:val="20"/>
          <w:lang w:val="en-US"/>
        </w:rPr>
        <w:t>unilaterally;</w:t>
      </w:r>
      <w:r w:rsidRPr="008A3740">
        <w:rPr>
          <w:rFonts w:ascii="Verdana" w:hAnsi="Verdana"/>
          <w:sz w:val="20"/>
          <w:szCs w:val="20"/>
          <w:lang w:val="en-US"/>
        </w:rPr>
        <w:t xml:space="preserve"> </w:t>
      </w:r>
      <w:r w:rsidR="006120C1" w:rsidRPr="008A3740">
        <w:rPr>
          <w:rFonts w:ascii="Verdana" w:hAnsi="Verdana"/>
          <w:sz w:val="20"/>
          <w:szCs w:val="20"/>
          <w:lang w:val="en-US"/>
        </w:rPr>
        <w:t>rather, any a</w:t>
      </w:r>
      <w:r w:rsidR="00144448" w:rsidRPr="008A3740">
        <w:rPr>
          <w:rFonts w:ascii="Verdana" w:hAnsi="Verdana"/>
          <w:sz w:val="20"/>
          <w:szCs w:val="20"/>
          <w:lang w:val="en-US"/>
        </w:rPr>
        <w:t xml:space="preserve">mendment or </w:t>
      </w:r>
      <w:r w:rsidR="007E7391" w:rsidRPr="008A3740">
        <w:rPr>
          <w:rFonts w:ascii="Verdana" w:hAnsi="Verdana"/>
          <w:sz w:val="20"/>
          <w:szCs w:val="20"/>
          <w:lang w:val="en-US"/>
        </w:rPr>
        <w:t>termination of said rights had</w:t>
      </w:r>
      <w:r w:rsidR="00144448" w:rsidRPr="008A3740">
        <w:rPr>
          <w:rFonts w:ascii="Verdana" w:hAnsi="Verdana"/>
          <w:sz w:val="20"/>
          <w:szCs w:val="20"/>
          <w:lang w:val="en-US"/>
        </w:rPr>
        <w:t xml:space="preserve"> to be </w:t>
      </w:r>
      <w:r w:rsidR="00C43170" w:rsidRPr="008A3740">
        <w:rPr>
          <w:rFonts w:ascii="Verdana" w:hAnsi="Verdana"/>
          <w:sz w:val="20"/>
          <w:szCs w:val="20"/>
          <w:lang w:val="en-US"/>
        </w:rPr>
        <w:t xml:space="preserve">obtained through an </w:t>
      </w:r>
      <w:r w:rsidR="007E7391" w:rsidRPr="008A3740">
        <w:rPr>
          <w:rFonts w:ascii="Verdana" w:hAnsi="Verdana"/>
          <w:sz w:val="20"/>
          <w:szCs w:val="20"/>
          <w:lang w:val="en-US"/>
        </w:rPr>
        <w:t>a</w:t>
      </w:r>
      <w:r w:rsidR="00C43170" w:rsidRPr="008A3740">
        <w:rPr>
          <w:rFonts w:ascii="Verdana" w:hAnsi="Verdana"/>
          <w:sz w:val="20"/>
          <w:szCs w:val="20"/>
          <w:lang w:val="en-US"/>
        </w:rPr>
        <w:t>greement</w:t>
      </w:r>
      <w:r w:rsidR="007E7391" w:rsidRPr="008A3740">
        <w:rPr>
          <w:rFonts w:ascii="Verdana" w:hAnsi="Verdana"/>
          <w:sz w:val="20"/>
          <w:szCs w:val="20"/>
          <w:lang w:val="en-US"/>
        </w:rPr>
        <w:t xml:space="preserve"> between </w:t>
      </w:r>
      <w:r w:rsidR="00144448" w:rsidRPr="008A3740">
        <w:rPr>
          <w:rFonts w:ascii="Verdana" w:hAnsi="Verdana"/>
          <w:sz w:val="20"/>
          <w:szCs w:val="20"/>
          <w:lang w:val="en-US"/>
        </w:rPr>
        <w:t xml:space="preserve">the parties or </w:t>
      </w:r>
      <w:r w:rsidR="00C43170" w:rsidRPr="008A3740">
        <w:rPr>
          <w:rFonts w:ascii="Verdana" w:hAnsi="Verdana"/>
          <w:sz w:val="20"/>
          <w:szCs w:val="20"/>
          <w:lang w:val="en-US"/>
        </w:rPr>
        <w:t xml:space="preserve">via </w:t>
      </w:r>
      <w:r w:rsidR="007E7391" w:rsidRPr="008A3740">
        <w:rPr>
          <w:rFonts w:ascii="Verdana" w:hAnsi="Verdana"/>
          <w:sz w:val="20"/>
          <w:szCs w:val="20"/>
          <w:lang w:val="en-US"/>
        </w:rPr>
        <w:t xml:space="preserve">a decision </w:t>
      </w:r>
      <w:r w:rsidR="00C43170" w:rsidRPr="008A3740">
        <w:rPr>
          <w:rFonts w:ascii="Verdana" w:hAnsi="Verdana"/>
          <w:sz w:val="20"/>
          <w:szCs w:val="20"/>
          <w:lang w:val="en-US"/>
        </w:rPr>
        <w:t xml:space="preserve">of </w:t>
      </w:r>
      <w:r w:rsidR="00144448" w:rsidRPr="008A3740">
        <w:rPr>
          <w:rFonts w:ascii="Verdana" w:hAnsi="Verdana"/>
          <w:sz w:val="20"/>
          <w:szCs w:val="20"/>
          <w:lang w:val="en-US"/>
        </w:rPr>
        <w:t>a competent court</w:t>
      </w:r>
      <w:r w:rsidR="006120C1" w:rsidRPr="008A3740">
        <w:rPr>
          <w:rFonts w:ascii="Verdana" w:hAnsi="Verdana"/>
          <w:sz w:val="20"/>
          <w:szCs w:val="20"/>
          <w:lang w:val="en-US"/>
        </w:rPr>
        <w:t>.</w:t>
      </w:r>
      <w:r w:rsidRPr="008A3740">
        <w:rPr>
          <w:rFonts w:ascii="Verdana" w:hAnsi="Verdana"/>
          <w:sz w:val="20"/>
          <w:szCs w:val="20"/>
          <w:lang w:val="en-US"/>
        </w:rPr>
        <w:t xml:space="preserve"> </w:t>
      </w:r>
      <w:r w:rsidR="00C43170" w:rsidRPr="008A3740">
        <w:rPr>
          <w:rFonts w:ascii="Verdana" w:hAnsi="Verdana"/>
          <w:sz w:val="20"/>
          <w:szCs w:val="20"/>
          <w:lang w:val="en-US"/>
        </w:rPr>
        <w:t xml:space="preserve">Thus, </w:t>
      </w:r>
      <w:r w:rsidR="007E7391" w:rsidRPr="008A3740">
        <w:rPr>
          <w:rFonts w:ascii="Verdana" w:hAnsi="Verdana"/>
          <w:sz w:val="20"/>
          <w:szCs w:val="20"/>
          <w:lang w:val="en-US"/>
        </w:rPr>
        <w:t xml:space="preserve">the court </w:t>
      </w:r>
      <w:r w:rsidRPr="008A3740">
        <w:rPr>
          <w:rFonts w:ascii="Verdana" w:hAnsi="Verdana"/>
          <w:sz w:val="20"/>
          <w:szCs w:val="20"/>
          <w:lang w:val="en-US"/>
        </w:rPr>
        <w:t xml:space="preserve">concluded </w:t>
      </w:r>
      <w:r w:rsidR="00A12A8E" w:rsidRPr="008A3740">
        <w:rPr>
          <w:rFonts w:ascii="Verdana" w:hAnsi="Verdana"/>
          <w:sz w:val="20"/>
          <w:szCs w:val="20"/>
          <w:lang w:val="en-US"/>
        </w:rPr>
        <w:t xml:space="preserve">that the company’s unilateral </w:t>
      </w:r>
      <w:r w:rsidRPr="008A3740">
        <w:rPr>
          <w:rFonts w:ascii="Verdana" w:hAnsi="Verdana"/>
          <w:sz w:val="20"/>
          <w:szCs w:val="20"/>
          <w:lang w:val="en-US"/>
        </w:rPr>
        <w:t xml:space="preserve">suspension of the </w:t>
      </w:r>
      <w:r w:rsidR="00A12A8E" w:rsidRPr="008A3740">
        <w:rPr>
          <w:rFonts w:ascii="Verdana" w:hAnsi="Verdana"/>
          <w:sz w:val="20"/>
          <w:szCs w:val="20"/>
          <w:lang w:val="en-US"/>
        </w:rPr>
        <w:t xml:space="preserve">pension scheme was </w:t>
      </w:r>
      <w:r w:rsidRPr="008A3740">
        <w:rPr>
          <w:rFonts w:ascii="Verdana" w:hAnsi="Verdana"/>
          <w:sz w:val="20"/>
          <w:szCs w:val="20"/>
          <w:lang w:val="en-US"/>
        </w:rPr>
        <w:t xml:space="preserve">an </w:t>
      </w:r>
      <w:r w:rsidR="00A12A8E" w:rsidRPr="008A3740">
        <w:rPr>
          <w:rFonts w:ascii="Verdana" w:hAnsi="Verdana"/>
          <w:sz w:val="20"/>
          <w:szCs w:val="20"/>
          <w:lang w:val="en-US"/>
        </w:rPr>
        <w:t xml:space="preserve">unlawful </w:t>
      </w:r>
      <w:r w:rsidRPr="008A3740">
        <w:rPr>
          <w:rFonts w:ascii="Verdana" w:hAnsi="Verdana"/>
          <w:sz w:val="20"/>
          <w:szCs w:val="20"/>
          <w:lang w:val="en-US"/>
        </w:rPr>
        <w:t xml:space="preserve">and arbitrary act that </w:t>
      </w:r>
      <w:r w:rsidR="00A12A8E" w:rsidRPr="008A3740">
        <w:rPr>
          <w:rFonts w:ascii="Verdana" w:hAnsi="Verdana"/>
          <w:sz w:val="20"/>
          <w:szCs w:val="20"/>
          <w:lang w:val="en-US"/>
        </w:rPr>
        <w:t xml:space="preserve">violated the </w:t>
      </w:r>
      <w:r w:rsidRPr="008A3740">
        <w:rPr>
          <w:rFonts w:ascii="Verdana" w:hAnsi="Verdana"/>
          <w:sz w:val="20"/>
          <w:szCs w:val="20"/>
          <w:lang w:val="en-US"/>
        </w:rPr>
        <w:t xml:space="preserve">right to social security, equality and </w:t>
      </w:r>
      <w:r w:rsidR="00A12A8E" w:rsidRPr="008A3740">
        <w:rPr>
          <w:rFonts w:ascii="Verdana" w:hAnsi="Verdana"/>
          <w:sz w:val="20"/>
          <w:szCs w:val="20"/>
          <w:lang w:val="en-US"/>
        </w:rPr>
        <w:t xml:space="preserve">the right </w:t>
      </w:r>
      <w:r w:rsidRPr="008A3740">
        <w:rPr>
          <w:rFonts w:ascii="Verdana" w:hAnsi="Verdana"/>
          <w:sz w:val="20"/>
          <w:szCs w:val="20"/>
          <w:lang w:val="en-US"/>
        </w:rPr>
        <w:t>to work.</w:t>
      </w:r>
      <w:r w:rsidRPr="008A3740">
        <w:rPr>
          <w:rStyle w:val="Refdenotaalpie"/>
          <w:szCs w:val="20"/>
          <w:lang w:val="en-US"/>
        </w:rPr>
        <w:footnoteReference w:id="56"/>
      </w:r>
      <w:r w:rsidRPr="008A3740">
        <w:rPr>
          <w:rFonts w:ascii="Verdana" w:hAnsi="Verdana"/>
          <w:sz w:val="20"/>
          <w:szCs w:val="20"/>
          <w:lang w:val="en-US"/>
        </w:rPr>
        <w:t xml:space="preserve"> </w:t>
      </w:r>
    </w:p>
    <w:p w14:paraId="06D040C1" w14:textId="77777777" w:rsidR="008E6A56" w:rsidRPr="008A3740" w:rsidRDefault="008E6A56" w:rsidP="008E6A56">
      <w:pPr>
        <w:rPr>
          <w:rFonts w:ascii="Verdana" w:hAnsi="Verdana"/>
          <w:sz w:val="20"/>
          <w:szCs w:val="20"/>
          <w:lang w:val="en-US"/>
        </w:rPr>
      </w:pPr>
    </w:p>
    <w:p w14:paraId="7E50DE03" w14:textId="77777777" w:rsidR="008E6A56" w:rsidRPr="008A3740" w:rsidRDefault="00C43170"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Although the company appealed the court’s decision,</w:t>
      </w:r>
      <w:r w:rsidR="001A5E6F" w:rsidRPr="008A3740">
        <w:rPr>
          <w:rFonts w:ascii="Verdana" w:hAnsi="Verdana"/>
          <w:sz w:val="20"/>
          <w:szCs w:val="20"/>
          <w:lang w:val="en-US"/>
        </w:rPr>
        <w:t xml:space="preserve"> o</w:t>
      </w:r>
      <w:r w:rsidR="008E6A56" w:rsidRPr="008A3740">
        <w:rPr>
          <w:rFonts w:ascii="Verdana" w:hAnsi="Verdana"/>
          <w:sz w:val="20"/>
          <w:szCs w:val="20"/>
          <w:lang w:val="en-US"/>
        </w:rPr>
        <w:t xml:space="preserve">n May 29, 1992, the Second Civil </w:t>
      </w:r>
      <w:r w:rsidR="00811092" w:rsidRPr="008A3740">
        <w:rPr>
          <w:rFonts w:ascii="Verdana" w:hAnsi="Verdana"/>
          <w:sz w:val="20"/>
          <w:szCs w:val="20"/>
          <w:lang w:val="en-US"/>
        </w:rPr>
        <w:t>Chamber</w:t>
      </w:r>
      <w:r w:rsidR="008E6A56" w:rsidRPr="008A3740">
        <w:rPr>
          <w:rFonts w:ascii="Verdana" w:hAnsi="Verdana"/>
          <w:sz w:val="20"/>
          <w:szCs w:val="20"/>
          <w:lang w:val="en-US"/>
        </w:rPr>
        <w:t xml:space="preserve"> of the Superior Court of Lima confirm</w:t>
      </w:r>
      <w:r w:rsidR="001A5E6F" w:rsidRPr="008A3740">
        <w:rPr>
          <w:rFonts w:ascii="Verdana" w:hAnsi="Verdana"/>
          <w:sz w:val="20"/>
          <w:szCs w:val="20"/>
          <w:lang w:val="en-US"/>
        </w:rPr>
        <w:t>ed the lower court’s ruling</w:t>
      </w:r>
      <w:r w:rsidR="008E6A56" w:rsidRPr="008A3740">
        <w:rPr>
          <w:rFonts w:ascii="Verdana" w:hAnsi="Verdana"/>
          <w:sz w:val="20"/>
          <w:szCs w:val="20"/>
          <w:lang w:val="en-US"/>
        </w:rPr>
        <w:t>, cons</w:t>
      </w:r>
      <w:r w:rsidR="0035441A" w:rsidRPr="008A3740">
        <w:rPr>
          <w:rFonts w:ascii="Verdana" w:hAnsi="Verdana"/>
          <w:sz w:val="20"/>
          <w:szCs w:val="20"/>
          <w:lang w:val="en-US"/>
        </w:rPr>
        <w:t xml:space="preserve">idering that the suspension </w:t>
      </w:r>
      <w:r w:rsidRPr="008A3740">
        <w:rPr>
          <w:rFonts w:ascii="Verdana" w:hAnsi="Verdana"/>
          <w:sz w:val="20"/>
          <w:szCs w:val="20"/>
          <w:lang w:val="en-US"/>
        </w:rPr>
        <w:t>of</w:t>
      </w:r>
      <w:r w:rsidR="004459C1" w:rsidRPr="008A3740">
        <w:rPr>
          <w:rFonts w:ascii="Verdana" w:hAnsi="Verdana"/>
          <w:sz w:val="20"/>
          <w:szCs w:val="20"/>
          <w:lang w:val="en-US"/>
        </w:rPr>
        <w:t xml:space="preserve"> the </w:t>
      </w:r>
      <w:r w:rsidR="001A5E6F" w:rsidRPr="008A3740">
        <w:rPr>
          <w:rFonts w:ascii="Verdana" w:hAnsi="Verdana"/>
          <w:sz w:val="20"/>
          <w:szCs w:val="20"/>
          <w:lang w:val="en-US"/>
        </w:rPr>
        <w:t xml:space="preserve">Decree Law No. 20530 </w:t>
      </w:r>
      <w:r w:rsidRPr="008A3740">
        <w:rPr>
          <w:rFonts w:ascii="Verdana" w:hAnsi="Verdana"/>
          <w:sz w:val="20"/>
          <w:szCs w:val="20"/>
          <w:lang w:val="en-US"/>
        </w:rPr>
        <w:t>pension scheme had been carried out</w:t>
      </w:r>
      <w:r w:rsidR="001A5E6F" w:rsidRPr="008A3740">
        <w:rPr>
          <w:rFonts w:ascii="Verdana" w:hAnsi="Verdana"/>
          <w:sz w:val="20"/>
          <w:szCs w:val="20"/>
          <w:lang w:val="en-US"/>
        </w:rPr>
        <w:t xml:space="preserve"> through a</w:t>
      </w:r>
      <w:r w:rsidR="004459C1" w:rsidRPr="008A3740">
        <w:rPr>
          <w:rFonts w:ascii="Verdana" w:hAnsi="Verdana"/>
          <w:sz w:val="20"/>
          <w:szCs w:val="20"/>
          <w:lang w:val="en-US"/>
        </w:rPr>
        <w:t xml:space="preserve">n internal </w:t>
      </w:r>
      <w:r w:rsidR="00735BEE" w:rsidRPr="008A3740">
        <w:rPr>
          <w:rFonts w:ascii="Verdana" w:hAnsi="Verdana"/>
          <w:sz w:val="20"/>
          <w:szCs w:val="20"/>
          <w:lang w:val="en-US"/>
        </w:rPr>
        <w:t>company communication</w:t>
      </w:r>
      <w:r w:rsidR="008E6A56" w:rsidRPr="008A3740">
        <w:rPr>
          <w:rFonts w:ascii="Verdana" w:hAnsi="Verdana"/>
          <w:sz w:val="20"/>
          <w:szCs w:val="20"/>
          <w:lang w:val="en-US"/>
        </w:rPr>
        <w:t xml:space="preserve">, </w:t>
      </w:r>
      <w:r w:rsidR="004459C1" w:rsidRPr="008A3740">
        <w:rPr>
          <w:rFonts w:ascii="Verdana" w:hAnsi="Verdana"/>
          <w:sz w:val="20"/>
          <w:szCs w:val="20"/>
          <w:lang w:val="en-US"/>
        </w:rPr>
        <w:t xml:space="preserve">in </w:t>
      </w:r>
      <w:r w:rsidR="001A5E6F" w:rsidRPr="008A3740">
        <w:rPr>
          <w:rFonts w:ascii="Verdana" w:hAnsi="Verdana"/>
          <w:sz w:val="20"/>
          <w:szCs w:val="20"/>
          <w:lang w:val="en-US"/>
        </w:rPr>
        <w:t xml:space="preserve">an </w:t>
      </w:r>
      <w:r w:rsidR="008E6A56" w:rsidRPr="008A3740">
        <w:rPr>
          <w:rFonts w:ascii="Verdana" w:hAnsi="Verdana"/>
          <w:sz w:val="20"/>
          <w:szCs w:val="20"/>
          <w:lang w:val="en-US"/>
        </w:rPr>
        <w:t>action that “</w:t>
      </w:r>
      <w:r w:rsidR="004459C1" w:rsidRPr="008A3740">
        <w:rPr>
          <w:rFonts w:ascii="Verdana" w:hAnsi="Verdana"/>
          <w:sz w:val="20"/>
          <w:szCs w:val="20"/>
          <w:lang w:val="en-US"/>
        </w:rPr>
        <w:t>ha</w:t>
      </w:r>
      <w:r w:rsidR="0061633B" w:rsidRPr="008A3740">
        <w:rPr>
          <w:rFonts w:ascii="Verdana" w:hAnsi="Verdana"/>
          <w:sz w:val="20"/>
          <w:szCs w:val="20"/>
          <w:lang w:val="en-US"/>
        </w:rPr>
        <w:t>[</w:t>
      </w:r>
      <w:r w:rsidR="004459C1" w:rsidRPr="008A3740">
        <w:rPr>
          <w:rFonts w:ascii="Verdana" w:hAnsi="Verdana"/>
          <w:sz w:val="20"/>
          <w:szCs w:val="20"/>
          <w:lang w:val="en-US"/>
        </w:rPr>
        <w:t>d</w:t>
      </w:r>
      <w:r w:rsidR="0061633B" w:rsidRPr="008A3740">
        <w:rPr>
          <w:rFonts w:ascii="Verdana" w:hAnsi="Verdana"/>
          <w:sz w:val="20"/>
          <w:szCs w:val="20"/>
          <w:lang w:val="en-US"/>
        </w:rPr>
        <w:t xml:space="preserve">] </w:t>
      </w:r>
      <w:r w:rsidR="001A5E6F" w:rsidRPr="008A3740">
        <w:rPr>
          <w:rFonts w:ascii="Verdana" w:hAnsi="Verdana"/>
          <w:sz w:val="20"/>
          <w:szCs w:val="20"/>
          <w:lang w:val="en-US"/>
        </w:rPr>
        <w:t xml:space="preserve">characteristics </w:t>
      </w:r>
      <w:r w:rsidR="004459C1" w:rsidRPr="008A3740">
        <w:rPr>
          <w:rFonts w:ascii="Verdana" w:hAnsi="Verdana"/>
          <w:sz w:val="20"/>
          <w:szCs w:val="20"/>
          <w:lang w:val="en-US"/>
        </w:rPr>
        <w:t xml:space="preserve">that injure and violate the law </w:t>
      </w:r>
      <w:r w:rsidR="008E6A56" w:rsidRPr="008A3740">
        <w:rPr>
          <w:rFonts w:ascii="Verdana" w:hAnsi="Verdana"/>
          <w:sz w:val="20"/>
          <w:szCs w:val="20"/>
          <w:lang w:val="en-US"/>
        </w:rPr>
        <w:t>[,].”</w:t>
      </w:r>
      <w:r w:rsidR="008E6A56" w:rsidRPr="008A3740">
        <w:rPr>
          <w:rStyle w:val="Refdenotaalpie"/>
          <w:szCs w:val="20"/>
          <w:lang w:val="en-US"/>
        </w:rPr>
        <w:footnoteReference w:id="57"/>
      </w:r>
      <w:r w:rsidR="008E6A56" w:rsidRPr="008A3740">
        <w:rPr>
          <w:rFonts w:ascii="Verdana" w:hAnsi="Verdana"/>
          <w:sz w:val="20"/>
          <w:szCs w:val="20"/>
          <w:lang w:val="en-US"/>
        </w:rPr>
        <w:t xml:space="preserve"> </w:t>
      </w:r>
    </w:p>
    <w:p w14:paraId="7F62183D" w14:textId="77777777" w:rsidR="008E6A56" w:rsidRPr="008A3740" w:rsidRDefault="008E6A56" w:rsidP="008E6A56">
      <w:pPr>
        <w:pStyle w:val="Prrafodelista"/>
        <w:rPr>
          <w:rFonts w:ascii="Verdana" w:hAnsi="Verdana"/>
          <w:sz w:val="20"/>
          <w:szCs w:val="20"/>
          <w:lang w:val="en-US"/>
        </w:rPr>
      </w:pPr>
    </w:p>
    <w:p w14:paraId="7148E5CD"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On Februar</w:t>
      </w:r>
      <w:r w:rsidR="00275553" w:rsidRPr="008A3740">
        <w:rPr>
          <w:rFonts w:ascii="Verdana" w:hAnsi="Verdana"/>
          <w:sz w:val="20"/>
          <w:szCs w:val="20"/>
          <w:lang w:val="en-US"/>
        </w:rPr>
        <w:t>y 2, 1993</w:t>
      </w:r>
      <w:r w:rsidR="0035441A" w:rsidRPr="008A3740">
        <w:rPr>
          <w:rFonts w:ascii="Verdana" w:hAnsi="Verdana"/>
          <w:sz w:val="20"/>
          <w:szCs w:val="20"/>
          <w:lang w:val="en-US"/>
        </w:rPr>
        <w:t>,</w:t>
      </w:r>
      <w:r w:rsidR="00275553" w:rsidRPr="008A3740">
        <w:rPr>
          <w:rFonts w:ascii="Verdana" w:hAnsi="Verdana"/>
          <w:sz w:val="20"/>
          <w:szCs w:val="20"/>
          <w:lang w:val="en-US"/>
        </w:rPr>
        <w:t xml:space="preserve"> the Supreme Court of </w:t>
      </w:r>
      <w:r w:rsidRPr="008A3740">
        <w:rPr>
          <w:rFonts w:ascii="Verdana" w:hAnsi="Verdana"/>
          <w:sz w:val="20"/>
          <w:szCs w:val="20"/>
          <w:lang w:val="en-US"/>
        </w:rPr>
        <w:t xml:space="preserve">Justice </w:t>
      </w:r>
      <w:r w:rsidR="00354532" w:rsidRPr="008A3740">
        <w:rPr>
          <w:rFonts w:ascii="Verdana" w:hAnsi="Verdana"/>
          <w:sz w:val="20"/>
          <w:szCs w:val="20"/>
          <w:lang w:val="en-US"/>
        </w:rPr>
        <w:t xml:space="preserve">upheld </w:t>
      </w:r>
      <w:r w:rsidRPr="008A3740">
        <w:rPr>
          <w:rFonts w:ascii="Verdana" w:hAnsi="Verdana"/>
          <w:sz w:val="20"/>
          <w:szCs w:val="20"/>
          <w:lang w:val="en-US"/>
        </w:rPr>
        <w:t>the Superior Court</w:t>
      </w:r>
      <w:r w:rsidR="002014F9" w:rsidRPr="008A3740">
        <w:rPr>
          <w:rFonts w:ascii="Verdana" w:hAnsi="Verdana"/>
          <w:sz w:val="20"/>
          <w:szCs w:val="20"/>
          <w:lang w:val="en-US"/>
        </w:rPr>
        <w:t>’s ruling</w:t>
      </w:r>
      <w:r w:rsidRPr="008A3740">
        <w:rPr>
          <w:rFonts w:ascii="Verdana" w:hAnsi="Verdana"/>
          <w:sz w:val="20"/>
          <w:szCs w:val="20"/>
          <w:lang w:val="en-US"/>
        </w:rPr>
        <w:t xml:space="preserve"> and declared </w:t>
      </w:r>
      <w:r w:rsidR="00735BEE" w:rsidRPr="008A3740">
        <w:rPr>
          <w:rFonts w:ascii="Verdana" w:hAnsi="Verdana"/>
          <w:sz w:val="20"/>
          <w:szCs w:val="20"/>
          <w:lang w:val="en-US"/>
        </w:rPr>
        <w:t xml:space="preserve">that </w:t>
      </w:r>
      <w:r w:rsidRPr="008A3740">
        <w:rPr>
          <w:rFonts w:ascii="Verdana" w:hAnsi="Verdana"/>
          <w:sz w:val="20"/>
          <w:szCs w:val="20"/>
          <w:lang w:val="en-US"/>
        </w:rPr>
        <w:t>“</w:t>
      </w:r>
      <w:r w:rsidR="005D3EE5" w:rsidRPr="008A3740">
        <w:rPr>
          <w:rFonts w:ascii="Verdana" w:hAnsi="Verdana"/>
          <w:sz w:val="20"/>
          <w:szCs w:val="20"/>
          <w:lang w:val="en-US"/>
        </w:rPr>
        <w:t xml:space="preserve">in the absence of </w:t>
      </w:r>
      <w:r w:rsidR="007C5B69" w:rsidRPr="008A3740">
        <w:rPr>
          <w:rFonts w:ascii="Verdana" w:hAnsi="Verdana"/>
          <w:sz w:val="20"/>
          <w:szCs w:val="20"/>
          <w:lang w:val="en-US"/>
        </w:rPr>
        <w:t>nullity</w:t>
      </w:r>
      <w:r w:rsidR="00905835" w:rsidRPr="008A3740">
        <w:rPr>
          <w:rFonts w:ascii="Verdana" w:hAnsi="Verdana"/>
          <w:sz w:val="20"/>
          <w:szCs w:val="20"/>
          <w:lang w:val="en-US"/>
        </w:rPr>
        <w:t>” in the j</w:t>
      </w:r>
      <w:r w:rsidRPr="008A3740">
        <w:rPr>
          <w:rFonts w:ascii="Verdana" w:hAnsi="Verdana"/>
          <w:sz w:val="20"/>
          <w:szCs w:val="20"/>
          <w:lang w:val="en-US"/>
        </w:rPr>
        <w:t xml:space="preserve">udgment </w:t>
      </w:r>
      <w:r w:rsidR="00FC3FF7" w:rsidRPr="008A3740">
        <w:rPr>
          <w:rFonts w:ascii="Verdana" w:hAnsi="Verdana"/>
          <w:sz w:val="20"/>
          <w:szCs w:val="20"/>
          <w:lang w:val="en-US"/>
        </w:rPr>
        <w:t xml:space="preserve">delivered by </w:t>
      </w:r>
      <w:r w:rsidRPr="008A3740">
        <w:rPr>
          <w:rFonts w:ascii="Verdana" w:hAnsi="Verdana"/>
          <w:sz w:val="20"/>
          <w:szCs w:val="20"/>
          <w:lang w:val="en-US"/>
        </w:rPr>
        <w:t xml:space="preserve">the Second Civil </w:t>
      </w:r>
      <w:r w:rsidR="00811092" w:rsidRPr="008A3740">
        <w:rPr>
          <w:rFonts w:ascii="Verdana" w:hAnsi="Verdana"/>
          <w:sz w:val="20"/>
          <w:szCs w:val="20"/>
          <w:lang w:val="en-US"/>
        </w:rPr>
        <w:t>Chamber</w:t>
      </w:r>
      <w:r w:rsidRPr="008A3740">
        <w:rPr>
          <w:rFonts w:ascii="Verdana" w:hAnsi="Verdana"/>
          <w:sz w:val="20"/>
          <w:szCs w:val="20"/>
          <w:lang w:val="en-US"/>
        </w:rPr>
        <w:t xml:space="preserve">, </w:t>
      </w:r>
      <w:r w:rsidR="00FC3FF7" w:rsidRPr="008A3740">
        <w:rPr>
          <w:rFonts w:ascii="Verdana" w:hAnsi="Verdana"/>
          <w:sz w:val="20"/>
          <w:szCs w:val="20"/>
          <w:lang w:val="en-US"/>
        </w:rPr>
        <w:t xml:space="preserve">the </w:t>
      </w:r>
      <w:r w:rsidRPr="008A3740">
        <w:rPr>
          <w:rFonts w:ascii="Verdana" w:hAnsi="Verdana"/>
          <w:i/>
          <w:sz w:val="20"/>
          <w:szCs w:val="20"/>
          <w:lang w:val="en-US"/>
        </w:rPr>
        <w:t>a</w:t>
      </w:r>
      <w:r w:rsidR="00735BEE" w:rsidRPr="008A3740">
        <w:rPr>
          <w:rFonts w:ascii="Verdana" w:hAnsi="Verdana"/>
          <w:i/>
          <w:sz w:val="20"/>
          <w:szCs w:val="20"/>
          <w:lang w:val="en-US"/>
        </w:rPr>
        <w:t>mparo</w:t>
      </w:r>
      <w:r w:rsidR="00735BEE" w:rsidRPr="008A3740">
        <w:rPr>
          <w:rFonts w:ascii="Verdana" w:hAnsi="Verdana"/>
          <w:sz w:val="20"/>
          <w:szCs w:val="20"/>
          <w:lang w:val="en-US"/>
        </w:rPr>
        <w:t xml:space="preserve"> a</w:t>
      </w:r>
      <w:r w:rsidRPr="008A3740">
        <w:rPr>
          <w:rFonts w:ascii="Verdana" w:hAnsi="Verdana"/>
          <w:sz w:val="20"/>
          <w:szCs w:val="20"/>
          <w:lang w:val="en-US"/>
        </w:rPr>
        <w:t xml:space="preserve">ction </w:t>
      </w:r>
      <w:r w:rsidR="00FC3FF7" w:rsidRPr="008A3740">
        <w:rPr>
          <w:rFonts w:ascii="Verdana" w:hAnsi="Verdana"/>
          <w:sz w:val="20"/>
          <w:szCs w:val="20"/>
          <w:lang w:val="en-US"/>
        </w:rPr>
        <w:t xml:space="preserve">was </w:t>
      </w:r>
      <w:r w:rsidR="002014F9" w:rsidRPr="008A3740">
        <w:rPr>
          <w:rFonts w:ascii="Verdana" w:hAnsi="Verdana"/>
          <w:sz w:val="20"/>
          <w:szCs w:val="20"/>
          <w:lang w:val="en-US"/>
        </w:rPr>
        <w:t xml:space="preserve">well-founded </w:t>
      </w:r>
      <w:r w:rsidRPr="008A3740">
        <w:rPr>
          <w:rFonts w:ascii="Verdana" w:hAnsi="Verdana"/>
          <w:sz w:val="20"/>
          <w:szCs w:val="20"/>
          <w:lang w:val="en-US"/>
        </w:rPr>
        <w:t xml:space="preserve">and </w:t>
      </w:r>
      <w:r w:rsidR="005C7DB5" w:rsidRPr="008A3740">
        <w:rPr>
          <w:rFonts w:ascii="Verdana" w:hAnsi="Verdana"/>
          <w:sz w:val="20"/>
          <w:szCs w:val="20"/>
          <w:lang w:val="en-US"/>
        </w:rPr>
        <w:t>ruled</w:t>
      </w:r>
      <w:r w:rsidR="00354532" w:rsidRPr="008A3740">
        <w:rPr>
          <w:rFonts w:ascii="Verdana" w:hAnsi="Verdana"/>
          <w:sz w:val="20"/>
          <w:szCs w:val="20"/>
          <w:lang w:val="en-US"/>
        </w:rPr>
        <w:t xml:space="preserve"> that </w:t>
      </w:r>
      <w:r w:rsidR="00A12A8E" w:rsidRPr="008A3740">
        <w:rPr>
          <w:rFonts w:ascii="Verdana" w:hAnsi="Verdana"/>
          <w:sz w:val="20"/>
          <w:szCs w:val="20"/>
          <w:lang w:val="en-US"/>
        </w:rPr>
        <w:t xml:space="preserve">General Management </w:t>
      </w:r>
      <w:r w:rsidR="00FC3FF7" w:rsidRPr="008A3740">
        <w:rPr>
          <w:rFonts w:ascii="Verdana" w:hAnsi="Verdana"/>
          <w:sz w:val="20"/>
          <w:szCs w:val="20"/>
          <w:lang w:val="en-US"/>
        </w:rPr>
        <w:t>C</w:t>
      </w:r>
      <w:r w:rsidR="00354532" w:rsidRPr="008A3740">
        <w:rPr>
          <w:rFonts w:ascii="Verdana" w:hAnsi="Verdana"/>
          <w:sz w:val="20"/>
          <w:szCs w:val="20"/>
          <w:lang w:val="en-US"/>
        </w:rPr>
        <w:t>ommunication No. GA/0131</w:t>
      </w:r>
      <w:r w:rsidRPr="008A3740">
        <w:rPr>
          <w:rFonts w:ascii="Verdana" w:hAnsi="Verdana"/>
          <w:sz w:val="20"/>
          <w:szCs w:val="20"/>
          <w:lang w:val="en-US"/>
        </w:rPr>
        <w:t xml:space="preserve">/91 of February 27, 1991, </w:t>
      </w:r>
      <w:r w:rsidR="00FC3FF7" w:rsidRPr="008A3740">
        <w:rPr>
          <w:rFonts w:ascii="Verdana" w:hAnsi="Verdana"/>
          <w:sz w:val="20"/>
          <w:szCs w:val="20"/>
          <w:lang w:val="en-US"/>
        </w:rPr>
        <w:t>“</w:t>
      </w:r>
      <w:r w:rsidR="00354532" w:rsidRPr="008A3740">
        <w:rPr>
          <w:rFonts w:ascii="Verdana" w:hAnsi="Verdana"/>
          <w:sz w:val="20"/>
          <w:szCs w:val="20"/>
          <w:lang w:val="en-US"/>
        </w:rPr>
        <w:t xml:space="preserve">providing for the suspension ordered by the </w:t>
      </w:r>
      <w:r w:rsidR="00735BEE" w:rsidRPr="008A3740">
        <w:rPr>
          <w:rFonts w:ascii="Verdana" w:hAnsi="Verdana"/>
          <w:sz w:val="20"/>
          <w:szCs w:val="20"/>
          <w:lang w:val="en-US"/>
        </w:rPr>
        <w:t>defendant</w:t>
      </w:r>
      <w:r w:rsidR="00FC3FF7" w:rsidRPr="008A3740">
        <w:rPr>
          <w:rFonts w:ascii="Verdana" w:hAnsi="Verdana"/>
          <w:sz w:val="20"/>
          <w:szCs w:val="20"/>
          <w:lang w:val="en-US"/>
        </w:rPr>
        <w:t>,</w:t>
      </w:r>
      <w:r w:rsidR="00735BEE" w:rsidRPr="008A3740">
        <w:rPr>
          <w:rFonts w:ascii="Verdana" w:hAnsi="Verdana"/>
          <w:sz w:val="20"/>
          <w:szCs w:val="20"/>
          <w:lang w:val="en-US"/>
        </w:rPr>
        <w:t xml:space="preserve"> </w:t>
      </w:r>
      <w:r w:rsidR="00354532" w:rsidRPr="008A3740">
        <w:rPr>
          <w:rFonts w:ascii="Verdana" w:hAnsi="Verdana"/>
          <w:sz w:val="20"/>
          <w:szCs w:val="20"/>
          <w:lang w:val="en-US"/>
        </w:rPr>
        <w:t xml:space="preserve">of the complainant’s inclusion in the pension and </w:t>
      </w:r>
      <w:r w:rsidR="00FC3FF7" w:rsidRPr="008A3740">
        <w:rPr>
          <w:rFonts w:ascii="Verdana" w:hAnsi="Verdana"/>
          <w:sz w:val="20"/>
          <w:szCs w:val="20"/>
          <w:lang w:val="en-US"/>
        </w:rPr>
        <w:t xml:space="preserve">benefits scheme envisaged in </w:t>
      </w:r>
      <w:r w:rsidR="00354532" w:rsidRPr="008A3740">
        <w:rPr>
          <w:rFonts w:ascii="Verdana" w:hAnsi="Verdana"/>
          <w:sz w:val="20"/>
          <w:szCs w:val="20"/>
          <w:lang w:val="en-US"/>
        </w:rPr>
        <w:t xml:space="preserve">Decree-Law 20530 and </w:t>
      </w:r>
      <w:r w:rsidR="00FC3FF7" w:rsidRPr="008A3740">
        <w:rPr>
          <w:rFonts w:ascii="Verdana" w:hAnsi="Verdana"/>
          <w:sz w:val="20"/>
          <w:szCs w:val="20"/>
          <w:lang w:val="en-US"/>
        </w:rPr>
        <w:t xml:space="preserve">of </w:t>
      </w:r>
      <w:r w:rsidR="00354532" w:rsidRPr="008A3740">
        <w:rPr>
          <w:rFonts w:ascii="Verdana" w:hAnsi="Verdana"/>
          <w:sz w:val="20"/>
          <w:szCs w:val="20"/>
          <w:lang w:val="en-US"/>
        </w:rPr>
        <w:t xml:space="preserve">payment of his pension, is </w:t>
      </w:r>
      <w:r w:rsidR="00FC3FF7" w:rsidRPr="008A3740">
        <w:rPr>
          <w:rFonts w:ascii="Verdana" w:hAnsi="Verdana"/>
          <w:sz w:val="20"/>
          <w:szCs w:val="20"/>
          <w:lang w:val="en-US"/>
        </w:rPr>
        <w:t>in</w:t>
      </w:r>
      <w:r w:rsidR="00354532" w:rsidRPr="008A3740">
        <w:rPr>
          <w:rFonts w:ascii="Verdana" w:hAnsi="Verdana"/>
          <w:sz w:val="20"/>
          <w:szCs w:val="20"/>
          <w:lang w:val="en-US"/>
        </w:rPr>
        <w:t xml:space="preserve">applicable to the complainant, </w:t>
      </w:r>
      <w:r w:rsidR="00FC3FF7" w:rsidRPr="008A3740">
        <w:rPr>
          <w:rFonts w:ascii="Verdana" w:hAnsi="Verdana"/>
          <w:sz w:val="20"/>
          <w:szCs w:val="20"/>
          <w:lang w:val="en-US"/>
        </w:rPr>
        <w:t xml:space="preserve">wherefore </w:t>
      </w:r>
      <w:r w:rsidR="00354532" w:rsidRPr="008A3740">
        <w:rPr>
          <w:rFonts w:ascii="Verdana" w:hAnsi="Verdana"/>
          <w:sz w:val="20"/>
          <w:szCs w:val="20"/>
          <w:lang w:val="en-US"/>
        </w:rPr>
        <w:t xml:space="preserve">his rights </w:t>
      </w:r>
      <w:r w:rsidR="00FC3FF7" w:rsidRPr="008A3740">
        <w:rPr>
          <w:rFonts w:ascii="Verdana" w:hAnsi="Verdana"/>
          <w:sz w:val="20"/>
          <w:szCs w:val="20"/>
          <w:lang w:val="en-US"/>
        </w:rPr>
        <w:t xml:space="preserve">shall be </w:t>
      </w:r>
      <w:r w:rsidR="00354532" w:rsidRPr="008A3740">
        <w:rPr>
          <w:rFonts w:ascii="Verdana" w:hAnsi="Verdana"/>
          <w:sz w:val="20"/>
          <w:szCs w:val="20"/>
          <w:lang w:val="en-US"/>
        </w:rPr>
        <w:t>restored to their status prior to th</w:t>
      </w:r>
      <w:r w:rsidR="00FC3FF7" w:rsidRPr="008A3740">
        <w:rPr>
          <w:rFonts w:ascii="Verdana" w:hAnsi="Verdana"/>
          <w:sz w:val="20"/>
          <w:szCs w:val="20"/>
          <w:lang w:val="en-US"/>
        </w:rPr>
        <w:t xml:space="preserve">e violation of </w:t>
      </w:r>
      <w:r w:rsidR="00354532" w:rsidRPr="008A3740">
        <w:rPr>
          <w:rFonts w:ascii="Verdana" w:hAnsi="Verdana"/>
          <w:sz w:val="20"/>
          <w:szCs w:val="20"/>
          <w:lang w:val="en-US"/>
        </w:rPr>
        <w:t>the Constitution</w:t>
      </w:r>
      <w:r w:rsidRPr="008A3740">
        <w:rPr>
          <w:rFonts w:ascii="Verdana" w:hAnsi="Verdana"/>
          <w:sz w:val="20"/>
          <w:szCs w:val="20"/>
          <w:lang w:val="en-US"/>
        </w:rPr>
        <w:t>.</w:t>
      </w:r>
      <w:r w:rsidR="00FC3FF7" w:rsidRPr="008A3740">
        <w:rPr>
          <w:rFonts w:ascii="Verdana" w:hAnsi="Verdana"/>
          <w:sz w:val="20"/>
          <w:szCs w:val="20"/>
          <w:lang w:val="en-US"/>
        </w:rPr>
        <w:t>”</w:t>
      </w:r>
      <w:r w:rsidRPr="008A3740">
        <w:rPr>
          <w:rFonts w:ascii="Verdana" w:hAnsi="Verdana"/>
          <w:sz w:val="20"/>
          <w:szCs w:val="20"/>
          <w:lang w:val="en-US"/>
        </w:rPr>
        <w:t xml:space="preserve"> The </w:t>
      </w:r>
      <w:r w:rsidR="00905835" w:rsidRPr="008A3740">
        <w:rPr>
          <w:rFonts w:ascii="Verdana" w:hAnsi="Verdana"/>
          <w:sz w:val="20"/>
          <w:szCs w:val="20"/>
          <w:lang w:val="en-US"/>
        </w:rPr>
        <w:t xml:space="preserve">ruling </w:t>
      </w:r>
      <w:r w:rsidRPr="008A3740">
        <w:rPr>
          <w:rFonts w:ascii="Verdana" w:hAnsi="Verdana"/>
          <w:sz w:val="20"/>
          <w:szCs w:val="20"/>
          <w:lang w:val="en-US"/>
        </w:rPr>
        <w:t>established that</w:t>
      </w:r>
      <w:r w:rsidR="00FC3FF7" w:rsidRPr="008A3740">
        <w:rPr>
          <w:rFonts w:ascii="Verdana" w:hAnsi="Verdana"/>
          <w:sz w:val="20"/>
          <w:szCs w:val="20"/>
          <w:lang w:val="en-US"/>
        </w:rPr>
        <w:t>,</w:t>
      </w:r>
      <w:r w:rsidRPr="008A3740">
        <w:rPr>
          <w:rFonts w:ascii="Verdana" w:hAnsi="Verdana"/>
          <w:sz w:val="20"/>
          <w:szCs w:val="20"/>
          <w:lang w:val="en-US"/>
        </w:rPr>
        <w:t xml:space="preserve"> “</w:t>
      </w:r>
      <w:r w:rsidR="00275553" w:rsidRPr="008A3740">
        <w:rPr>
          <w:rFonts w:ascii="Verdana" w:hAnsi="Verdana"/>
          <w:sz w:val="20"/>
          <w:szCs w:val="20"/>
          <w:lang w:val="en-US"/>
        </w:rPr>
        <w:t xml:space="preserve">given that this is a matter of rights recognized in favor of the employee which the company itself later unilaterally ceased to recognize, the </w:t>
      </w:r>
      <w:r w:rsidR="00275553" w:rsidRPr="008A3740">
        <w:rPr>
          <w:rFonts w:ascii="Verdana" w:hAnsi="Verdana"/>
          <w:i/>
          <w:sz w:val="20"/>
          <w:szCs w:val="20"/>
          <w:lang w:val="en-US"/>
        </w:rPr>
        <w:t>amparo</w:t>
      </w:r>
      <w:r w:rsidR="00275553" w:rsidRPr="008A3740">
        <w:rPr>
          <w:rFonts w:ascii="Verdana" w:hAnsi="Verdana"/>
          <w:sz w:val="20"/>
          <w:szCs w:val="20"/>
          <w:lang w:val="en-US"/>
        </w:rPr>
        <w:t xml:space="preserve"> </w:t>
      </w:r>
      <w:r w:rsidR="00FC3FF7" w:rsidRPr="008A3740">
        <w:rPr>
          <w:rFonts w:ascii="Verdana" w:hAnsi="Verdana"/>
          <w:sz w:val="20"/>
          <w:szCs w:val="20"/>
          <w:lang w:val="en-US"/>
        </w:rPr>
        <w:t xml:space="preserve">suit for restoration </w:t>
      </w:r>
      <w:r w:rsidR="00275553" w:rsidRPr="008A3740">
        <w:rPr>
          <w:rFonts w:ascii="Verdana" w:hAnsi="Verdana"/>
          <w:sz w:val="20"/>
          <w:szCs w:val="20"/>
          <w:lang w:val="en-US"/>
        </w:rPr>
        <w:t>[…]</w:t>
      </w:r>
      <w:r w:rsidRPr="008A3740">
        <w:rPr>
          <w:rFonts w:ascii="Verdana" w:hAnsi="Verdana"/>
          <w:sz w:val="20"/>
          <w:szCs w:val="20"/>
          <w:lang w:val="en-US"/>
        </w:rPr>
        <w:t xml:space="preserve"> is </w:t>
      </w:r>
      <w:r w:rsidR="00275553" w:rsidRPr="008A3740">
        <w:rPr>
          <w:rFonts w:ascii="Verdana" w:hAnsi="Verdana"/>
          <w:sz w:val="20"/>
          <w:szCs w:val="20"/>
          <w:lang w:val="en-US"/>
        </w:rPr>
        <w:t>in order</w:t>
      </w:r>
      <w:r w:rsidR="002014F9" w:rsidRPr="008A3740">
        <w:rPr>
          <w:rFonts w:ascii="Verdana" w:hAnsi="Verdana"/>
          <w:sz w:val="20"/>
          <w:szCs w:val="20"/>
          <w:lang w:val="en-US"/>
        </w:rPr>
        <w:t>.</w:t>
      </w:r>
      <w:r w:rsidRPr="008A3740">
        <w:rPr>
          <w:rFonts w:ascii="Verdana" w:hAnsi="Verdana"/>
          <w:sz w:val="20"/>
          <w:szCs w:val="20"/>
          <w:lang w:val="en-US"/>
        </w:rPr>
        <w:t>”</w:t>
      </w:r>
      <w:r w:rsidRPr="008A3740">
        <w:rPr>
          <w:rStyle w:val="Refdenotaalpie"/>
          <w:szCs w:val="20"/>
          <w:lang w:val="en-US"/>
        </w:rPr>
        <w:footnoteReference w:id="58"/>
      </w:r>
    </w:p>
    <w:p w14:paraId="14A4DD3D" w14:textId="77777777" w:rsidR="008E6A56" w:rsidRPr="008A3740" w:rsidRDefault="008E6A56" w:rsidP="008E6A56">
      <w:pPr>
        <w:tabs>
          <w:tab w:val="left" w:pos="567"/>
        </w:tabs>
        <w:rPr>
          <w:rFonts w:ascii="Verdana" w:hAnsi="Verdana"/>
          <w:sz w:val="20"/>
          <w:szCs w:val="20"/>
          <w:lang w:val="en-US"/>
        </w:rPr>
      </w:pPr>
    </w:p>
    <w:p w14:paraId="13C83911" w14:textId="77777777" w:rsidR="008E6A56" w:rsidRPr="008A3740" w:rsidRDefault="008E6A56" w:rsidP="008E6A56">
      <w:pPr>
        <w:pStyle w:val="Ttulo2"/>
        <w:tabs>
          <w:tab w:val="clear" w:pos="360"/>
        </w:tabs>
        <w:ind w:hanging="360"/>
        <w:rPr>
          <w:lang w:val="en-US"/>
        </w:rPr>
      </w:pPr>
      <w:bookmarkStart w:id="74" w:name="_Toc5009871"/>
      <w:r w:rsidRPr="008A3740">
        <w:rPr>
          <w:lang w:val="en-US"/>
        </w:rPr>
        <w:t xml:space="preserve">Privatization of the </w:t>
      </w:r>
      <w:r w:rsidR="00FC3FF7" w:rsidRPr="008A3740">
        <w:rPr>
          <w:lang w:val="en-US"/>
        </w:rPr>
        <w:t>State</w:t>
      </w:r>
      <w:r w:rsidR="00693179" w:rsidRPr="008A3740">
        <w:rPr>
          <w:lang w:val="en-US"/>
        </w:rPr>
        <w:t xml:space="preserve">-owned Empresa </w:t>
      </w:r>
      <w:r w:rsidRPr="008A3740">
        <w:rPr>
          <w:lang w:val="en-US"/>
        </w:rPr>
        <w:t>Minera Especial Tintaya S.A.</w:t>
      </w:r>
      <w:bookmarkEnd w:id="74"/>
      <w:r w:rsidR="005D25FA" w:rsidRPr="008A3740">
        <w:rPr>
          <w:lang w:val="en-US"/>
        </w:rPr>
        <w:t xml:space="preserve"> </w:t>
      </w:r>
    </w:p>
    <w:p w14:paraId="0341F4BB" w14:textId="77777777" w:rsidR="008E6A56" w:rsidRPr="008A3740" w:rsidRDefault="008E6A56" w:rsidP="008E6A56">
      <w:pPr>
        <w:tabs>
          <w:tab w:val="left" w:pos="0"/>
        </w:tabs>
        <w:rPr>
          <w:rFonts w:ascii="Verdana" w:hAnsi="Verdana"/>
          <w:sz w:val="20"/>
          <w:szCs w:val="20"/>
          <w:lang w:val="en-US"/>
        </w:rPr>
      </w:pPr>
    </w:p>
    <w:p w14:paraId="14565C37" w14:textId="77777777" w:rsidR="008E6A56" w:rsidRPr="008A3740" w:rsidRDefault="008E6A56" w:rsidP="00D17A65">
      <w:pPr>
        <w:numPr>
          <w:ilvl w:val="0"/>
          <w:numId w:val="3"/>
        </w:numPr>
        <w:tabs>
          <w:tab w:val="left" w:pos="567"/>
          <w:tab w:val="left" w:pos="993"/>
          <w:tab w:val="num" w:pos="12305"/>
        </w:tabs>
        <w:ind w:left="0" w:firstLine="0"/>
        <w:rPr>
          <w:rFonts w:ascii="Verdana" w:hAnsi="Verdana"/>
          <w:sz w:val="20"/>
          <w:szCs w:val="20"/>
          <w:lang w:val="en-US"/>
        </w:rPr>
      </w:pPr>
      <w:r w:rsidRPr="008A3740">
        <w:rPr>
          <w:rFonts w:ascii="Verdana" w:hAnsi="Verdana"/>
          <w:sz w:val="20"/>
          <w:szCs w:val="20"/>
          <w:lang w:val="en-US"/>
        </w:rPr>
        <w:t xml:space="preserve">The </w:t>
      </w:r>
      <w:r w:rsidRPr="008A3740">
        <w:rPr>
          <w:rFonts w:ascii="Verdana" w:hAnsi="Verdana"/>
          <w:i/>
          <w:sz w:val="20"/>
          <w:szCs w:val="20"/>
          <w:lang w:val="en-US"/>
        </w:rPr>
        <w:t>E</w:t>
      </w:r>
      <w:r w:rsidR="00CE2CCE" w:rsidRPr="008A3740">
        <w:rPr>
          <w:rFonts w:ascii="Verdana" w:hAnsi="Verdana"/>
          <w:i/>
          <w:sz w:val="20"/>
          <w:szCs w:val="20"/>
          <w:lang w:val="en-US"/>
        </w:rPr>
        <w:t>mpresa E</w:t>
      </w:r>
      <w:r w:rsidRPr="008A3740">
        <w:rPr>
          <w:rFonts w:ascii="Verdana" w:hAnsi="Verdana"/>
          <w:i/>
          <w:sz w:val="20"/>
          <w:szCs w:val="20"/>
          <w:lang w:val="en-US"/>
        </w:rPr>
        <w:t>special Minera Tintaya S.A</w:t>
      </w:r>
      <w:r w:rsidR="00CE2CCE" w:rsidRPr="008A3740">
        <w:rPr>
          <w:rFonts w:ascii="Verdana" w:hAnsi="Verdana"/>
          <w:sz w:val="20"/>
          <w:szCs w:val="20"/>
          <w:lang w:val="en-US"/>
        </w:rPr>
        <w:t>.</w:t>
      </w:r>
      <w:r w:rsidRPr="008A3740">
        <w:rPr>
          <w:rFonts w:ascii="Verdana" w:hAnsi="Verdana"/>
          <w:sz w:val="20"/>
          <w:szCs w:val="20"/>
          <w:lang w:val="en-US"/>
        </w:rPr>
        <w:t xml:space="preserve"> was privatized in 1994, in the context of </w:t>
      </w:r>
      <w:r w:rsidR="00354532" w:rsidRPr="008A3740">
        <w:rPr>
          <w:rFonts w:ascii="Verdana" w:hAnsi="Verdana"/>
          <w:sz w:val="20"/>
          <w:szCs w:val="20"/>
          <w:lang w:val="en-US"/>
        </w:rPr>
        <w:t xml:space="preserve">Law </w:t>
      </w:r>
      <w:r w:rsidRPr="008A3740">
        <w:rPr>
          <w:rFonts w:ascii="Verdana" w:hAnsi="Verdana"/>
          <w:sz w:val="20"/>
          <w:szCs w:val="20"/>
          <w:lang w:val="en-US"/>
        </w:rPr>
        <w:t>Decree No. 674</w:t>
      </w:r>
      <w:r w:rsidR="00CE2CCE" w:rsidRPr="008A3740">
        <w:rPr>
          <w:rFonts w:ascii="Verdana" w:hAnsi="Verdana"/>
          <w:sz w:val="20"/>
          <w:szCs w:val="20"/>
          <w:lang w:val="en-US"/>
        </w:rPr>
        <w:t>,</w:t>
      </w:r>
      <w:r w:rsidRPr="008A3740">
        <w:rPr>
          <w:rFonts w:ascii="Verdana" w:hAnsi="Verdana"/>
          <w:sz w:val="20"/>
          <w:szCs w:val="20"/>
          <w:lang w:val="en-US"/>
        </w:rPr>
        <w:t xml:space="preserve"> </w:t>
      </w:r>
      <w:r w:rsidR="00CE2CCE" w:rsidRPr="008A3740">
        <w:rPr>
          <w:rFonts w:ascii="Verdana" w:hAnsi="Verdana"/>
          <w:sz w:val="20"/>
          <w:szCs w:val="20"/>
          <w:lang w:val="en-US"/>
        </w:rPr>
        <w:t xml:space="preserve">entitled “Law for the Promotion of </w:t>
      </w:r>
      <w:r w:rsidRPr="008A3740">
        <w:rPr>
          <w:rFonts w:ascii="Verdana" w:hAnsi="Verdana"/>
          <w:sz w:val="20"/>
          <w:szCs w:val="20"/>
          <w:lang w:val="en-US"/>
        </w:rPr>
        <w:t>Private Investment of State Companies” and its Regulations</w:t>
      </w:r>
      <w:r w:rsidR="00CE2CCE" w:rsidRPr="008A3740">
        <w:rPr>
          <w:rFonts w:ascii="Verdana" w:hAnsi="Verdana"/>
          <w:sz w:val="20"/>
          <w:szCs w:val="20"/>
          <w:lang w:val="en-US"/>
        </w:rPr>
        <w:t>,</w:t>
      </w:r>
      <w:r w:rsidRPr="008A3740">
        <w:rPr>
          <w:rFonts w:ascii="Verdana" w:hAnsi="Verdana"/>
          <w:sz w:val="20"/>
          <w:szCs w:val="20"/>
          <w:lang w:val="en-US"/>
        </w:rPr>
        <w:t xml:space="preserve"> approved by Supreme Decree N°070-93-PCM.</w:t>
      </w:r>
      <w:r w:rsidRPr="008A3740">
        <w:rPr>
          <w:rFonts w:ascii="Verdana" w:hAnsi="Verdana"/>
          <w:b/>
          <w:sz w:val="20"/>
          <w:szCs w:val="20"/>
          <w:lang w:val="en-US"/>
        </w:rPr>
        <w:t xml:space="preserve"> </w:t>
      </w:r>
      <w:r w:rsidR="00CE2CCE" w:rsidRPr="008A3740">
        <w:rPr>
          <w:rFonts w:ascii="Verdana" w:hAnsi="Verdana"/>
          <w:sz w:val="20"/>
          <w:szCs w:val="20"/>
          <w:lang w:val="en-US"/>
        </w:rPr>
        <w:t>Article 1 of this</w:t>
      </w:r>
      <w:r w:rsidR="00905835" w:rsidRPr="008A3740">
        <w:rPr>
          <w:rFonts w:ascii="Verdana" w:hAnsi="Verdana"/>
          <w:sz w:val="20"/>
          <w:szCs w:val="20"/>
          <w:lang w:val="en-US"/>
        </w:rPr>
        <w:t xml:space="preserve"> Law </w:t>
      </w:r>
      <w:r w:rsidRPr="008A3740">
        <w:rPr>
          <w:rFonts w:ascii="Verdana" w:hAnsi="Verdana"/>
          <w:sz w:val="20"/>
          <w:szCs w:val="20"/>
          <w:lang w:val="en-US"/>
        </w:rPr>
        <w:t xml:space="preserve">Decree declared </w:t>
      </w:r>
      <w:r w:rsidR="009F28C3" w:rsidRPr="008A3740">
        <w:rPr>
          <w:rFonts w:ascii="Verdana" w:hAnsi="Verdana"/>
          <w:sz w:val="20"/>
          <w:szCs w:val="20"/>
          <w:lang w:val="en-US"/>
        </w:rPr>
        <w:t xml:space="preserve">of national interest the promotion of </w:t>
      </w:r>
      <w:r w:rsidRPr="008A3740">
        <w:rPr>
          <w:rFonts w:ascii="Verdana" w:hAnsi="Verdana"/>
          <w:sz w:val="20"/>
          <w:szCs w:val="20"/>
          <w:lang w:val="en-US"/>
        </w:rPr>
        <w:t>private investment in compa</w:t>
      </w:r>
      <w:r w:rsidR="00905835" w:rsidRPr="008A3740">
        <w:rPr>
          <w:rFonts w:ascii="Verdana" w:hAnsi="Verdana"/>
          <w:sz w:val="20"/>
          <w:szCs w:val="20"/>
          <w:lang w:val="en-US"/>
        </w:rPr>
        <w:t>n</w:t>
      </w:r>
      <w:r w:rsidR="00CE2CCE" w:rsidRPr="008A3740">
        <w:rPr>
          <w:rFonts w:ascii="Verdana" w:hAnsi="Verdana"/>
          <w:sz w:val="20"/>
          <w:szCs w:val="20"/>
          <w:lang w:val="en-US"/>
        </w:rPr>
        <w:t>ies that form</w:t>
      </w:r>
      <w:r w:rsidR="009F28C3" w:rsidRPr="008A3740">
        <w:rPr>
          <w:rFonts w:ascii="Verdana" w:hAnsi="Verdana"/>
          <w:sz w:val="20"/>
          <w:szCs w:val="20"/>
          <w:lang w:val="en-US"/>
        </w:rPr>
        <w:t>ed</w:t>
      </w:r>
      <w:r w:rsidR="00CE2CCE" w:rsidRPr="008A3740">
        <w:rPr>
          <w:rFonts w:ascii="Verdana" w:hAnsi="Verdana"/>
          <w:sz w:val="20"/>
          <w:szCs w:val="20"/>
          <w:lang w:val="en-US"/>
        </w:rPr>
        <w:t xml:space="preserve"> part of the State’</w:t>
      </w:r>
      <w:r w:rsidR="00905835" w:rsidRPr="008A3740">
        <w:rPr>
          <w:rFonts w:ascii="Verdana" w:hAnsi="Verdana"/>
          <w:sz w:val="20"/>
          <w:szCs w:val="20"/>
          <w:lang w:val="en-US"/>
        </w:rPr>
        <w:t xml:space="preserve">s </w:t>
      </w:r>
      <w:r w:rsidRPr="008A3740">
        <w:rPr>
          <w:rFonts w:ascii="Verdana" w:hAnsi="Verdana"/>
          <w:sz w:val="20"/>
          <w:szCs w:val="20"/>
          <w:lang w:val="en-US"/>
        </w:rPr>
        <w:t>business activities</w:t>
      </w:r>
      <w:r w:rsidR="00905835" w:rsidRPr="008A3740">
        <w:rPr>
          <w:rFonts w:ascii="Verdana" w:hAnsi="Verdana"/>
          <w:sz w:val="20"/>
          <w:szCs w:val="20"/>
          <w:lang w:val="en-US"/>
        </w:rPr>
        <w:t>.</w:t>
      </w:r>
      <w:r w:rsidRPr="008A3740">
        <w:rPr>
          <w:rStyle w:val="Refdenotaalpie"/>
          <w:szCs w:val="20"/>
          <w:lang w:val="en-US"/>
        </w:rPr>
        <w:footnoteReference w:id="59"/>
      </w:r>
    </w:p>
    <w:p w14:paraId="501C58E3" w14:textId="77777777" w:rsidR="008E6A56" w:rsidRPr="008A3740" w:rsidRDefault="008E6A56" w:rsidP="008E6A56">
      <w:pPr>
        <w:pStyle w:val="Prrafodelista"/>
        <w:rPr>
          <w:rFonts w:ascii="Verdana" w:hAnsi="Verdana"/>
          <w:sz w:val="20"/>
          <w:szCs w:val="20"/>
          <w:lang w:val="en-US"/>
        </w:rPr>
      </w:pPr>
    </w:p>
    <w:p w14:paraId="6A8AE211"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 On No</w:t>
      </w:r>
      <w:r w:rsidR="00354532" w:rsidRPr="008A3740">
        <w:rPr>
          <w:rFonts w:ascii="Verdana" w:hAnsi="Verdana"/>
          <w:sz w:val="20"/>
          <w:szCs w:val="20"/>
          <w:lang w:val="en-US"/>
        </w:rPr>
        <w:t xml:space="preserve">vember 29, 1994, a </w:t>
      </w:r>
      <w:r w:rsidR="0035441A" w:rsidRPr="008A3740">
        <w:rPr>
          <w:rFonts w:ascii="Verdana" w:hAnsi="Verdana"/>
          <w:sz w:val="20"/>
          <w:szCs w:val="20"/>
          <w:lang w:val="en-US"/>
        </w:rPr>
        <w:t xml:space="preserve">share purchase agreement </w:t>
      </w:r>
      <w:r w:rsidR="00354532" w:rsidRPr="008A3740">
        <w:rPr>
          <w:rFonts w:ascii="Verdana" w:hAnsi="Verdana"/>
          <w:sz w:val="20"/>
          <w:szCs w:val="20"/>
          <w:lang w:val="en-US"/>
        </w:rPr>
        <w:t xml:space="preserve">contract </w:t>
      </w:r>
      <w:r w:rsidR="00332B2C" w:rsidRPr="008A3740">
        <w:rPr>
          <w:rFonts w:ascii="Verdana" w:hAnsi="Verdana"/>
          <w:sz w:val="20"/>
          <w:szCs w:val="20"/>
          <w:lang w:val="en-US"/>
        </w:rPr>
        <w:t xml:space="preserve">was signed between the </w:t>
      </w:r>
      <w:r w:rsidR="00332B2C" w:rsidRPr="008A3740">
        <w:rPr>
          <w:rFonts w:ascii="Verdana" w:hAnsi="Verdana"/>
          <w:i/>
          <w:sz w:val="20"/>
          <w:szCs w:val="20"/>
          <w:lang w:val="en-US"/>
        </w:rPr>
        <w:t>Compañ</w:t>
      </w:r>
      <w:r w:rsidR="00332B2C" w:rsidRPr="008A3740">
        <w:rPr>
          <w:rFonts w:ascii="Arial" w:hAnsi="Arial" w:cs="Arial"/>
          <w:i/>
          <w:sz w:val="20"/>
          <w:szCs w:val="20"/>
          <w:lang w:val="en-US"/>
        </w:rPr>
        <w:t>ía</w:t>
      </w:r>
      <w:r w:rsidR="00332B2C" w:rsidRPr="008A3740">
        <w:rPr>
          <w:rFonts w:ascii="Verdana" w:hAnsi="Verdana"/>
          <w:i/>
          <w:sz w:val="20"/>
          <w:szCs w:val="20"/>
          <w:lang w:val="en-US"/>
        </w:rPr>
        <w:t xml:space="preserve"> Minera de</w:t>
      </w:r>
      <w:r w:rsidRPr="008A3740">
        <w:rPr>
          <w:rFonts w:ascii="Verdana" w:hAnsi="Verdana"/>
          <w:i/>
          <w:sz w:val="20"/>
          <w:szCs w:val="20"/>
          <w:lang w:val="en-US"/>
        </w:rPr>
        <w:t xml:space="preserve"> Peru S.A.</w:t>
      </w:r>
      <w:r w:rsidRPr="008A3740">
        <w:rPr>
          <w:rFonts w:ascii="Verdana" w:hAnsi="Verdana"/>
          <w:sz w:val="20"/>
          <w:szCs w:val="20"/>
          <w:lang w:val="en-US"/>
        </w:rPr>
        <w:t xml:space="preserve"> and the consortium </w:t>
      </w:r>
      <w:r w:rsidR="00905835" w:rsidRPr="008A3740">
        <w:rPr>
          <w:rFonts w:ascii="Verdana" w:hAnsi="Verdana"/>
          <w:sz w:val="20"/>
          <w:szCs w:val="20"/>
          <w:lang w:val="en-US"/>
        </w:rPr>
        <w:t xml:space="preserve">made up of </w:t>
      </w:r>
      <w:r w:rsidRPr="008A3740">
        <w:rPr>
          <w:rFonts w:ascii="Verdana" w:hAnsi="Verdana"/>
          <w:sz w:val="20"/>
          <w:szCs w:val="20"/>
          <w:lang w:val="en-US"/>
        </w:rPr>
        <w:t xml:space="preserve">Magma Copper Company and Global Magma Ltd. (called Magma Copper Corporation). This consortium acquired the </w:t>
      </w:r>
      <w:r w:rsidR="009F28C3" w:rsidRPr="008A3740">
        <w:rPr>
          <w:rFonts w:ascii="Verdana" w:hAnsi="Verdana"/>
          <w:sz w:val="20"/>
          <w:szCs w:val="20"/>
          <w:lang w:val="en-US"/>
        </w:rPr>
        <w:t xml:space="preserve">ownership and </w:t>
      </w:r>
      <w:r w:rsidRPr="008A3740">
        <w:rPr>
          <w:rFonts w:ascii="Verdana" w:hAnsi="Verdana"/>
          <w:sz w:val="20"/>
          <w:szCs w:val="20"/>
          <w:lang w:val="en-US"/>
        </w:rPr>
        <w:t>total and absolute</w:t>
      </w:r>
      <w:r w:rsidR="009F28C3" w:rsidRPr="008A3740">
        <w:rPr>
          <w:rFonts w:ascii="Verdana" w:hAnsi="Verdana"/>
          <w:sz w:val="20"/>
          <w:szCs w:val="20"/>
          <w:lang w:val="en-US"/>
        </w:rPr>
        <w:t xml:space="preserve"> control</w:t>
      </w:r>
      <w:r w:rsidRPr="008A3740">
        <w:rPr>
          <w:rFonts w:ascii="Verdana" w:hAnsi="Verdana"/>
          <w:sz w:val="20"/>
          <w:szCs w:val="20"/>
          <w:lang w:val="en-US"/>
        </w:rPr>
        <w:t xml:space="preserve">, without restriction, of 98.43% of the social capital of Tintaya, </w:t>
      </w:r>
      <w:r w:rsidR="009F28C3" w:rsidRPr="008A3740">
        <w:rPr>
          <w:rFonts w:ascii="Verdana" w:hAnsi="Verdana"/>
          <w:sz w:val="20"/>
          <w:szCs w:val="20"/>
          <w:lang w:val="en-US"/>
        </w:rPr>
        <w:t xml:space="preserve">while </w:t>
      </w:r>
      <w:r w:rsidRPr="008A3740">
        <w:rPr>
          <w:rFonts w:ascii="Verdana" w:hAnsi="Verdana"/>
          <w:sz w:val="20"/>
          <w:szCs w:val="20"/>
          <w:lang w:val="en-US"/>
        </w:rPr>
        <w:t>the workers acquired the remaining 1.57%.</w:t>
      </w:r>
      <w:r w:rsidRPr="008A3740">
        <w:rPr>
          <w:rStyle w:val="Refdenotaalpie"/>
          <w:szCs w:val="20"/>
          <w:lang w:val="en-US"/>
        </w:rPr>
        <w:footnoteReference w:id="60"/>
      </w:r>
      <w:r w:rsidRPr="008A3740">
        <w:rPr>
          <w:rFonts w:ascii="Verdana" w:hAnsi="Verdana"/>
          <w:sz w:val="20"/>
          <w:szCs w:val="20"/>
          <w:lang w:val="en-US"/>
        </w:rPr>
        <w:t xml:space="preserve"> </w:t>
      </w:r>
    </w:p>
    <w:p w14:paraId="6D0F8BB4" w14:textId="77777777" w:rsidR="008E6A56" w:rsidRPr="008A3740" w:rsidRDefault="008E6A56" w:rsidP="008E6A56">
      <w:pPr>
        <w:pStyle w:val="Prrafodelista"/>
        <w:rPr>
          <w:rFonts w:ascii="Verdana" w:hAnsi="Verdana"/>
          <w:sz w:val="20"/>
          <w:szCs w:val="20"/>
          <w:lang w:val="en-US"/>
        </w:rPr>
      </w:pPr>
    </w:p>
    <w:p w14:paraId="086F56F4" w14:textId="77777777" w:rsidR="008E6A56" w:rsidRPr="008A3740" w:rsidRDefault="00332B2C"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w:t>
      </w:r>
      <w:r w:rsidR="00A54B10" w:rsidRPr="008A3740">
        <w:rPr>
          <w:rFonts w:ascii="Verdana" w:hAnsi="Verdana"/>
          <w:sz w:val="20"/>
          <w:szCs w:val="20"/>
          <w:lang w:val="en-US"/>
        </w:rPr>
        <w:t>share purchase agreement contract between</w:t>
      </w:r>
      <w:r w:rsidR="002439F5" w:rsidRPr="008A3740">
        <w:rPr>
          <w:rFonts w:ascii="Verdana" w:hAnsi="Verdana"/>
          <w:sz w:val="20"/>
          <w:szCs w:val="20"/>
          <w:lang w:val="en-US"/>
        </w:rPr>
        <w:t xml:space="preserve"> the parties</w:t>
      </w:r>
      <w:r w:rsidR="008E6A56" w:rsidRPr="008A3740">
        <w:rPr>
          <w:rFonts w:ascii="Verdana" w:hAnsi="Verdana"/>
          <w:sz w:val="20"/>
          <w:szCs w:val="20"/>
          <w:lang w:val="en-US"/>
        </w:rPr>
        <w:t xml:space="preserve"> stipulated in </w:t>
      </w:r>
      <w:r w:rsidR="00B2463B" w:rsidRPr="008A3740">
        <w:rPr>
          <w:rFonts w:ascii="Verdana" w:hAnsi="Verdana"/>
          <w:sz w:val="20"/>
          <w:szCs w:val="20"/>
          <w:lang w:val="en-US"/>
        </w:rPr>
        <w:t>clause VI, sub-paragraph 7</w:t>
      </w:r>
      <w:r w:rsidR="002439F5" w:rsidRPr="008A3740">
        <w:rPr>
          <w:rFonts w:ascii="Verdana" w:hAnsi="Verdana"/>
          <w:sz w:val="20"/>
          <w:szCs w:val="20"/>
          <w:lang w:val="en-US"/>
        </w:rPr>
        <w:t>,</w:t>
      </w:r>
      <w:r w:rsidR="00B2463B" w:rsidRPr="008A3740">
        <w:rPr>
          <w:rFonts w:ascii="Verdana" w:hAnsi="Verdana"/>
          <w:sz w:val="20"/>
          <w:szCs w:val="20"/>
          <w:lang w:val="en-US"/>
        </w:rPr>
        <w:t xml:space="preserve"> </w:t>
      </w:r>
      <w:r w:rsidR="002439F5" w:rsidRPr="008A3740">
        <w:rPr>
          <w:rFonts w:ascii="Verdana" w:hAnsi="Verdana"/>
          <w:sz w:val="20"/>
          <w:szCs w:val="20"/>
          <w:lang w:val="en-US"/>
        </w:rPr>
        <w:t xml:space="preserve">entitled </w:t>
      </w:r>
      <w:r w:rsidR="008E6A56" w:rsidRPr="008A3740">
        <w:rPr>
          <w:rFonts w:ascii="Verdana" w:hAnsi="Verdana"/>
          <w:sz w:val="20"/>
          <w:szCs w:val="20"/>
          <w:lang w:val="en-US"/>
        </w:rPr>
        <w:t>“statements and guarantees of the vend</w:t>
      </w:r>
      <w:r w:rsidR="00354532" w:rsidRPr="008A3740">
        <w:rPr>
          <w:rFonts w:ascii="Verdana" w:hAnsi="Verdana"/>
          <w:sz w:val="20"/>
          <w:szCs w:val="20"/>
          <w:lang w:val="en-US"/>
        </w:rPr>
        <w:t>or</w:t>
      </w:r>
      <w:r w:rsidR="00AD195C" w:rsidRPr="008A3740">
        <w:rPr>
          <w:rFonts w:ascii="Verdana" w:hAnsi="Verdana"/>
          <w:sz w:val="20"/>
          <w:szCs w:val="20"/>
          <w:lang w:val="en-US"/>
        </w:rPr>
        <w:t>,”</w:t>
      </w:r>
      <w:r w:rsidR="008E6A56" w:rsidRPr="008A3740">
        <w:rPr>
          <w:rFonts w:ascii="Verdana" w:hAnsi="Verdana"/>
          <w:sz w:val="20"/>
          <w:szCs w:val="20"/>
          <w:lang w:val="en-US"/>
        </w:rPr>
        <w:t xml:space="preserve"> that the vend</w:t>
      </w:r>
      <w:r w:rsidR="00240A8A" w:rsidRPr="008A3740">
        <w:rPr>
          <w:rFonts w:ascii="Verdana" w:hAnsi="Verdana"/>
          <w:sz w:val="20"/>
          <w:szCs w:val="20"/>
          <w:lang w:val="en-US"/>
        </w:rPr>
        <w:t xml:space="preserve">or </w:t>
      </w:r>
      <w:r w:rsidR="00354532" w:rsidRPr="008A3740">
        <w:rPr>
          <w:rFonts w:ascii="Verdana" w:hAnsi="Verdana"/>
          <w:sz w:val="20"/>
          <w:szCs w:val="20"/>
          <w:lang w:val="en-US"/>
        </w:rPr>
        <w:t xml:space="preserve">was unaware of </w:t>
      </w:r>
      <w:r w:rsidR="008E6A56" w:rsidRPr="008A3740">
        <w:rPr>
          <w:rFonts w:ascii="Verdana" w:hAnsi="Verdana"/>
          <w:sz w:val="20"/>
          <w:szCs w:val="20"/>
          <w:lang w:val="en-US"/>
        </w:rPr>
        <w:t>“the existence of other liabilities or assets, or contingencies</w:t>
      </w:r>
      <w:r w:rsidR="002439F5" w:rsidRPr="008A3740">
        <w:rPr>
          <w:rFonts w:ascii="Verdana" w:hAnsi="Verdana"/>
          <w:sz w:val="20"/>
          <w:szCs w:val="20"/>
          <w:lang w:val="en-US"/>
        </w:rPr>
        <w:t>,</w:t>
      </w:r>
      <w:r w:rsidR="008E6A56" w:rsidRPr="008A3740">
        <w:rPr>
          <w:rFonts w:ascii="Verdana" w:hAnsi="Verdana"/>
          <w:sz w:val="20"/>
          <w:szCs w:val="20"/>
          <w:lang w:val="en-US"/>
        </w:rPr>
        <w:t xml:space="preserve"> </w:t>
      </w:r>
      <w:r w:rsidR="00354532" w:rsidRPr="008A3740">
        <w:rPr>
          <w:rFonts w:ascii="Verdana" w:hAnsi="Verdana"/>
          <w:sz w:val="20"/>
          <w:szCs w:val="20"/>
          <w:lang w:val="en-US"/>
        </w:rPr>
        <w:t xml:space="preserve">derived from </w:t>
      </w:r>
      <w:r w:rsidR="008E6A56" w:rsidRPr="008A3740">
        <w:rPr>
          <w:rFonts w:ascii="Verdana" w:hAnsi="Verdana"/>
          <w:sz w:val="20"/>
          <w:szCs w:val="20"/>
          <w:lang w:val="en-US"/>
        </w:rPr>
        <w:t xml:space="preserve">tax, labor, legal or any </w:t>
      </w:r>
      <w:r w:rsidR="008E6A56" w:rsidRPr="008A3740">
        <w:rPr>
          <w:rFonts w:ascii="Verdana" w:hAnsi="Verdana"/>
          <w:sz w:val="20"/>
          <w:szCs w:val="20"/>
          <w:lang w:val="en-US"/>
        </w:rPr>
        <w:lastRenderedPageBreak/>
        <w:t xml:space="preserve">other </w:t>
      </w:r>
      <w:r w:rsidR="001B5FC3" w:rsidRPr="008A3740">
        <w:rPr>
          <w:rFonts w:ascii="Verdana" w:hAnsi="Verdana"/>
          <w:sz w:val="20"/>
          <w:szCs w:val="20"/>
          <w:lang w:val="en-US"/>
        </w:rPr>
        <w:t xml:space="preserve">type of </w:t>
      </w:r>
      <w:r w:rsidR="00AD195C" w:rsidRPr="008A3740">
        <w:rPr>
          <w:rFonts w:ascii="Verdana" w:hAnsi="Verdana"/>
          <w:sz w:val="20"/>
          <w:szCs w:val="20"/>
          <w:lang w:val="en-US"/>
        </w:rPr>
        <w:t xml:space="preserve">liabilities </w:t>
      </w:r>
      <w:r w:rsidR="008E6A56" w:rsidRPr="008A3740">
        <w:rPr>
          <w:rFonts w:ascii="Verdana" w:hAnsi="Verdana"/>
          <w:sz w:val="20"/>
          <w:szCs w:val="20"/>
          <w:lang w:val="en-US"/>
        </w:rPr>
        <w:t>different to those recorded.”</w:t>
      </w:r>
      <w:r w:rsidR="008E6A56" w:rsidRPr="008A3740">
        <w:rPr>
          <w:rStyle w:val="Refdenotaalpie"/>
          <w:szCs w:val="20"/>
          <w:lang w:val="en-US"/>
        </w:rPr>
        <w:footnoteReference w:id="61"/>
      </w:r>
      <w:r w:rsidR="008E6A56" w:rsidRPr="008A3740">
        <w:rPr>
          <w:rFonts w:ascii="Verdana" w:hAnsi="Verdana"/>
          <w:sz w:val="20"/>
          <w:szCs w:val="20"/>
          <w:lang w:val="en-US"/>
        </w:rPr>
        <w:t xml:space="preserve"> The </w:t>
      </w:r>
      <w:r w:rsidR="00AD195C" w:rsidRPr="008A3740">
        <w:rPr>
          <w:rFonts w:ascii="Verdana" w:hAnsi="Verdana"/>
          <w:sz w:val="20"/>
          <w:szCs w:val="20"/>
          <w:lang w:val="en-US"/>
        </w:rPr>
        <w:t xml:space="preserve">same clause </w:t>
      </w:r>
      <w:r w:rsidR="008E6A56" w:rsidRPr="008A3740">
        <w:rPr>
          <w:rFonts w:ascii="Verdana" w:hAnsi="Verdana"/>
          <w:sz w:val="20"/>
          <w:szCs w:val="20"/>
          <w:lang w:val="en-US"/>
        </w:rPr>
        <w:t>established that “</w:t>
      </w:r>
      <w:r w:rsidR="001B5FC3" w:rsidRPr="008A3740">
        <w:rPr>
          <w:rFonts w:ascii="Verdana" w:hAnsi="Verdana"/>
          <w:sz w:val="20"/>
          <w:szCs w:val="20"/>
          <w:lang w:val="en-US"/>
        </w:rPr>
        <w:t xml:space="preserve">if </w:t>
      </w:r>
      <w:r w:rsidR="00354532" w:rsidRPr="008A3740">
        <w:rPr>
          <w:rFonts w:ascii="Verdana" w:hAnsi="Verdana"/>
          <w:sz w:val="20"/>
          <w:szCs w:val="20"/>
          <w:lang w:val="en-US"/>
        </w:rPr>
        <w:t xml:space="preserve">any unregistered </w:t>
      </w:r>
      <w:r w:rsidR="008E6A56" w:rsidRPr="008A3740">
        <w:rPr>
          <w:rFonts w:ascii="Verdana" w:hAnsi="Verdana"/>
          <w:sz w:val="20"/>
          <w:szCs w:val="20"/>
          <w:lang w:val="en-US"/>
        </w:rPr>
        <w:t>liabilities or contingencies, derived from facts prior to the c</w:t>
      </w:r>
      <w:r w:rsidR="001B5FC3" w:rsidRPr="008A3740">
        <w:rPr>
          <w:rFonts w:ascii="Verdana" w:hAnsi="Verdana"/>
          <w:sz w:val="20"/>
          <w:szCs w:val="20"/>
          <w:lang w:val="en-US"/>
        </w:rPr>
        <w:t>ontract c</w:t>
      </w:r>
      <w:r w:rsidR="00354532" w:rsidRPr="008A3740">
        <w:rPr>
          <w:rFonts w:ascii="Verdana" w:hAnsi="Verdana"/>
          <w:sz w:val="20"/>
          <w:szCs w:val="20"/>
          <w:lang w:val="en-US"/>
        </w:rPr>
        <w:t>los</w:t>
      </w:r>
      <w:r w:rsidR="001B5FC3" w:rsidRPr="008A3740">
        <w:rPr>
          <w:rFonts w:ascii="Verdana" w:hAnsi="Verdana"/>
          <w:sz w:val="20"/>
          <w:szCs w:val="20"/>
          <w:lang w:val="en-US"/>
        </w:rPr>
        <w:t xml:space="preserve">ing </w:t>
      </w:r>
      <w:r w:rsidR="00354532" w:rsidRPr="008A3740">
        <w:rPr>
          <w:rFonts w:ascii="Verdana" w:hAnsi="Verdana"/>
          <w:sz w:val="20"/>
          <w:szCs w:val="20"/>
          <w:lang w:val="en-US"/>
        </w:rPr>
        <w:t>date [November 29, 1994] should arise,</w:t>
      </w:r>
      <w:r w:rsidR="008E6A56" w:rsidRPr="008A3740">
        <w:rPr>
          <w:rFonts w:ascii="Verdana" w:hAnsi="Verdana"/>
          <w:sz w:val="20"/>
          <w:szCs w:val="20"/>
          <w:lang w:val="en-US"/>
        </w:rPr>
        <w:t xml:space="preserve"> these [would] be assumed by the [s]eller [,] insofar as the</w:t>
      </w:r>
      <w:r w:rsidR="002439F5" w:rsidRPr="008A3740">
        <w:rPr>
          <w:rFonts w:ascii="Verdana" w:hAnsi="Verdana"/>
          <w:sz w:val="20"/>
          <w:szCs w:val="20"/>
          <w:lang w:val="en-US"/>
        </w:rPr>
        <w:t xml:space="preserve">y </w:t>
      </w:r>
      <w:r w:rsidR="001B5FC3" w:rsidRPr="008A3740">
        <w:rPr>
          <w:rFonts w:ascii="Verdana" w:hAnsi="Verdana"/>
          <w:sz w:val="20"/>
          <w:szCs w:val="20"/>
          <w:lang w:val="en-US"/>
        </w:rPr>
        <w:t>[were]</w:t>
      </w:r>
      <w:r w:rsidR="00354532" w:rsidRPr="008A3740">
        <w:rPr>
          <w:rFonts w:ascii="Verdana" w:hAnsi="Verdana"/>
          <w:sz w:val="20"/>
          <w:szCs w:val="20"/>
          <w:lang w:val="en-US"/>
        </w:rPr>
        <w:t xml:space="preserve"> </w:t>
      </w:r>
      <w:r w:rsidR="008E6A56" w:rsidRPr="008A3740">
        <w:rPr>
          <w:rFonts w:ascii="Verdana" w:hAnsi="Verdana"/>
          <w:sz w:val="20"/>
          <w:szCs w:val="20"/>
          <w:lang w:val="en-US"/>
        </w:rPr>
        <w:t xml:space="preserve">effectively </w:t>
      </w:r>
      <w:r w:rsidR="00354532" w:rsidRPr="008A3740">
        <w:rPr>
          <w:rFonts w:ascii="Verdana" w:hAnsi="Verdana"/>
          <w:sz w:val="20"/>
          <w:szCs w:val="20"/>
          <w:lang w:val="en-US"/>
        </w:rPr>
        <w:t xml:space="preserve">generated </w:t>
      </w:r>
      <w:r w:rsidR="008E6A56" w:rsidRPr="008A3740">
        <w:rPr>
          <w:rFonts w:ascii="Verdana" w:hAnsi="Verdana"/>
          <w:sz w:val="20"/>
          <w:szCs w:val="20"/>
          <w:lang w:val="en-US"/>
        </w:rPr>
        <w:t xml:space="preserve">during </w:t>
      </w:r>
      <w:r w:rsidR="00354532" w:rsidRPr="008A3740">
        <w:rPr>
          <w:rFonts w:ascii="Verdana" w:hAnsi="Verdana"/>
          <w:sz w:val="20"/>
          <w:szCs w:val="20"/>
          <w:lang w:val="en-US"/>
        </w:rPr>
        <w:t>its administration</w:t>
      </w:r>
      <w:r w:rsidR="001B5FC3" w:rsidRPr="008A3740">
        <w:rPr>
          <w:rFonts w:ascii="Verdana" w:hAnsi="Verdana"/>
          <w:sz w:val="20"/>
          <w:szCs w:val="20"/>
          <w:lang w:val="en-US"/>
        </w:rPr>
        <w:t>,</w:t>
      </w:r>
      <w:r w:rsidR="00354532" w:rsidRPr="008A3740">
        <w:rPr>
          <w:rFonts w:ascii="Verdana" w:hAnsi="Verdana"/>
          <w:sz w:val="20"/>
          <w:szCs w:val="20"/>
          <w:lang w:val="en-US"/>
        </w:rPr>
        <w:t xml:space="preserve"> </w:t>
      </w:r>
      <w:r w:rsidR="001B5FC3" w:rsidRPr="008A3740">
        <w:rPr>
          <w:rFonts w:ascii="Verdana" w:hAnsi="Verdana"/>
          <w:sz w:val="20"/>
          <w:szCs w:val="20"/>
          <w:lang w:val="en-US"/>
        </w:rPr>
        <w:t xml:space="preserve">together with </w:t>
      </w:r>
      <w:r w:rsidR="002439F5" w:rsidRPr="008A3740">
        <w:rPr>
          <w:rFonts w:ascii="Verdana" w:hAnsi="Verdana"/>
          <w:sz w:val="20"/>
          <w:szCs w:val="20"/>
          <w:lang w:val="en-US"/>
        </w:rPr>
        <w:t xml:space="preserve">any claims arising within </w:t>
      </w:r>
      <w:r w:rsidR="008E6A56" w:rsidRPr="008A3740">
        <w:rPr>
          <w:rFonts w:ascii="Verdana" w:hAnsi="Verdana"/>
          <w:sz w:val="20"/>
          <w:szCs w:val="20"/>
          <w:lang w:val="en-US"/>
        </w:rPr>
        <w:t xml:space="preserve">two years </w:t>
      </w:r>
      <w:r w:rsidR="001B5FC3" w:rsidRPr="008A3740">
        <w:rPr>
          <w:rFonts w:ascii="Verdana" w:hAnsi="Verdana"/>
          <w:sz w:val="20"/>
          <w:szCs w:val="20"/>
          <w:lang w:val="en-US"/>
        </w:rPr>
        <w:t>of the closing date</w:t>
      </w:r>
      <w:r w:rsidR="008E6A56" w:rsidRPr="008A3740">
        <w:rPr>
          <w:rFonts w:ascii="Verdana" w:hAnsi="Verdana"/>
          <w:sz w:val="20"/>
          <w:szCs w:val="20"/>
          <w:lang w:val="en-US"/>
        </w:rPr>
        <w:t xml:space="preserve">, except </w:t>
      </w:r>
      <w:r w:rsidR="001B5FC3" w:rsidRPr="008A3740">
        <w:rPr>
          <w:rFonts w:ascii="Verdana" w:hAnsi="Verdana"/>
          <w:sz w:val="20"/>
          <w:szCs w:val="20"/>
          <w:lang w:val="en-US"/>
        </w:rPr>
        <w:t xml:space="preserve">for </w:t>
      </w:r>
      <w:r w:rsidR="008E6A56" w:rsidRPr="008A3740">
        <w:rPr>
          <w:rFonts w:ascii="Verdana" w:hAnsi="Verdana"/>
          <w:sz w:val="20"/>
          <w:szCs w:val="20"/>
          <w:lang w:val="en-US"/>
        </w:rPr>
        <w:t>tax contingencies […]</w:t>
      </w:r>
      <w:r w:rsidR="00354532" w:rsidRPr="008A3740">
        <w:rPr>
          <w:rFonts w:ascii="Verdana" w:hAnsi="Verdana"/>
          <w:sz w:val="20"/>
          <w:szCs w:val="20"/>
          <w:lang w:val="en-US"/>
        </w:rPr>
        <w:t>.</w:t>
      </w:r>
      <w:r w:rsidR="008E6A56" w:rsidRPr="008A3740">
        <w:rPr>
          <w:rFonts w:ascii="Verdana" w:hAnsi="Verdana"/>
          <w:sz w:val="20"/>
          <w:szCs w:val="20"/>
          <w:lang w:val="en-US"/>
        </w:rPr>
        <w:t>”</w:t>
      </w:r>
      <w:r w:rsidR="008E6A56" w:rsidRPr="008A3740">
        <w:rPr>
          <w:rStyle w:val="Refdenotaalpie"/>
          <w:szCs w:val="20"/>
          <w:lang w:val="en-US"/>
        </w:rPr>
        <w:footnoteReference w:id="62"/>
      </w:r>
    </w:p>
    <w:p w14:paraId="32678B1C" w14:textId="77777777" w:rsidR="008E6A56" w:rsidRPr="008A3740" w:rsidRDefault="008E6A56" w:rsidP="008E6A56">
      <w:pPr>
        <w:pStyle w:val="Prrafodelista"/>
        <w:rPr>
          <w:rFonts w:ascii="Verdana" w:hAnsi="Verdana"/>
          <w:sz w:val="20"/>
          <w:szCs w:val="20"/>
          <w:lang w:val="en-US"/>
        </w:rPr>
      </w:pPr>
    </w:p>
    <w:p w14:paraId="49507B0D" w14:textId="77777777" w:rsidR="008E6A56" w:rsidRPr="008A3740" w:rsidRDefault="001B5FC3"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C</w:t>
      </w:r>
      <w:r w:rsidR="008E6A56" w:rsidRPr="008A3740">
        <w:rPr>
          <w:rFonts w:ascii="Verdana" w:hAnsi="Verdana"/>
          <w:sz w:val="20"/>
          <w:szCs w:val="20"/>
          <w:lang w:val="en-US"/>
        </w:rPr>
        <w:t>lause VI</w:t>
      </w:r>
      <w:r w:rsidRPr="008A3740">
        <w:rPr>
          <w:rFonts w:ascii="Verdana" w:hAnsi="Verdana"/>
          <w:sz w:val="20"/>
          <w:szCs w:val="20"/>
          <w:lang w:val="en-US"/>
        </w:rPr>
        <w:t>, subparagraph 11</w:t>
      </w:r>
      <w:r w:rsidR="008E6A56" w:rsidRPr="008A3740">
        <w:rPr>
          <w:rFonts w:ascii="Verdana" w:hAnsi="Verdana"/>
          <w:sz w:val="20"/>
          <w:szCs w:val="20"/>
          <w:lang w:val="en-US"/>
        </w:rPr>
        <w:t xml:space="preserve"> indicated that Annex “D” of said contract contained “the complete list of fi</w:t>
      </w:r>
      <w:r w:rsidR="00DE0458" w:rsidRPr="008A3740">
        <w:rPr>
          <w:rFonts w:ascii="Verdana" w:hAnsi="Verdana"/>
          <w:sz w:val="20"/>
          <w:szCs w:val="20"/>
          <w:lang w:val="en-US"/>
        </w:rPr>
        <w:t>nancial obligations and payment</w:t>
      </w:r>
      <w:r w:rsidRPr="008A3740">
        <w:rPr>
          <w:rFonts w:ascii="Verdana" w:hAnsi="Verdana"/>
          <w:sz w:val="20"/>
          <w:szCs w:val="20"/>
          <w:lang w:val="en-US"/>
        </w:rPr>
        <w:t>s</w:t>
      </w:r>
      <w:r w:rsidR="008E6A56" w:rsidRPr="008A3740">
        <w:rPr>
          <w:rFonts w:ascii="Verdana" w:hAnsi="Verdana"/>
          <w:sz w:val="20"/>
          <w:szCs w:val="20"/>
          <w:lang w:val="en-US"/>
        </w:rPr>
        <w:t xml:space="preserve"> </w:t>
      </w:r>
      <w:r w:rsidRPr="008A3740">
        <w:rPr>
          <w:rFonts w:ascii="Verdana" w:hAnsi="Verdana"/>
          <w:sz w:val="20"/>
          <w:szCs w:val="20"/>
          <w:lang w:val="en-US"/>
        </w:rPr>
        <w:t xml:space="preserve">for </w:t>
      </w:r>
      <w:r w:rsidR="00DE0458" w:rsidRPr="008A3740">
        <w:rPr>
          <w:rFonts w:ascii="Verdana" w:hAnsi="Verdana"/>
          <w:sz w:val="20"/>
          <w:szCs w:val="20"/>
          <w:lang w:val="en-US"/>
        </w:rPr>
        <w:t>retirement</w:t>
      </w:r>
      <w:r w:rsidRPr="008A3740">
        <w:rPr>
          <w:rFonts w:ascii="Verdana" w:hAnsi="Verdana"/>
          <w:sz w:val="20"/>
          <w:szCs w:val="20"/>
          <w:lang w:val="en-US"/>
        </w:rPr>
        <w:t>,</w:t>
      </w:r>
      <w:r w:rsidR="00DE0458" w:rsidRPr="008A3740">
        <w:rPr>
          <w:rFonts w:ascii="Verdana" w:hAnsi="Verdana"/>
          <w:sz w:val="20"/>
          <w:szCs w:val="20"/>
          <w:lang w:val="en-US"/>
        </w:rPr>
        <w:t xml:space="preserve"> pensions</w:t>
      </w:r>
      <w:r w:rsidR="008E6A56" w:rsidRPr="008A3740">
        <w:rPr>
          <w:rFonts w:ascii="Verdana" w:hAnsi="Verdana"/>
          <w:sz w:val="20"/>
          <w:szCs w:val="20"/>
          <w:lang w:val="en-US"/>
        </w:rPr>
        <w:t xml:space="preserve"> and other </w:t>
      </w:r>
      <w:r w:rsidR="00FA28B0" w:rsidRPr="008A3740">
        <w:rPr>
          <w:rFonts w:ascii="Verdana" w:hAnsi="Verdana"/>
          <w:sz w:val="20"/>
          <w:szCs w:val="20"/>
          <w:lang w:val="en-US"/>
        </w:rPr>
        <w:t xml:space="preserve">employee </w:t>
      </w:r>
      <w:r w:rsidR="00175578" w:rsidRPr="008A3740">
        <w:rPr>
          <w:rFonts w:ascii="Verdana" w:hAnsi="Verdana"/>
          <w:sz w:val="20"/>
          <w:szCs w:val="20"/>
          <w:lang w:val="en-US"/>
        </w:rPr>
        <w:t>benefits […] [and that</w:t>
      </w:r>
      <w:r w:rsidR="008E6A56" w:rsidRPr="008A3740">
        <w:rPr>
          <w:rFonts w:ascii="Verdana" w:hAnsi="Verdana"/>
          <w:sz w:val="20"/>
          <w:szCs w:val="20"/>
          <w:lang w:val="en-US"/>
        </w:rPr>
        <w:t xml:space="preserve">] </w:t>
      </w:r>
      <w:r w:rsidR="00175578" w:rsidRPr="008A3740">
        <w:rPr>
          <w:rFonts w:ascii="Verdana" w:hAnsi="Verdana"/>
          <w:sz w:val="20"/>
          <w:szCs w:val="20"/>
          <w:lang w:val="en-US"/>
        </w:rPr>
        <w:t xml:space="preserve">there [were] no additional </w:t>
      </w:r>
      <w:r w:rsidR="008E6A56" w:rsidRPr="008A3740">
        <w:rPr>
          <w:rFonts w:ascii="Verdana" w:hAnsi="Verdana"/>
          <w:sz w:val="20"/>
          <w:szCs w:val="20"/>
          <w:lang w:val="en-US"/>
        </w:rPr>
        <w:t xml:space="preserve">obligations </w:t>
      </w:r>
      <w:r w:rsidR="00354532" w:rsidRPr="008A3740">
        <w:rPr>
          <w:rFonts w:ascii="Verdana" w:hAnsi="Verdana"/>
          <w:sz w:val="20"/>
          <w:szCs w:val="20"/>
          <w:lang w:val="en-US"/>
        </w:rPr>
        <w:t xml:space="preserve">toward </w:t>
      </w:r>
      <w:r w:rsidR="008E6A56" w:rsidRPr="008A3740">
        <w:rPr>
          <w:rFonts w:ascii="Verdana" w:hAnsi="Verdana"/>
          <w:sz w:val="20"/>
          <w:szCs w:val="20"/>
          <w:lang w:val="en-US"/>
        </w:rPr>
        <w:t xml:space="preserve">workers </w:t>
      </w:r>
      <w:r w:rsidR="00354532" w:rsidRPr="008A3740">
        <w:rPr>
          <w:rFonts w:ascii="Verdana" w:hAnsi="Verdana"/>
          <w:sz w:val="20"/>
          <w:szCs w:val="20"/>
          <w:lang w:val="en-US"/>
        </w:rPr>
        <w:t xml:space="preserve">other than those </w:t>
      </w:r>
      <w:r w:rsidR="008E6A56" w:rsidRPr="008A3740">
        <w:rPr>
          <w:rFonts w:ascii="Verdana" w:hAnsi="Verdana"/>
          <w:sz w:val="20"/>
          <w:szCs w:val="20"/>
          <w:lang w:val="en-US"/>
        </w:rPr>
        <w:t>indicated</w:t>
      </w:r>
      <w:r w:rsidR="00354532" w:rsidRPr="008A3740">
        <w:rPr>
          <w:rFonts w:ascii="Verdana" w:hAnsi="Verdana"/>
          <w:sz w:val="20"/>
          <w:szCs w:val="20"/>
          <w:lang w:val="en-US"/>
        </w:rPr>
        <w:t>.</w:t>
      </w:r>
      <w:r w:rsidR="008E6A56" w:rsidRPr="008A3740">
        <w:rPr>
          <w:rFonts w:ascii="Verdana" w:hAnsi="Verdana"/>
          <w:sz w:val="20"/>
          <w:szCs w:val="20"/>
          <w:lang w:val="en-US"/>
        </w:rPr>
        <w:t>”</w:t>
      </w:r>
      <w:r w:rsidR="008E6A56" w:rsidRPr="008A3740">
        <w:rPr>
          <w:rStyle w:val="Refdenotaalpie"/>
          <w:szCs w:val="20"/>
          <w:lang w:val="en-US"/>
        </w:rPr>
        <w:footnoteReference w:id="63"/>
      </w:r>
      <w:r w:rsidR="008E6A56" w:rsidRPr="008A3740">
        <w:rPr>
          <w:rFonts w:ascii="Verdana" w:hAnsi="Verdana"/>
          <w:sz w:val="20"/>
          <w:szCs w:val="20"/>
          <w:lang w:val="en-US"/>
        </w:rPr>
        <w:t xml:space="preserve"> Annex D, </w:t>
      </w:r>
      <w:r w:rsidR="00B2463B" w:rsidRPr="008A3740">
        <w:rPr>
          <w:rFonts w:ascii="Verdana" w:hAnsi="Verdana"/>
          <w:sz w:val="20"/>
          <w:szCs w:val="20"/>
          <w:lang w:val="en-US"/>
        </w:rPr>
        <w:t xml:space="preserve">subparagraph 1 </w:t>
      </w:r>
      <w:r w:rsidR="008E6A56" w:rsidRPr="008A3740">
        <w:rPr>
          <w:rFonts w:ascii="Verdana" w:hAnsi="Verdana"/>
          <w:sz w:val="20"/>
          <w:szCs w:val="20"/>
          <w:lang w:val="en-US"/>
        </w:rPr>
        <w:t>“</w:t>
      </w:r>
      <w:r w:rsidR="00175578" w:rsidRPr="008A3740">
        <w:rPr>
          <w:rFonts w:ascii="Verdana" w:hAnsi="Verdana"/>
          <w:sz w:val="20"/>
          <w:szCs w:val="20"/>
          <w:lang w:val="en-US"/>
        </w:rPr>
        <w:t xml:space="preserve">retirement </w:t>
      </w:r>
      <w:r w:rsidR="008E6A56" w:rsidRPr="008A3740">
        <w:rPr>
          <w:rFonts w:ascii="Verdana" w:hAnsi="Verdana"/>
          <w:sz w:val="20"/>
          <w:szCs w:val="20"/>
          <w:lang w:val="en-US"/>
        </w:rPr>
        <w:t>payment</w:t>
      </w:r>
      <w:r w:rsidR="00175578" w:rsidRPr="008A3740">
        <w:rPr>
          <w:rFonts w:ascii="Verdana" w:hAnsi="Verdana"/>
          <w:sz w:val="20"/>
          <w:szCs w:val="20"/>
          <w:lang w:val="en-US"/>
        </w:rPr>
        <w:t>s,”</w:t>
      </w:r>
      <w:r w:rsidR="008E6A56" w:rsidRPr="008A3740">
        <w:rPr>
          <w:rFonts w:ascii="Verdana" w:hAnsi="Verdana"/>
          <w:sz w:val="20"/>
          <w:szCs w:val="20"/>
          <w:lang w:val="en-US"/>
        </w:rPr>
        <w:t xml:space="preserve"> and </w:t>
      </w:r>
      <w:r w:rsidR="00B2463B" w:rsidRPr="008A3740">
        <w:rPr>
          <w:rFonts w:ascii="Verdana" w:hAnsi="Verdana"/>
          <w:sz w:val="20"/>
          <w:szCs w:val="20"/>
          <w:lang w:val="en-US"/>
        </w:rPr>
        <w:t xml:space="preserve">2 </w:t>
      </w:r>
      <w:r w:rsidR="008E6A56" w:rsidRPr="008A3740">
        <w:rPr>
          <w:rFonts w:ascii="Verdana" w:hAnsi="Verdana"/>
          <w:sz w:val="20"/>
          <w:szCs w:val="20"/>
          <w:lang w:val="en-US"/>
        </w:rPr>
        <w:t>“pensions</w:t>
      </w:r>
      <w:r w:rsidRPr="008A3740">
        <w:rPr>
          <w:rFonts w:ascii="Verdana" w:hAnsi="Verdana"/>
          <w:sz w:val="20"/>
          <w:szCs w:val="20"/>
          <w:lang w:val="en-US"/>
        </w:rPr>
        <w:t>,”</w:t>
      </w:r>
      <w:r w:rsidR="008E6A56" w:rsidRPr="008A3740">
        <w:rPr>
          <w:rFonts w:ascii="Verdana" w:hAnsi="Verdana"/>
          <w:sz w:val="20"/>
          <w:szCs w:val="20"/>
          <w:lang w:val="en-US"/>
        </w:rPr>
        <w:t xml:space="preserve"> expressly stated that the Tintaya S.A. mining company did not have retirees or pensioners </w:t>
      </w:r>
      <w:r w:rsidR="00B2463B" w:rsidRPr="008A3740">
        <w:rPr>
          <w:rFonts w:ascii="Verdana" w:hAnsi="Verdana"/>
          <w:sz w:val="20"/>
          <w:szCs w:val="20"/>
          <w:lang w:val="en-US"/>
        </w:rPr>
        <w:t>on the company</w:t>
      </w:r>
      <w:r w:rsidR="004A37F8" w:rsidRPr="008A3740">
        <w:rPr>
          <w:rFonts w:ascii="Verdana" w:hAnsi="Verdana"/>
          <w:sz w:val="20"/>
          <w:szCs w:val="20"/>
          <w:lang w:val="en-US"/>
        </w:rPr>
        <w:t xml:space="preserve"> account</w:t>
      </w:r>
      <w:r w:rsidR="00B508C5" w:rsidRPr="008A3740">
        <w:rPr>
          <w:rFonts w:ascii="Verdana" w:hAnsi="Verdana"/>
          <w:sz w:val="20"/>
          <w:szCs w:val="20"/>
          <w:lang w:val="en-US"/>
        </w:rPr>
        <w:t>s</w:t>
      </w:r>
      <w:r w:rsidR="00DE0458" w:rsidRPr="008A3740">
        <w:rPr>
          <w:rFonts w:ascii="Verdana" w:hAnsi="Verdana"/>
          <w:sz w:val="20"/>
          <w:szCs w:val="20"/>
          <w:lang w:val="en-US"/>
        </w:rPr>
        <w:t xml:space="preserve">, but </w:t>
      </w:r>
      <w:r w:rsidR="00332B2C" w:rsidRPr="008A3740">
        <w:rPr>
          <w:rFonts w:ascii="Verdana" w:hAnsi="Verdana"/>
          <w:sz w:val="20"/>
          <w:szCs w:val="20"/>
          <w:lang w:val="en-US"/>
        </w:rPr>
        <w:t xml:space="preserve">that a lawsuit had been filed against </w:t>
      </w:r>
      <w:r w:rsidR="008E6A56" w:rsidRPr="008A3740">
        <w:rPr>
          <w:rFonts w:ascii="Verdana" w:hAnsi="Verdana"/>
          <w:sz w:val="20"/>
          <w:szCs w:val="20"/>
          <w:lang w:val="en-US"/>
        </w:rPr>
        <w:t xml:space="preserve">two </w:t>
      </w:r>
      <w:r w:rsidR="00332B2C" w:rsidRPr="008A3740">
        <w:rPr>
          <w:rFonts w:ascii="Verdana" w:hAnsi="Verdana"/>
          <w:sz w:val="20"/>
          <w:szCs w:val="20"/>
          <w:lang w:val="en-US"/>
        </w:rPr>
        <w:t>officials</w:t>
      </w:r>
      <w:r w:rsidR="00DE0458" w:rsidRPr="008A3740">
        <w:rPr>
          <w:rFonts w:ascii="Verdana" w:hAnsi="Verdana"/>
          <w:sz w:val="20"/>
          <w:szCs w:val="20"/>
          <w:lang w:val="en-US"/>
        </w:rPr>
        <w:t>.</w:t>
      </w:r>
      <w:r w:rsidR="008E6A56" w:rsidRPr="008A3740">
        <w:rPr>
          <w:rStyle w:val="Refdenotaalpie"/>
          <w:szCs w:val="20"/>
          <w:lang w:val="en-US"/>
        </w:rPr>
        <w:footnoteReference w:id="64"/>
      </w:r>
    </w:p>
    <w:p w14:paraId="2F8D7F4F" w14:textId="77777777" w:rsidR="008E6A56" w:rsidRPr="008A3740" w:rsidRDefault="008E6A56" w:rsidP="008E6A56">
      <w:pPr>
        <w:pStyle w:val="Prrafodelista"/>
        <w:rPr>
          <w:rFonts w:ascii="Verdana" w:hAnsi="Verdana"/>
          <w:sz w:val="20"/>
          <w:szCs w:val="20"/>
          <w:lang w:val="en-US"/>
        </w:rPr>
      </w:pPr>
    </w:p>
    <w:p w14:paraId="6259CE84" w14:textId="77777777" w:rsidR="008E6A56" w:rsidRPr="008A3740" w:rsidRDefault="00B508C5"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After </w:t>
      </w:r>
      <w:r w:rsidR="008E6A56" w:rsidRPr="008A3740">
        <w:rPr>
          <w:rFonts w:ascii="Verdana" w:hAnsi="Verdana"/>
          <w:sz w:val="20"/>
          <w:szCs w:val="20"/>
          <w:lang w:val="en-US"/>
        </w:rPr>
        <w:t>the privatization</w:t>
      </w:r>
      <w:r w:rsidRPr="008A3740">
        <w:rPr>
          <w:rFonts w:ascii="Verdana" w:hAnsi="Verdana"/>
          <w:sz w:val="20"/>
          <w:szCs w:val="20"/>
          <w:lang w:val="en-US"/>
        </w:rPr>
        <w:t xml:space="preserve"> process</w:t>
      </w:r>
      <w:r w:rsidR="008E6A56" w:rsidRPr="008A3740">
        <w:rPr>
          <w:rFonts w:ascii="Verdana" w:hAnsi="Verdana"/>
          <w:sz w:val="20"/>
          <w:szCs w:val="20"/>
          <w:lang w:val="en-US"/>
        </w:rPr>
        <w:t xml:space="preserve">, ownership </w:t>
      </w:r>
      <w:r w:rsidRPr="008A3740">
        <w:rPr>
          <w:rFonts w:ascii="Verdana" w:hAnsi="Verdana"/>
          <w:sz w:val="20"/>
          <w:szCs w:val="20"/>
          <w:lang w:val="en-US"/>
        </w:rPr>
        <w:t>of the company was transferred o</w:t>
      </w:r>
      <w:r w:rsidR="008E6A56" w:rsidRPr="008A3740">
        <w:rPr>
          <w:rFonts w:ascii="Verdana" w:hAnsi="Verdana"/>
          <w:sz w:val="20"/>
          <w:szCs w:val="20"/>
          <w:lang w:val="en-US"/>
        </w:rPr>
        <w:t xml:space="preserve">n </w:t>
      </w:r>
      <w:r w:rsidRPr="008A3740">
        <w:rPr>
          <w:rFonts w:ascii="Verdana" w:hAnsi="Verdana"/>
          <w:sz w:val="20"/>
          <w:szCs w:val="20"/>
          <w:lang w:val="en-US"/>
        </w:rPr>
        <w:t xml:space="preserve">several occasions </w:t>
      </w:r>
      <w:r w:rsidR="00C808A2" w:rsidRPr="008A3740">
        <w:rPr>
          <w:rFonts w:ascii="Verdana" w:hAnsi="Verdana"/>
          <w:sz w:val="20"/>
          <w:szCs w:val="20"/>
          <w:lang w:val="en-US"/>
        </w:rPr>
        <w:t xml:space="preserve">and </w:t>
      </w:r>
      <w:r w:rsidR="008E6A56" w:rsidRPr="008A3740">
        <w:rPr>
          <w:rFonts w:ascii="Verdana" w:hAnsi="Verdana"/>
          <w:sz w:val="20"/>
          <w:szCs w:val="20"/>
          <w:lang w:val="en-US"/>
        </w:rPr>
        <w:t xml:space="preserve">its business name </w:t>
      </w:r>
      <w:r w:rsidRPr="008A3740">
        <w:rPr>
          <w:rFonts w:ascii="Verdana" w:hAnsi="Verdana"/>
          <w:sz w:val="20"/>
          <w:szCs w:val="20"/>
          <w:lang w:val="en-US"/>
        </w:rPr>
        <w:t xml:space="preserve">was </w:t>
      </w:r>
      <w:r w:rsidR="008E6A56" w:rsidRPr="008A3740">
        <w:rPr>
          <w:rFonts w:ascii="Verdana" w:hAnsi="Verdana"/>
          <w:sz w:val="20"/>
          <w:szCs w:val="20"/>
          <w:lang w:val="en-US"/>
        </w:rPr>
        <w:t>changed. In 1996,</w:t>
      </w:r>
      <w:r w:rsidR="00DE0458" w:rsidRPr="008A3740">
        <w:rPr>
          <w:rFonts w:ascii="Verdana" w:hAnsi="Verdana"/>
          <w:sz w:val="20"/>
          <w:szCs w:val="20"/>
          <w:lang w:val="en-US"/>
        </w:rPr>
        <w:t xml:space="preserve"> the assets and liabilities of </w:t>
      </w:r>
      <w:r w:rsidR="008E6A56" w:rsidRPr="008A3740">
        <w:rPr>
          <w:rFonts w:ascii="Verdana" w:hAnsi="Verdana"/>
          <w:sz w:val="20"/>
          <w:szCs w:val="20"/>
          <w:lang w:val="en-US"/>
        </w:rPr>
        <w:t xml:space="preserve">Magma Copper Corporation were </w:t>
      </w:r>
      <w:r w:rsidR="00A54B10" w:rsidRPr="008A3740">
        <w:rPr>
          <w:rFonts w:ascii="Verdana" w:hAnsi="Verdana"/>
          <w:sz w:val="20"/>
          <w:szCs w:val="20"/>
          <w:lang w:val="en-US"/>
        </w:rPr>
        <w:t xml:space="preserve">taken over </w:t>
      </w:r>
      <w:r w:rsidR="008E6A56" w:rsidRPr="008A3740">
        <w:rPr>
          <w:rFonts w:ascii="Verdana" w:hAnsi="Verdana"/>
          <w:sz w:val="20"/>
          <w:szCs w:val="20"/>
          <w:lang w:val="en-US"/>
        </w:rPr>
        <w:t>by the Minera BHP Tintaya S.A.</w:t>
      </w:r>
      <w:r w:rsidR="00980A3B" w:rsidRPr="008A3740">
        <w:rPr>
          <w:rFonts w:ascii="Verdana" w:hAnsi="Verdana"/>
          <w:sz w:val="20"/>
          <w:szCs w:val="20"/>
          <w:lang w:val="en-US"/>
        </w:rPr>
        <w:t xml:space="preserve"> </w:t>
      </w:r>
      <w:r w:rsidR="008E6A56" w:rsidRPr="008A3740">
        <w:rPr>
          <w:rFonts w:ascii="Verdana" w:hAnsi="Verdana"/>
          <w:sz w:val="20"/>
          <w:szCs w:val="20"/>
          <w:lang w:val="en-US"/>
        </w:rPr>
        <w:t>- BHP Billinton. In 2001, BHP Billinton Tintaya S.A.</w:t>
      </w:r>
      <w:r w:rsidR="00DE0458" w:rsidRPr="008A3740">
        <w:rPr>
          <w:rFonts w:ascii="Verdana" w:hAnsi="Verdana"/>
          <w:sz w:val="20"/>
          <w:szCs w:val="20"/>
          <w:lang w:val="en-US"/>
        </w:rPr>
        <w:t xml:space="preserve"> was created as a result of a merger.</w:t>
      </w:r>
      <w:r w:rsidR="008E6A56" w:rsidRPr="008A3740">
        <w:rPr>
          <w:rFonts w:ascii="Verdana" w:hAnsi="Verdana"/>
          <w:sz w:val="20"/>
          <w:szCs w:val="20"/>
          <w:lang w:val="en-US"/>
        </w:rPr>
        <w:t xml:space="preserve"> BHP </w:t>
      </w:r>
      <w:r w:rsidR="00D716FB" w:rsidRPr="008A3740">
        <w:rPr>
          <w:rFonts w:ascii="Verdana" w:hAnsi="Verdana"/>
          <w:sz w:val="20"/>
          <w:szCs w:val="20"/>
          <w:lang w:val="en-US"/>
        </w:rPr>
        <w:t xml:space="preserve">then </w:t>
      </w:r>
      <w:r w:rsidR="008E6A56" w:rsidRPr="008A3740">
        <w:rPr>
          <w:rFonts w:ascii="Verdana" w:hAnsi="Verdana"/>
          <w:sz w:val="20"/>
          <w:szCs w:val="20"/>
          <w:lang w:val="en-US"/>
        </w:rPr>
        <w:t>acquired the Swiss mining company</w:t>
      </w:r>
      <w:r w:rsidR="00A54B10" w:rsidRPr="008A3740">
        <w:rPr>
          <w:rFonts w:ascii="Verdana" w:hAnsi="Verdana"/>
          <w:sz w:val="20"/>
          <w:szCs w:val="20"/>
          <w:lang w:val="en-US"/>
        </w:rPr>
        <w:t>,</w:t>
      </w:r>
      <w:r w:rsidR="008E6A56" w:rsidRPr="008A3740">
        <w:rPr>
          <w:rFonts w:ascii="Verdana" w:hAnsi="Verdana"/>
          <w:sz w:val="20"/>
          <w:szCs w:val="20"/>
          <w:lang w:val="en-US"/>
        </w:rPr>
        <w:t xml:space="preserve"> Xstrata Copper, which was renamed Xstrata Tintaya S.A.</w:t>
      </w:r>
      <w:r w:rsidR="008E6A56" w:rsidRPr="008A3740">
        <w:rPr>
          <w:rStyle w:val="Refdenotaalpie"/>
          <w:szCs w:val="20"/>
          <w:lang w:val="en-US"/>
        </w:rPr>
        <w:footnoteReference w:id="65"/>
      </w:r>
      <w:r w:rsidR="008E6A56" w:rsidRPr="008A3740">
        <w:rPr>
          <w:rFonts w:ascii="Verdana" w:hAnsi="Verdana"/>
          <w:sz w:val="20"/>
          <w:szCs w:val="20"/>
          <w:lang w:val="en-US"/>
        </w:rPr>
        <w:t xml:space="preserve"> Currently, the company is </w:t>
      </w:r>
      <w:r w:rsidR="00DE0458" w:rsidRPr="008A3740">
        <w:rPr>
          <w:rFonts w:ascii="Verdana" w:hAnsi="Verdana"/>
          <w:sz w:val="20"/>
          <w:szCs w:val="20"/>
          <w:lang w:val="en-US"/>
        </w:rPr>
        <w:t xml:space="preserve">called </w:t>
      </w:r>
      <w:r w:rsidR="008E6A56" w:rsidRPr="008A3740">
        <w:rPr>
          <w:rFonts w:ascii="Verdana" w:hAnsi="Verdana"/>
          <w:sz w:val="20"/>
          <w:szCs w:val="20"/>
          <w:lang w:val="en-US"/>
        </w:rPr>
        <w:t>Antapaccay, S.A</w:t>
      </w:r>
      <w:r w:rsidR="00D716FB" w:rsidRPr="008A3740">
        <w:rPr>
          <w:rFonts w:ascii="Verdana" w:hAnsi="Verdana"/>
          <w:sz w:val="20"/>
          <w:szCs w:val="20"/>
          <w:lang w:val="en-US"/>
        </w:rPr>
        <w:t>.</w:t>
      </w:r>
      <w:r w:rsidR="008E6A56" w:rsidRPr="008A3740">
        <w:rPr>
          <w:rStyle w:val="Refdenotaalpie"/>
          <w:szCs w:val="20"/>
          <w:lang w:val="en-US"/>
        </w:rPr>
        <w:footnoteReference w:id="66"/>
      </w:r>
      <w:r w:rsidR="008E6A56" w:rsidRPr="008A3740">
        <w:rPr>
          <w:rFonts w:ascii="Verdana" w:hAnsi="Verdana"/>
          <w:b/>
          <w:sz w:val="20"/>
          <w:szCs w:val="20"/>
          <w:lang w:val="en-US"/>
        </w:rPr>
        <w:t xml:space="preserve"> </w:t>
      </w:r>
    </w:p>
    <w:p w14:paraId="2A548F79" w14:textId="77777777" w:rsidR="008E6A56" w:rsidRPr="008A3740" w:rsidRDefault="008E6A56" w:rsidP="008E6A56">
      <w:pPr>
        <w:tabs>
          <w:tab w:val="left" w:pos="567"/>
        </w:tabs>
        <w:rPr>
          <w:rFonts w:ascii="Verdana" w:hAnsi="Verdana"/>
          <w:sz w:val="20"/>
          <w:szCs w:val="20"/>
          <w:lang w:val="en-US"/>
        </w:rPr>
      </w:pPr>
    </w:p>
    <w:p w14:paraId="0910CF8E" w14:textId="77777777" w:rsidR="008E6A56" w:rsidRPr="008A3740" w:rsidRDefault="008E6A56" w:rsidP="008E6A56">
      <w:pPr>
        <w:pStyle w:val="Ttulo2"/>
        <w:tabs>
          <w:tab w:val="clear" w:pos="360"/>
        </w:tabs>
        <w:ind w:hanging="360"/>
        <w:rPr>
          <w:lang w:val="en-US"/>
        </w:rPr>
      </w:pPr>
      <w:bookmarkStart w:id="75" w:name="_Toc5009872"/>
      <w:r w:rsidRPr="008A3740">
        <w:rPr>
          <w:lang w:val="en-US"/>
        </w:rPr>
        <w:t>Second amparo</w:t>
      </w:r>
      <w:bookmarkEnd w:id="75"/>
      <w:r w:rsidRPr="008A3740">
        <w:rPr>
          <w:lang w:val="en-US"/>
        </w:rPr>
        <w:t xml:space="preserve"> proceeding</w:t>
      </w:r>
    </w:p>
    <w:p w14:paraId="64F72FB5" w14:textId="77777777" w:rsidR="008E6A56" w:rsidRPr="008A3740" w:rsidRDefault="008E6A56" w:rsidP="008E6A56">
      <w:pPr>
        <w:ind w:left="708"/>
        <w:rPr>
          <w:rFonts w:ascii="Verdana" w:hAnsi="Verdana"/>
          <w:sz w:val="20"/>
          <w:szCs w:val="20"/>
          <w:lang w:val="en-US"/>
        </w:rPr>
      </w:pPr>
    </w:p>
    <w:p w14:paraId="79EE2AA3"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February 17, 1993, the company issued </w:t>
      </w:r>
      <w:r w:rsidR="00520B5A" w:rsidRPr="008A3740">
        <w:rPr>
          <w:rFonts w:ascii="Verdana" w:hAnsi="Verdana"/>
          <w:sz w:val="20"/>
          <w:szCs w:val="20"/>
          <w:lang w:val="en-US"/>
        </w:rPr>
        <w:t>Board of Directors Decision No. 023/93,</w:t>
      </w:r>
      <w:r w:rsidRPr="008A3740">
        <w:rPr>
          <w:rFonts w:ascii="Verdana" w:hAnsi="Verdana"/>
          <w:sz w:val="20"/>
          <w:szCs w:val="20"/>
          <w:lang w:val="en-US"/>
        </w:rPr>
        <w:t xml:space="preserve"> </w:t>
      </w:r>
      <w:r w:rsidR="00520B5A" w:rsidRPr="008A3740">
        <w:rPr>
          <w:rFonts w:ascii="Verdana" w:hAnsi="Verdana"/>
          <w:sz w:val="20"/>
          <w:szCs w:val="20"/>
          <w:lang w:val="en-US"/>
        </w:rPr>
        <w:t>suspending Decisions Nos. 155 and 029/90</w:t>
      </w:r>
      <w:r w:rsidRPr="008A3740">
        <w:rPr>
          <w:rFonts w:ascii="Verdana" w:hAnsi="Verdana"/>
          <w:sz w:val="20"/>
          <w:szCs w:val="20"/>
          <w:lang w:val="en-US"/>
        </w:rPr>
        <w:t xml:space="preserve">, which </w:t>
      </w:r>
      <w:r w:rsidR="00003F51" w:rsidRPr="008A3740">
        <w:rPr>
          <w:rFonts w:ascii="Verdana" w:hAnsi="Verdana"/>
          <w:sz w:val="20"/>
          <w:szCs w:val="20"/>
          <w:lang w:val="en-US"/>
        </w:rPr>
        <w:t xml:space="preserve">had </w:t>
      </w:r>
      <w:r w:rsidRPr="008A3740">
        <w:rPr>
          <w:rFonts w:ascii="Verdana" w:hAnsi="Verdana"/>
          <w:sz w:val="20"/>
          <w:szCs w:val="20"/>
          <w:lang w:val="en-US"/>
        </w:rPr>
        <w:t xml:space="preserve">established the </w:t>
      </w:r>
      <w:r w:rsidR="00003F51" w:rsidRPr="008A3740">
        <w:rPr>
          <w:rFonts w:ascii="Verdana" w:hAnsi="Verdana"/>
          <w:sz w:val="20"/>
          <w:szCs w:val="20"/>
          <w:lang w:val="en-US"/>
        </w:rPr>
        <w:t xml:space="preserve">company’s </w:t>
      </w:r>
      <w:r w:rsidRPr="008A3740">
        <w:rPr>
          <w:rFonts w:ascii="Verdana" w:hAnsi="Verdana"/>
          <w:sz w:val="20"/>
          <w:szCs w:val="20"/>
          <w:lang w:val="en-US"/>
        </w:rPr>
        <w:t>power to inc</w:t>
      </w:r>
      <w:r w:rsidR="00003F51" w:rsidRPr="008A3740">
        <w:rPr>
          <w:rFonts w:ascii="Verdana" w:hAnsi="Verdana"/>
          <w:sz w:val="20"/>
          <w:szCs w:val="20"/>
          <w:lang w:val="en-US"/>
        </w:rPr>
        <w:t xml:space="preserve">lude </w:t>
      </w:r>
      <w:r w:rsidRPr="008A3740">
        <w:rPr>
          <w:rFonts w:ascii="Verdana" w:hAnsi="Verdana"/>
          <w:sz w:val="20"/>
          <w:szCs w:val="20"/>
          <w:lang w:val="en-US"/>
        </w:rPr>
        <w:t xml:space="preserve">workers </w:t>
      </w:r>
      <w:r w:rsidR="00003F51" w:rsidRPr="008A3740">
        <w:rPr>
          <w:rFonts w:ascii="Verdana" w:hAnsi="Verdana"/>
          <w:sz w:val="20"/>
          <w:szCs w:val="20"/>
          <w:lang w:val="en-US"/>
        </w:rPr>
        <w:t xml:space="preserve">in </w:t>
      </w:r>
      <w:r w:rsidRPr="008A3740">
        <w:rPr>
          <w:rFonts w:ascii="Verdana" w:hAnsi="Verdana"/>
          <w:sz w:val="20"/>
          <w:szCs w:val="20"/>
          <w:lang w:val="en-US"/>
        </w:rPr>
        <w:t xml:space="preserve">the pension scheme </w:t>
      </w:r>
      <w:r w:rsidR="00003F51" w:rsidRPr="008A3740">
        <w:rPr>
          <w:rFonts w:ascii="Verdana" w:hAnsi="Verdana"/>
          <w:sz w:val="20"/>
          <w:szCs w:val="20"/>
          <w:lang w:val="en-US"/>
        </w:rPr>
        <w:t>envisaged in Decree Law No. 20530.</w:t>
      </w:r>
      <w:r w:rsidRPr="008A3740">
        <w:rPr>
          <w:rFonts w:ascii="Verdana" w:hAnsi="Verdana"/>
          <w:sz w:val="20"/>
          <w:szCs w:val="20"/>
          <w:lang w:val="en-US"/>
        </w:rPr>
        <w:t xml:space="preserve"> </w:t>
      </w:r>
      <w:r w:rsidR="00003F51" w:rsidRPr="008A3740">
        <w:rPr>
          <w:rFonts w:ascii="Verdana" w:hAnsi="Verdana"/>
          <w:sz w:val="20"/>
          <w:szCs w:val="20"/>
          <w:lang w:val="en-US"/>
        </w:rPr>
        <w:t xml:space="preserve">This new Decision by the company </w:t>
      </w:r>
      <w:r w:rsidR="00520B5A" w:rsidRPr="008A3740">
        <w:rPr>
          <w:rFonts w:ascii="Verdana" w:hAnsi="Verdana"/>
          <w:sz w:val="20"/>
          <w:szCs w:val="20"/>
          <w:lang w:val="en-US"/>
        </w:rPr>
        <w:t>order</w:t>
      </w:r>
      <w:r w:rsidR="00003F51" w:rsidRPr="008A3740">
        <w:rPr>
          <w:rFonts w:ascii="Verdana" w:hAnsi="Verdana"/>
          <w:sz w:val="20"/>
          <w:szCs w:val="20"/>
          <w:lang w:val="en-US"/>
        </w:rPr>
        <w:t xml:space="preserve">ed </w:t>
      </w:r>
      <w:r w:rsidRPr="008A3740">
        <w:rPr>
          <w:rFonts w:ascii="Verdana" w:hAnsi="Verdana"/>
          <w:sz w:val="20"/>
          <w:szCs w:val="20"/>
          <w:lang w:val="en-US"/>
        </w:rPr>
        <w:t xml:space="preserve">the suspension of </w:t>
      </w:r>
      <w:r w:rsidR="00003F51" w:rsidRPr="008A3740">
        <w:rPr>
          <w:rFonts w:ascii="Verdana" w:hAnsi="Verdana"/>
          <w:sz w:val="20"/>
          <w:szCs w:val="20"/>
          <w:lang w:val="en-US"/>
        </w:rPr>
        <w:t>retirement pension payments</w:t>
      </w:r>
      <w:r w:rsidRPr="008A3740">
        <w:rPr>
          <w:rFonts w:ascii="Verdana" w:hAnsi="Verdana"/>
          <w:sz w:val="20"/>
          <w:szCs w:val="20"/>
          <w:lang w:val="en-US"/>
        </w:rPr>
        <w:t xml:space="preserve"> to</w:t>
      </w:r>
      <w:r w:rsidR="00003F51" w:rsidRPr="008A3740">
        <w:rPr>
          <w:rFonts w:ascii="Verdana" w:hAnsi="Verdana"/>
          <w:sz w:val="20"/>
          <w:szCs w:val="20"/>
          <w:lang w:val="en-US"/>
        </w:rPr>
        <w:t xml:space="preserve"> its</w:t>
      </w:r>
      <w:r w:rsidRPr="008A3740">
        <w:rPr>
          <w:rFonts w:ascii="Verdana" w:hAnsi="Verdana"/>
          <w:sz w:val="20"/>
          <w:szCs w:val="20"/>
          <w:lang w:val="en-US"/>
        </w:rPr>
        <w:t xml:space="preserve"> former employees,</w:t>
      </w:r>
      <w:r w:rsidRPr="008A3740">
        <w:rPr>
          <w:rStyle w:val="Refdenotaalpie"/>
          <w:szCs w:val="20"/>
          <w:lang w:val="en-US"/>
        </w:rPr>
        <w:footnoteReference w:id="67"/>
      </w:r>
      <w:r w:rsidRPr="008A3740">
        <w:rPr>
          <w:rFonts w:ascii="Verdana" w:hAnsi="Verdana"/>
          <w:sz w:val="20"/>
          <w:szCs w:val="20"/>
          <w:lang w:val="en-US"/>
        </w:rPr>
        <w:t xml:space="preserve"> am</w:t>
      </w:r>
      <w:r w:rsidR="00003F51" w:rsidRPr="008A3740">
        <w:rPr>
          <w:rFonts w:ascii="Verdana" w:hAnsi="Verdana"/>
          <w:sz w:val="20"/>
          <w:szCs w:val="20"/>
          <w:lang w:val="en-US"/>
        </w:rPr>
        <w:t>ong them Mr. Muelle Flores. The</w:t>
      </w:r>
      <w:r w:rsidRPr="008A3740">
        <w:rPr>
          <w:rFonts w:ascii="Verdana" w:hAnsi="Verdana"/>
          <w:sz w:val="20"/>
          <w:szCs w:val="20"/>
          <w:lang w:val="en-US"/>
        </w:rPr>
        <w:t xml:space="preserve"> decision was communicated to him on May 17, 1993.</w:t>
      </w:r>
      <w:r w:rsidRPr="008A3740">
        <w:rPr>
          <w:rStyle w:val="Refdenotaalpie"/>
          <w:szCs w:val="20"/>
          <w:lang w:val="en-US"/>
        </w:rPr>
        <w:footnoteReference w:id="68"/>
      </w:r>
    </w:p>
    <w:p w14:paraId="40E6A108" w14:textId="77777777" w:rsidR="008E6A56" w:rsidRPr="008A3740" w:rsidRDefault="008E6A56" w:rsidP="008E6A56">
      <w:pPr>
        <w:pStyle w:val="Prrafodelista"/>
        <w:rPr>
          <w:rFonts w:ascii="Verdana" w:hAnsi="Verdana"/>
          <w:sz w:val="20"/>
          <w:szCs w:val="20"/>
          <w:lang w:val="en-US"/>
        </w:rPr>
      </w:pPr>
    </w:p>
    <w:p w14:paraId="6ABC8672" w14:textId="77777777" w:rsidR="008E6A56" w:rsidRPr="008A3740" w:rsidRDefault="00003F51"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In response, </w:t>
      </w:r>
      <w:r w:rsidR="008E6A56" w:rsidRPr="008A3740">
        <w:rPr>
          <w:rFonts w:ascii="Verdana" w:hAnsi="Verdana"/>
          <w:sz w:val="20"/>
          <w:szCs w:val="20"/>
          <w:lang w:val="en-US"/>
        </w:rPr>
        <w:t>Mr. Muelle Flores filed a second a</w:t>
      </w:r>
      <w:r w:rsidR="006F3EF9" w:rsidRPr="008A3740">
        <w:rPr>
          <w:rFonts w:ascii="Verdana" w:hAnsi="Verdana"/>
          <w:sz w:val="20"/>
          <w:szCs w:val="20"/>
          <w:lang w:val="en-US"/>
        </w:rPr>
        <w:t xml:space="preserve">pplication for </w:t>
      </w:r>
      <w:r w:rsidR="006F3EF9" w:rsidRPr="008A3740">
        <w:rPr>
          <w:rFonts w:ascii="Verdana" w:hAnsi="Verdana"/>
          <w:i/>
          <w:sz w:val="20"/>
          <w:szCs w:val="20"/>
          <w:lang w:val="en-US"/>
        </w:rPr>
        <w:t>a</w:t>
      </w:r>
      <w:r w:rsidR="008E6A56" w:rsidRPr="008A3740">
        <w:rPr>
          <w:rFonts w:ascii="Verdana" w:hAnsi="Verdana"/>
          <w:i/>
          <w:sz w:val="20"/>
          <w:szCs w:val="20"/>
          <w:lang w:val="en-US"/>
        </w:rPr>
        <w:t>mparo</w:t>
      </w:r>
      <w:r w:rsidR="008E6A56" w:rsidRPr="008A3740">
        <w:rPr>
          <w:rFonts w:ascii="Verdana" w:hAnsi="Verdana"/>
          <w:sz w:val="20"/>
          <w:szCs w:val="20"/>
          <w:lang w:val="en-US"/>
        </w:rPr>
        <w:t xml:space="preserve">, </w:t>
      </w:r>
      <w:r w:rsidR="00520B5A" w:rsidRPr="008A3740">
        <w:rPr>
          <w:rFonts w:ascii="Verdana" w:hAnsi="Verdana"/>
          <w:sz w:val="20"/>
          <w:szCs w:val="20"/>
          <w:lang w:val="en-US"/>
        </w:rPr>
        <w:t xml:space="preserve">in </w:t>
      </w:r>
      <w:r w:rsidR="006F3EF9" w:rsidRPr="008A3740">
        <w:rPr>
          <w:rFonts w:ascii="Verdana" w:hAnsi="Verdana"/>
          <w:sz w:val="20"/>
          <w:szCs w:val="20"/>
          <w:lang w:val="en-US"/>
        </w:rPr>
        <w:t xml:space="preserve">an effort to block the </w:t>
      </w:r>
      <w:r w:rsidR="008E6A56" w:rsidRPr="008A3740">
        <w:rPr>
          <w:rFonts w:ascii="Verdana" w:hAnsi="Verdana"/>
          <w:sz w:val="20"/>
          <w:szCs w:val="20"/>
          <w:lang w:val="en-US"/>
        </w:rPr>
        <w:t xml:space="preserve">application of Board </w:t>
      </w:r>
      <w:r w:rsidR="006F3EF9" w:rsidRPr="008A3740">
        <w:rPr>
          <w:rFonts w:ascii="Verdana" w:hAnsi="Verdana"/>
          <w:sz w:val="20"/>
          <w:szCs w:val="20"/>
          <w:lang w:val="en-US"/>
        </w:rPr>
        <w:t xml:space="preserve">of Directors Decision </w:t>
      </w:r>
      <w:r w:rsidR="007D4765" w:rsidRPr="008A3740">
        <w:rPr>
          <w:rFonts w:ascii="Verdana" w:hAnsi="Verdana"/>
          <w:sz w:val="20"/>
          <w:szCs w:val="20"/>
          <w:lang w:val="en-US"/>
        </w:rPr>
        <w:t>No. 023/93. He also</w:t>
      </w:r>
      <w:r w:rsidR="008E6A56" w:rsidRPr="008A3740">
        <w:rPr>
          <w:rFonts w:ascii="Verdana" w:hAnsi="Verdana"/>
          <w:sz w:val="20"/>
          <w:szCs w:val="20"/>
          <w:lang w:val="en-US"/>
        </w:rPr>
        <w:t xml:space="preserve"> </w:t>
      </w:r>
      <w:r w:rsidR="006F3EF9" w:rsidRPr="008A3740">
        <w:rPr>
          <w:rFonts w:ascii="Verdana" w:hAnsi="Verdana"/>
          <w:sz w:val="20"/>
          <w:szCs w:val="20"/>
          <w:lang w:val="en-US"/>
        </w:rPr>
        <w:t xml:space="preserve">requested the restoration of his </w:t>
      </w:r>
      <w:r w:rsidR="008E6A56" w:rsidRPr="008A3740">
        <w:rPr>
          <w:rFonts w:ascii="Verdana" w:hAnsi="Verdana"/>
          <w:sz w:val="20"/>
          <w:szCs w:val="20"/>
          <w:lang w:val="en-US"/>
        </w:rPr>
        <w:t xml:space="preserve">right to continue receiving his pension </w:t>
      </w:r>
      <w:r w:rsidR="007D4765" w:rsidRPr="008A3740">
        <w:rPr>
          <w:rFonts w:ascii="Verdana" w:hAnsi="Verdana"/>
          <w:sz w:val="20"/>
          <w:szCs w:val="20"/>
          <w:lang w:val="en-US"/>
        </w:rPr>
        <w:t>in accordance with Decree Law No. 20530 and</w:t>
      </w:r>
      <w:r w:rsidR="008E6A56" w:rsidRPr="008A3740">
        <w:rPr>
          <w:rFonts w:ascii="Verdana" w:hAnsi="Verdana"/>
          <w:sz w:val="20"/>
          <w:szCs w:val="20"/>
          <w:lang w:val="en-US"/>
        </w:rPr>
        <w:t xml:space="preserve"> Law No. 25273</w:t>
      </w:r>
      <w:r w:rsidR="007D4765" w:rsidRPr="008A3740">
        <w:rPr>
          <w:rFonts w:ascii="Verdana" w:hAnsi="Verdana"/>
          <w:sz w:val="20"/>
          <w:szCs w:val="20"/>
          <w:lang w:val="en-US"/>
        </w:rPr>
        <w:t>,</w:t>
      </w:r>
      <w:r w:rsidR="008E6A56" w:rsidRPr="008A3740">
        <w:rPr>
          <w:rFonts w:ascii="Verdana" w:hAnsi="Verdana"/>
          <w:sz w:val="20"/>
          <w:szCs w:val="20"/>
          <w:lang w:val="en-US"/>
        </w:rPr>
        <w:t xml:space="preserve"> </w:t>
      </w:r>
      <w:r w:rsidR="007D4765" w:rsidRPr="008A3740">
        <w:rPr>
          <w:rFonts w:ascii="Verdana" w:hAnsi="Verdana"/>
          <w:sz w:val="20"/>
          <w:szCs w:val="20"/>
          <w:lang w:val="en-US"/>
        </w:rPr>
        <w:t xml:space="preserve">as well as an amount as </w:t>
      </w:r>
      <w:r w:rsidR="008E6A56" w:rsidRPr="008A3740">
        <w:rPr>
          <w:rFonts w:ascii="Verdana" w:hAnsi="Verdana"/>
          <w:sz w:val="20"/>
          <w:szCs w:val="20"/>
          <w:lang w:val="en-US"/>
        </w:rPr>
        <w:t xml:space="preserve">compensation for the </w:t>
      </w:r>
      <w:r w:rsidR="007D4765" w:rsidRPr="008A3740">
        <w:rPr>
          <w:rFonts w:ascii="Verdana" w:hAnsi="Verdana"/>
          <w:sz w:val="20"/>
          <w:szCs w:val="20"/>
          <w:lang w:val="en-US"/>
        </w:rPr>
        <w:t xml:space="preserve">damage </w:t>
      </w:r>
      <w:r w:rsidR="008E6A56" w:rsidRPr="008A3740">
        <w:rPr>
          <w:rFonts w:ascii="Verdana" w:hAnsi="Verdana"/>
          <w:sz w:val="20"/>
          <w:szCs w:val="20"/>
          <w:lang w:val="en-US"/>
        </w:rPr>
        <w:t>caused.</w:t>
      </w:r>
      <w:r w:rsidR="008E6A56" w:rsidRPr="008A3740">
        <w:rPr>
          <w:rStyle w:val="Refdenotaalpie"/>
          <w:szCs w:val="20"/>
          <w:lang w:val="en-US"/>
        </w:rPr>
        <w:footnoteReference w:id="69"/>
      </w:r>
      <w:r w:rsidR="008E6A56" w:rsidRPr="008A3740">
        <w:rPr>
          <w:rFonts w:ascii="Verdana" w:hAnsi="Verdana"/>
          <w:sz w:val="20"/>
          <w:szCs w:val="20"/>
          <w:lang w:val="en-US"/>
        </w:rPr>
        <w:t xml:space="preserve"> </w:t>
      </w:r>
    </w:p>
    <w:p w14:paraId="5D7EBBBF" w14:textId="77777777" w:rsidR="008E6A56" w:rsidRPr="008A3740" w:rsidRDefault="008E6A56" w:rsidP="008E6A56">
      <w:pPr>
        <w:tabs>
          <w:tab w:val="left" w:pos="567"/>
        </w:tabs>
        <w:rPr>
          <w:rFonts w:ascii="Verdana" w:hAnsi="Verdana"/>
          <w:sz w:val="20"/>
          <w:szCs w:val="20"/>
          <w:lang w:val="en-US"/>
        </w:rPr>
      </w:pPr>
    </w:p>
    <w:p w14:paraId="61F583A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lastRenderedPageBreak/>
        <w:t>On February 23, 1995</w:t>
      </w:r>
      <w:r w:rsidR="007D4765" w:rsidRPr="008A3740">
        <w:rPr>
          <w:rFonts w:ascii="Verdana" w:hAnsi="Verdana"/>
          <w:sz w:val="20"/>
          <w:szCs w:val="20"/>
          <w:lang w:val="en-US"/>
        </w:rPr>
        <w:t>,</w:t>
      </w:r>
      <w:r w:rsidRPr="008A3740">
        <w:rPr>
          <w:rFonts w:ascii="Verdana" w:hAnsi="Verdana"/>
          <w:sz w:val="20"/>
          <w:szCs w:val="20"/>
          <w:lang w:val="en-US"/>
        </w:rPr>
        <w:t xml:space="preserve"> the Seventeenth C</w:t>
      </w:r>
      <w:r w:rsidR="00367BC3" w:rsidRPr="008A3740">
        <w:rPr>
          <w:rFonts w:ascii="Verdana" w:hAnsi="Verdana"/>
          <w:sz w:val="20"/>
          <w:szCs w:val="20"/>
          <w:lang w:val="en-US"/>
        </w:rPr>
        <w:t>ivil C</w:t>
      </w:r>
      <w:r w:rsidRPr="008A3740">
        <w:rPr>
          <w:rFonts w:ascii="Verdana" w:hAnsi="Verdana"/>
          <w:sz w:val="20"/>
          <w:szCs w:val="20"/>
          <w:lang w:val="en-US"/>
        </w:rPr>
        <w:t>ourt of Lima d</w:t>
      </w:r>
      <w:r w:rsidR="00EF5444" w:rsidRPr="008A3740">
        <w:rPr>
          <w:rFonts w:ascii="Verdana" w:hAnsi="Verdana"/>
          <w:sz w:val="20"/>
          <w:szCs w:val="20"/>
          <w:lang w:val="en-US"/>
        </w:rPr>
        <w:t xml:space="preserve">eclared his </w:t>
      </w:r>
      <w:r w:rsidR="00E1205F" w:rsidRPr="008A3740">
        <w:rPr>
          <w:rFonts w:ascii="Verdana" w:hAnsi="Verdana"/>
          <w:sz w:val="20"/>
          <w:szCs w:val="20"/>
          <w:lang w:val="en-US"/>
        </w:rPr>
        <w:t xml:space="preserve">application for </w:t>
      </w:r>
      <w:r w:rsidR="00E1205F" w:rsidRPr="008A3740">
        <w:rPr>
          <w:rFonts w:ascii="Verdana" w:hAnsi="Verdana"/>
          <w:i/>
          <w:sz w:val="20"/>
          <w:szCs w:val="20"/>
          <w:lang w:val="en-US"/>
        </w:rPr>
        <w:t>amparo</w:t>
      </w:r>
      <w:r w:rsidR="00E1205F" w:rsidRPr="008A3740">
        <w:rPr>
          <w:rFonts w:ascii="Verdana" w:hAnsi="Verdana"/>
          <w:sz w:val="20"/>
          <w:szCs w:val="20"/>
          <w:lang w:val="en-US"/>
        </w:rPr>
        <w:t xml:space="preserve"> </w:t>
      </w:r>
      <w:r w:rsidR="00EF5444" w:rsidRPr="008A3740">
        <w:rPr>
          <w:rFonts w:ascii="Verdana" w:hAnsi="Verdana"/>
          <w:sz w:val="20"/>
          <w:szCs w:val="20"/>
          <w:lang w:val="en-US"/>
        </w:rPr>
        <w:t xml:space="preserve">inadmissible, concluding that </w:t>
      </w:r>
      <w:r w:rsidR="00F26C60" w:rsidRPr="008A3740">
        <w:rPr>
          <w:rFonts w:ascii="Verdana" w:hAnsi="Verdana"/>
          <w:sz w:val="20"/>
          <w:szCs w:val="20"/>
          <w:lang w:val="en-US"/>
        </w:rPr>
        <w:t xml:space="preserve">Board of Directors </w:t>
      </w:r>
      <w:r w:rsidR="00520B5A" w:rsidRPr="008A3740">
        <w:rPr>
          <w:rFonts w:ascii="Verdana" w:hAnsi="Verdana"/>
          <w:sz w:val="20"/>
          <w:szCs w:val="20"/>
          <w:lang w:val="en-US"/>
        </w:rPr>
        <w:t xml:space="preserve">Decision </w:t>
      </w:r>
      <w:r w:rsidRPr="008A3740">
        <w:rPr>
          <w:rFonts w:ascii="Verdana" w:hAnsi="Verdana"/>
          <w:sz w:val="20"/>
          <w:szCs w:val="20"/>
          <w:lang w:val="en-US"/>
        </w:rPr>
        <w:t xml:space="preserve">No. 023/93 </w:t>
      </w:r>
      <w:r w:rsidR="00F26C60" w:rsidRPr="008A3740">
        <w:rPr>
          <w:rFonts w:ascii="Verdana" w:hAnsi="Verdana"/>
          <w:sz w:val="20"/>
          <w:szCs w:val="20"/>
          <w:lang w:val="en-US"/>
        </w:rPr>
        <w:t xml:space="preserve">did </w:t>
      </w:r>
      <w:r w:rsidRPr="008A3740">
        <w:rPr>
          <w:rFonts w:ascii="Verdana" w:hAnsi="Verdana"/>
          <w:sz w:val="20"/>
          <w:szCs w:val="20"/>
          <w:lang w:val="en-US"/>
        </w:rPr>
        <w:t>not violate or th</w:t>
      </w:r>
      <w:r w:rsidR="00EF5444" w:rsidRPr="008A3740">
        <w:rPr>
          <w:rFonts w:ascii="Verdana" w:hAnsi="Verdana"/>
          <w:sz w:val="20"/>
          <w:szCs w:val="20"/>
          <w:lang w:val="en-US"/>
        </w:rPr>
        <w:t>reaten any constitutional right</w:t>
      </w:r>
      <w:r w:rsidR="00F26C60" w:rsidRPr="008A3740">
        <w:rPr>
          <w:rFonts w:ascii="Verdana" w:hAnsi="Verdana"/>
          <w:sz w:val="20"/>
          <w:szCs w:val="20"/>
          <w:lang w:val="en-US"/>
        </w:rPr>
        <w:t>,</w:t>
      </w:r>
      <w:r w:rsidR="00EF5444" w:rsidRPr="008A3740">
        <w:rPr>
          <w:rFonts w:ascii="Verdana" w:hAnsi="Verdana"/>
          <w:sz w:val="20"/>
          <w:szCs w:val="20"/>
          <w:lang w:val="en-US"/>
        </w:rPr>
        <w:t xml:space="preserve"> </w:t>
      </w:r>
      <w:r w:rsidRPr="008A3740">
        <w:rPr>
          <w:rFonts w:ascii="Verdana" w:hAnsi="Verdana"/>
          <w:sz w:val="20"/>
          <w:szCs w:val="20"/>
          <w:lang w:val="en-US"/>
        </w:rPr>
        <w:t>since it d</w:t>
      </w:r>
      <w:r w:rsidR="00F26C60" w:rsidRPr="008A3740">
        <w:rPr>
          <w:rFonts w:ascii="Verdana" w:hAnsi="Verdana"/>
          <w:sz w:val="20"/>
          <w:szCs w:val="20"/>
          <w:lang w:val="en-US"/>
        </w:rPr>
        <w:t xml:space="preserve">id </w:t>
      </w:r>
      <w:r w:rsidR="00EF5444" w:rsidRPr="008A3740">
        <w:rPr>
          <w:rFonts w:ascii="Verdana" w:hAnsi="Verdana"/>
          <w:sz w:val="20"/>
          <w:szCs w:val="20"/>
          <w:lang w:val="en-US"/>
        </w:rPr>
        <w:t xml:space="preserve">not amend or terminate </w:t>
      </w:r>
      <w:r w:rsidRPr="008A3740">
        <w:rPr>
          <w:rFonts w:ascii="Verdana" w:hAnsi="Verdana"/>
          <w:sz w:val="20"/>
          <w:szCs w:val="20"/>
          <w:lang w:val="en-US"/>
        </w:rPr>
        <w:t xml:space="preserve">his right </w:t>
      </w:r>
      <w:r w:rsidR="007D4765" w:rsidRPr="008A3740">
        <w:rPr>
          <w:rFonts w:ascii="Verdana" w:hAnsi="Verdana"/>
          <w:sz w:val="20"/>
          <w:szCs w:val="20"/>
          <w:lang w:val="en-US"/>
        </w:rPr>
        <w:t xml:space="preserve">to </w:t>
      </w:r>
      <w:r w:rsidR="00E1205F" w:rsidRPr="008A3740">
        <w:rPr>
          <w:rFonts w:ascii="Verdana" w:hAnsi="Verdana"/>
          <w:sz w:val="20"/>
          <w:szCs w:val="20"/>
          <w:lang w:val="en-US"/>
        </w:rPr>
        <w:t xml:space="preserve">be included </w:t>
      </w:r>
      <w:r w:rsidR="00EF5444" w:rsidRPr="008A3740">
        <w:rPr>
          <w:rFonts w:ascii="Verdana" w:hAnsi="Verdana"/>
          <w:sz w:val="20"/>
          <w:szCs w:val="20"/>
          <w:lang w:val="en-US"/>
        </w:rPr>
        <w:t xml:space="preserve">in </w:t>
      </w:r>
      <w:r w:rsidRPr="008A3740">
        <w:rPr>
          <w:rFonts w:ascii="Verdana" w:hAnsi="Verdana"/>
          <w:sz w:val="20"/>
          <w:szCs w:val="20"/>
          <w:lang w:val="en-US"/>
        </w:rPr>
        <w:t xml:space="preserve">the pension and benefits scheme </w:t>
      </w:r>
      <w:r w:rsidR="00EF5444" w:rsidRPr="008A3740">
        <w:rPr>
          <w:rFonts w:ascii="Verdana" w:hAnsi="Verdana"/>
          <w:sz w:val="20"/>
          <w:szCs w:val="20"/>
          <w:lang w:val="en-US"/>
        </w:rPr>
        <w:t xml:space="preserve">of </w:t>
      </w:r>
      <w:r w:rsidRPr="008A3740">
        <w:rPr>
          <w:rFonts w:ascii="Verdana" w:hAnsi="Verdana"/>
          <w:sz w:val="20"/>
          <w:szCs w:val="20"/>
          <w:lang w:val="en-US"/>
        </w:rPr>
        <w:t xml:space="preserve">Decree Law 20530. The </w:t>
      </w:r>
      <w:r w:rsidR="007D4765" w:rsidRPr="008A3740">
        <w:rPr>
          <w:rFonts w:ascii="Verdana" w:hAnsi="Verdana"/>
          <w:sz w:val="20"/>
          <w:szCs w:val="20"/>
          <w:lang w:val="en-US"/>
        </w:rPr>
        <w:t xml:space="preserve">court </w:t>
      </w:r>
      <w:r w:rsidR="00EF5444" w:rsidRPr="008A3740">
        <w:rPr>
          <w:rFonts w:ascii="Verdana" w:hAnsi="Verdana"/>
          <w:sz w:val="20"/>
          <w:szCs w:val="20"/>
          <w:lang w:val="en-US"/>
        </w:rPr>
        <w:t xml:space="preserve">declared that his </w:t>
      </w:r>
      <w:r w:rsidR="007D4765" w:rsidRPr="008A3740">
        <w:rPr>
          <w:rFonts w:ascii="Verdana" w:hAnsi="Verdana"/>
          <w:sz w:val="20"/>
          <w:szCs w:val="20"/>
          <w:lang w:val="en-US"/>
        </w:rPr>
        <w:t xml:space="preserve">right was </w:t>
      </w:r>
      <w:r w:rsidR="00EF5444" w:rsidRPr="008A3740">
        <w:rPr>
          <w:rFonts w:ascii="Verdana" w:hAnsi="Verdana"/>
          <w:sz w:val="20"/>
          <w:szCs w:val="20"/>
          <w:lang w:val="en-US"/>
        </w:rPr>
        <w:t>“</w:t>
      </w:r>
      <w:r w:rsidR="007D4765" w:rsidRPr="008A3740">
        <w:rPr>
          <w:rFonts w:ascii="Verdana" w:hAnsi="Verdana"/>
          <w:sz w:val="20"/>
          <w:szCs w:val="20"/>
          <w:lang w:val="en-US"/>
        </w:rPr>
        <w:t>fully guaranteed</w:t>
      </w:r>
      <w:r w:rsidR="00EF5444" w:rsidRPr="008A3740">
        <w:rPr>
          <w:rFonts w:ascii="Verdana" w:hAnsi="Verdana"/>
          <w:sz w:val="20"/>
          <w:szCs w:val="20"/>
          <w:lang w:val="en-US"/>
        </w:rPr>
        <w:t>, safeguarded</w:t>
      </w:r>
      <w:r w:rsidRPr="008A3740">
        <w:rPr>
          <w:rFonts w:ascii="Verdana" w:hAnsi="Verdana"/>
          <w:sz w:val="20"/>
          <w:szCs w:val="20"/>
          <w:lang w:val="en-US"/>
        </w:rPr>
        <w:t xml:space="preserve"> and protected by the final judgment</w:t>
      </w:r>
      <w:r w:rsidR="0006662E" w:rsidRPr="008A3740">
        <w:rPr>
          <w:rFonts w:ascii="Verdana" w:hAnsi="Verdana"/>
          <w:sz w:val="20"/>
          <w:szCs w:val="20"/>
          <w:lang w:val="en-US"/>
        </w:rPr>
        <w:t>”</w:t>
      </w:r>
      <w:r w:rsidRPr="008A3740">
        <w:rPr>
          <w:rFonts w:ascii="Verdana" w:hAnsi="Verdana"/>
          <w:sz w:val="20"/>
          <w:szCs w:val="20"/>
          <w:lang w:val="en-US"/>
        </w:rPr>
        <w:t xml:space="preserve"> adopted </w:t>
      </w:r>
      <w:r w:rsidR="00EF5444" w:rsidRPr="008A3740">
        <w:rPr>
          <w:rFonts w:ascii="Verdana" w:hAnsi="Verdana"/>
          <w:sz w:val="20"/>
          <w:szCs w:val="20"/>
          <w:lang w:val="en-US"/>
        </w:rPr>
        <w:t xml:space="preserve">in his favor </w:t>
      </w:r>
      <w:r w:rsidRPr="008A3740">
        <w:rPr>
          <w:rFonts w:ascii="Verdana" w:hAnsi="Verdana"/>
          <w:sz w:val="20"/>
          <w:szCs w:val="20"/>
          <w:lang w:val="en-US"/>
        </w:rPr>
        <w:t xml:space="preserve">in the constitutional proceeding before the Fifth </w:t>
      </w:r>
      <w:r w:rsidR="00EF5444" w:rsidRPr="008A3740">
        <w:rPr>
          <w:rFonts w:ascii="Verdana" w:hAnsi="Verdana"/>
          <w:sz w:val="20"/>
          <w:szCs w:val="20"/>
          <w:lang w:val="en-US"/>
        </w:rPr>
        <w:t>Specialized Court</w:t>
      </w:r>
      <w:r w:rsidR="0006662E" w:rsidRPr="008A3740">
        <w:rPr>
          <w:rFonts w:ascii="Verdana" w:hAnsi="Verdana"/>
          <w:sz w:val="20"/>
          <w:szCs w:val="20"/>
          <w:lang w:val="en-US"/>
        </w:rPr>
        <w:t>.</w:t>
      </w:r>
      <w:r w:rsidRPr="008A3740">
        <w:rPr>
          <w:rFonts w:ascii="Verdana" w:hAnsi="Verdana"/>
          <w:sz w:val="20"/>
          <w:szCs w:val="20"/>
          <w:lang w:val="en-US"/>
        </w:rPr>
        <w:t xml:space="preserve"> </w:t>
      </w:r>
      <w:r w:rsidR="0006662E" w:rsidRPr="008A3740">
        <w:rPr>
          <w:rFonts w:ascii="Verdana" w:hAnsi="Verdana"/>
          <w:sz w:val="20"/>
          <w:szCs w:val="20"/>
          <w:lang w:val="en-US"/>
        </w:rPr>
        <w:t xml:space="preserve">It added </w:t>
      </w:r>
      <w:r w:rsidR="00EF5444" w:rsidRPr="008A3740">
        <w:rPr>
          <w:rFonts w:ascii="Verdana" w:hAnsi="Verdana"/>
          <w:sz w:val="20"/>
          <w:szCs w:val="20"/>
          <w:lang w:val="en-US"/>
        </w:rPr>
        <w:t>that this</w:t>
      </w:r>
      <w:r w:rsidRPr="008A3740">
        <w:rPr>
          <w:rFonts w:ascii="Verdana" w:hAnsi="Verdana"/>
          <w:sz w:val="20"/>
          <w:szCs w:val="20"/>
          <w:lang w:val="en-US"/>
        </w:rPr>
        <w:t xml:space="preserve"> decision was </w:t>
      </w:r>
      <w:r w:rsidR="00EF5444" w:rsidRPr="008A3740">
        <w:rPr>
          <w:rFonts w:ascii="Verdana" w:hAnsi="Verdana"/>
          <w:sz w:val="20"/>
          <w:szCs w:val="20"/>
          <w:lang w:val="en-US"/>
        </w:rPr>
        <w:t xml:space="preserve">being executed </w:t>
      </w:r>
      <w:r w:rsidR="0006662E" w:rsidRPr="008A3740">
        <w:rPr>
          <w:rFonts w:ascii="Verdana" w:hAnsi="Verdana"/>
          <w:sz w:val="20"/>
          <w:szCs w:val="20"/>
          <w:lang w:val="en-US"/>
        </w:rPr>
        <w:t xml:space="preserve">and that its </w:t>
      </w:r>
      <w:r w:rsidR="00367BC3" w:rsidRPr="008A3740">
        <w:rPr>
          <w:rFonts w:ascii="Verdana" w:hAnsi="Verdana"/>
          <w:sz w:val="20"/>
          <w:szCs w:val="20"/>
          <w:lang w:val="en-US"/>
        </w:rPr>
        <w:t xml:space="preserve">full </w:t>
      </w:r>
      <w:r w:rsidR="0006662E" w:rsidRPr="008A3740">
        <w:rPr>
          <w:rFonts w:ascii="Verdana" w:hAnsi="Verdana"/>
          <w:sz w:val="20"/>
          <w:szCs w:val="20"/>
          <w:lang w:val="en-US"/>
        </w:rPr>
        <w:t xml:space="preserve">implementation must be </w:t>
      </w:r>
      <w:r w:rsidR="00367BC3" w:rsidRPr="008A3740">
        <w:rPr>
          <w:rFonts w:ascii="Verdana" w:hAnsi="Verdana"/>
          <w:sz w:val="20"/>
          <w:szCs w:val="20"/>
          <w:lang w:val="en-US"/>
        </w:rPr>
        <w:t xml:space="preserve">verified </w:t>
      </w:r>
      <w:r w:rsidR="008C7252" w:rsidRPr="008A3740">
        <w:rPr>
          <w:rFonts w:ascii="Verdana" w:hAnsi="Verdana"/>
          <w:sz w:val="20"/>
          <w:szCs w:val="20"/>
          <w:lang w:val="en-US"/>
        </w:rPr>
        <w:t>before that</w:t>
      </w:r>
      <w:r w:rsidRPr="008A3740">
        <w:rPr>
          <w:rFonts w:ascii="Verdana" w:hAnsi="Verdana"/>
          <w:sz w:val="20"/>
          <w:szCs w:val="20"/>
          <w:lang w:val="en-US"/>
        </w:rPr>
        <w:t xml:space="preserve"> court</w:t>
      </w:r>
      <w:r w:rsidR="00367BC3" w:rsidRPr="008A3740">
        <w:rPr>
          <w:rFonts w:ascii="Verdana" w:hAnsi="Verdana"/>
          <w:sz w:val="20"/>
          <w:szCs w:val="20"/>
          <w:lang w:val="en-US"/>
        </w:rPr>
        <w:t>.</w:t>
      </w:r>
      <w:r w:rsidRPr="008A3740">
        <w:rPr>
          <w:rStyle w:val="Refdenotaalpie"/>
          <w:szCs w:val="20"/>
          <w:lang w:val="en-US"/>
        </w:rPr>
        <w:footnoteReference w:id="70"/>
      </w:r>
    </w:p>
    <w:p w14:paraId="22C85B69" w14:textId="77777777" w:rsidR="008E6A56" w:rsidRPr="008A3740" w:rsidRDefault="008E6A56" w:rsidP="008E6A56">
      <w:pPr>
        <w:pStyle w:val="Prrafodelista"/>
        <w:rPr>
          <w:rFonts w:ascii="Verdana" w:hAnsi="Verdana"/>
          <w:sz w:val="20"/>
          <w:szCs w:val="20"/>
          <w:lang w:val="en-US"/>
        </w:rPr>
      </w:pPr>
    </w:p>
    <w:p w14:paraId="7B679864"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July 14, 1995, the First Civil </w:t>
      </w:r>
      <w:r w:rsidR="00811092" w:rsidRPr="008A3740">
        <w:rPr>
          <w:rFonts w:ascii="Verdana" w:hAnsi="Verdana"/>
          <w:sz w:val="20"/>
          <w:szCs w:val="20"/>
          <w:lang w:val="en-US"/>
        </w:rPr>
        <w:t>Chamber</w:t>
      </w:r>
      <w:r w:rsidR="00367BC3" w:rsidRPr="008A3740">
        <w:rPr>
          <w:rFonts w:ascii="Verdana" w:hAnsi="Verdana"/>
          <w:sz w:val="20"/>
          <w:szCs w:val="20"/>
          <w:lang w:val="en-US"/>
        </w:rPr>
        <w:t xml:space="preserve"> </w:t>
      </w:r>
      <w:r w:rsidRPr="008A3740">
        <w:rPr>
          <w:rFonts w:ascii="Verdana" w:hAnsi="Verdana"/>
          <w:sz w:val="20"/>
          <w:szCs w:val="20"/>
          <w:lang w:val="en-US"/>
        </w:rPr>
        <w:t>of the Superi</w:t>
      </w:r>
      <w:r w:rsidR="00367BC3" w:rsidRPr="008A3740">
        <w:rPr>
          <w:rFonts w:ascii="Verdana" w:hAnsi="Verdana"/>
          <w:sz w:val="20"/>
          <w:szCs w:val="20"/>
          <w:lang w:val="en-US"/>
        </w:rPr>
        <w:t xml:space="preserve">or Court of Lima </w:t>
      </w:r>
      <w:r w:rsidR="00D07E2A" w:rsidRPr="008A3740">
        <w:rPr>
          <w:rFonts w:ascii="Verdana" w:hAnsi="Verdana"/>
          <w:sz w:val="20"/>
          <w:szCs w:val="20"/>
          <w:lang w:val="en-US"/>
        </w:rPr>
        <w:t xml:space="preserve">confirmed the </w:t>
      </w:r>
      <w:r w:rsidR="00367BC3" w:rsidRPr="008A3740">
        <w:rPr>
          <w:rFonts w:ascii="Verdana" w:hAnsi="Verdana"/>
          <w:sz w:val="20"/>
          <w:szCs w:val="20"/>
          <w:lang w:val="en-US"/>
        </w:rPr>
        <w:t>j</w:t>
      </w:r>
      <w:r w:rsidRPr="008A3740">
        <w:rPr>
          <w:rFonts w:ascii="Verdana" w:hAnsi="Verdana"/>
          <w:sz w:val="20"/>
          <w:szCs w:val="20"/>
          <w:lang w:val="en-US"/>
        </w:rPr>
        <w:t xml:space="preserve">udgment of </w:t>
      </w:r>
      <w:r w:rsidR="00F26C60" w:rsidRPr="008A3740">
        <w:rPr>
          <w:rFonts w:ascii="Verdana" w:hAnsi="Verdana"/>
          <w:sz w:val="20"/>
          <w:szCs w:val="20"/>
          <w:lang w:val="en-US"/>
        </w:rPr>
        <w:t>the lower court, considering</w:t>
      </w:r>
      <w:r w:rsidR="00D07E2A" w:rsidRPr="008A3740">
        <w:rPr>
          <w:rFonts w:ascii="Verdana" w:hAnsi="Verdana"/>
          <w:sz w:val="20"/>
          <w:szCs w:val="20"/>
          <w:lang w:val="en-US"/>
        </w:rPr>
        <w:t xml:space="preserve"> </w:t>
      </w:r>
      <w:r w:rsidRPr="008A3740">
        <w:rPr>
          <w:rFonts w:ascii="Verdana" w:hAnsi="Verdana"/>
          <w:sz w:val="20"/>
          <w:szCs w:val="20"/>
          <w:lang w:val="en-US"/>
        </w:rPr>
        <w:t xml:space="preserve">that the Supreme Court decision </w:t>
      </w:r>
      <w:r w:rsidR="00DD1CED" w:rsidRPr="008A3740">
        <w:rPr>
          <w:rFonts w:ascii="Verdana" w:hAnsi="Verdana"/>
          <w:sz w:val="20"/>
          <w:szCs w:val="20"/>
          <w:lang w:val="en-US"/>
        </w:rPr>
        <w:t>of February</w:t>
      </w:r>
      <w:r w:rsidRPr="008A3740">
        <w:rPr>
          <w:rFonts w:ascii="Verdana" w:hAnsi="Verdana"/>
          <w:sz w:val="20"/>
          <w:szCs w:val="20"/>
          <w:lang w:val="en-US"/>
        </w:rPr>
        <w:t xml:space="preserve"> 2, 1993</w:t>
      </w:r>
      <w:r w:rsidR="00367BC3" w:rsidRPr="008A3740">
        <w:rPr>
          <w:rFonts w:ascii="Verdana" w:hAnsi="Verdana"/>
          <w:sz w:val="20"/>
          <w:szCs w:val="20"/>
          <w:lang w:val="en-US"/>
        </w:rPr>
        <w:t>,</w:t>
      </w:r>
      <w:r w:rsidRPr="008A3740">
        <w:rPr>
          <w:rFonts w:ascii="Verdana" w:hAnsi="Verdana"/>
          <w:sz w:val="20"/>
          <w:szCs w:val="20"/>
          <w:lang w:val="en-US"/>
        </w:rPr>
        <w:t xml:space="preserve"> had </w:t>
      </w:r>
      <w:r w:rsidR="00367BC3" w:rsidRPr="008A3740">
        <w:rPr>
          <w:rFonts w:ascii="Verdana" w:hAnsi="Verdana"/>
          <w:sz w:val="20"/>
          <w:szCs w:val="20"/>
          <w:lang w:val="en-US"/>
        </w:rPr>
        <w:t xml:space="preserve">the </w:t>
      </w:r>
      <w:r w:rsidR="00A84FC8" w:rsidRPr="008A3740">
        <w:rPr>
          <w:rFonts w:ascii="Verdana" w:hAnsi="Verdana"/>
          <w:sz w:val="20"/>
          <w:szCs w:val="20"/>
          <w:lang w:val="en-US"/>
        </w:rPr>
        <w:t xml:space="preserve">status </w:t>
      </w:r>
      <w:r w:rsidR="00D07E2A" w:rsidRPr="008A3740">
        <w:rPr>
          <w:rFonts w:ascii="Verdana" w:hAnsi="Verdana"/>
          <w:sz w:val="20"/>
          <w:szCs w:val="20"/>
          <w:lang w:val="en-US"/>
        </w:rPr>
        <w:t xml:space="preserve">of </w:t>
      </w:r>
      <w:r w:rsidRPr="008A3740">
        <w:rPr>
          <w:rFonts w:ascii="Verdana" w:hAnsi="Verdana"/>
          <w:i/>
          <w:sz w:val="20"/>
          <w:szCs w:val="20"/>
          <w:lang w:val="en-US"/>
        </w:rPr>
        <w:t>res judicata</w:t>
      </w:r>
      <w:r w:rsidRPr="008A3740">
        <w:rPr>
          <w:rFonts w:ascii="Verdana" w:hAnsi="Verdana"/>
          <w:sz w:val="20"/>
          <w:szCs w:val="20"/>
          <w:lang w:val="en-US"/>
        </w:rPr>
        <w:t xml:space="preserve"> in favor of Mr. Muelle Flores</w:t>
      </w:r>
      <w:r w:rsidR="00F26C60" w:rsidRPr="008A3740">
        <w:rPr>
          <w:rFonts w:ascii="Verdana" w:hAnsi="Verdana"/>
          <w:sz w:val="20"/>
          <w:szCs w:val="20"/>
          <w:lang w:val="en-US"/>
        </w:rPr>
        <w:t xml:space="preserve">, </w:t>
      </w:r>
      <w:r w:rsidR="00E1205F" w:rsidRPr="008A3740">
        <w:rPr>
          <w:rFonts w:ascii="Verdana" w:hAnsi="Verdana"/>
          <w:sz w:val="20"/>
          <w:szCs w:val="20"/>
          <w:lang w:val="en-US"/>
        </w:rPr>
        <w:t>and therefore it could and should oppose any attempt to mount an assault on his rights.</w:t>
      </w:r>
      <w:r w:rsidRPr="008A3740">
        <w:rPr>
          <w:rFonts w:ascii="Verdana" w:hAnsi="Verdana"/>
          <w:sz w:val="20"/>
          <w:szCs w:val="20"/>
          <w:lang w:val="en-US"/>
        </w:rPr>
        <w:t xml:space="preserve"> In this sense, </w:t>
      </w:r>
      <w:r w:rsidR="00E1205F" w:rsidRPr="008A3740">
        <w:rPr>
          <w:rFonts w:ascii="Verdana" w:hAnsi="Verdana"/>
          <w:sz w:val="20"/>
          <w:szCs w:val="20"/>
          <w:lang w:val="en-US"/>
        </w:rPr>
        <w:t xml:space="preserve">it </w:t>
      </w:r>
      <w:r w:rsidRPr="008A3740">
        <w:rPr>
          <w:rFonts w:ascii="Verdana" w:hAnsi="Verdana"/>
          <w:sz w:val="20"/>
          <w:szCs w:val="20"/>
          <w:lang w:val="en-US"/>
        </w:rPr>
        <w:t>concluded that</w:t>
      </w:r>
      <w:r w:rsidR="00E1205F" w:rsidRPr="008A3740">
        <w:rPr>
          <w:rFonts w:ascii="Verdana" w:hAnsi="Verdana"/>
          <w:sz w:val="20"/>
          <w:szCs w:val="20"/>
          <w:lang w:val="en-US"/>
        </w:rPr>
        <w:t xml:space="preserve"> no further action could be </w:t>
      </w:r>
      <w:r w:rsidR="00F93D39" w:rsidRPr="008A3740">
        <w:rPr>
          <w:rFonts w:ascii="Verdana" w:hAnsi="Verdana"/>
          <w:sz w:val="20"/>
          <w:szCs w:val="20"/>
          <w:lang w:val="en-US"/>
        </w:rPr>
        <w:t>brought against</w:t>
      </w:r>
      <w:r w:rsidRPr="008A3740">
        <w:rPr>
          <w:rFonts w:ascii="Verdana" w:hAnsi="Verdana"/>
          <w:sz w:val="20"/>
          <w:szCs w:val="20"/>
          <w:lang w:val="en-US"/>
        </w:rPr>
        <w:t xml:space="preserve"> an act that expresses “clear and </w:t>
      </w:r>
      <w:r w:rsidR="00B2463B" w:rsidRPr="008A3740">
        <w:rPr>
          <w:rFonts w:ascii="Verdana" w:hAnsi="Verdana"/>
          <w:sz w:val="20"/>
          <w:szCs w:val="20"/>
          <w:lang w:val="en-US"/>
        </w:rPr>
        <w:t xml:space="preserve">unlawful </w:t>
      </w:r>
      <w:r w:rsidRPr="008A3740">
        <w:rPr>
          <w:rFonts w:ascii="Verdana" w:hAnsi="Verdana"/>
          <w:sz w:val="20"/>
          <w:szCs w:val="20"/>
          <w:lang w:val="en-US"/>
        </w:rPr>
        <w:t>resistance to the decision of the jurisdictional</w:t>
      </w:r>
      <w:r w:rsidR="00A84FC8" w:rsidRPr="008A3740">
        <w:rPr>
          <w:rFonts w:ascii="Verdana" w:hAnsi="Verdana"/>
          <w:sz w:val="20"/>
          <w:szCs w:val="20"/>
          <w:lang w:val="en-US"/>
        </w:rPr>
        <w:t xml:space="preserve"> authority</w:t>
      </w:r>
      <w:r w:rsidR="00367BC3" w:rsidRPr="008A3740">
        <w:rPr>
          <w:rFonts w:ascii="Verdana" w:hAnsi="Verdana"/>
          <w:sz w:val="20"/>
          <w:szCs w:val="20"/>
          <w:lang w:val="en-US"/>
        </w:rPr>
        <w:t>.</w:t>
      </w:r>
      <w:r w:rsidRPr="008A3740">
        <w:rPr>
          <w:rFonts w:ascii="Verdana" w:hAnsi="Verdana"/>
          <w:sz w:val="20"/>
          <w:szCs w:val="20"/>
          <w:lang w:val="en-US"/>
        </w:rPr>
        <w:t>”</w:t>
      </w:r>
      <w:r w:rsidRPr="008A3740">
        <w:rPr>
          <w:rStyle w:val="Refdenotaalpie"/>
          <w:szCs w:val="20"/>
          <w:lang w:val="en-US"/>
        </w:rPr>
        <w:t xml:space="preserve"> </w:t>
      </w:r>
      <w:r w:rsidRPr="008A3740">
        <w:rPr>
          <w:rStyle w:val="Refdenotaalpie"/>
          <w:szCs w:val="20"/>
          <w:lang w:val="en-US"/>
        </w:rPr>
        <w:footnoteReference w:id="71"/>
      </w:r>
      <w:r w:rsidRPr="008A3740">
        <w:rPr>
          <w:rFonts w:ascii="Verdana" w:hAnsi="Verdana"/>
          <w:b/>
          <w:sz w:val="20"/>
          <w:szCs w:val="20"/>
          <w:lang w:val="en-US"/>
        </w:rPr>
        <w:t xml:space="preserve"> </w:t>
      </w:r>
    </w:p>
    <w:p w14:paraId="504E3EF2" w14:textId="77777777" w:rsidR="008E6A56" w:rsidRPr="008A3740" w:rsidRDefault="008E6A56" w:rsidP="008E6A56">
      <w:pPr>
        <w:pStyle w:val="Prrafodelista"/>
        <w:rPr>
          <w:rFonts w:ascii="Verdana" w:hAnsi="Verdana"/>
          <w:sz w:val="20"/>
          <w:szCs w:val="20"/>
          <w:lang w:val="en-US"/>
        </w:rPr>
      </w:pPr>
    </w:p>
    <w:p w14:paraId="64D1A540" w14:textId="77777777" w:rsidR="008E6A56" w:rsidRPr="008A3740" w:rsidRDefault="00B2463B"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August 26, 1997, the </w:t>
      </w:r>
      <w:r w:rsidR="008E6A56" w:rsidRPr="008A3740">
        <w:rPr>
          <w:rFonts w:ascii="Verdana" w:hAnsi="Verdana"/>
          <w:sz w:val="20"/>
          <w:szCs w:val="20"/>
          <w:lang w:val="en-US"/>
        </w:rPr>
        <w:t xml:space="preserve">Constitutional and Social Law </w:t>
      </w:r>
      <w:r w:rsidR="00811092" w:rsidRPr="008A3740">
        <w:rPr>
          <w:rFonts w:ascii="Verdana" w:hAnsi="Verdana"/>
          <w:sz w:val="20"/>
          <w:szCs w:val="20"/>
          <w:lang w:val="en-US"/>
        </w:rPr>
        <w:t>Chamber</w:t>
      </w:r>
      <w:r w:rsidR="00FA28B0" w:rsidRPr="008A3740">
        <w:rPr>
          <w:rFonts w:ascii="Verdana" w:hAnsi="Verdana"/>
          <w:sz w:val="20"/>
          <w:szCs w:val="20"/>
          <w:lang w:val="en-US"/>
        </w:rPr>
        <w:t xml:space="preserve"> </w:t>
      </w:r>
      <w:r w:rsidR="008E6A56" w:rsidRPr="008A3740">
        <w:rPr>
          <w:rFonts w:ascii="Verdana" w:hAnsi="Verdana"/>
          <w:sz w:val="20"/>
          <w:szCs w:val="20"/>
          <w:lang w:val="en-US"/>
        </w:rPr>
        <w:t>of the Supreme Court</w:t>
      </w:r>
      <w:r w:rsidR="00FA28B0" w:rsidRPr="008A3740">
        <w:rPr>
          <w:rFonts w:ascii="Verdana" w:hAnsi="Verdana"/>
          <w:sz w:val="20"/>
          <w:szCs w:val="20"/>
          <w:lang w:val="en-US"/>
        </w:rPr>
        <w:t xml:space="preserve"> </w:t>
      </w:r>
      <w:r w:rsidR="008E6A56" w:rsidRPr="008A3740">
        <w:rPr>
          <w:rFonts w:ascii="Verdana" w:hAnsi="Verdana"/>
          <w:sz w:val="20"/>
          <w:szCs w:val="20"/>
          <w:lang w:val="en-US"/>
        </w:rPr>
        <w:t>r</w:t>
      </w:r>
      <w:r w:rsidR="00FA28B0" w:rsidRPr="008A3740">
        <w:rPr>
          <w:rFonts w:ascii="Verdana" w:hAnsi="Verdana"/>
          <w:sz w:val="20"/>
          <w:szCs w:val="20"/>
          <w:lang w:val="en-US"/>
        </w:rPr>
        <w:t xml:space="preserve">uled on Mr. Muelle Flores’ appeal for </w:t>
      </w:r>
      <w:r w:rsidR="003C3077" w:rsidRPr="008A3740">
        <w:rPr>
          <w:rFonts w:ascii="Verdana" w:hAnsi="Verdana"/>
          <w:sz w:val="20"/>
          <w:szCs w:val="20"/>
          <w:lang w:val="en-US"/>
        </w:rPr>
        <w:t xml:space="preserve">a </w:t>
      </w:r>
      <w:r w:rsidR="00FA28B0" w:rsidRPr="008A3740">
        <w:rPr>
          <w:rFonts w:ascii="Verdana" w:hAnsi="Verdana"/>
          <w:sz w:val="20"/>
          <w:szCs w:val="20"/>
          <w:lang w:val="en-US"/>
        </w:rPr>
        <w:t xml:space="preserve">reversal of judgment and declared </w:t>
      </w:r>
      <w:r w:rsidR="003C3077" w:rsidRPr="008A3740">
        <w:rPr>
          <w:rFonts w:ascii="Verdana" w:hAnsi="Verdana"/>
          <w:sz w:val="20"/>
          <w:szCs w:val="20"/>
          <w:lang w:val="en-US"/>
        </w:rPr>
        <w:t xml:space="preserve">his </w:t>
      </w:r>
      <w:r w:rsidR="00FA28B0" w:rsidRPr="008A3740">
        <w:rPr>
          <w:rFonts w:ascii="Verdana" w:hAnsi="Verdana"/>
          <w:sz w:val="20"/>
          <w:szCs w:val="20"/>
          <w:lang w:val="en-US"/>
        </w:rPr>
        <w:t>appeal inadmissible.</w:t>
      </w:r>
      <w:r w:rsidR="008E6A56" w:rsidRPr="008A3740">
        <w:rPr>
          <w:rStyle w:val="Refdenotaalpie"/>
          <w:szCs w:val="20"/>
          <w:lang w:val="en-US"/>
        </w:rPr>
        <w:footnoteReference w:id="72"/>
      </w:r>
      <w:r w:rsidR="008E6A56" w:rsidRPr="008A3740">
        <w:rPr>
          <w:rFonts w:ascii="Verdana" w:hAnsi="Verdana"/>
          <w:sz w:val="20"/>
          <w:szCs w:val="20"/>
          <w:lang w:val="en-US"/>
        </w:rPr>
        <w:t xml:space="preserve"> </w:t>
      </w:r>
      <w:r w:rsidR="00FA28B0" w:rsidRPr="008A3740">
        <w:rPr>
          <w:rFonts w:ascii="Verdana" w:hAnsi="Verdana"/>
          <w:sz w:val="20"/>
          <w:szCs w:val="20"/>
          <w:lang w:val="en-US"/>
        </w:rPr>
        <w:t xml:space="preserve">In light of the ruling, </w:t>
      </w:r>
      <w:r w:rsidR="008E6A56" w:rsidRPr="008A3740">
        <w:rPr>
          <w:rFonts w:ascii="Verdana" w:hAnsi="Verdana"/>
          <w:sz w:val="20"/>
          <w:szCs w:val="20"/>
          <w:lang w:val="en-US"/>
        </w:rPr>
        <w:t xml:space="preserve">Mr. Muelle Flores </w:t>
      </w:r>
      <w:r w:rsidR="00FA28B0" w:rsidRPr="008A3740">
        <w:rPr>
          <w:rFonts w:ascii="Verdana" w:hAnsi="Verdana"/>
          <w:sz w:val="20"/>
          <w:szCs w:val="20"/>
          <w:lang w:val="en-US"/>
        </w:rPr>
        <w:t>filed an extraordinary</w:t>
      </w:r>
      <w:r w:rsidR="008E6A56" w:rsidRPr="008A3740">
        <w:rPr>
          <w:rFonts w:ascii="Verdana" w:hAnsi="Verdana"/>
          <w:sz w:val="20"/>
          <w:szCs w:val="20"/>
          <w:lang w:val="en-US"/>
        </w:rPr>
        <w:t xml:space="preserve"> </w:t>
      </w:r>
      <w:r w:rsidR="00FA28B0" w:rsidRPr="008A3740">
        <w:rPr>
          <w:rFonts w:ascii="Verdana" w:hAnsi="Verdana"/>
          <w:sz w:val="20"/>
          <w:szCs w:val="20"/>
          <w:lang w:val="en-US"/>
        </w:rPr>
        <w:t xml:space="preserve">appeal with </w:t>
      </w:r>
      <w:r w:rsidR="008E6A56" w:rsidRPr="008A3740">
        <w:rPr>
          <w:rFonts w:ascii="Verdana" w:hAnsi="Verdana"/>
          <w:sz w:val="20"/>
          <w:szCs w:val="20"/>
          <w:lang w:val="en-US"/>
        </w:rPr>
        <w:t xml:space="preserve">the Constitutional Court. </w:t>
      </w:r>
    </w:p>
    <w:p w14:paraId="59BD7233" w14:textId="77777777" w:rsidR="008E6A56" w:rsidRPr="008A3740" w:rsidRDefault="008E6A56" w:rsidP="008E6A56">
      <w:pPr>
        <w:tabs>
          <w:tab w:val="left" w:pos="567"/>
        </w:tabs>
        <w:rPr>
          <w:rFonts w:ascii="Verdana" w:hAnsi="Verdana"/>
          <w:sz w:val="20"/>
          <w:szCs w:val="20"/>
          <w:lang w:val="en-US"/>
        </w:rPr>
      </w:pPr>
    </w:p>
    <w:p w14:paraId="53D2E239"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December 10, 1999, the Constitutional Court revoked the decision </w:t>
      </w:r>
      <w:r w:rsidR="00367BC3" w:rsidRPr="008A3740">
        <w:rPr>
          <w:rFonts w:ascii="Verdana" w:hAnsi="Verdana"/>
          <w:sz w:val="20"/>
          <w:szCs w:val="20"/>
          <w:lang w:val="en-US"/>
        </w:rPr>
        <w:t xml:space="preserve">issued by </w:t>
      </w:r>
      <w:r w:rsidRPr="008A3740">
        <w:rPr>
          <w:rFonts w:ascii="Verdana" w:hAnsi="Verdana"/>
          <w:sz w:val="20"/>
          <w:szCs w:val="20"/>
          <w:lang w:val="en-US"/>
        </w:rPr>
        <w:t>the Supreme Court of Justice</w:t>
      </w:r>
      <w:r w:rsidR="003C3077" w:rsidRPr="008A3740">
        <w:rPr>
          <w:rFonts w:ascii="Verdana" w:hAnsi="Verdana"/>
          <w:sz w:val="20"/>
          <w:szCs w:val="20"/>
          <w:lang w:val="en-US"/>
        </w:rPr>
        <w:t xml:space="preserve"> and declared</w:t>
      </w:r>
      <w:r w:rsidRPr="008A3740">
        <w:rPr>
          <w:rFonts w:ascii="Verdana" w:hAnsi="Verdana"/>
          <w:sz w:val="20"/>
          <w:szCs w:val="20"/>
          <w:lang w:val="en-US"/>
        </w:rPr>
        <w:t xml:space="preserve"> </w:t>
      </w:r>
      <w:r w:rsidR="00367BC3" w:rsidRPr="008A3740">
        <w:rPr>
          <w:rFonts w:ascii="Verdana" w:hAnsi="Verdana"/>
          <w:sz w:val="20"/>
          <w:szCs w:val="20"/>
          <w:lang w:val="en-US"/>
        </w:rPr>
        <w:t xml:space="preserve">the second </w:t>
      </w:r>
      <w:r w:rsidR="00367BC3" w:rsidRPr="008A3740">
        <w:rPr>
          <w:rFonts w:ascii="Verdana" w:hAnsi="Verdana"/>
          <w:i/>
          <w:sz w:val="20"/>
          <w:szCs w:val="20"/>
          <w:lang w:val="en-US"/>
        </w:rPr>
        <w:t>amparo</w:t>
      </w:r>
      <w:r w:rsidR="003C3077" w:rsidRPr="008A3740">
        <w:rPr>
          <w:rFonts w:ascii="Verdana" w:hAnsi="Verdana"/>
          <w:sz w:val="20"/>
          <w:szCs w:val="20"/>
          <w:lang w:val="en-US"/>
        </w:rPr>
        <w:t xml:space="preserve"> suit</w:t>
      </w:r>
      <w:r w:rsidR="00367BC3" w:rsidRPr="008A3740">
        <w:rPr>
          <w:rFonts w:ascii="Verdana" w:hAnsi="Verdana"/>
          <w:sz w:val="20"/>
          <w:szCs w:val="20"/>
          <w:lang w:val="en-US"/>
        </w:rPr>
        <w:t xml:space="preserve"> </w:t>
      </w:r>
      <w:r w:rsidR="003C3077" w:rsidRPr="008A3740">
        <w:rPr>
          <w:rFonts w:ascii="Verdana" w:hAnsi="Verdana"/>
          <w:sz w:val="20"/>
          <w:szCs w:val="20"/>
          <w:lang w:val="en-US"/>
        </w:rPr>
        <w:t>well-founded</w:t>
      </w:r>
      <w:r w:rsidR="0092698A" w:rsidRPr="008A3740">
        <w:rPr>
          <w:rFonts w:ascii="Verdana" w:hAnsi="Verdana"/>
          <w:sz w:val="20"/>
          <w:szCs w:val="20"/>
          <w:lang w:val="en-US"/>
        </w:rPr>
        <w:t xml:space="preserve">. </w:t>
      </w:r>
      <w:r w:rsidR="0029571A" w:rsidRPr="008A3740">
        <w:rPr>
          <w:rFonts w:ascii="Verdana" w:hAnsi="Verdana"/>
          <w:sz w:val="20"/>
          <w:szCs w:val="20"/>
          <w:lang w:val="en-US"/>
        </w:rPr>
        <w:t>T</w:t>
      </w:r>
      <w:r w:rsidR="0092698A" w:rsidRPr="008A3740">
        <w:rPr>
          <w:rFonts w:ascii="Verdana" w:hAnsi="Verdana"/>
          <w:sz w:val="20"/>
          <w:szCs w:val="20"/>
          <w:lang w:val="en-US"/>
        </w:rPr>
        <w:t xml:space="preserve">he Constitutional Court </w:t>
      </w:r>
      <w:r w:rsidR="00BC1F45" w:rsidRPr="008A3740">
        <w:rPr>
          <w:rFonts w:ascii="Verdana" w:hAnsi="Verdana"/>
          <w:sz w:val="20"/>
          <w:szCs w:val="20"/>
          <w:lang w:val="en-US"/>
        </w:rPr>
        <w:t xml:space="preserve">considered </w:t>
      </w:r>
      <w:r w:rsidR="0092698A" w:rsidRPr="008A3740">
        <w:rPr>
          <w:rFonts w:ascii="Verdana" w:hAnsi="Verdana"/>
          <w:sz w:val="20"/>
          <w:szCs w:val="20"/>
          <w:lang w:val="en-US"/>
        </w:rPr>
        <w:t xml:space="preserve">that the </w:t>
      </w:r>
      <w:r w:rsidRPr="008A3740">
        <w:rPr>
          <w:rFonts w:ascii="Verdana" w:hAnsi="Verdana"/>
          <w:sz w:val="20"/>
          <w:szCs w:val="20"/>
          <w:lang w:val="en-US"/>
        </w:rPr>
        <w:t xml:space="preserve">pension rights acquired by the plaintiff </w:t>
      </w:r>
      <w:r w:rsidR="00367BC3" w:rsidRPr="008A3740">
        <w:rPr>
          <w:rFonts w:ascii="Verdana" w:hAnsi="Verdana"/>
          <w:sz w:val="20"/>
          <w:szCs w:val="20"/>
          <w:lang w:val="en-US"/>
        </w:rPr>
        <w:t xml:space="preserve">under </w:t>
      </w:r>
      <w:r w:rsidRPr="008A3740">
        <w:rPr>
          <w:rFonts w:ascii="Verdana" w:hAnsi="Verdana"/>
          <w:sz w:val="20"/>
          <w:szCs w:val="20"/>
          <w:lang w:val="en-US"/>
        </w:rPr>
        <w:t>Decree Law No. 20530 c</w:t>
      </w:r>
      <w:r w:rsidR="0029571A" w:rsidRPr="008A3740">
        <w:rPr>
          <w:rFonts w:ascii="Verdana" w:hAnsi="Verdana"/>
          <w:sz w:val="20"/>
          <w:szCs w:val="20"/>
          <w:lang w:val="en-US"/>
        </w:rPr>
        <w:t xml:space="preserve">ould not be disregarded </w:t>
      </w:r>
      <w:r w:rsidR="0092698A" w:rsidRPr="008A3740">
        <w:rPr>
          <w:rFonts w:ascii="Verdana" w:hAnsi="Verdana"/>
          <w:sz w:val="20"/>
          <w:szCs w:val="20"/>
          <w:lang w:val="en-US"/>
        </w:rPr>
        <w:t xml:space="preserve">by the defendant </w:t>
      </w:r>
      <w:r w:rsidR="0029571A" w:rsidRPr="008A3740">
        <w:rPr>
          <w:rFonts w:ascii="Verdana" w:hAnsi="Verdana"/>
          <w:sz w:val="20"/>
          <w:szCs w:val="20"/>
          <w:lang w:val="en-US"/>
        </w:rPr>
        <w:t>(</w:t>
      </w:r>
      <w:r w:rsidR="0092698A" w:rsidRPr="008A3740">
        <w:rPr>
          <w:rFonts w:ascii="Verdana" w:hAnsi="Verdana"/>
          <w:sz w:val="20"/>
          <w:szCs w:val="20"/>
          <w:lang w:val="en-US"/>
        </w:rPr>
        <w:t>company</w:t>
      </w:r>
      <w:r w:rsidR="0029571A" w:rsidRPr="008A3740">
        <w:rPr>
          <w:rFonts w:ascii="Verdana" w:hAnsi="Verdana"/>
          <w:sz w:val="20"/>
          <w:szCs w:val="20"/>
          <w:lang w:val="en-US"/>
        </w:rPr>
        <w:t>) unilaterally and</w:t>
      </w:r>
      <w:r w:rsidR="0092698A" w:rsidRPr="008A3740">
        <w:rPr>
          <w:rFonts w:ascii="Verdana" w:hAnsi="Verdana"/>
          <w:sz w:val="20"/>
          <w:szCs w:val="20"/>
          <w:lang w:val="en-US"/>
        </w:rPr>
        <w:t xml:space="preserve"> </w:t>
      </w:r>
      <w:r w:rsidR="0029571A" w:rsidRPr="008A3740">
        <w:rPr>
          <w:rFonts w:ascii="Verdana" w:hAnsi="Verdana"/>
          <w:sz w:val="20"/>
          <w:szCs w:val="20"/>
          <w:lang w:val="en-US"/>
        </w:rPr>
        <w:t>extemporaneously, that is, outside the six-month term</w:t>
      </w:r>
      <w:r w:rsidRPr="008A3740">
        <w:rPr>
          <w:rFonts w:ascii="Verdana" w:hAnsi="Verdana"/>
          <w:sz w:val="20"/>
          <w:szCs w:val="20"/>
          <w:lang w:val="en-US"/>
        </w:rPr>
        <w:t xml:space="preserve"> </w:t>
      </w:r>
      <w:r w:rsidR="00BC1F45" w:rsidRPr="008A3740">
        <w:rPr>
          <w:rFonts w:ascii="Verdana" w:hAnsi="Verdana"/>
          <w:sz w:val="20"/>
          <w:szCs w:val="20"/>
          <w:lang w:val="en-US"/>
        </w:rPr>
        <w:t xml:space="preserve">allotted to the management to declare the annulment of </w:t>
      </w:r>
      <w:r w:rsidR="0029571A" w:rsidRPr="008A3740">
        <w:rPr>
          <w:rFonts w:ascii="Verdana" w:hAnsi="Verdana"/>
          <w:sz w:val="20"/>
          <w:szCs w:val="20"/>
          <w:lang w:val="en-US"/>
        </w:rPr>
        <w:t>administrative</w:t>
      </w:r>
      <w:r w:rsidRPr="008A3740">
        <w:rPr>
          <w:rFonts w:ascii="Verdana" w:hAnsi="Verdana"/>
          <w:sz w:val="20"/>
          <w:szCs w:val="20"/>
          <w:lang w:val="en-US"/>
        </w:rPr>
        <w:t xml:space="preserve"> </w:t>
      </w:r>
      <w:r w:rsidR="00B227F3" w:rsidRPr="008A3740">
        <w:rPr>
          <w:rFonts w:ascii="Verdana" w:hAnsi="Verdana"/>
          <w:sz w:val="20"/>
          <w:szCs w:val="20"/>
          <w:lang w:val="en-US"/>
        </w:rPr>
        <w:t>decisions</w:t>
      </w:r>
      <w:r w:rsidR="0092698A" w:rsidRPr="008A3740">
        <w:rPr>
          <w:rFonts w:ascii="Verdana" w:hAnsi="Verdana"/>
          <w:sz w:val="20"/>
          <w:szCs w:val="20"/>
          <w:lang w:val="en-US"/>
        </w:rPr>
        <w:t>, thereby d</w:t>
      </w:r>
      <w:r w:rsidR="0029571A" w:rsidRPr="008A3740">
        <w:rPr>
          <w:rFonts w:ascii="Verdana" w:hAnsi="Verdana"/>
          <w:sz w:val="20"/>
          <w:szCs w:val="20"/>
          <w:lang w:val="en-US"/>
        </w:rPr>
        <w:t xml:space="preserve">isregarding </w:t>
      </w:r>
      <w:r w:rsidR="0092698A" w:rsidRPr="008A3740">
        <w:rPr>
          <w:rFonts w:ascii="Verdana" w:hAnsi="Verdana"/>
          <w:sz w:val="20"/>
          <w:szCs w:val="20"/>
          <w:lang w:val="en-US"/>
        </w:rPr>
        <w:t xml:space="preserve">labor </w:t>
      </w:r>
      <w:r w:rsidRPr="008A3740">
        <w:rPr>
          <w:rFonts w:ascii="Verdana" w:hAnsi="Verdana"/>
          <w:sz w:val="20"/>
          <w:szCs w:val="20"/>
          <w:lang w:val="en-US"/>
        </w:rPr>
        <w:t xml:space="preserve">rights </w:t>
      </w:r>
      <w:r w:rsidR="0092698A" w:rsidRPr="008A3740">
        <w:rPr>
          <w:rFonts w:ascii="Verdana" w:hAnsi="Verdana"/>
          <w:sz w:val="20"/>
          <w:szCs w:val="20"/>
          <w:lang w:val="en-US"/>
        </w:rPr>
        <w:t xml:space="preserve">and </w:t>
      </w:r>
      <w:r w:rsidRPr="008A3740">
        <w:rPr>
          <w:rFonts w:ascii="Verdana" w:hAnsi="Verdana"/>
          <w:sz w:val="20"/>
          <w:szCs w:val="20"/>
          <w:lang w:val="en-US"/>
        </w:rPr>
        <w:t xml:space="preserve">principles </w:t>
      </w:r>
      <w:r w:rsidR="0092698A" w:rsidRPr="008A3740">
        <w:rPr>
          <w:rFonts w:ascii="Verdana" w:hAnsi="Verdana"/>
          <w:sz w:val="20"/>
          <w:szCs w:val="20"/>
          <w:lang w:val="en-US"/>
        </w:rPr>
        <w:t xml:space="preserve">of </w:t>
      </w:r>
      <w:r w:rsidRPr="008A3740">
        <w:rPr>
          <w:rFonts w:ascii="Verdana" w:hAnsi="Verdana"/>
          <w:sz w:val="20"/>
          <w:szCs w:val="20"/>
          <w:lang w:val="en-US"/>
        </w:rPr>
        <w:t>constitutional</w:t>
      </w:r>
      <w:r w:rsidR="00B227F3" w:rsidRPr="008A3740">
        <w:rPr>
          <w:rFonts w:ascii="Verdana" w:hAnsi="Verdana"/>
          <w:sz w:val="20"/>
          <w:szCs w:val="20"/>
          <w:lang w:val="en-US"/>
        </w:rPr>
        <w:t xml:space="preserve"> rank</w:t>
      </w:r>
      <w:r w:rsidRPr="008A3740">
        <w:rPr>
          <w:rFonts w:ascii="Verdana" w:hAnsi="Verdana"/>
          <w:sz w:val="20"/>
          <w:szCs w:val="20"/>
          <w:lang w:val="en-US"/>
        </w:rPr>
        <w:t xml:space="preserve">. The Judgment </w:t>
      </w:r>
      <w:r w:rsidR="0029571A" w:rsidRPr="008A3740">
        <w:rPr>
          <w:rFonts w:ascii="Verdana" w:hAnsi="Verdana"/>
          <w:sz w:val="20"/>
          <w:szCs w:val="20"/>
          <w:lang w:val="en-US"/>
        </w:rPr>
        <w:t xml:space="preserve">emphasized that the only way to </w:t>
      </w:r>
      <w:r w:rsidRPr="008A3740">
        <w:rPr>
          <w:rFonts w:ascii="Verdana" w:hAnsi="Verdana"/>
          <w:sz w:val="20"/>
          <w:szCs w:val="20"/>
          <w:lang w:val="en-US"/>
        </w:rPr>
        <w:t>determin</w:t>
      </w:r>
      <w:r w:rsidR="0092698A" w:rsidRPr="008A3740">
        <w:rPr>
          <w:rFonts w:ascii="Verdana" w:hAnsi="Verdana"/>
          <w:sz w:val="20"/>
          <w:szCs w:val="20"/>
          <w:lang w:val="en-US"/>
        </w:rPr>
        <w:t xml:space="preserve">e </w:t>
      </w:r>
      <w:r w:rsidR="00B227F3" w:rsidRPr="008A3740">
        <w:rPr>
          <w:rFonts w:ascii="Verdana" w:hAnsi="Verdana"/>
          <w:sz w:val="20"/>
          <w:szCs w:val="20"/>
          <w:lang w:val="en-US"/>
        </w:rPr>
        <w:t xml:space="preserve">the nullity of </w:t>
      </w:r>
      <w:r w:rsidR="0029571A" w:rsidRPr="008A3740">
        <w:rPr>
          <w:rFonts w:ascii="Verdana" w:hAnsi="Verdana"/>
          <w:sz w:val="20"/>
          <w:szCs w:val="20"/>
          <w:lang w:val="en-US"/>
        </w:rPr>
        <w:t xml:space="preserve">resolutions constituting </w:t>
      </w:r>
      <w:r w:rsidR="0083711C" w:rsidRPr="008A3740">
        <w:rPr>
          <w:rFonts w:ascii="Verdana" w:hAnsi="Verdana"/>
          <w:i/>
          <w:sz w:val="20"/>
          <w:szCs w:val="20"/>
          <w:lang w:val="en-US"/>
        </w:rPr>
        <w:t xml:space="preserve">res </w:t>
      </w:r>
      <w:r w:rsidR="0029571A" w:rsidRPr="008A3740">
        <w:rPr>
          <w:rFonts w:ascii="Verdana" w:hAnsi="Verdana"/>
          <w:i/>
          <w:sz w:val="20"/>
          <w:szCs w:val="20"/>
          <w:lang w:val="en-US"/>
        </w:rPr>
        <w:t xml:space="preserve">judicata, </w:t>
      </w:r>
      <w:r w:rsidR="0029571A" w:rsidRPr="008A3740">
        <w:rPr>
          <w:rFonts w:ascii="Verdana" w:hAnsi="Verdana"/>
          <w:sz w:val="20"/>
          <w:szCs w:val="20"/>
          <w:lang w:val="en-US"/>
        </w:rPr>
        <w:t>which</w:t>
      </w:r>
      <w:r w:rsidR="0029571A" w:rsidRPr="008A3740">
        <w:rPr>
          <w:rFonts w:ascii="Verdana" w:hAnsi="Verdana"/>
          <w:i/>
          <w:sz w:val="20"/>
          <w:szCs w:val="20"/>
          <w:lang w:val="en-US"/>
        </w:rPr>
        <w:t xml:space="preserve"> </w:t>
      </w:r>
      <w:r w:rsidR="0029571A" w:rsidRPr="008A3740">
        <w:rPr>
          <w:rFonts w:ascii="Verdana" w:hAnsi="Verdana"/>
          <w:sz w:val="20"/>
          <w:szCs w:val="20"/>
          <w:lang w:val="en-US"/>
        </w:rPr>
        <w:t>were immutable, was through</w:t>
      </w:r>
      <w:r w:rsidR="0092698A" w:rsidRPr="008A3740">
        <w:rPr>
          <w:rFonts w:ascii="Verdana" w:hAnsi="Verdana"/>
          <w:sz w:val="20"/>
          <w:szCs w:val="20"/>
          <w:lang w:val="en-US"/>
        </w:rPr>
        <w:t xml:space="preserve"> </w:t>
      </w:r>
      <w:r w:rsidRPr="008A3740">
        <w:rPr>
          <w:rFonts w:ascii="Verdana" w:hAnsi="Verdana"/>
          <w:sz w:val="20"/>
          <w:szCs w:val="20"/>
          <w:lang w:val="en-US"/>
        </w:rPr>
        <w:t xml:space="preserve">regular </w:t>
      </w:r>
      <w:r w:rsidR="0092698A" w:rsidRPr="008A3740">
        <w:rPr>
          <w:rFonts w:ascii="Verdana" w:hAnsi="Verdana"/>
          <w:sz w:val="20"/>
          <w:szCs w:val="20"/>
          <w:lang w:val="en-US"/>
        </w:rPr>
        <w:t>proceeding</w:t>
      </w:r>
      <w:r w:rsidR="0029571A" w:rsidRPr="008A3740">
        <w:rPr>
          <w:rFonts w:ascii="Verdana" w:hAnsi="Verdana"/>
          <w:sz w:val="20"/>
          <w:szCs w:val="20"/>
          <w:lang w:val="en-US"/>
        </w:rPr>
        <w:t>s before a competent court</w:t>
      </w:r>
      <w:r w:rsidRPr="008A3740">
        <w:rPr>
          <w:rFonts w:ascii="Verdana" w:hAnsi="Verdana"/>
          <w:sz w:val="20"/>
          <w:szCs w:val="20"/>
          <w:lang w:val="en-US"/>
        </w:rPr>
        <w:t>.</w:t>
      </w:r>
      <w:r w:rsidRPr="008A3740">
        <w:rPr>
          <w:rStyle w:val="Refdenotaalpie"/>
          <w:szCs w:val="20"/>
          <w:lang w:val="en-US"/>
        </w:rPr>
        <w:footnoteReference w:id="73"/>
      </w:r>
      <w:r w:rsidRPr="008A3740">
        <w:rPr>
          <w:rFonts w:ascii="Verdana" w:hAnsi="Verdana"/>
          <w:sz w:val="20"/>
          <w:szCs w:val="20"/>
          <w:lang w:val="en-US"/>
        </w:rPr>
        <w:t xml:space="preserve"> </w:t>
      </w:r>
    </w:p>
    <w:p w14:paraId="5C3D7A6C" w14:textId="77777777" w:rsidR="008E6A56" w:rsidRPr="008A3740" w:rsidRDefault="008E6A56" w:rsidP="008E6A56">
      <w:pPr>
        <w:pStyle w:val="Prrafodelista"/>
        <w:rPr>
          <w:rFonts w:ascii="Verdana" w:hAnsi="Verdana"/>
          <w:sz w:val="20"/>
          <w:szCs w:val="20"/>
          <w:lang w:val="en-US"/>
        </w:rPr>
      </w:pPr>
    </w:p>
    <w:p w14:paraId="3D8E79A5"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The Constitutional Court de</w:t>
      </w:r>
      <w:r w:rsidR="00266200" w:rsidRPr="008A3740">
        <w:rPr>
          <w:rFonts w:ascii="Verdana" w:hAnsi="Verdana"/>
          <w:sz w:val="20"/>
          <w:szCs w:val="20"/>
          <w:lang w:val="en-US"/>
        </w:rPr>
        <w:t xml:space="preserve">clared </w:t>
      </w:r>
      <w:r w:rsidRPr="008A3740">
        <w:rPr>
          <w:rFonts w:ascii="Verdana" w:hAnsi="Verdana"/>
          <w:sz w:val="20"/>
          <w:szCs w:val="20"/>
          <w:lang w:val="en-US"/>
        </w:rPr>
        <w:t xml:space="preserve">that Board </w:t>
      </w:r>
      <w:r w:rsidR="0092698A" w:rsidRPr="008A3740">
        <w:rPr>
          <w:rFonts w:ascii="Verdana" w:hAnsi="Verdana"/>
          <w:sz w:val="20"/>
          <w:szCs w:val="20"/>
          <w:lang w:val="en-US"/>
        </w:rPr>
        <w:t>of Directors Decision</w:t>
      </w:r>
      <w:r w:rsidRPr="008A3740">
        <w:rPr>
          <w:rFonts w:ascii="Verdana" w:hAnsi="Verdana"/>
          <w:sz w:val="20"/>
          <w:szCs w:val="20"/>
          <w:lang w:val="en-US"/>
        </w:rPr>
        <w:t xml:space="preserve"> No. 023/9</w:t>
      </w:r>
      <w:r w:rsidR="00266200" w:rsidRPr="008A3740">
        <w:rPr>
          <w:rFonts w:ascii="Verdana" w:hAnsi="Verdana"/>
          <w:sz w:val="20"/>
          <w:szCs w:val="20"/>
          <w:lang w:val="en-US"/>
        </w:rPr>
        <w:t>3 of February 17, 1993, was in</w:t>
      </w:r>
      <w:r w:rsidRPr="008A3740">
        <w:rPr>
          <w:rFonts w:ascii="Verdana" w:hAnsi="Verdana"/>
          <w:sz w:val="20"/>
          <w:szCs w:val="20"/>
          <w:lang w:val="en-US"/>
        </w:rPr>
        <w:t xml:space="preserve">applicable </w:t>
      </w:r>
      <w:r w:rsidR="0092698A" w:rsidRPr="008A3740">
        <w:rPr>
          <w:rFonts w:ascii="Verdana" w:hAnsi="Verdana"/>
          <w:sz w:val="20"/>
          <w:szCs w:val="20"/>
          <w:lang w:val="en-US"/>
        </w:rPr>
        <w:t xml:space="preserve">to the petitioner </w:t>
      </w:r>
      <w:r w:rsidRPr="008A3740">
        <w:rPr>
          <w:rFonts w:ascii="Verdana" w:hAnsi="Verdana"/>
          <w:sz w:val="20"/>
          <w:szCs w:val="20"/>
          <w:lang w:val="en-US"/>
        </w:rPr>
        <w:t xml:space="preserve">and ordered </w:t>
      </w:r>
      <w:r w:rsidR="00B227F3" w:rsidRPr="008A3740">
        <w:rPr>
          <w:rFonts w:ascii="Verdana" w:hAnsi="Verdana"/>
          <w:sz w:val="20"/>
          <w:szCs w:val="20"/>
          <w:lang w:val="en-US"/>
        </w:rPr>
        <w:t xml:space="preserve">the company to </w:t>
      </w:r>
      <w:r w:rsidRPr="008A3740">
        <w:rPr>
          <w:rFonts w:ascii="Verdana" w:hAnsi="Verdana"/>
          <w:sz w:val="20"/>
          <w:szCs w:val="20"/>
          <w:lang w:val="en-US"/>
        </w:rPr>
        <w:t>co</w:t>
      </w:r>
      <w:r w:rsidR="00B227F3" w:rsidRPr="008A3740">
        <w:rPr>
          <w:rFonts w:ascii="Verdana" w:hAnsi="Verdana"/>
          <w:sz w:val="20"/>
          <w:szCs w:val="20"/>
          <w:lang w:val="en-US"/>
        </w:rPr>
        <w:t>mply with the continued payment of</w:t>
      </w:r>
      <w:r w:rsidR="00266200" w:rsidRPr="008A3740">
        <w:rPr>
          <w:rFonts w:ascii="Verdana" w:hAnsi="Verdana"/>
          <w:sz w:val="20"/>
          <w:szCs w:val="20"/>
          <w:lang w:val="en-US"/>
        </w:rPr>
        <w:t xml:space="preserve"> </w:t>
      </w:r>
      <w:r w:rsidR="0092698A" w:rsidRPr="008A3740">
        <w:rPr>
          <w:rFonts w:ascii="Verdana" w:hAnsi="Verdana"/>
          <w:sz w:val="20"/>
          <w:szCs w:val="20"/>
          <w:lang w:val="en-US"/>
        </w:rPr>
        <w:t xml:space="preserve">the </w:t>
      </w:r>
      <w:r w:rsidR="00266200" w:rsidRPr="008A3740">
        <w:rPr>
          <w:rFonts w:ascii="Verdana" w:hAnsi="Verdana"/>
          <w:sz w:val="20"/>
          <w:szCs w:val="20"/>
          <w:lang w:val="en-US"/>
        </w:rPr>
        <w:t xml:space="preserve">adjustable </w:t>
      </w:r>
      <w:r w:rsidR="0092698A" w:rsidRPr="008A3740">
        <w:rPr>
          <w:rFonts w:ascii="Verdana" w:hAnsi="Verdana"/>
          <w:sz w:val="20"/>
          <w:szCs w:val="20"/>
          <w:lang w:val="en-US"/>
        </w:rPr>
        <w:t xml:space="preserve">retirement pension </w:t>
      </w:r>
      <w:r w:rsidRPr="008A3740">
        <w:rPr>
          <w:rFonts w:ascii="Verdana" w:hAnsi="Verdana"/>
          <w:sz w:val="20"/>
          <w:szCs w:val="20"/>
          <w:lang w:val="en-US"/>
        </w:rPr>
        <w:t>that Mr. Muelle Flores</w:t>
      </w:r>
      <w:r w:rsidR="0092698A" w:rsidRPr="008A3740">
        <w:rPr>
          <w:rFonts w:ascii="Verdana" w:hAnsi="Verdana"/>
          <w:sz w:val="20"/>
          <w:szCs w:val="20"/>
          <w:lang w:val="en-US"/>
        </w:rPr>
        <w:t xml:space="preserve"> had been receiving</w:t>
      </w:r>
      <w:r w:rsidR="00266200" w:rsidRPr="008A3740">
        <w:rPr>
          <w:rFonts w:ascii="Verdana" w:hAnsi="Verdana"/>
          <w:sz w:val="20"/>
          <w:szCs w:val="20"/>
          <w:lang w:val="en-US"/>
        </w:rPr>
        <w:t>. It also</w:t>
      </w:r>
      <w:r w:rsidRPr="008A3740">
        <w:rPr>
          <w:rFonts w:ascii="Verdana" w:hAnsi="Verdana"/>
          <w:sz w:val="20"/>
          <w:szCs w:val="20"/>
          <w:lang w:val="en-US"/>
        </w:rPr>
        <w:t xml:space="preserve"> declared </w:t>
      </w:r>
      <w:r w:rsidR="0083711C" w:rsidRPr="008A3740">
        <w:rPr>
          <w:rFonts w:ascii="Verdana" w:hAnsi="Verdana"/>
          <w:sz w:val="20"/>
          <w:szCs w:val="20"/>
          <w:lang w:val="en-US"/>
        </w:rPr>
        <w:t xml:space="preserve">that </w:t>
      </w:r>
      <w:r w:rsidR="00B227F3" w:rsidRPr="008A3740">
        <w:rPr>
          <w:rFonts w:ascii="Verdana" w:hAnsi="Verdana"/>
          <w:sz w:val="20"/>
          <w:szCs w:val="20"/>
          <w:lang w:val="en-US"/>
        </w:rPr>
        <w:t xml:space="preserve">the request for </w:t>
      </w:r>
      <w:r w:rsidRPr="008A3740">
        <w:rPr>
          <w:rFonts w:ascii="Verdana" w:hAnsi="Verdana"/>
          <w:sz w:val="20"/>
          <w:szCs w:val="20"/>
          <w:lang w:val="en-US"/>
        </w:rPr>
        <w:t>compensation</w:t>
      </w:r>
      <w:r w:rsidR="0083711C" w:rsidRPr="008A3740">
        <w:rPr>
          <w:rFonts w:ascii="Verdana" w:hAnsi="Verdana"/>
          <w:sz w:val="20"/>
          <w:szCs w:val="20"/>
          <w:lang w:val="en-US"/>
        </w:rPr>
        <w:t xml:space="preserve"> was inadmissible</w:t>
      </w:r>
      <w:r w:rsidRPr="008A3740">
        <w:rPr>
          <w:rFonts w:ascii="Verdana" w:hAnsi="Verdana"/>
          <w:sz w:val="20"/>
          <w:szCs w:val="20"/>
          <w:lang w:val="en-US"/>
        </w:rPr>
        <w:t>.</w:t>
      </w:r>
      <w:r w:rsidRPr="008A3740">
        <w:rPr>
          <w:rStyle w:val="Refdenotaalpie"/>
          <w:szCs w:val="20"/>
          <w:lang w:val="en-US"/>
        </w:rPr>
        <w:footnoteReference w:id="74"/>
      </w:r>
      <w:r w:rsidRPr="008A3740">
        <w:rPr>
          <w:rFonts w:ascii="Verdana" w:hAnsi="Verdana"/>
          <w:sz w:val="20"/>
          <w:szCs w:val="20"/>
          <w:lang w:val="en-US"/>
        </w:rPr>
        <w:t xml:space="preserve"> </w:t>
      </w:r>
    </w:p>
    <w:p w14:paraId="1DDD84D0" w14:textId="77777777" w:rsidR="008E6A56" w:rsidRPr="008A3740" w:rsidRDefault="008E6A56" w:rsidP="008E6A56">
      <w:pPr>
        <w:rPr>
          <w:rFonts w:ascii="Verdana" w:hAnsi="Verdana"/>
          <w:sz w:val="20"/>
          <w:szCs w:val="20"/>
          <w:lang w:val="en-US"/>
        </w:rPr>
      </w:pPr>
    </w:p>
    <w:p w14:paraId="563CD92E" w14:textId="77777777" w:rsidR="008E6A56" w:rsidRPr="008A3740" w:rsidRDefault="0092698A" w:rsidP="008E6A56">
      <w:pPr>
        <w:pStyle w:val="Ttulo2"/>
        <w:tabs>
          <w:tab w:val="clear" w:pos="360"/>
        </w:tabs>
        <w:ind w:hanging="360"/>
        <w:rPr>
          <w:lang w:val="en-US"/>
        </w:rPr>
      </w:pPr>
      <w:bookmarkStart w:id="76" w:name="_Toc5009873"/>
      <w:r w:rsidRPr="008A3740">
        <w:rPr>
          <w:lang w:val="en-US"/>
        </w:rPr>
        <w:t>Content</w:t>
      </w:r>
      <w:r w:rsidR="008E6A56" w:rsidRPr="008A3740">
        <w:rPr>
          <w:lang w:val="en-US"/>
        </w:rPr>
        <w:t>io</w:t>
      </w:r>
      <w:r w:rsidRPr="008A3740">
        <w:rPr>
          <w:lang w:val="en-US"/>
        </w:rPr>
        <w:t>us-</w:t>
      </w:r>
      <w:r w:rsidR="008E6A56" w:rsidRPr="008A3740">
        <w:rPr>
          <w:lang w:val="en-US"/>
        </w:rPr>
        <w:t>administrative</w:t>
      </w:r>
      <w:bookmarkEnd w:id="76"/>
      <w:r w:rsidRPr="008A3740">
        <w:rPr>
          <w:lang w:val="en-US"/>
        </w:rPr>
        <w:t xml:space="preserve"> proceeding</w:t>
      </w:r>
      <w:r w:rsidR="008E6A56" w:rsidRPr="008A3740">
        <w:rPr>
          <w:lang w:val="en-US"/>
        </w:rPr>
        <w:t xml:space="preserve"> </w:t>
      </w:r>
    </w:p>
    <w:p w14:paraId="7764ADB2" w14:textId="77777777" w:rsidR="008E6A56" w:rsidRPr="008A3740" w:rsidRDefault="008E6A56" w:rsidP="008E6A56">
      <w:pPr>
        <w:tabs>
          <w:tab w:val="left" w:pos="567"/>
        </w:tabs>
        <w:rPr>
          <w:rFonts w:ascii="Verdana" w:hAnsi="Verdana"/>
          <w:sz w:val="20"/>
          <w:szCs w:val="20"/>
          <w:lang w:val="en-US"/>
        </w:rPr>
      </w:pPr>
    </w:p>
    <w:p w14:paraId="6C688CC2"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w:t>
      </w:r>
      <w:r w:rsidR="0092698A" w:rsidRPr="008A3740">
        <w:rPr>
          <w:rFonts w:ascii="Verdana" w:hAnsi="Verdana"/>
          <w:sz w:val="20"/>
          <w:szCs w:val="20"/>
          <w:lang w:val="en-US"/>
        </w:rPr>
        <w:t>State</w:t>
      </w:r>
      <w:r w:rsidR="00584DDE" w:rsidRPr="008A3740">
        <w:rPr>
          <w:rFonts w:ascii="Verdana" w:hAnsi="Verdana"/>
          <w:sz w:val="20"/>
          <w:szCs w:val="20"/>
          <w:lang w:val="en-US"/>
        </w:rPr>
        <w:t>-owned</w:t>
      </w:r>
      <w:r w:rsidR="0092698A" w:rsidRPr="008A3740">
        <w:rPr>
          <w:rFonts w:ascii="Verdana" w:hAnsi="Verdana"/>
          <w:sz w:val="20"/>
          <w:szCs w:val="20"/>
          <w:lang w:val="en-US"/>
        </w:rPr>
        <w:t xml:space="preserve"> </w:t>
      </w:r>
      <w:r w:rsidRPr="008A3740">
        <w:rPr>
          <w:rFonts w:ascii="Verdana" w:hAnsi="Verdana"/>
          <w:sz w:val="20"/>
          <w:szCs w:val="20"/>
          <w:lang w:val="en-US"/>
        </w:rPr>
        <w:t xml:space="preserve">company Tintaya S.A. filed </w:t>
      </w:r>
      <w:r w:rsidR="00485EC8" w:rsidRPr="008A3740">
        <w:rPr>
          <w:rFonts w:ascii="Verdana" w:hAnsi="Verdana"/>
          <w:sz w:val="20"/>
          <w:szCs w:val="20"/>
          <w:lang w:val="en-US"/>
        </w:rPr>
        <w:t xml:space="preserve">suit </w:t>
      </w:r>
      <w:r w:rsidR="00266200" w:rsidRPr="008A3740">
        <w:rPr>
          <w:rFonts w:ascii="Verdana" w:hAnsi="Verdana"/>
          <w:sz w:val="20"/>
          <w:szCs w:val="20"/>
          <w:lang w:val="en-US"/>
        </w:rPr>
        <w:t xml:space="preserve">in </w:t>
      </w:r>
      <w:r w:rsidR="0092698A" w:rsidRPr="008A3740">
        <w:rPr>
          <w:rFonts w:ascii="Verdana" w:hAnsi="Verdana"/>
          <w:sz w:val="20"/>
          <w:szCs w:val="20"/>
          <w:lang w:val="en-US"/>
        </w:rPr>
        <w:t xml:space="preserve">the administrative courts </w:t>
      </w:r>
      <w:r w:rsidR="00485EC8" w:rsidRPr="008A3740">
        <w:rPr>
          <w:rFonts w:ascii="Verdana" w:hAnsi="Verdana"/>
          <w:sz w:val="20"/>
          <w:szCs w:val="20"/>
          <w:lang w:val="en-US"/>
        </w:rPr>
        <w:t xml:space="preserve">requesting that </w:t>
      </w:r>
      <w:r w:rsidR="007657B8" w:rsidRPr="008A3740">
        <w:rPr>
          <w:rFonts w:ascii="Verdana" w:hAnsi="Verdana"/>
          <w:sz w:val="20"/>
          <w:szCs w:val="20"/>
          <w:lang w:val="en-US"/>
        </w:rPr>
        <w:t xml:space="preserve">that </w:t>
      </w:r>
      <w:r w:rsidR="001E7323" w:rsidRPr="008A3740">
        <w:rPr>
          <w:rFonts w:ascii="Verdana" w:hAnsi="Verdana"/>
          <w:sz w:val="20"/>
          <w:szCs w:val="20"/>
          <w:lang w:val="en-US"/>
        </w:rPr>
        <w:t>Mr. Muelle Flores</w:t>
      </w:r>
      <w:r w:rsidR="00266200" w:rsidRPr="008A3740">
        <w:rPr>
          <w:rFonts w:ascii="Verdana" w:hAnsi="Verdana"/>
          <w:sz w:val="20"/>
          <w:szCs w:val="20"/>
          <w:lang w:val="en-US"/>
        </w:rPr>
        <w:t xml:space="preserve">’ reincorporation </w:t>
      </w:r>
      <w:r w:rsidR="001E7323" w:rsidRPr="008A3740">
        <w:rPr>
          <w:rFonts w:ascii="Verdana" w:hAnsi="Verdana"/>
          <w:sz w:val="20"/>
          <w:szCs w:val="20"/>
          <w:lang w:val="en-US"/>
        </w:rPr>
        <w:t>in</w:t>
      </w:r>
      <w:r w:rsidR="00266200" w:rsidRPr="008A3740">
        <w:rPr>
          <w:rFonts w:ascii="Verdana" w:hAnsi="Verdana"/>
          <w:sz w:val="20"/>
          <w:szCs w:val="20"/>
          <w:lang w:val="en-US"/>
        </w:rPr>
        <w:t>to</w:t>
      </w:r>
      <w:r w:rsidR="001E7323" w:rsidRPr="008A3740">
        <w:rPr>
          <w:rFonts w:ascii="Verdana" w:hAnsi="Verdana"/>
          <w:sz w:val="20"/>
          <w:szCs w:val="20"/>
          <w:lang w:val="en-US"/>
        </w:rPr>
        <w:t xml:space="preserve"> the </w:t>
      </w:r>
      <w:r w:rsidRPr="008A3740">
        <w:rPr>
          <w:rFonts w:ascii="Verdana" w:hAnsi="Verdana"/>
          <w:sz w:val="20"/>
          <w:szCs w:val="20"/>
          <w:lang w:val="en-US"/>
        </w:rPr>
        <w:t>Decree Law No. 20530</w:t>
      </w:r>
      <w:r w:rsidR="00266200" w:rsidRPr="008A3740">
        <w:rPr>
          <w:rFonts w:ascii="Verdana" w:hAnsi="Verdana"/>
          <w:sz w:val="20"/>
          <w:szCs w:val="20"/>
          <w:lang w:val="en-US"/>
        </w:rPr>
        <w:t xml:space="preserve"> pension scheme</w:t>
      </w:r>
      <w:r w:rsidR="007657B8" w:rsidRPr="008A3740">
        <w:rPr>
          <w:rFonts w:ascii="Verdana" w:hAnsi="Verdana"/>
          <w:sz w:val="20"/>
          <w:szCs w:val="20"/>
          <w:lang w:val="en-US"/>
        </w:rPr>
        <w:t xml:space="preserve"> </w:t>
      </w:r>
      <w:r w:rsidR="00485EC8" w:rsidRPr="008A3740">
        <w:rPr>
          <w:rFonts w:ascii="Verdana" w:hAnsi="Verdana"/>
          <w:sz w:val="20"/>
          <w:szCs w:val="20"/>
          <w:lang w:val="en-US"/>
        </w:rPr>
        <w:t xml:space="preserve">be declared </w:t>
      </w:r>
      <w:r w:rsidR="007657B8" w:rsidRPr="008A3740">
        <w:rPr>
          <w:rFonts w:ascii="Verdana" w:hAnsi="Verdana"/>
          <w:sz w:val="20"/>
          <w:szCs w:val="20"/>
          <w:lang w:val="en-US"/>
        </w:rPr>
        <w:t>inadmissible.</w:t>
      </w:r>
      <w:r w:rsidRPr="008A3740">
        <w:rPr>
          <w:rStyle w:val="Refdenotaalpie"/>
          <w:szCs w:val="20"/>
          <w:lang w:val="en-US"/>
        </w:rPr>
        <w:footnoteReference w:id="75"/>
      </w:r>
      <w:r w:rsidRPr="008A3740">
        <w:rPr>
          <w:rFonts w:ascii="Verdana" w:hAnsi="Verdana"/>
          <w:sz w:val="20"/>
          <w:szCs w:val="20"/>
          <w:lang w:val="en-US"/>
        </w:rPr>
        <w:t xml:space="preserve"> On January 21, 1994, the </w:t>
      </w:r>
      <w:r w:rsidR="001E7323" w:rsidRPr="008A3740">
        <w:rPr>
          <w:rFonts w:ascii="Verdana" w:hAnsi="Verdana"/>
          <w:sz w:val="20"/>
          <w:szCs w:val="20"/>
          <w:lang w:val="en-US"/>
        </w:rPr>
        <w:t xml:space="preserve">complaint was </w:t>
      </w:r>
      <w:r w:rsidRPr="008A3740">
        <w:rPr>
          <w:rFonts w:ascii="Verdana" w:hAnsi="Verdana"/>
          <w:sz w:val="20"/>
          <w:szCs w:val="20"/>
          <w:lang w:val="en-US"/>
        </w:rPr>
        <w:t>dec</w:t>
      </w:r>
      <w:r w:rsidR="001E7323" w:rsidRPr="008A3740">
        <w:rPr>
          <w:rFonts w:ascii="Verdana" w:hAnsi="Verdana"/>
          <w:sz w:val="20"/>
          <w:szCs w:val="20"/>
          <w:lang w:val="en-US"/>
        </w:rPr>
        <w:t xml:space="preserve">lared </w:t>
      </w:r>
      <w:r w:rsidR="00266200" w:rsidRPr="008A3740">
        <w:rPr>
          <w:rFonts w:ascii="Verdana" w:hAnsi="Verdana"/>
          <w:sz w:val="20"/>
          <w:szCs w:val="20"/>
          <w:lang w:val="en-US"/>
        </w:rPr>
        <w:t>well-founded.</w:t>
      </w:r>
      <w:r w:rsidRPr="008A3740">
        <w:rPr>
          <w:rFonts w:ascii="Verdana" w:hAnsi="Verdana"/>
          <w:sz w:val="20"/>
          <w:szCs w:val="20"/>
          <w:lang w:val="en-US"/>
        </w:rPr>
        <w:t xml:space="preserve"> </w:t>
      </w:r>
      <w:r w:rsidR="00266200" w:rsidRPr="008A3740">
        <w:rPr>
          <w:rFonts w:ascii="Verdana" w:hAnsi="Verdana"/>
          <w:sz w:val="20"/>
          <w:szCs w:val="20"/>
          <w:lang w:val="en-US"/>
        </w:rPr>
        <w:t xml:space="preserve">This ruling was appealed and the case was forwarded to </w:t>
      </w:r>
      <w:r w:rsidR="001E7323" w:rsidRPr="008A3740">
        <w:rPr>
          <w:rFonts w:ascii="Verdana" w:hAnsi="Verdana"/>
          <w:sz w:val="20"/>
          <w:szCs w:val="20"/>
          <w:lang w:val="en-US"/>
        </w:rPr>
        <w:t xml:space="preserve">the </w:t>
      </w:r>
      <w:r w:rsidRPr="008A3740">
        <w:rPr>
          <w:rFonts w:ascii="Verdana" w:hAnsi="Verdana"/>
          <w:sz w:val="20"/>
          <w:szCs w:val="20"/>
          <w:lang w:val="en-US"/>
        </w:rPr>
        <w:t xml:space="preserve">Administrative </w:t>
      </w:r>
      <w:r w:rsidR="00811092" w:rsidRPr="008A3740">
        <w:rPr>
          <w:rFonts w:ascii="Verdana" w:hAnsi="Verdana"/>
          <w:sz w:val="20"/>
          <w:szCs w:val="20"/>
          <w:lang w:val="en-US"/>
        </w:rPr>
        <w:t>Chamber</w:t>
      </w:r>
      <w:r w:rsidR="001E7323" w:rsidRPr="008A3740">
        <w:rPr>
          <w:rFonts w:ascii="Verdana" w:hAnsi="Verdana"/>
          <w:sz w:val="20"/>
          <w:szCs w:val="20"/>
          <w:lang w:val="en-US"/>
        </w:rPr>
        <w:t xml:space="preserve"> </w:t>
      </w:r>
      <w:r w:rsidRPr="008A3740">
        <w:rPr>
          <w:rFonts w:ascii="Verdana" w:hAnsi="Verdana"/>
          <w:sz w:val="20"/>
          <w:szCs w:val="20"/>
          <w:lang w:val="en-US"/>
        </w:rPr>
        <w:t>of the Superior Court of Lima.</w:t>
      </w:r>
    </w:p>
    <w:p w14:paraId="01ECDB80" w14:textId="77777777" w:rsidR="008E6A56" w:rsidRPr="008A3740" w:rsidRDefault="008E6A56" w:rsidP="008E6A56">
      <w:pPr>
        <w:tabs>
          <w:tab w:val="left" w:pos="567"/>
        </w:tabs>
        <w:rPr>
          <w:rFonts w:ascii="Verdana" w:hAnsi="Verdana"/>
          <w:sz w:val="20"/>
          <w:szCs w:val="20"/>
          <w:lang w:val="en-US"/>
        </w:rPr>
      </w:pPr>
    </w:p>
    <w:p w14:paraId="76AD7C10" w14:textId="77777777" w:rsidR="008E6A56" w:rsidRPr="008A3740" w:rsidRDefault="007657B8" w:rsidP="00D17A65">
      <w:pPr>
        <w:numPr>
          <w:ilvl w:val="0"/>
          <w:numId w:val="3"/>
        </w:numPr>
        <w:tabs>
          <w:tab w:val="left" w:pos="567"/>
          <w:tab w:val="num" w:pos="12305"/>
        </w:tabs>
        <w:ind w:left="0" w:firstLine="0"/>
        <w:rPr>
          <w:rFonts w:ascii="Verdana" w:hAnsi="Verdana"/>
          <w:b/>
          <w:sz w:val="20"/>
          <w:szCs w:val="20"/>
          <w:lang w:val="en-US"/>
        </w:rPr>
      </w:pPr>
      <w:r w:rsidRPr="008A3740">
        <w:rPr>
          <w:rFonts w:ascii="Verdana" w:hAnsi="Verdana"/>
          <w:sz w:val="20"/>
          <w:szCs w:val="20"/>
          <w:lang w:val="en-US"/>
        </w:rPr>
        <w:t xml:space="preserve">Under </w:t>
      </w:r>
      <w:r w:rsidR="008E6A56" w:rsidRPr="008A3740">
        <w:rPr>
          <w:rFonts w:ascii="Verdana" w:hAnsi="Verdana"/>
          <w:sz w:val="20"/>
          <w:szCs w:val="20"/>
          <w:lang w:val="en-US"/>
        </w:rPr>
        <w:t xml:space="preserve">the First </w:t>
      </w:r>
      <w:r w:rsidR="001E7323" w:rsidRPr="008A3740">
        <w:rPr>
          <w:rFonts w:ascii="Verdana" w:hAnsi="Verdana"/>
          <w:sz w:val="20"/>
          <w:szCs w:val="20"/>
          <w:lang w:val="en-US"/>
        </w:rPr>
        <w:t xml:space="preserve">Supplementary Provision </w:t>
      </w:r>
      <w:r w:rsidR="008E6A56" w:rsidRPr="008A3740">
        <w:rPr>
          <w:rFonts w:ascii="Verdana" w:hAnsi="Verdana"/>
          <w:sz w:val="20"/>
          <w:szCs w:val="20"/>
          <w:lang w:val="en-US"/>
        </w:rPr>
        <w:t>of Decree L</w:t>
      </w:r>
      <w:r w:rsidR="001E7323" w:rsidRPr="008A3740">
        <w:rPr>
          <w:rFonts w:ascii="Verdana" w:hAnsi="Verdana"/>
          <w:sz w:val="20"/>
          <w:szCs w:val="20"/>
          <w:lang w:val="en-US"/>
        </w:rPr>
        <w:t xml:space="preserve">aw </w:t>
      </w:r>
      <w:r w:rsidR="008E6A56" w:rsidRPr="008A3740">
        <w:rPr>
          <w:rFonts w:ascii="Verdana" w:hAnsi="Verdana"/>
          <w:sz w:val="20"/>
          <w:szCs w:val="20"/>
          <w:lang w:val="en-US"/>
        </w:rPr>
        <w:t>No. 817</w:t>
      </w:r>
      <w:r w:rsidR="00266200" w:rsidRPr="008A3740">
        <w:rPr>
          <w:rFonts w:ascii="Verdana" w:hAnsi="Verdana"/>
          <w:sz w:val="20"/>
          <w:szCs w:val="20"/>
          <w:lang w:val="en-US"/>
        </w:rPr>
        <w:t>,</w:t>
      </w:r>
      <w:r w:rsidR="008E6A56" w:rsidRPr="008A3740">
        <w:rPr>
          <w:rStyle w:val="Refdenotaalpie"/>
          <w:szCs w:val="20"/>
          <w:lang w:val="en-US"/>
        </w:rPr>
        <w:footnoteReference w:id="76"/>
      </w:r>
      <w:r w:rsidR="008E6A56" w:rsidRPr="008A3740">
        <w:rPr>
          <w:rFonts w:ascii="Verdana" w:hAnsi="Verdana"/>
          <w:sz w:val="20"/>
          <w:szCs w:val="20"/>
          <w:lang w:val="en-US"/>
        </w:rPr>
        <w:t xml:space="preserve"> </w:t>
      </w:r>
      <w:r w:rsidR="00266200" w:rsidRPr="008A3740">
        <w:rPr>
          <w:rFonts w:ascii="Verdana" w:hAnsi="Verdana"/>
          <w:sz w:val="20"/>
          <w:szCs w:val="20"/>
          <w:lang w:val="en-US"/>
        </w:rPr>
        <w:t xml:space="preserve">the Administrative </w:t>
      </w:r>
      <w:r w:rsidR="00811092" w:rsidRPr="008A3740">
        <w:rPr>
          <w:rFonts w:ascii="Verdana" w:hAnsi="Verdana"/>
          <w:sz w:val="20"/>
          <w:szCs w:val="20"/>
          <w:lang w:val="en-US"/>
        </w:rPr>
        <w:t>Chamber</w:t>
      </w:r>
      <w:r w:rsidR="00266200" w:rsidRPr="008A3740">
        <w:rPr>
          <w:rFonts w:ascii="Verdana" w:hAnsi="Verdana"/>
          <w:sz w:val="20"/>
          <w:szCs w:val="20"/>
          <w:lang w:val="en-US"/>
        </w:rPr>
        <w:t xml:space="preserve"> </w:t>
      </w:r>
      <w:r w:rsidR="00266200" w:rsidRPr="008A3740">
        <w:rPr>
          <w:rFonts w:ascii="Verdana" w:hAnsi="Verdana"/>
          <w:sz w:val="20"/>
          <w:szCs w:val="20"/>
          <w:lang w:val="en-US"/>
        </w:rPr>
        <w:lastRenderedPageBreak/>
        <w:t xml:space="preserve">issued a resolution on </w:t>
      </w:r>
      <w:r w:rsidR="008E6A56" w:rsidRPr="008A3740">
        <w:rPr>
          <w:rFonts w:ascii="Verdana" w:hAnsi="Verdana"/>
          <w:sz w:val="20"/>
          <w:szCs w:val="20"/>
          <w:lang w:val="en-US"/>
        </w:rPr>
        <w:t xml:space="preserve">July 30, 1996, </w:t>
      </w:r>
      <w:r w:rsidR="00266200" w:rsidRPr="008A3740">
        <w:rPr>
          <w:rFonts w:ascii="Verdana" w:hAnsi="Verdana"/>
          <w:sz w:val="20"/>
          <w:szCs w:val="20"/>
          <w:lang w:val="en-US"/>
        </w:rPr>
        <w:t xml:space="preserve">summoning the </w:t>
      </w:r>
      <w:r w:rsidR="008E6A56" w:rsidRPr="008A3740">
        <w:rPr>
          <w:rFonts w:ascii="Verdana" w:hAnsi="Verdana"/>
          <w:sz w:val="20"/>
          <w:szCs w:val="20"/>
          <w:lang w:val="en-US"/>
        </w:rPr>
        <w:t xml:space="preserve">Pension Standardization Office (hereinafter “ONP”) </w:t>
      </w:r>
      <w:r w:rsidR="00266200" w:rsidRPr="008A3740">
        <w:rPr>
          <w:rFonts w:ascii="Verdana" w:hAnsi="Verdana"/>
          <w:sz w:val="20"/>
          <w:szCs w:val="20"/>
          <w:lang w:val="en-US"/>
        </w:rPr>
        <w:t>to the proceeding,</w:t>
      </w:r>
      <w:r w:rsidR="008E6A56" w:rsidRPr="008A3740">
        <w:rPr>
          <w:rStyle w:val="Refdenotaalpie"/>
          <w:szCs w:val="20"/>
          <w:lang w:val="en-US"/>
        </w:rPr>
        <w:footnoteReference w:id="77"/>
      </w:r>
      <w:r w:rsidR="008E6A56" w:rsidRPr="008A3740">
        <w:rPr>
          <w:rFonts w:ascii="Verdana" w:hAnsi="Verdana"/>
          <w:sz w:val="20"/>
          <w:szCs w:val="20"/>
          <w:lang w:val="en-US"/>
        </w:rPr>
        <w:t xml:space="preserve"> since </w:t>
      </w:r>
      <w:r w:rsidR="00266200" w:rsidRPr="008A3740">
        <w:rPr>
          <w:rFonts w:ascii="Verdana" w:hAnsi="Verdana"/>
          <w:sz w:val="20"/>
          <w:szCs w:val="20"/>
          <w:lang w:val="en-US"/>
        </w:rPr>
        <w:t>according to that law the ONP</w:t>
      </w:r>
      <w:r w:rsidR="008E6A56" w:rsidRPr="008A3740">
        <w:rPr>
          <w:rFonts w:ascii="Verdana" w:hAnsi="Verdana"/>
          <w:sz w:val="20"/>
          <w:szCs w:val="20"/>
          <w:lang w:val="en-US"/>
        </w:rPr>
        <w:t xml:space="preserve"> was the </w:t>
      </w:r>
      <w:r w:rsidR="00266200" w:rsidRPr="008A3740">
        <w:rPr>
          <w:rFonts w:ascii="Verdana" w:hAnsi="Verdana"/>
          <w:sz w:val="20"/>
          <w:szCs w:val="20"/>
          <w:lang w:val="en-US"/>
        </w:rPr>
        <w:t xml:space="preserve">entity </w:t>
      </w:r>
      <w:r w:rsidR="001E7323" w:rsidRPr="008A3740">
        <w:rPr>
          <w:rFonts w:ascii="Verdana" w:hAnsi="Verdana"/>
          <w:sz w:val="20"/>
          <w:szCs w:val="20"/>
          <w:lang w:val="en-US"/>
        </w:rPr>
        <w:t xml:space="preserve">responsible for defending the </w:t>
      </w:r>
      <w:r w:rsidR="00266200" w:rsidRPr="008A3740">
        <w:rPr>
          <w:rFonts w:ascii="Verdana" w:hAnsi="Verdana"/>
          <w:sz w:val="20"/>
          <w:szCs w:val="20"/>
          <w:lang w:val="en-US"/>
        </w:rPr>
        <w:t xml:space="preserve">State’s </w:t>
      </w:r>
      <w:r w:rsidR="001E7323" w:rsidRPr="008A3740">
        <w:rPr>
          <w:rFonts w:ascii="Verdana" w:hAnsi="Verdana"/>
          <w:sz w:val="20"/>
          <w:szCs w:val="20"/>
          <w:lang w:val="en-US"/>
        </w:rPr>
        <w:t xml:space="preserve">interests </w:t>
      </w:r>
      <w:r w:rsidR="008E6A56" w:rsidRPr="008A3740">
        <w:rPr>
          <w:rFonts w:ascii="Verdana" w:hAnsi="Verdana"/>
          <w:sz w:val="20"/>
          <w:szCs w:val="20"/>
          <w:lang w:val="en-US"/>
        </w:rPr>
        <w:t xml:space="preserve">in all </w:t>
      </w:r>
      <w:r w:rsidR="001E7323" w:rsidRPr="008A3740">
        <w:rPr>
          <w:rFonts w:ascii="Verdana" w:hAnsi="Verdana"/>
          <w:sz w:val="20"/>
          <w:szCs w:val="20"/>
          <w:lang w:val="en-US"/>
        </w:rPr>
        <w:t>judicial</w:t>
      </w:r>
      <w:r w:rsidR="008E6A56" w:rsidRPr="008A3740">
        <w:rPr>
          <w:rFonts w:ascii="Verdana" w:hAnsi="Verdana"/>
          <w:sz w:val="20"/>
          <w:szCs w:val="20"/>
          <w:lang w:val="en-US"/>
        </w:rPr>
        <w:t xml:space="preserve"> proceedings </w:t>
      </w:r>
      <w:r w:rsidR="001E7323" w:rsidRPr="008A3740">
        <w:rPr>
          <w:rFonts w:ascii="Verdana" w:hAnsi="Verdana"/>
          <w:sz w:val="20"/>
          <w:szCs w:val="20"/>
          <w:lang w:val="en-US"/>
        </w:rPr>
        <w:t xml:space="preserve">concerning </w:t>
      </w:r>
      <w:r w:rsidR="008E6A56" w:rsidRPr="008A3740">
        <w:rPr>
          <w:rFonts w:ascii="Verdana" w:hAnsi="Verdana"/>
          <w:sz w:val="20"/>
          <w:szCs w:val="20"/>
          <w:lang w:val="en-US"/>
        </w:rPr>
        <w:t xml:space="preserve">pension rights. </w:t>
      </w:r>
    </w:p>
    <w:p w14:paraId="787D655A" w14:textId="77777777" w:rsidR="008E6A56" w:rsidRPr="008A3740" w:rsidRDefault="008E6A56" w:rsidP="008E6A56">
      <w:pPr>
        <w:pStyle w:val="Prrafodelista"/>
        <w:rPr>
          <w:rFonts w:ascii="Verdana" w:hAnsi="Verdana"/>
          <w:sz w:val="20"/>
          <w:szCs w:val="20"/>
          <w:lang w:val="en-US"/>
        </w:rPr>
      </w:pPr>
    </w:p>
    <w:p w14:paraId="7DA6220E" w14:textId="77777777" w:rsidR="008E6A56" w:rsidRPr="008A3740" w:rsidRDefault="008E6A56" w:rsidP="00D17A65">
      <w:pPr>
        <w:numPr>
          <w:ilvl w:val="0"/>
          <w:numId w:val="3"/>
        </w:numPr>
        <w:tabs>
          <w:tab w:val="left" w:pos="567"/>
          <w:tab w:val="num" w:pos="12305"/>
        </w:tabs>
        <w:ind w:left="0" w:firstLine="0"/>
        <w:rPr>
          <w:rFonts w:ascii="Verdana" w:hAnsi="Verdana"/>
          <w:b/>
          <w:sz w:val="20"/>
          <w:szCs w:val="20"/>
          <w:lang w:val="en-US"/>
        </w:rPr>
      </w:pPr>
      <w:r w:rsidRPr="008A3740">
        <w:rPr>
          <w:rFonts w:ascii="Verdana" w:hAnsi="Verdana"/>
          <w:sz w:val="20"/>
          <w:szCs w:val="20"/>
          <w:lang w:val="en-US"/>
        </w:rPr>
        <w:t xml:space="preserve">The ONP </w:t>
      </w:r>
      <w:r w:rsidR="001E7323" w:rsidRPr="008A3740">
        <w:rPr>
          <w:rFonts w:ascii="Verdana" w:hAnsi="Verdana"/>
          <w:sz w:val="20"/>
          <w:szCs w:val="20"/>
          <w:lang w:val="en-US"/>
        </w:rPr>
        <w:t xml:space="preserve">attended the </w:t>
      </w:r>
      <w:r w:rsidR="003579FC" w:rsidRPr="008A3740">
        <w:rPr>
          <w:rFonts w:ascii="Verdana" w:hAnsi="Verdana"/>
          <w:sz w:val="20"/>
          <w:szCs w:val="20"/>
          <w:lang w:val="en-US"/>
        </w:rPr>
        <w:t xml:space="preserve">hearing </w:t>
      </w:r>
      <w:r w:rsidRPr="008A3740">
        <w:rPr>
          <w:rFonts w:ascii="Verdana" w:hAnsi="Verdana"/>
          <w:sz w:val="20"/>
          <w:szCs w:val="20"/>
          <w:lang w:val="en-US"/>
        </w:rPr>
        <w:t>on August 15, 1996</w:t>
      </w:r>
      <w:r w:rsidR="00266200" w:rsidRPr="008A3740">
        <w:rPr>
          <w:rFonts w:ascii="Verdana" w:hAnsi="Verdana"/>
          <w:sz w:val="20"/>
          <w:szCs w:val="20"/>
          <w:lang w:val="en-US"/>
        </w:rPr>
        <w:t>,</w:t>
      </w:r>
      <w:r w:rsidRPr="008A3740">
        <w:rPr>
          <w:rStyle w:val="Refdenotaalpie"/>
          <w:szCs w:val="20"/>
          <w:lang w:val="en-US"/>
        </w:rPr>
        <w:footnoteReference w:id="78"/>
      </w:r>
      <w:r w:rsidRPr="008A3740">
        <w:rPr>
          <w:rFonts w:ascii="Verdana" w:hAnsi="Verdana"/>
          <w:sz w:val="20"/>
          <w:szCs w:val="20"/>
          <w:lang w:val="en-US"/>
        </w:rPr>
        <w:t xml:space="preserve"> and present</w:t>
      </w:r>
      <w:r w:rsidR="001E7323" w:rsidRPr="008A3740">
        <w:rPr>
          <w:rFonts w:ascii="Verdana" w:hAnsi="Verdana"/>
          <w:sz w:val="20"/>
          <w:szCs w:val="20"/>
          <w:lang w:val="en-US"/>
        </w:rPr>
        <w:t xml:space="preserve">ed a </w:t>
      </w:r>
      <w:r w:rsidR="00266200" w:rsidRPr="008A3740">
        <w:rPr>
          <w:rFonts w:ascii="Verdana" w:hAnsi="Verdana"/>
          <w:sz w:val="20"/>
          <w:szCs w:val="20"/>
          <w:lang w:val="en-US"/>
        </w:rPr>
        <w:t xml:space="preserve">brief containing </w:t>
      </w:r>
      <w:r w:rsidR="0010779F" w:rsidRPr="008A3740">
        <w:rPr>
          <w:rFonts w:ascii="Verdana" w:hAnsi="Verdana"/>
          <w:sz w:val="20"/>
          <w:szCs w:val="20"/>
          <w:lang w:val="en-US"/>
        </w:rPr>
        <w:t xml:space="preserve">a </w:t>
      </w:r>
      <w:r w:rsidR="00D07E2A" w:rsidRPr="008A3740">
        <w:rPr>
          <w:rFonts w:ascii="Verdana" w:hAnsi="Verdana"/>
          <w:sz w:val="20"/>
          <w:szCs w:val="20"/>
          <w:lang w:val="en-US"/>
        </w:rPr>
        <w:t>disclaimer</w:t>
      </w:r>
      <w:r w:rsidRPr="008A3740">
        <w:rPr>
          <w:rFonts w:ascii="Verdana" w:hAnsi="Verdana"/>
          <w:sz w:val="20"/>
          <w:szCs w:val="20"/>
          <w:lang w:val="en-US"/>
        </w:rPr>
        <w:t xml:space="preserve">, </w:t>
      </w:r>
      <w:r w:rsidR="0010779F" w:rsidRPr="008A3740">
        <w:rPr>
          <w:rFonts w:ascii="Verdana" w:hAnsi="Verdana"/>
          <w:sz w:val="20"/>
          <w:szCs w:val="20"/>
          <w:lang w:val="en-US"/>
        </w:rPr>
        <w:t xml:space="preserve">which stated that </w:t>
      </w:r>
      <w:r w:rsidRPr="008A3740">
        <w:rPr>
          <w:rFonts w:ascii="Verdana" w:hAnsi="Verdana"/>
          <w:sz w:val="20"/>
          <w:szCs w:val="20"/>
          <w:lang w:val="en-US"/>
        </w:rPr>
        <w:t>Mr. Muelle Flores</w:t>
      </w:r>
      <w:r w:rsidR="0010779F" w:rsidRPr="008A3740">
        <w:rPr>
          <w:rFonts w:ascii="Verdana" w:hAnsi="Verdana"/>
          <w:sz w:val="20"/>
          <w:szCs w:val="20"/>
          <w:lang w:val="en-US"/>
        </w:rPr>
        <w:t>’ rein</w:t>
      </w:r>
      <w:r w:rsidR="00AC6CCF" w:rsidRPr="008A3740">
        <w:rPr>
          <w:rFonts w:ascii="Verdana" w:hAnsi="Verdana"/>
          <w:sz w:val="20"/>
          <w:szCs w:val="20"/>
          <w:lang w:val="en-US"/>
        </w:rPr>
        <w:t xml:space="preserve">corporation </w:t>
      </w:r>
      <w:r w:rsidR="001E7323" w:rsidRPr="008A3740">
        <w:rPr>
          <w:rFonts w:ascii="Verdana" w:hAnsi="Verdana"/>
          <w:sz w:val="20"/>
          <w:szCs w:val="20"/>
          <w:lang w:val="en-US"/>
        </w:rPr>
        <w:t>in</w:t>
      </w:r>
      <w:r w:rsidR="00266200" w:rsidRPr="008A3740">
        <w:rPr>
          <w:rFonts w:ascii="Verdana" w:hAnsi="Verdana"/>
          <w:sz w:val="20"/>
          <w:szCs w:val="20"/>
          <w:lang w:val="en-US"/>
        </w:rPr>
        <w:t>to</w:t>
      </w:r>
      <w:r w:rsidR="001E7323" w:rsidRPr="008A3740">
        <w:rPr>
          <w:rFonts w:ascii="Verdana" w:hAnsi="Verdana"/>
          <w:sz w:val="20"/>
          <w:szCs w:val="20"/>
          <w:lang w:val="en-US"/>
        </w:rPr>
        <w:t xml:space="preserve"> </w:t>
      </w:r>
      <w:r w:rsidRPr="008A3740">
        <w:rPr>
          <w:rFonts w:ascii="Verdana" w:hAnsi="Verdana"/>
          <w:sz w:val="20"/>
          <w:szCs w:val="20"/>
          <w:lang w:val="en-US"/>
        </w:rPr>
        <w:t xml:space="preserve">the </w:t>
      </w:r>
      <w:r w:rsidR="003579FC" w:rsidRPr="008A3740">
        <w:rPr>
          <w:rFonts w:ascii="Verdana" w:hAnsi="Verdana"/>
          <w:sz w:val="20"/>
          <w:szCs w:val="20"/>
          <w:lang w:val="en-US"/>
        </w:rPr>
        <w:t xml:space="preserve">pension system of </w:t>
      </w:r>
      <w:r w:rsidR="00D07E2A" w:rsidRPr="008A3740">
        <w:rPr>
          <w:rFonts w:ascii="Verdana" w:hAnsi="Verdana"/>
          <w:sz w:val="20"/>
          <w:szCs w:val="20"/>
          <w:lang w:val="en-US"/>
        </w:rPr>
        <w:t xml:space="preserve">Decree Law No. 20530 </w:t>
      </w:r>
      <w:r w:rsidR="0010779F" w:rsidRPr="008A3740">
        <w:rPr>
          <w:rFonts w:ascii="Verdana" w:hAnsi="Verdana"/>
          <w:sz w:val="20"/>
          <w:szCs w:val="20"/>
          <w:lang w:val="en-US"/>
        </w:rPr>
        <w:t>was inadmissible, because he did not comply</w:t>
      </w:r>
      <w:r w:rsidR="001E7323" w:rsidRPr="008A3740">
        <w:rPr>
          <w:rFonts w:ascii="Verdana" w:hAnsi="Verdana"/>
          <w:sz w:val="20"/>
          <w:szCs w:val="20"/>
          <w:lang w:val="en-US"/>
        </w:rPr>
        <w:t xml:space="preserve"> with </w:t>
      </w:r>
      <w:r w:rsidR="0010779F" w:rsidRPr="008A3740">
        <w:rPr>
          <w:rFonts w:ascii="Verdana" w:hAnsi="Verdana"/>
          <w:sz w:val="20"/>
          <w:szCs w:val="20"/>
          <w:lang w:val="en-US"/>
        </w:rPr>
        <w:t xml:space="preserve">various legal </w:t>
      </w:r>
      <w:r w:rsidRPr="008A3740">
        <w:rPr>
          <w:rFonts w:ascii="Verdana" w:hAnsi="Verdana"/>
          <w:sz w:val="20"/>
          <w:szCs w:val="20"/>
          <w:lang w:val="en-US"/>
        </w:rPr>
        <w:t>requirements</w:t>
      </w:r>
      <w:r w:rsidR="001E7323" w:rsidRPr="008A3740">
        <w:rPr>
          <w:rFonts w:ascii="Verdana" w:hAnsi="Verdana"/>
          <w:sz w:val="20"/>
          <w:szCs w:val="20"/>
          <w:lang w:val="en-US"/>
        </w:rPr>
        <w:t>.</w:t>
      </w:r>
      <w:r w:rsidRPr="008A3740">
        <w:rPr>
          <w:rStyle w:val="Refdenotaalpie"/>
          <w:szCs w:val="20"/>
          <w:lang w:val="en-US"/>
        </w:rPr>
        <w:footnoteReference w:id="79"/>
      </w:r>
      <w:r w:rsidRPr="008A3740">
        <w:rPr>
          <w:rFonts w:ascii="Verdana" w:hAnsi="Verdana"/>
          <w:sz w:val="20"/>
          <w:szCs w:val="20"/>
          <w:lang w:val="en-US"/>
        </w:rPr>
        <w:t xml:space="preserve"> </w:t>
      </w:r>
    </w:p>
    <w:p w14:paraId="697576BC" w14:textId="77777777" w:rsidR="008E6A56" w:rsidRPr="008A3740" w:rsidRDefault="008E6A56" w:rsidP="008E6A56">
      <w:pPr>
        <w:tabs>
          <w:tab w:val="left" w:pos="567"/>
        </w:tabs>
        <w:rPr>
          <w:rFonts w:ascii="Verdana" w:hAnsi="Verdana"/>
          <w:sz w:val="20"/>
          <w:szCs w:val="20"/>
          <w:lang w:val="en-US"/>
        </w:rPr>
      </w:pPr>
    </w:p>
    <w:p w14:paraId="5A58E9AE"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 On Septembe</w:t>
      </w:r>
      <w:r w:rsidR="001E7323" w:rsidRPr="008A3740">
        <w:rPr>
          <w:rFonts w:ascii="Verdana" w:hAnsi="Verdana"/>
          <w:sz w:val="20"/>
          <w:szCs w:val="20"/>
          <w:lang w:val="en-US"/>
        </w:rPr>
        <w:t xml:space="preserve">r 2, 1996, the </w:t>
      </w:r>
      <w:r w:rsidR="00485EC8" w:rsidRPr="008A3740">
        <w:rPr>
          <w:rFonts w:ascii="Verdana" w:hAnsi="Verdana"/>
          <w:sz w:val="20"/>
          <w:szCs w:val="20"/>
          <w:lang w:val="en-US"/>
        </w:rPr>
        <w:t>Contentious-Administrative Chamber (</w:t>
      </w:r>
      <w:r w:rsidR="00485EC8" w:rsidRPr="008A3740">
        <w:rPr>
          <w:rFonts w:ascii="Verdana" w:hAnsi="Verdana"/>
          <w:i/>
          <w:sz w:val="20"/>
          <w:szCs w:val="20"/>
          <w:lang w:val="en-US"/>
        </w:rPr>
        <w:t>Sala Contencioso Administrativo</w:t>
      </w:r>
      <w:r w:rsidR="00485EC8" w:rsidRPr="008A3740">
        <w:rPr>
          <w:rFonts w:ascii="Verdana" w:hAnsi="Verdana"/>
          <w:sz w:val="20"/>
          <w:szCs w:val="20"/>
          <w:lang w:val="en-US"/>
        </w:rPr>
        <w:t xml:space="preserve">) </w:t>
      </w:r>
      <w:r w:rsidRPr="008A3740">
        <w:rPr>
          <w:rFonts w:ascii="Verdana" w:hAnsi="Verdana"/>
          <w:sz w:val="20"/>
          <w:szCs w:val="20"/>
          <w:lang w:val="en-US"/>
        </w:rPr>
        <w:t>of the Superior Court of</w:t>
      </w:r>
      <w:r w:rsidR="001E7323" w:rsidRPr="008A3740">
        <w:rPr>
          <w:rFonts w:ascii="Verdana" w:hAnsi="Verdana"/>
          <w:sz w:val="20"/>
          <w:szCs w:val="20"/>
          <w:lang w:val="en-US"/>
        </w:rPr>
        <w:t xml:space="preserve"> Lima confirmed the j</w:t>
      </w:r>
      <w:r w:rsidRPr="008A3740">
        <w:rPr>
          <w:rFonts w:ascii="Verdana" w:hAnsi="Verdana"/>
          <w:sz w:val="20"/>
          <w:szCs w:val="20"/>
          <w:lang w:val="en-US"/>
        </w:rPr>
        <w:t xml:space="preserve">udgment of </w:t>
      </w:r>
      <w:r w:rsidR="001E7323" w:rsidRPr="008A3740">
        <w:rPr>
          <w:rFonts w:ascii="Verdana" w:hAnsi="Verdana"/>
          <w:sz w:val="20"/>
          <w:szCs w:val="20"/>
          <w:lang w:val="en-US"/>
        </w:rPr>
        <w:t>the lower court</w:t>
      </w:r>
      <w:r w:rsidRPr="008A3740">
        <w:rPr>
          <w:rFonts w:ascii="Verdana" w:hAnsi="Verdana"/>
          <w:sz w:val="20"/>
          <w:szCs w:val="20"/>
          <w:lang w:val="en-US"/>
        </w:rPr>
        <w:t>.</w:t>
      </w:r>
      <w:r w:rsidRPr="008A3740">
        <w:rPr>
          <w:rStyle w:val="Refdenotaalpie"/>
          <w:szCs w:val="20"/>
          <w:lang w:val="en-US"/>
        </w:rPr>
        <w:footnoteReference w:id="80"/>
      </w:r>
    </w:p>
    <w:p w14:paraId="20099AD2" w14:textId="77777777" w:rsidR="008E6A56" w:rsidRPr="008A3740" w:rsidRDefault="008E6A56" w:rsidP="008E6A56">
      <w:pPr>
        <w:tabs>
          <w:tab w:val="left" w:pos="567"/>
        </w:tabs>
        <w:rPr>
          <w:rFonts w:ascii="Verdana" w:hAnsi="Verdana"/>
          <w:sz w:val="20"/>
          <w:szCs w:val="20"/>
          <w:lang w:val="en-US"/>
        </w:rPr>
      </w:pPr>
    </w:p>
    <w:p w14:paraId="2B851F44"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Mr. Muelle Flores </w:t>
      </w:r>
      <w:r w:rsidR="00AC6CCF" w:rsidRPr="008A3740">
        <w:rPr>
          <w:rFonts w:ascii="Verdana" w:hAnsi="Verdana"/>
          <w:sz w:val="20"/>
          <w:szCs w:val="20"/>
          <w:lang w:val="en-US"/>
        </w:rPr>
        <w:t xml:space="preserve">then </w:t>
      </w:r>
      <w:r w:rsidR="008823B2" w:rsidRPr="008A3740">
        <w:rPr>
          <w:rFonts w:ascii="Verdana" w:hAnsi="Verdana"/>
          <w:sz w:val="20"/>
          <w:szCs w:val="20"/>
          <w:lang w:val="en-US"/>
        </w:rPr>
        <w:t xml:space="preserve">filed </w:t>
      </w:r>
      <w:r w:rsidRPr="008A3740">
        <w:rPr>
          <w:rFonts w:ascii="Verdana" w:hAnsi="Verdana"/>
          <w:sz w:val="20"/>
          <w:szCs w:val="20"/>
          <w:lang w:val="en-US"/>
        </w:rPr>
        <w:t>a</w:t>
      </w:r>
      <w:r w:rsidR="008823B2" w:rsidRPr="008A3740">
        <w:rPr>
          <w:rFonts w:ascii="Verdana" w:hAnsi="Verdana"/>
          <w:sz w:val="20"/>
          <w:szCs w:val="20"/>
          <w:lang w:val="en-US"/>
        </w:rPr>
        <w:t xml:space="preserve">n appeal for the annulment of </w:t>
      </w:r>
      <w:r w:rsidRPr="008A3740">
        <w:rPr>
          <w:rFonts w:ascii="Verdana" w:hAnsi="Verdana"/>
          <w:sz w:val="20"/>
          <w:szCs w:val="20"/>
          <w:lang w:val="en-US"/>
        </w:rPr>
        <w:t xml:space="preserve">the </w:t>
      </w:r>
      <w:r w:rsidR="003579FC" w:rsidRPr="008A3740">
        <w:rPr>
          <w:rFonts w:ascii="Verdana" w:hAnsi="Verdana"/>
          <w:sz w:val="20"/>
          <w:szCs w:val="20"/>
          <w:lang w:val="en-US"/>
        </w:rPr>
        <w:t xml:space="preserve">decision </w:t>
      </w:r>
      <w:r w:rsidRPr="008A3740">
        <w:rPr>
          <w:rFonts w:ascii="Verdana" w:hAnsi="Verdana"/>
          <w:sz w:val="20"/>
          <w:szCs w:val="20"/>
          <w:lang w:val="en-US"/>
        </w:rPr>
        <w:t xml:space="preserve">of the </w:t>
      </w:r>
      <w:r w:rsidR="00485EC8" w:rsidRPr="008A3740">
        <w:rPr>
          <w:rFonts w:ascii="Verdana" w:hAnsi="Verdana"/>
          <w:sz w:val="20"/>
          <w:szCs w:val="20"/>
          <w:lang w:val="en-US"/>
        </w:rPr>
        <w:t xml:space="preserve">Contentious- </w:t>
      </w:r>
      <w:r w:rsidR="001E7323" w:rsidRPr="008A3740">
        <w:rPr>
          <w:rFonts w:ascii="Verdana" w:hAnsi="Verdana"/>
          <w:sz w:val="20"/>
          <w:szCs w:val="20"/>
          <w:lang w:val="en-US"/>
        </w:rPr>
        <w:t xml:space="preserve">Administrative </w:t>
      </w:r>
      <w:r w:rsidR="00811092" w:rsidRPr="008A3740">
        <w:rPr>
          <w:rFonts w:ascii="Verdana" w:hAnsi="Verdana"/>
          <w:sz w:val="20"/>
          <w:szCs w:val="20"/>
          <w:lang w:val="en-US"/>
        </w:rPr>
        <w:t>C</w:t>
      </w:r>
      <w:r w:rsidR="00485EC8" w:rsidRPr="008A3740">
        <w:rPr>
          <w:rFonts w:ascii="Verdana" w:hAnsi="Verdana"/>
          <w:sz w:val="20"/>
          <w:szCs w:val="20"/>
          <w:lang w:val="en-US"/>
        </w:rPr>
        <w:t>hamber. The</w:t>
      </w:r>
      <w:r w:rsidR="002832C0" w:rsidRPr="008A3740">
        <w:rPr>
          <w:rFonts w:ascii="Verdana" w:hAnsi="Verdana"/>
          <w:sz w:val="20"/>
          <w:szCs w:val="20"/>
          <w:lang w:val="en-US"/>
        </w:rPr>
        <w:t xml:space="preserve"> appeal </w:t>
      </w:r>
      <w:r w:rsidR="001E7323" w:rsidRPr="008A3740">
        <w:rPr>
          <w:rFonts w:ascii="Verdana" w:hAnsi="Verdana"/>
          <w:sz w:val="20"/>
          <w:szCs w:val="20"/>
          <w:lang w:val="en-US"/>
        </w:rPr>
        <w:t>was decided</w:t>
      </w:r>
      <w:r w:rsidRPr="008A3740">
        <w:rPr>
          <w:rFonts w:ascii="Verdana" w:hAnsi="Verdana"/>
          <w:sz w:val="20"/>
          <w:szCs w:val="20"/>
          <w:lang w:val="en-US"/>
        </w:rPr>
        <w:t xml:space="preserve"> by the Supreme Court on October 29, 1997, </w:t>
      </w:r>
      <w:r w:rsidR="002832C0" w:rsidRPr="008A3740">
        <w:rPr>
          <w:rFonts w:ascii="Verdana" w:hAnsi="Verdana"/>
          <w:sz w:val="20"/>
          <w:szCs w:val="20"/>
          <w:lang w:val="en-US"/>
        </w:rPr>
        <w:t xml:space="preserve">which </w:t>
      </w:r>
      <w:r w:rsidR="008823B2" w:rsidRPr="008A3740">
        <w:rPr>
          <w:rFonts w:ascii="Verdana" w:hAnsi="Verdana"/>
          <w:sz w:val="20"/>
          <w:szCs w:val="20"/>
          <w:lang w:val="en-US"/>
        </w:rPr>
        <w:t>annull</w:t>
      </w:r>
      <w:r w:rsidR="002832C0" w:rsidRPr="008A3740">
        <w:rPr>
          <w:rFonts w:ascii="Verdana" w:hAnsi="Verdana"/>
          <w:sz w:val="20"/>
          <w:szCs w:val="20"/>
          <w:lang w:val="en-US"/>
        </w:rPr>
        <w:t xml:space="preserve">ed </w:t>
      </w:r>
      <w:r w:rsidR="00485EC8" w:rsidRPr="008A3740">
        <w:rPr>
          <w:rFonts w:ascii="Verdana" w:hAnsi="Verdana"/>
          <w:sz w:val="20"/>
          <w:szCs w:val="20"/>
          <w:lang w:val="en-US"/>
        </w:rPr>
        <w:t>the</w:t>
      </w:r>
      <w:r w:rsidRPr="008A3740">
        <w:rPr>
          <w:rFonts w:ascii="Verdana" w:hAnsi="Verdana"/>
          <w:sz w:val="20"/>
          <w:szCs w:val="20"/>
          <w:lang w:val="en-US"/>
        </w:rPr>
        <w:t xml:space="preserve"> decis</w:t>
      </w:r>
      <w:r w:rsidR="001E7323" w:rsidRPr="008A3740">
        <w:rPr>
          <w:rFonts w:ascii="Verdana" w:hAnsi="Verdana"/>
          <w:sz w:val="20"/>
          <w:szCs w:val="20"/>
          <w:lang w:val="en-US"/>
        </w:rPr>
        <w:t>ion</w:t>
      </w:r>
      <w:r w:rsidR="004A37F8" w:rsidRPr="008A3740">
        <w:rPr>
          <w:rFonts w:ascii="Verdana" w:hAnsi="Verdana"/>
          <w:sz w:val="20"/>
          <w:szCs w:val="20"/>
          <w:lang w:val="en-US"/>
        </w:rPr>
        <w:t>, considering</w:t>
      </w:r>
      <w:r w:rsidR="001E7323" w:rsidRPr="008A3740">
        <w:rPr>
          <w:rFonts w:ascii="Verdana" w:hAnsi="Verdana"/>
          <w:sz w:val="20"/>
          <w:szCs w:val="20"/>
          <w:lang w:val="en-US"/>
        </w:rPr>
        <w:t xml:space="preserve"> </w:t>
      </w:r>
      <w:r w:rsidR="00485EC8" w:rsidRPr="008A3740">
        <w:rPr>
          <w:rFonts w:ascii="Verdana" w:hAnsi="Verdana"/>
          <w:sz w:val="20"/>
          <w:szCs w:val="20"/>
          <w:lang w:val="en-US"/>
        </w:rPr>
        <w:t xml:space="preserve">the complaint by </w:t>
      </w:r>
      <w:r w:rsidRPr="008A3740">
        <w:rPr>
          <w:rFonts w:ascii="Verdana" w:hAnsi="Verdana"/>
          <w:sz w:val="20"/>
          <w:szCs w:val="20"/>
          <w:lang w:val="en-US"/>
        </w:rPr>
        <w:t xml:space="preserve">Tintaya S.A. </w:t>
      </w:r>
      <w:r w:rsidR="00485EC8" w:rsidRPr="008A3740">
        <w:rPr>
          <w:rFonts w:ascii="Verdana" w:hAnsi="Verdana"/>
          <w:sz w:val="20"/>
          <w:szCs w:val="20"/>
          <w:lang w:val="en-US"/>
        </w:rPr>
        <w:t xml:space="preserve">without merit. In its decision, </w:t>
      </w:r>
      <w:r w:rsidRPr="008A3740">
        <w:rPr>
          <w:rFonts w:ascii="Verdana" w:hAnsi="Verdana"/>
          <w:sz w:val="20"/>
          <w:szCs w:val="20"/>
          <w:lang w:val="en-US"/>
        </w:rPr>
        <w:t>the Supreme Court</w:t>
      </w:r>
      <w:r w:rsidR="00485EC8" w:rsidRPr="008A3740">
        <w:rPr>
          <w:rFonts w:ascii="Verdana" w:hAnsi="Verdana"/>
          <w:sz w:val="20"/>
          <w:szCs w:val="20"/>
          <w:lang w:val="en-US"/>
        </w:rPr>
        <w:t xml:space="preserve"> </w:t>
      </w:r>
      <w:r w:rsidRPr="008A3740">
        <w:rPr>
          <w:rFonts w:ascii="Verdana" w:hAnsi="Verdana"/>
          <w:sz w:val="20"/>
          <w:szCs w:val="20"/>
          <w:lang w:val="en-US"/>
        </w:rPr>
        <w:t>agreed with the r</w:t>
      </w:r>
      <w:r w:rsidR="001E7323" w:rsidRPr="008A3740">
        <w:rPr>
          <w:rFonts w:ascii="Verdana" w:hAnsi="Verdana"/>
          <w:sz w:val="20"/>
          <w:szCs w:val="20"/>
          <w:lang w:val="en-US"/>
        </w:rPr>
        <w:t>e</w:t>
      </w:r>
      <w:r w:rsidR="008823B2" w:rsidRPr="008A3740">
        <w:rPr>
          <w:rFonts w:ascii="Verdana" w:hAnsi="Verdana"/>
          <w:sz w:val="20"/>
          <w:szCs w:val="20"/>
          <w:lang w:val="en-US"/>
        </w:rPr>
        <w:t>ason</w:t>
      </w:r>
      <w:r w:rsidRPr="008A3740">
        <w:rPr>
          <w:rFonts w:ascii="Verdana" w:hAnsi="Verdana"/>
          <w:sz w:val="20"/>
          <w:szCs w:val="20"/>
          <w:lang w:val="en-US"/>
        </w:rPr>
        <w:t xml:space="preserve">s </w:t>
      </w:r>
      <w:r w:rsidR="008823B2" w:rsidRPr="008A3740">
        <w:rPr>
          <w:rFonts w:ascii="Verdana" w:hAnsi="Verdana"/>
          <w:sz w:val="20"/>
          <w:szCs w:val="20"/>
          <w:lang w:val="en-US"/>
        </w:rPr>
        <w:t xml:space="preserve">given in the opinion of </w:t>
      </w:r>
      <w:r w:rsidRPr="008A3740">
        <w:rPr>
          <w:rFonts w:ascii="Verdana" w:hAnsi="Verdana"/>
          <w:sz w:val="20"/>
          <w:szCs w:val="20"/>
          <w:lang w:val="en-US"/>
        </w:rPr>
        <w:t xml:space="preserve">the </w:t>
      </w:r>
      <w:r w:rsidR="00485EC8" w:rsidRPr="008A3740">
        <w:rPr>
          <w:rFonts w:ascii="Verdana" w:hAnsi="Verdana"/>
          <w:sz w:val="20"/>
          <w:szCs w:val="20"/>
          <w:lang w:val="en-US"/>
        </w:rPr>
        <w:t xml:space="preserve">Prosecutor </w:t>
      </w:r>
      <w:r w:rsidR="00CB75CE" w:rsidRPr="008A3740">
        <w:rPr>
          <w:rFonts w:ascii="Verdana" w:hAnsi="Verdana"/>
          <w:sz w:val="20"/>
          <w:szCs w:val="20"/>
          <w:lang w:val="en-US"/>
        </w:rPr>
        <w:t>General’s Office</w:t>
      </w:r>
      <w:r w:rsidR="00485EC8" w:rsidRPr="008A3740">
        <w:rPr>
          <w:rFonts w:ascii="Verdana" w:hAnsi="Verdana"/>
          <w:sz w:val="20"/>
          <w:szCs w:val="20"/>
          <w:lang w:val="en-US"/>
        </w:rPr>
        <w:t>,</w:t>
      </w:r>
      <w:r w:rsidRPr="008A3740">
        <w:rPr>
          <w:rStyle w:val="Refdenotaalpie"/>
          <w:szCs w:val="20"/>
          <w:lang w:val="en-US"/>
        </w:rPr>
        <w:footnoteReference w:id="81"/>
      </w:r>
      <w:r w:rsidRPr="008A3740">
        <w:rPr>
          <w:rFonts w:ascii="Verdana" w:hAnsi="Verdana"/>
          <w:sz w:val="20"/>
          <w:szCs w:val="20"/>
          <w:lang w:val="en-US"/>
        </w:rPr>
        <w:t xml:space="preserve"> </w:t>
      </w:r>
      <w:r w:rsidR="003579FC" w:rsidRPr="008A3740">
        <w:rPr>
          <w:rFonts w:ascii="Verdana" w:hAnsi="Verdana"/>
          <w:sz w:val="20"/>
          <w:szCs w:val="20"/>
          <w:lang w:val="en-US"/>
        </w:rPr>
        <w:t>and dec</w:t>
      </w:r>
      <w:r w:rsidR="00485EC8" w:rsidRPr="008A3740">
        <w:rPr>
          <w:rFonts w:ascii="Verdana" w:hAnsi="Verdana"/>
          <w:sz w:val="20"/>
          <w:szCs w:val="20"/>
          <w:lang w:val="en-US"/>
        </w:rPr>
        <w:t>l</w:t>
      </w:r>
      <w:r w:rsidR="003579FC" w:rsidRPr="008A3740">
        <w:rPr>
          <w:rFonts w:ascii="Verdana" w:hAnsi="Verdana"/>
          <w:sz w:val="20"/>
          <w:szCs w:val="20"/>
          <w:lang w:val="en-US"/>
        </w:rPr>
        <w:t>a</w:t>
      </w:r>
      <w:r w:rsidR="00485EC8" w:rsidRPr="008A3740">
        <w:rPr>
          <w:rFonts w:ascii="Verdana" w:hAnsi="Verdana"/>
          <w:sz w:val="20"/>
          <w:szCs w:val="20"/>
          <w:lang w:val="en-US"/>
        </w:rPr>
        <w:t xml:space="preserve">red </w:t>
      </w:r>
      <w:r w:rsidRPr="008A3740">
        <w:rPr>
          <w:rFonts w:ascii="Verdana" w:hAnsi="Verdana"/>
          <w:sz w:val="20"/>
          <w:szCs w:val="20"/>
          <w:lang w:val="en-US"/>
        </w:rPr>
        <w:t xml:space="preserve">that </w:t>
      </w:r>
      <w:r w:rsidR="001E7323" w:rsidRPr="008A3740">
        <w:rPr>
          <w:rFonts w:ascii="Verdana" w:hAnsi="Verdana"/>
          <w:sz w:val="20"/>
          <w:szCs w:val="20"/>
          <w:lang w:val="en-US"/>
        </w:rPr>
        <w:t>Mr. Muelle Flores’ reincorporation into the pension system</w:t>
      </w:r>
      <w:r w:rsidRPr="008A3740">
        <w:rPr>
          <w:rFonts w:ascii="Verdana" w:hAnsi="Verdana"/>
          <w:sz w:val="20"/>
          <w:szCs w:val="20"/>
          <w:lang w:val="en-US"/>
        </w:rPr>
        <w:t xml:space="preserve"> of Decree Law No. 20530 </w:t>
      </w:r>
      <w:r w:rsidR="001E7323" w:rsidRPr="008A3740">
        <w:rPr>
          <w:rFonts w:ascii="Verdana" w:hAnsi="Verdana"/>
          <w:sz w:val="20"/>
          <w:szCs w:val="20"/>
          <w:lang w:val="en-US"/>
        </w:rPr>
        <w:t xml:space="preserve">was </w:t>
      </w:r>
      <w:r w:rsidR="008823B2" w:rsidRPr="008A3740">
        <w:rPr>
          <w:rFonts w:ascii="Verdana" w:hAnsi="Verdana"/>
          <w:sz w:val="20"/>
          <w:szCs w:val="20"/>
          <w:lang w:val="en-US"/>
        </w:rPr>
        <w:t>lawful</w:t>
      </w:r>
      <w:r w:rsidRPr="008A3740">
        <w:rPr>
          <w:rFonts w:ascii="Verdana" w:hAnsi="Verdana"/>
          <w:sz w:val="20"/>
          <w:szCs w:val="20"/>
          <w:lang w:val="en-US"/>
        </w:rPr>
        <w:t>.</w:t>
      </w:r>
    </w:p>
    <w:p w14:paraId="2D0D374A" w14:textId="77777777" w:rsidR="008E6A56" w:rsidRPr="008A3740" w:rsidRDefault="008E6A56" w:rsidP="008E6A56">
      <w:pPr>
        <w:pStyle w:val="Prrafodelista"/>
        <w:rPr>
          <w:rFonts w:ascii="Verdana" w:hAnsi="Verdana"/>
          <w:sz w:val="20"/>
          <w:szCs w:val="20"/>
          <w:lang w:val="en-US"/>
        </w:rPr>
      </w:pPr>
    </w:p>
    <w:p w14:paraId="6F0EE593" w14:textId="77777777" w:rsidR="008E6A56" w:rsidRPr="008A3740" w:rsidRDefault="002A43D2"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 </w:t>
      </w:r>
      <w:r w:rsidR="008E6A56" w:rsidRPr="008A3740">
        <w:rPr>
          <w:rFonts w:ascii="Verdana" w:hAnsi="Verdana"/>
          <w:sz w:val="20"/>
          <w:szCs w:val="20"/>
          <w:lang w:val="en-US"/>
        </w:rPr>
        <w:t xml:space="preserve">Supreme Court </w:t>
      </w:r>
      <w:r w:rsidRPr="008A3740">
        <w:rPr>
          <w:rFonts w:ascii="Verdana" w:hAnsi="Verdana"/>
          <w:sz w:val="20"/>
          <w:szCs w:val="20"/>
          <w:lang w:val="en-US"/>
        </w:rPr>
        <w:t xml:space="preserve">judgment </w:t>
      </w:r>
      <w:r w:rsidR="008E6A56" w:rsidRPr="008A3740">
        <w:rPr>
          <w:rFonts w:ascii="Verdana" w:hAnsi="Verdana"/>
          <w:sz w:val="20"/>
          <w:szCs w:val="20"/>
          <w:lang w:val="en-US"/>
        </w:rPr>
        <w:t xml:space="preserve">and the </w:t>
      </w:r>
      <w:r w:rsidR="00E22DF9" w:rsidRPr="008A3740">
        <w:rPr>
          <w:rFonts w:ascii="Verdana" w:hAnsi="Verdana"/>
          <w:sz w:val="20"/>
          <w:szCs w:val="20"/>
          <w:lang w:val="en-US"/>
        </w:rPr>
        <w:t>prosecutor’s opinion</w:t>
      </w:r>
      <w:r w:rsidRPr="008A3740">
        <w:rPr>
          <w:rFonts w:ascii="Verdana" w:hAnsi="Verdana"/>
          <w:sz w:val="20"/>
          <w:szCs w:val="20"/>
          <w:lang w:val="en-US"/>
        </w:rPr>
        <w:t xml:space="preserve"> pointed out</w:t>
      </w:r>
      <w:r w:rsidR="00CC2568" w:rsidRPr="008A3740">
        <w:rPr>
          <w:rFonts w:ascii="Verdana" w:hAnsi="Verdana"/>
          <w:sz w:val="20"/>
          <w:szCs w:val="20"/>
          <w:lang w:val="en-US"/>
        </w:rPr>
        <w:t xml:space="preserve"> </w:t>
      </w:r>
      <w:r w:rsidR="008E6A56" w:rsidRPr="008A3740">
        <w:rPr>
          <w:rFonts w:ascii="Verdana" w:hAnsi="Verdana"/>
          <w:sz w:val="20"/>
          <w:szCs w:val="20"/>
          <w:lang w:val="en-US"/>
        </w:rPr>
        <w:t>that Mr. Muelle Flores</w:t>
      </w:r>
      <w:r w:rsidRPr="008A3740">
        <w:rPr>
          <w:rFonts w:ascii="Verdana" w:hAnsi="Verdana"/>
          <w:sz w:val="20"/>
          <w:szCs w:val="20"/>
          <w:lang w:val="en-US"/>
        </w:rPr>
        <w:t>’</w:t>
      </w:r>
      <w:r w:rsidR="008E6A56" w:rsidRPr="008A3740">
        <w:rPr>
          <w:rFonts w:ascii="Verdana" w:hAnsi="Verdana"/>
          <w:sz w:val="20"/>
          <w:szCs w:val="20"/>
          <w:lang w:val="en-US"/>
        </w:rPr>
        <w:t xml:space="preserve"> </w:t>
      </w:r>
      <w:r w:rsidRPr="008A3740">
        <w:rPr>
          <w:rFonts w:ascii="Verdana" w:hAnsi="Verdana"/>
          <w:sz w:val="20"/>
          <w:szCs w:val="20"/>
          <w:lang w:val="en-US"/>
        </w:rPr>
        <w:t xml:space="preserve">reinstatement </w:t>
      </w:r>
      <w:r w:rsidR="008E6A56" w:rsidRPr="008A3740">
        <w:rPr>
          <w:rFonts w:ascii="Verdana" w:hAnsi="Verdana"/>
          <w:sz w:val="20"/>
          <w:szCs w:val="20"/>
          <w:lang w:val="en-US"/>
        </w:rPr>
        <w:t xml:space="preserve">in the State pension regime </w:t>
      </w:r>
      <w:r w:rsidR="003579FC" w:rsidRPr="008A3740">
        <w:rPr>
          <w:rFonts w:ascii="Verdana" w:hAnsi="Verdana"/>
          <w:sz w:val="20"/>
          <w:szCs w:val="20"/>
          <w:lang w:val="en-US"/>
        </w:rPr>
        <w:t xml:space="preserve">complied </w:t>
      </w:r>
      <w:r w:rsidR="008E6A56" w:rsidRPr="008A3740">
        <w:rPr>
          <w:rFonts w:ascii="Verdana" w:hAnsi="Verdana"/>
          <w:sz w:val="20"/>
          <w:szCs w:val="20"/>
          <w:lang w:val="en-US"/>
        </w:rPr>
        <w:t xml:space="preserve">with the requirements </w:t>
      </w:r>
      <w:r w:rsidR="00CC2568" w:rsidRPr="008A3740">
        <w:rPr>
          <w:rFonts w:ascii="Verdana" w:hAnsi="Verdana"/>
          <w:sz w:val="20"/>
          <w:szCs w:val="20"/>
          <w:lang w:val="en-US"/>
        </w:rPr>
        <w:t xml:space="preserve">of </w:t>
      </w:r>
      <w:r w:rsidR="00212C72" w:rsidRPr="008A3740">
        <w:rPr>
          <w:rFonts w:ascii="Verdana" w:hAnsi="Verdana"/>
          <w:sz w:val="20"/>
          <w:szCs w:val="20"/>
          <w:lang w:val="en-US"/>
        </w:rPr>
        <w:t>Decree Law No. 20530. Both</w:t>
      </w:r>
      <w:r w:rsidR="00E22DF9" w:rsidRPr="008A3740">
        <w:rPr>
          <w:rFonts w:ascii="Verdana" w:hAnsi="Verdana"/>
          <w:sz w:val="20"/>
          <w:szCs w:val="20"/>
          <w:lang w:val="en-US"/>
        </w:rPr>
        <w:t xml:space="preserve"> stated that</w:t>
      </w:r>
      <w:r w:rsidR="008E6A56" w:rsidRPr="008A3740">
        <w:rPr>
          <w:rFonts w:ascii="Verdana" w:hAnsi="Verdana"/>
          <w:sz w:val="20"/>
          <w:szCs w:val="20"/>
          <w:lang w:val="en-US"/>
        </w:rPr>
        <w:t xml:space="preserve"> although Article 14(b) pr</w:t>
      </w:r>
      <w:r w:rsidR="00E22DF9" w:rsidRPr="008A3740">
        <w:rPr>
          <w:rFonts w:ascii="Verdana" w:hAnsi="Verdana"/>
          <w:sz w:val="20"/>
          <w:szCs w:val="20"/>
          <w:lang w:val="en-US"/>
        </w:rPr>
        <w:t xml:space="preserve">ecluded </w:t>
      </w:r>
      <w:r w:rsidR="008E6A56" w:rsidRPr="008A3740">
        <w:rPr>
          <w:rFonts w:ascii="Verdana" w:hAnsi="Verdana"/>
          <w:sz w:val="20"/>
          <w:szCs w:val="20"/>
          <w:lang w:val="en-US"/>
        </w:rPr>
        <w:t>the accumulation of periods o</w:t>
      </w:r>
      <w:r w:rsidR="00E22DF9" w:rsidRPr="008A3740">
        <w:rPr>
          <w:rFonts w:ascii="Verdana" w:hAnsi="Verdana"/>
          <w:sz w:val="20"/>
          <w:szCs w:val="20"/>
          <w:lang w:val="en-US"/>
        </w:rPr>
        <w:t>f public service under differing</w:t>
      </w:r>
      <w:r w:rsidR="008E6A56" w:rsidRPr="008A3740">
        <w:rPr>
          <w:rFonts w:ascii="Verdana" w:hAnsi="Verdana"/>
          <w:sz w:val="20"/>
          <w:szCs w:val="20"/>
          <w:lang w:val="en-US"/>
        </w:rPr>
        <w:t xml:space="preserve"> labor regimes, it was also true that </w:t>
      </w:r>
      <w:r w:rsidR="00E22DF9" w:rsidRPr="008A3740">
        <w:rPr>
          <w:rFonts w:ascii="Verdana" w:hAnsi="Verdana"/>
          <w:sz w:val="20"/>
          <w:szCs w:val="20"/>
          <w:lang w:val="en-US"/>
        </w:rPr>
        <w:t xml:space="preserve">the </w:t>
      </w:r>
      <w:r w:rsidR="008E6A56" w:rsidRPr="008A3740">
        <w:rPr>
          <w:rFonts w:ascii="Verdana" w:hAnsi="Verdana"/>
          <w:sz w:val="20"/>
          <w:szCs w:val="20"/>
          <w:lang w:val="en-US"/>
        </w:rPr>
        <w:t xml:space="preserve">Fifth Transitory Provision </w:t>
      </w:r>
      <w:r w:rsidR="00E22DF9" w:rsidRPr="008A3740">
        <w:rPr>
          <w:rFonts w:ascii="Verdana" w:hAnsi="Verdana"/>
          <w:sz w:val="20"/>
          <w:szCs w:val="20"/>
          <w:lang w:val="en-US"/>
        </w:rPr>
        <w:t>of that law</w:t>
      </w:r>
      <w:r w:rsidR="00A84FC8" w:rsidRPr="008A3740">
        <w:rPr>
          <w:rFonts w:ascii="Verdana" w:hAnsi="Verdana"/>
          <w:sz w:val="20"/>
          <w:szCs w:val="20"/>
          <w:lang w:val="en-US"/>
        </w:rPr>
        <w:t>,</w:t>
      </w:r>
      <w:r w:rsidR="00E22DF9" w:rsidRPr="008A3740">
        <w:rPr>
          <w:rFonts w:ascii="Verdana" w:hAnsi="Verdana"/>
          <w:sz w:val="20"/>
          <w:szCs w:val="20"/>
          <w:lang w:val="en-US"/>
        </w:rPr>
        <w:t xml:space="preserve"> </w:t>
      </w:r>
      <w:r w:rsidR="00A84FC8" w:rsidRPr="008A3740">
        <w:rPr>
          <w:rFonts w:ascii="Verdana" w:hAnsi="Verdana"/>
          <w:sz w:val="20"/>
          <w:szCs w:val="20"/>
          <w:lang w:val="en-US"/>
        </w:rPr>
        <w:t xml:space="preserve">together with </w:t>
      </w:r>
      <w:r w:rsidR="008E6A56" w:rsidRPr="008A3740">
        <w:rPr>
          <w:rFonts w:ascii="Verdana" w:hAnsi="Verdana"/>
          <w:sz w:val="20"/>
          <w:szCs w:val="20"/>
          <w:lang w:val="en-US"/>
        </w:rPr>
        <w:t>Law No. 25273 of July 6, 1990</w:t>
      </w:r>
      <w:r w:rsidR="00E22DF9" w:rsidRPr="008A3740">
        <w:rPr>
          <w:rFonts w:ascii="Verdana" w:hAnsi="Verdana"/>
          <w:sz w:val="20"/>
          <w:szCs w:val="20"/>
          <w:lang w:val="en-US"/>
        </w:rPr>
        <w:t>,</w:t>
      </w:r>
      <w:r w:rsidR="008E6A56" w:rsidRPr="008A3740">
        <w:rPr>
          <w:rFonts w:ascii="Verdana" w:hAnsi="Verdana"/>
          <w:sz w:val="20"/>
          <w:szCs w:val="20"/>
          <w:lang w:val="en-US"/>
        </w:rPr>
        <w:t xml:space="preserve"> estab</w:t>
      </w:r>
      <w:r w:rsidR="00CC2568" w:rsidRPr="008A3740">
        <w:rPr>
          <w:rFonts w:ascii="Verdana" w:hAnsi="Verdana"/>
          <w:sz w:val="20"/>
          <w:szCs w:val="20"/>
          <w:lang w:val="en-US"/>
        </w:rPr>
        <w:t xml:space="preserve">lished </w:t>
      </w:r>
      <w:r w:rsidR="00E22DF9" w:rsidRPr="008A3740">
        <w:rPr>
          <w:rFonts w:ascii="Verdana" w:hAnsi="Verdana"/>
          <w:sz w:val="20"/>
          <w:szCs w:val="20"/>
          <w:lang w:val="en-US"/>
        </w:rPr>
        <w:t xml:space="preserve">exceptions </w:t>
      </w:r>
      <w:r w:rsidR="00CC2568" w:rsidRPr="008A3740">
        <w:rPr>
          <w:rFonts w:ascii="Verdana" w:hAnsi="Verdana"/>
          <w:sz w:val="20"/>
          <w:szCs w:val="20"/>
          <w:lang w:val="en-US"/>
        </w:rPr>
        <w:t>to Article 14(</w:t>
      </w:r>
      <w:r w:rsidR="00A84FC8" w:rsidRPr="008A3740">
        <w:rPr>
          <w:rFonts w:ascii="Verdana" w:hAnsi="Verdana"/>
          <w:sz w:val="20"/>
          <w:szCs w:val="20"/>
          <w:lang w:val="en-US"/>
        </w:rPr>
        <w:t>b) of that</w:t>
      </w:r>
      <w:r w:rsidR="008E6A56" w:rsidRPr="008A3740">
        <w:rPr>
          <w:rFonts w:ascii="Verdana" w:hAnsi="Verdana"/>
          <w:sz w:val="20"/>
          <w:szCs w:val="20"/>
          <w:lang w:val="en-US"/>
        </w:rPr>
        <w:t xml:space="preserve"> Decree, </w:t>
      </w:r>
      <w:r w:rsidR="00E22DF9" w:rsidRPr="008A3740">
        <w:rPr>
          <w:rFonts w:ascii="Verdana" w:hAnsi="Verdana"/>
          <w:sz w:val="20"/>
          <w:szCs w:val="20"/>
          <w:lang w:val="en-US"/>
        </w:rPr>
        <w:t xml:space="preserve">which were </w:t>
      </w:r>
      <w:r w:rsidR="008E6A56" w:rsidRPr="008A3740">
        <w:rPr>
          <w:rFonts w:ascii="Verdana" w:hAnsi="Verdana"/>
          <w:sz w:val="20"/>
          <w:szCs w:val="20"/>
          <w:lang w:val="en-US"/>
        </w:rPr>
        <w:t>applicable to Mr. Muelle Flo</w:t>
      </w:r>
      <w:r w:rsidR="00E22DF9" w:rsidRPr="008A3740">
        <w:rPr>
          <w:rFonts w:ascii="Verdana" w:hAnsi="Verdana"/>
          <w:sz w:val="20"/>
          <w:szCs w:val="20"/>
          <w:lang w:val="en-US"/>
        </w:rPr>
        <w:t>res’ case based on</w:t>
      </w:r>
      <w:r w:rsidR="008E6A56" w:rsidRPr="008A3740">
        <w:rPr>
          <w:rFonts w:ascii="Verdana" w:hAnsi="Verdana"/>
          <w:sz w:val="20"/>
          <w:szCs w:val="20"/>
          <w:lang w:val="en-US"/>
        </w:rPr>
        <w:t xml:space="preserve"> the principle</w:t>
      </w:r>
      <w:r w:rsidR="00E22DF9" w:rsidRPr="008A3740">
        <w:rPr>
          <w:rFonts w:ascii="Verdana" w:hAnsi="Verdana"/>
          <w:sz w:val="20"/>
          <w:szCs w:val="20"/>
          <w:lang w:val="en-US"/>
        </w:rPr>
        <w:t xml:space="preserve"> of benign retroactivity of </w:t>
      </w:r>
      <w:r w:rsidR="008E6A56" w:rsidRPr="008A3740">
        <w:rPr>
          <w:rFonts w:ascii="Verdana" w:hAnsi="Verdana"/>
          <w:sz w:val="20"/>
          <w:szCs w:val="20"/>
          <w:lang w:val="en-US"/>
        </w:rPr>
        <w:t>law</w:t>
      </w:r>
      <w:r w:rsidR="00E22DF9" w:rsidRPr="008A3740">
        <w:rPr>
          <w:rFonts w:ascii="Verdana" w:hAnsi="Verdana"/>
          <w:sz w:val="20"/>
          <w:szCs w:val="20"/>
          <w:lang w:val="en-US"/>
        </w:rPr>
        <w:t>s</w:t>
      </w:r>
      <w:r w:rsidR="008E6A56" w:rsidRPr="008A3740">
        <w:rPr>
          <w:rFonts w:ascii="Verdana" w:hAnsi="Verdana"/>
          <w:sz w:val="20"/>
          <w:szCs w:val="20"/>
          <w:lang w:val="en-US"/>
        </w:rPr>
        <w:t>. Therefore, the repeal of Law No. 25273 in no way impaired Mr. Muelle</w:t>
      </w:r>
      <w:r w:rsidR="00620820" w:rsidRPr="008A3740">
        <w:rPr>
          <w:rFonts w:ascii="Verdana" w:hAnsi="Verdana"/>
          <w:sz w:val="20"/>
          <w:szCs w:val="20"/>
          <w:lang w:val="en-US"/>
        </w:rPr>
        <w:t>’s</w:t>
      </w:r>
      <w:r w:rsidR="008E6A56" w:rsidRPr="008A3740">
        <w:rPr>
          <w:rFonts w:ascii="Verdana" w:hAnsi="Verdana"/>
          <w:sz w:val="20"/>
          <w:szCs w:val="20"/>
          <w:lang w:val="en-US"/>
        </w:rPr>
        <w:t xml:space="preserve"> acquired right.</w:t>
      </w:r>
      <w:r w:rsidR="008E6A56" w:rsidRPr="008A3740">
        <w:rPr>
          <w:rStyle w:val="Refdenotaalpie"/>
          <w:szCs w:val="20"/>
          <w:lang w:val="en-US"/>
        </w:rPr>
        <w:footnoteReference w:id="82"/>
      </w:r>
    </w:p>
    <w:p w14:paraId="298A347C" w14:textId="77777777" w:rsidR="008E6A56" w:rsidRPr="008A3740" w:rsidRDefault="008E6A56" w:rsidP="008E6A56">
      <w:pPr>
        <w:pStyle w:val="Prrafodelista"/>
        <w:rPr>
          <w:rFonts w:ascii="Verdana" w:hAnsi="Verdana"/>
          <w:sz w:val="20"/>
          <w:szCs w:val="20"/>
          <w:lang w:val="en-US"/>
        </w:rPr>
      </w:pPr>
    </w:p>
    <w:p w14:paraId="360C4B18"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Mr. Muelle Flores forwarded </w:t>
      </w:r>
      <w:r w:rsidR="00E22DF9" w:rsidRPr="008A3740">
        <w:rPr>
          <w:rFonts w:ascii="Verdana" w:hAnsi="Verdana"/>
          <w:sz w:val="20"/>
          <w:szCs w:val="20"/>
          <w:lang w:val="en-US"/>
        </w:rPr>
        <w:t xml:space="preserve">several </w:t>
      </w:r>
      <w:r w:rsidRPr="008A3740">
        <w:rPr>
          <w:rFonts w:ascii="Verdana" w:hAnsi="Verdana"/>
          <w:sz w:val="20"/>
          <w:szCs w:val="20"/>
          <w:lang w:val="en-US"/>
        </w:rPr>
        <w:t xml:space="preserve">notarized letters to the ONP in order to obtain compliance with the judgment of October 29, 1997, in the administrative </w:t>
      </w:r>
      <w:r w:rsidR="00CC2568" w:rsidRPr="008A3740">
        <w:rPr>
          <w:rFonts w:ascii="Verdana" w:hAnsi="Verdana"/>
          <w:sz w:val="20"/>
          <w:szCs w:val="20"/>
          <w:lang w:val="en-US"/>
        </w:rPr>
        <w:t xml:space="preserve">action </w:t>
      </w:r>
      <w:r w:rsidRPr="008A3740">
        <w:rPr>
          <w:rFonts w:ascii="Verdana" w:hAnsi="Verdana"/>
          <w:sz w:val="20"/>
          <w:szCs w:val="20"/>
          <w:lang w:val="en-US"/>
        </w:rPr>
        <w:t>filed by the company Tintaya S.A.</w:t>
      </w:r>
      <w:r w:rsidRPr="008A3740">
        <w:rPr>
          <w:rStyle w:val="Refdenotaalpie"/>
          <w:szCs w:val="20"/>
          <w:lang w:val="en-US"/>
        </w:rPr>
        <w:footnoteReference w:id="83"/>
      </w:r>
      <w:r w:rsidRPr="008A3740">
        <w:rPr>
          <w:rFonts w:ascii="Verdana" w:hAnsi="Verdana"/>
          <w:sz w:val="20"/>
          <w:szCs w:val="20"/>
          <w:lang w:val="en-US"/>
        </w:rPr>
        <w:t xml:space="preserve"> On November 27, 1998, the ONP </w:t>
      </w:r>
      <w:r w:rsidR="00E22DF9" w:rsidRPr="008A3740">
        <w:rPr>
          <w:rFonts w:ascii="Verdana" w:hAnsi="Verdana"/>
          <w:sz w:val="20"/>
          <w:szCs w:val="20"/>
          <w:lang w:val="en-US"/>
        </w:rPr>
        <w:t xml:space="preserve">sent </w:t>
      </w:r>
      <w:r w:rsidRPr="008A3740">
        <w:rPr>
          <w:rFonts w:ascii="Verdana" w:hAnsi="Verdana"/>
          <w:sz w:val="20"/>
          <w:szCs w:val="20"/>
          <w:lang w:val="en-US"/>
        </w:rPr>
        <w:t xml:space="preserve">a communication to that company, which had already </w:t>
      </w:r>
      <w:r w:rsidRPr="008A3740">
        <w:rPr>
          <w:rFonts w:ascii="Verdana" w:hAnsi="Verdana"/>
          <w:sz w:val="20"/>
          <w:szCs w:val="20"/>
          <w:lang w:val="en-US"/>
        </w:rPr>
        <w:lastRenderedPageBreak/>
        <w:t>been privatized (</w:t>
      </w:r>
      <w:r w:rsidRPr="008A3740">
        <w:rPr>
          <w:rFonts w:ascii="Verdana" w:hAnsi="Verdana"/>
          <w:i/>
          <w:sz w:val="20"/>
          <w:szCs w:val="20"/>
          <w:lang w:val="en-US"/>
        </w:rPr>
        <w:t>supra</w:t>
      </w:r>
      <w:r w:rsidRPr="008A3740">
        <w:rPr>
          <w:rFonts w:ascii="Verdana" w:hAnsi="Verdana"/>
          <w:sz w:val="20"/>
          <w:szCs w:val="20"/>
          <w:lang w:val="en-US"/>
        </w:rPr>
        <w:t xml:space="preserve"> para. 57), emphasizing </w:t>
      </w:r>
      <w:r w:rsidR="00212C72" w:rsidRPr="008A3740">
        <w:rPr>
          <w:rFonts w:ascii="Verdana" w:hAnsi="Verdana"/>
          <w:sz w:val="20"/>
          <w:szCs w:val="20"/>
          <w:lang w:val="en-US"/>
        </w:rPr>
        <w:t xml:space="preserve">that </w:t>
      </w:r>
      <w:r w:rsidRPr="008A3740">
        <w:rPr>
          <w:rFonts w:ascii="Verdana" w:hAnsi="Verdana"/>
          <w:sz w:val="20"/>
          <w:szCs w:val="20"/>
          <w:lang w:val="en-US"/>
        </w:rPr>
        <w:t xml:space="preserve">every individual and authority </w:t>
      </w:r>
      <w:r w:rsidR="00212C72" w:rsidRPr="008A3740">
        <w:rPr>
          <w:rFonts w:ascii="Verdana" w:hAnsi="Verdana"/>
          <w:sz w:val="20"/>
          <w:szCs w:val="20"/>
          <w:lang w:val="en-US"/>
        </w:rPr>
        <w:t xml:space="preserve">had an obligation to </w:t>
      </w:r>
      <w:r w:rsidRPr="008A3740">
        <w:rPr>
          <w:rFonts w:ascii="Verdana" w:hAnsi="Verdana"/>
          <w:sz w:val="20"/>
          <w:szCs w:val="20"/>
          <w:lang w:val="en-US"/>
        </w:rPr>
        <w:t>comply with judicial rulings. The communication concluded that, pursuant to Article 4 of Legislative Decree No. 817, “each entity continu</w:t>
      </w:r>
      <w:r w:rsidR="006A5896" w:rsidRPr="008A3740">
        <w:rPr>
          <w:rFonts w:ascii="Verdana" w:hAnsi="Verdana"/>
          <w:sz w:val="20"/>
          <w:szCs w:val="20"/>
          <w:lang w:val="en-US"/>
        </w:rPr>
        <w:t xml:space="preserve">es </w:t>
      </w:r>
      <w:r w:rsidR="0083711C" w:rsidRPr="008A3740">
        <w:rPr>
          <w:rFonts w:ascii="Verdana" w:hAnsi="Verdana"/>
          <w:sz w:val="20"/>
          <w:szCs w:val="20"/>
          <w:lang w:val="en-US"/>
        </w:rPr>
        <w:t>to be responsible</w:t>
      </w:r>
      <w:r w:rsidRPr="008A3740">
        <w:rPr>
          <w:rFonts w:ascii="Verdana" w:hAnsi="Verdana"/>
          <w:sz w:val="20"/>
          <w:szCs w:val="20"/>
          <w:lang w:val="en-US"/>
        </w:rPr>
        <w:t xml:space="preserve"> </w:t>
      </w:r>
      <w:r w:rsidR="008823B2" w:rsidRPr="008A3740">
        <w:rPr>
          <w:rFonts w:ascii="Verdana" w:hAnsi="Verdana"/>
          <w:sz w:val="20"/>
          <w:szCs w:val="20"/>
          <w:lang w:val="en-US"/>
        </w:rPr>
        <w:t xml:space="preserve">for paying </w:t>
      </w:r>
      <w:r w:rsidRPr="008A3740">
        <w:rPr>
          <w:rFonts w:ascii="Verdana" w:hAnsi="Verdana"/>
          <w:sz w:val="20"/>
          <w:szCs w:val="20"/>
          <w:lang w:val="en-US"/>
        </w:rPr>
        <w:t xml:space="preserve">the pensions </w:t>
      </w:r>
      <w:r w:rsidR="006A5896" w:rsidRPr="008A3740">
        <w:rPr>
          <w:rFonts w:ascii="Verdana" w:hAnsi="Verdana"/>
          <w:sz w:val="20"/>
          <w:szCs w:val="20"/>
          <w:lang w:val="en-US"/>
        </w:rPr>
        <w:t>that correspond</w:t>
      </w:r>
      <w:r w:rsidRPr="008A3740">
        <w:rPr>
          <w:rFonts w:ascii="Verdana" w:hAnsi="Verdana"/>
          <w:sz w:val="20"/>
          <w:szCs w:val="20"/>
          <w:lang w:val="en-US"/>
        </w:rPr>
        <w:t xml:space="preserve"> to </w:t>
      </w:r>
      <w:r w:rsidR="006A5896" w:rsidRPr="008A3740">
        <w:rPr>
          <w:rFonts w:ascii="Verdana" w:hAnsi="Verdana"/>
          <w:sz w:val="20"/>
          <w:szCs w:val="20"/>
          <w:lang w:val="en-US"/>
        </w:rPr>
        <w:t xml:space="preserve">it, </w:t>
      </w:r>
      <w:r w:rsidRPr="008A3740">
        <w:rPr>
          <w:rFonts w:ascii="Verdana" w:hAnsi="Verdana"/>
          <w:sz w:val="20"/>
          <w:szCs w:val="20"/>
          <w:lang w:val="en-US"/>
        </w:rPr>
        <w:t xml:space="preserve">according to law, </w:t>
      </w:r>
      <w:r w:rsidR="007F26AB" w:rsidRPr="008A3740">
        <w:rPr>
          <w:rFonts w:ascii="Verdana" w:hAnsi="Verdana"/>
          <w:sz w:val="20"/>
          <w:szCs w:val="20"/>
          <w:lang w:val="en-US"/>
        </w:rPr>
        <w:t xml:space="preserve">with the exception of those entities that, via a Supreme Decree, have transferred their funds and </w:t>
      </w:r>
      <w:r w:rsidR="00CC2568" w:rsidRPr="008A3740">
        <w:rPr>
          <w:rFonts w:ascii="Verdana" w:hAnsi="Verdana"/>
          <w:sz w:val="20"/>
          <w:szCs w:val="20"/>
          <w:lang w:val="en-US"/>
        </w:rPr>
        <w:t>obligation</w:t>
      </w:r>
      <w:r w:rsidR="007F26AB" w:rsidRPr="008A3740">
        <w:rPr>
          <w:rFonts w:ascii="Verdana" w:hAnsi="Verdana"/>
          <w:sz w:val="20"/>
          <w:szCs w:val="20"/>
          <w:lang w:val="en-US"/>
        </w:rPr>
        <w:t>s</w:t>
      </w:r>
      <w:r w:rsidR="00CC2568" w:rsidRPr="008A3740">
        <w:rPr>
          <w:rFonts w:ascii="Verdana" w:hAnsi="Verdana"/>
          <w:sz w:val="20"/>
          <w:szCs w:val="20"/>
          <w:lang w:val="en-US"/>
        </w:rPr>
        <w:t xml:space="preserve"> to</w:t>
      </w:r>
      <w:r w:rsidRPr="008A3740">
        <w:rPr>
          <w:rFonts w:ascii="Verdana" w:hAnsi="Verdana"/>
          <w:sz w:val="20"/>
          <w:szCs w:val="20"/>
          <w:lang w:val="en-US"/>
        </w:rPr>
        <w:t xml:space="preserve"> the ONP, </w:t>
      </w:r>
      <w:r w:rsidR="007F26AB" w:rsidRPr="008A3740">
        <w:rPr>
          <w:rFonts w:ascii="Verdana" w:hAnsi="Verdana"/>
          <w:sz w:val="20"/>
          <w:szCs w:val="20"/>
          <w:lang w:val="en-US"/>
        </w:rPr>
        <w:t>which is not the case of t</w:t>
      </w:r>
      <w:r w:rsidR="00CC2568" w:rsidRPr="008A3740">
        <w:rPr>
          <w:rFonts w:ascii="Verdana" w:hAnsi="Verdana"/>
          <w:sz w:val="20"/>
          <w:szCs w:val="20"/>
          <w:lang w:val="en-US"/>
        </w:rPr>
        <w:t>his</w:t>
      </w:r>
      <w:r w:rsidRPr="008A3740">
        <w:rPr>
          <w:rFonts w:ascii="Verdana" w:hAnsi="Verdana"/>
          <w:sz w:val="20"/>
          <w:szCs w:val="20"/>
          <w:lang w:val="en-US"/>
        </w:rPr>
        <w:t xml:space="preserve"> company.”</w:t>
      </w:r>
      <w:r w:rsidRPr="008A3740">
        <w:rPr>
          <w:rStyle w:val="Refdenotaalpie"/>
          <w:szCs w:val="20"/>
          <w:lang w:val="en-US"/>
        </w:rPr>
        <w:footnoteReference w:id="84"/>
      </w:r>
      <w:r w:rsidRPr="008A3740">
        <w:rPr>
          <w:rFonts w:ascii="Verdana" w:hAnsi="Verdana"/>
          <w:sz w:val="20"/>
          <w:szCs w:val="20"/>
          <w:lang w:val="en-US"/>
        </w:rPr>
        <w:t xml:space="preserve"> On that same date, the ONP informed Mr. Muelle Flores that </w:t>
      </w:r>
      <w:r w:rsidR="002832C0" w:rsidRPr="008A3740">
        <w:rPr>
          <w:rFonts w:ascii="Verdana" w:hAnsi="Verdana"/>
          <w:sz w:val="20"/>
          <w:szCs w:val="20"/>
          <w:lang w:val="en-US"/>
        </w:rPr>
        <w:t xml:space="preserve">it had sent </w:t>
      </w:r>
      <w:r w:rsidRPr="008A3740">
        <w:rPr>
          <w:rFonts w:ascii="Verdana" w:hAnsi="Verdana"/>
          <w:sz w:val="20"/>
          <w:szCs w:val="20"/>
          <w:lang w:val="en-US"/>
        </w:rPr>
        <w:t>a document</w:t>
      </w:r>
      <w:r w:rsidR="002832C0" w:rsidRPr="008A3740">
        <w:rPr>
          <w:rFonts w:ascii="Verdana" w:hAnsi="Verdana"/>
          <w:sz w:val="20"/>
          <w:szCs w:val="20"/>
          <w:lang w:val="en-US"/>
        </w:rPr>
        <w:t xml:space="preserve"> to</w:t>
      </w:r>
      <w:r w:rsidRPr="008A3740">
        <w:rPr>
          <w:rFonts w:ascii="Verdana" w:hAnsi="Verdana"/>
          <w:sz w:val="20"/>
          <w:szCs w:val="20"/>
          <w:lang w:val="en-US"/>
        </w:rPr>
        <w:t xml:space="preserve"> Tintaya S.A. indica</w:t>
      </w:r>
      <w:r w:rsidR="00CC2568" w:rsidRPr="008A3740">
        <w:rPr>
          <w:rFonts w:ascii="Verdana" w:hAnsi="Verdana"/>
          <w:sz w:val="20"/>
          <w:szCs w:val="20"/>
          <w:lang w:val="en-US"/>
        </w:rPr>
        <w:t xml:space="preserve">ting that it must comply with the </w:t>
      </w:r>
      <w:r w:rsidR="007F26AB" w:rsidRPr="008A3740">
        <w:rPr>
          <w:rFonts w:ascii="Verdana" w:hAnsi="Verdana"/>
          <w:sz w:val="20"/>
          <w:szCs w:val="20"/>
          <w:lang w:val="en-US"/>
        </w:rPr>
        <w:t>order of</w:t>
      </w:r>
      <w:r w:rsidRPr="008A3740">
        <w:rPr>
          <w:rFonts w:ascii="Verdana" w:hAnsi="Verdana"/>
          <w:sz w:val="20"/>
          <w:szCs w:val="20"/>
          <w:lang w:val="en-US"/>
        </w:rPr>
        <w:t xml:space="preserve"> the </w:t>
      </w:r>
      <w:r w:rsidR="002832C0" w:rsidRPr="008A3740">
        <w:rPr>
          <w:rFonts w:ascii="Verdana" w:hAnsi="Verdana"/>
          <w:sz w:val="20"/>
          <w:szCs w:val="20"/>
          <w:lang w:val="en-US"/>
        </w:rPr>
        <w:t>judicial authority.</w:t>
      </w:r>
      <w:r w:rsidRPr="008A3740">
        <w:rPr>
          <w:rStyle w:val="Refdenotaalpie"/>
          <w:szCs w:val="20"/>
          <w:lang w:val="en-US"/>
        </w:rPr>
        <w:footnoteReference w:id="85"/>
      </w:r>
    </w:p>
    <w:p w14:paraId="10A9AD97" w14:textId="77777777" w:rsidR="008E6A56" w:rsidRPr="008A3740" w:rsidRDefault="008E6A56" w:rsidP="008E6A56">
      <w:pPr>
        <w:tabs>
          <w:tab w:val="left" w:pos="567"/>
        </w:tabs>
        <w:rPr>
          <w:rFonts w:ascii="Verdana" w:hAnsi="Verdana"/>
          <w:sz w:val="20"/>
          <w:szCs w:val="20"/>
          <w:lang w:val="en-US"/>
        </w:rPr>
      </w:pPr>
    </w:p>
    <w:p w14:paraId="58753379" w14:textId="77777777" w:rsidR="008E6A56" w:rsidRPr="008A3740" w:rsidRDefault="00CC2568" w:rsidP="008E6A56">
      <w:pPr>
        <w:pStyle w:val="Ttulo2"/>
        <w:tabs>
          <w:tab w:val="clear" w:pos="360"/>
        </w:tabs>
        <w:ind w:hanging="360"/>
        <w:rPr>
          <w:lang w:val="en-US"/>
        </w:rPr>
      </w:pPr>
      <w:bookmarkStart w:id="77" w:name="_Toc5009874"/>
      <w:r w:rsidRPr="008A3740">
        <w:rPr>
          <w:lang w:val="en-US"/>
        </w:rPr>
        <w:t xml:space="preserve">Proceeding </w:t>
      </w:r>
      <w:r w:rsidR="008823B2" w:rsidRPr="008A3740">
        <w:rPr>
          <w:lang w:val="en-US"/>
        </w:rPr>
        <w:t>for the e</w:t>
      </w:r>
      <w:r w:rsidR="00A54B10" w:rsidRPr="008A3740">
        <w:rPr>
          <w:lang w:val="en-US"/>
        </w:rPr>
        <w:t xml:space="preserve">xecution </w:t>
      </w:r>
      <w:r w:rsidR="008823B2" w:rsidRPr="008A3740">
        <w:rPr>
          <w:lang w:val="en-US"/>
        </w:rPr>
        <w:t xml:space="preserve">of the </w:t>
      </w:r>
      <w:r w:rsidR="0010779F" w:rsidRPr="008A3740">
        <w:rPr>
          <w:lang w:val="en-US"/>
        </w:rPr>
        <w:t xml:space="preserve">amparo </w:t>
      </w:r>
      <w:r w:rsidR="008823B2" w:rsidRPr="008A3740">
        <w:rPr>
          <w:lang w:val="en-US"/>
        </w:rPr>
        <w:t xml:space="preserve">judgment </w:t>
      </w:r>
      <w:r w:rsidR="0010779F" w:rsidRPr="008A3740">
        <w:rPr>
          <w:lang w:val="en-US"/>
        </w:rPr>
        <w:t>of</w:t>
      </w:r>
      <w:r w:rsidR="008E6A56" w:rsidRPr="008A3740">
        <w:rPr>
          <w:lang w:val="en-US"/>
        </w:rPr>
        <w:t xml:space="preserve"> February 2, 1993</w:t>
      </w:r>
      <w:bookmarkEnd w:id="77"/>
    </w:p>
    <w:p w14:paraId="23449CF3" w14:textId="77777777" w:rsidR="008E6A56" w:rsidRPr="008A3740" w:rsidRDefault="008E6A56" w:rsidP="008E6A56">
      <w:pPr>
        <w:pStyle w:val="Prrafodelista"/>
        <w:keepNext/>
        <w:keepLines/>
        <w:tabs>
          <w:tab w:val="left" w:pos="1134"/>
        </w:tabs>
        <w:ind w:left="1288"/>
        <w:outlineLvl w:val="1"/>
        <w:rPr>
          <w:rFonts w:ascii="Verdana" w:hAnsi="Verdana"/>
          <w:sz w:val="20"/>
          <w:szCs w:val="20"/>
          <w:lang w:val="en-US"/>
        </w:rPr>
      </w:pPr>
    </w:p>
    <w:p w14:paraId="1A45D0A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On December 18, 1995</w:t>
      </w:r>
      <w:r w:rsidR="00CC2568" w:rsidRPr="008A3740">
        <w:rPr>
          <w:rFonts w:ascii="Verdana" w:hAnsi="Verdana"/>
          <w:sz w:val="20"/>
          <w:szCs w:val="20"/>
          <w:lang w:val="en-US"/>
        </w:rPr>
        <w:t>,</w:t>
      </w:r>
      <w:r w:rsidRPr="008A3740">
        <w:rPr>
          <w:rFonts w:ascii="Verdana" w:hAnsi="Verdana"/>
          <w:sz w:val="20"/>
          <w:szCs w:val="20"/>
          <w:lang w:val="en-US"/>
        </w:rPr>
        <w:t xml:space="preserve"> the Fifth </w:t>
      </w:r>
      <w:r w:rsidR="00A20C76" w:rsidRPr="008A3740">
        <w:rPr>
          <w:rFonts w:ascii="Verdana" w:hAnsi="Verdana"/>
          <w:sz w:val="20"/>
          <w:szCs w:val="20"/>
          <w:lang w:val="en-US"/>
        </w:rPr>
        <w:t xml:space="preserve">Specialized </w:t>
      </w:r>
      <w:r w:rsidRPr="008A3740">
        <w:rPr>
          <w:rFonts w:ascii="Verdana" w:hAnsi="Verdana"/>
          <w:sz w:val="20"/>
          <w:szCs w:val="20"/>
          <w:lang w:val="en-US"/>
        </w:rPr>
        <w:t>C</w:t>
      </w:r>
      <w:r w:rsidR="00CC2568" w:rsidRPr="008A3740">
        <w:rPr>
          <w:rFonts w:ascii="Verdana" w:hAnsi="Verdana"/>
          <w:sz w:val="20"/>
          <w:szCs w:val="20"/>
          <w:lang w:val="en-US"/>
        </w:rPr>
        <w:t>ivil C</w:t>
      </w:r>
      <w:r w:rsidRPr="008A3740">
        <w:rPr>
          <w:rFonts w:ascii="Verdana" w:hAnsi="Verdana"/>
          <w:sz w:val="20"/>
          <w:szCs w:val="20"/>
          <w:lang w:val="en-US"/>
        </w:rPr>
        <w:t xml:space="preserve">ourt </w:t>
      </w:r>
      <w:r w:rsidR="00CC2568" w:rsidRPr="008A3740">
        <w:rPr>
          <w:rFonts w:ascii="Verdana" w:hAnsi="Verdana"/>
          <w:sz w:val="20"/>
          <w:szCs w:val="20"/>
          <w:lang w:val="en-US"/>
        </w:rPr>
        <w:t xml:space="preserve">of </w:t>
      </w:r>
      <w:r w:rsidR="00F71DC8" w:rsidRPr="008A3740">
        <w:rPr>
          <w:rFonts w:ascii="Verdana" w:hAnsi="Verdana"/>
          <w:sz w:val="20"/>
          <w:szCs w:val="20"/>
          <w:lang w:val="en-US"/>
        </w:rPr>
        <w:t>Lima</w:t>
      </w:r>
      <w:r w:rsidRPr="008A3740">
        <w:rPr>
          <w:rFonts w:ascii="Verdana" w:hAnsi="Verdana"/>
          <w:sz w:val="20"/>
          <w:szCs w:val="20"/>
          <w:lang w:val="en-US"/>
        </w:rPr>
        <w:t xml:space="preserve"> issued a </w:t>
      </w:r>
      <w:r w:rsidR="00A20C76" w:rsidRPr="008A3740">
        <w:rPr>
          <w:rFonts w:ascii="Verdana" w:hAnsi="Verdana"/>
          <w:sz w:val="20"/>
          <w:szCs w:val="20"/>
          <w:lang w:val="en-US"/>
        </w:rPr>
        <w:t xml:space="preserve">resolution </w:t>
      </w:r>
      <w:r w:rsidR="00CC2568" w:rsidRPr="008A3740">
        <w:rPr>
          <w:rFonts w:ascii="Verdana" w:hAnsi="Verdana"/>
          <w:sz w:val="20"/>
          <w:szCs w:val="20"/>
          <w:lang w:val="en-US"/>
        </w:rPr>
        <w:t xml:space="preserve">stating that </w:t>
      </w:r>
      <w:r w:rsidR="0010779F" w:rsidRPr="008A3740">
        <w:rPr>
          <w:rFonts w:ascii="Verdana" w:hAnsi="Verdana"/>
          <w:sz w:val="20"/>
          <w:szCs w:val="20"/>
          <w:lang w:val="en-US"/>
        </w:rPr>
        <w:t>the j</w:t>
      </w:r>
      <w:r w:rsidRPr="008A3740">
        <w:rPr>
          <w:rFonts w:ascii="Verdana" w:hAnsi="Verdana"/>
          <w:sz w:val="20"/>
          <w:szCs w:val="20"/>
          <w:lang w:val="en-US"/>
        </w:rPr>
        <w:t>udgment of February 2, 1993</w:t>
      </w:r>
      <w:r w:rsidR="00CC2568" w:rsidRPr="008A3740">
        <w:rPr>
          <w:rFonts w:ascii="Verdana" w:hAnsi="Verdana"/>
          <w:sz w:val="20"/>
          <w:szCs w:val="20"/>
          <w:lang w:val="en-US"/>
        </w:rPr>
        <w:t>,</w:t>
      </w:r>
      <w:r w:rsidRPr="008A3740">
        <w:rPr>
          <w:rFonts w:ascii="Verdana" w:hAnsi="Verdana"/>
          <w:sz w:val="20"/>
          <w:szCs w:val="20"/>
          <w:lang w:val="en-US"/>
        </w:rPr>
        <w:t xml:space="preserve"> was a </w:t>
      </w:r>
      <w:r w:rsidR="00CC2568" w:rsidRPr="008A3740">
        <w:rPr>
          <w:rFonts w:ascii="Verdana" w:hAnsi="Verdana"/>
          <w:sz w:val="20"/>
          <w:szCs w:val="20"/>
          <w:lang w:val="en-US"/>
        </w:rPr>
        <w:t>fi</w:t>
      </w:r>
      <w:r w:rsidR="00A20C76" w:rsidRPr="008A3740">
        <w:rPr>
          <w:rFonts w:ascii="Verdana" w:hAnsi="Verdana"/>
          <w:sz w:val="20"/>
          <w:szCs w:val="20"/>
          <w:lang w:val="en-US"/>
        </w:rPr>
        <w:t xml:space="preserve">nal </w:t>
      </w:r>
      <w:r w:rsidRPr="008A3740">
        <w:rPr>
          <w:rFonts w:ascii="Verdana" w:hAnsi="Verdana"/>
          <w:sz w:val="20"/>
          <w:szCs w:val="20"/>
          <w:lang w:val="en-US"/>
        </w:rPr>
        <w:t xml:space="preserve">decision </w:t>
      </w:r>
      <w:r w:rsidR="00CC2568" w:rsidRPr="008A3740">
        <w:rPr>
          <w:rFonts w:ascii="Verdana" w:hAnsi="Verdana"/>
          <w:sz w:val="20"/>
          <w:szCs w:val="20"/>
          <w:lang w:val="en-US"/>
        </w:rPr>
        <w:t xml:space="preserve">which, by its </w:t>
      </w:r>
      <w:r w:rsidRPr="008A3740">
        <w:rPr>
          <w:rFonts w:ascii="Verdana" w:hAnsi="Verdana"/>
          <w:sz w:val="20"/>
          <w:szCs w:val="20"/>
          <w:lang w:val="en-US"/>
        </w:rPr>
        <w:t xml:space="preserve">nature, </w:t>
      </w:r>
      <w:r w:rsidR="00CC2568" w:rsidRPr="008A3740">
        <w:rPr>
          <w:rFonts w:ascii="Verdana" w:hAnsi="Verdana"/>
          <w:sz w:val="20"/>
          <w:szCs w:val="20"/>
          <w:lang w:val="en-US"/>
        </w:rPr>
        <w:t xml:space="preserve">implied </w:t>
      </w:r>
      <w:r w:rsidR="00607801" w:rsidRPr="008A3740">
        <w:rPr>
          <w:rFonts w:ascii="Verdana" w:hAnsi="Verdana"/>
          <w:sz w:val="20"/>
          <w:szCs w:val="20"/>
          <w:lang w:val="en-US"/>
        </w:rPr>
        <w:t>powers of coercion and enforcement</w:t>
      </w:r>
      <w:r w:rsidR="00F71DC8" w:rsidRPr="008A3740">
        <w:rPr>
          <w:rFonts w:ascii="Verdana" w:hAnsi="Verdana"/>
          <w:sz w:val="20"/>
          <w:szCs w:val="20"/>
          <w:lang w:val="en-US"/>
        </w:rPr>
        <w:t xml:space="preserve"> and stated </w:t>
      </w:r>
      <w:r w:rsidRPr="008A3740">
        <w:rPr>
          <w:rFonts w:ascii="Verdana" w:hAnsi="Verdana"/>
          <w:sz w:val="20"/>
          <w:szCs w:val="20"/>
          <w:lang w:val="en-US"/>
        </w:rPr>
        <w:t xml:space="preserve">that the company had been </w:t>
      </w:r>
      <w:r w:rsidR="0010779F" w:rsidRPr="008A3740">
        <w:rPr>
          <w:rFonts w:ascii="Verdana" w:hAnsi="Verdana"/>
          <w:sz w:val="20"/>
          <w:szCs w:val="20"/>
          <w:lang w:val="en-US"/>
        </w:rPr>
        <w:t xml:space="preserve">creating obstacles to </w:t>
      </w:r>
      <w:r w:rsidR="00A54B10" w:rsidRPr="008A3740">
        <w:rPr>
          <w:rFonts w:ascii="Verdana" w:hAnsi="Verdana"/>
          <w:sz w:val="20"/>
          <w:szCs w:val="20"/>
          <w:lang w:val="en-US"/>
        </w:rPr>
        <w:t xml:space="preserve">the </w:t>
      </w:r>
      <w:r w:rsidRPr="008A3740">
        <w:rPr>
          <w:rFonts w:ascii="Verdana" w:hAnsi="Verdana"/>
          <w:sz w:val="20"/>
          <w:szCs w:val="20"/>
          <w:lang w:val="en-US"/>
        </w:rPr>
        <w:t>execution</w:t>
      </w:r>
      <w:r w:rsidR="00A20C76" w:rsidRPr="008A3740">
        <w:rPr>
          <w:rFonts w:ascii="Verdana" w:hAnsi="Verdana"/>
          <w:sz w:val="20"/>
          <w:szCs w:val="20"/>
          <w:lang w:val="en-US"/>
        </w:rPr>
        <w:t xml:space="preserve"> of the judgment</w:t>
      </w:r>
      <w:r w:rsidR="00F71DC8" w:rsidRPr="008A3740">
        <w:rPr>
          <w:rFonts w:ascii="Verdana" w:hAnsi="Verdana"/>
          <w:sz w:val="20"/>
          <w:szCs w:val="20"/>
          <w:lang w:val="en-US"/>
        </w:rPr>
        <w:t>.</w:t>
      </w:r>
      <w:r w:rsidR="00A20C76" w:rsidRPr="008A3740">
        <w:rPr>
          <w:rFonts w:ascii="Verdana" w:hAnsi="Verdana"/>
          <w:sz w:val="20"/>
          <w:szCs w:val="20"/>
          <w:lang w:val="en-US"/>
        </w:rPr>
        <w:t xml:space="preserve"> </w:t>
      </w:r>
      <w:r w:rsidR="00F71DC8" w:rsidRPr="008A3740">
        <w:rPr>
          <w:rFonts w:ascii="Verdana" w:hAnsi="Verdana"/>
          <w:sz w:val="20"/>
          <w:szCs w:val="20"/>
          <w:lang w:val="en-US"/>
        </w:rPr>
        <w:t xml:space="preserve">The resolution </w:t>
      </w:r>
      <w:r w:rsidR="0010779F" w:rsidRPr="008A3740">
        <w:rPr>
          <w:rFonts w:ascii="Verdana" w:hAnsi="Verdana"/>
          <w:sz w:val="20"/>
          <w:szCs w:val="20"/>
          <w:lang w:val="en-US"/>
        </w:rPr>
        <w:t xml:space="preserve">stressed </w:t>
      </w:r>
      <w:r w:rsidRPr="008A3740">
        <w:rPr>
          <w:rFonts w:ascii="Verdana" w:hAnsi="Verdana"/>
          <w:sz w:val="20"/>
          <w:szCs w:val="20"/>
          <w:lang w:val="en-US"/>
        </w:rPr>
        <w:t>that “Ma</w:t>
      </w:r>
      <w:r w:rsidR="00F71DC8" w:rsidRPr="008A3740">
        <w:rPr>
          <w:rFonts w:ascii="Verdana" w:hAnsi="Verdana"/>
          <w:sz w:val="20"/>
          <w:szCs w:val="20"/>
          <w:lang w:val="en-US"/>
        </w:rPr>
        <w:t>gma Copper Corporation-Tintaya had</w:t>
      </w:r>
      <w:r w:rsidRPr="008A3740">
        <w:rPr>
          <w:rFonts w:ascii="Verdana" w:hAnsi="Verdana"/>
          <w:sz w:val="20"/>
          <w:szCs w:val="20"/>
          <w:lang w:val="en-US"/>
        </w:rPr>
        <w:t xml:space="preserve"> not </w:t>
      </w:r>
      <w:r w:rsidR="0010779F" w:rsidRPr="008A3740">
        <w:rPr>
          <w:rFonts w:ascii="Verdana" w:hAnsi="Verdana"/>
          <w:sz w:val="20"/>
          <w:szCs w:val="20"/>
          <w:lang w:val="en-US"/>
        </w:rPr>
        <w:t xml:space="preserve">challenged </w:t>
      </w:r>
      <w:r w:rsidRPr="008A3740">
        <w:rPr>
          <w:rFonts w:ascii="Verdana" w:hAnsi="Verdana"/>
          <w:sz w:val="20"/>
          <w:szCs w:val="20"/>
          <w:lang w:val="en-US"/>
        </w:rPr>
        <w:t xml:space="preserve">the </w:t>
      </w:r>
      <w:r w:rsidR="007A22DB" w:rsidRPr="008A3740">
        <w:rPr>
          <w:rFonts w:ascii="Verdana" w:hAnsi="Verdana"/>
          <w:sz w:val="20"/>
          <w:szCs w:val="20"/>
          <w:lang w:val="en-US"/>
        </w:rPr>
        <w:t xml:space="preserve">plaintiff’s </w:t>
      </w:r>
      <w:r w:rsidRPr="008A3740">
        <w:rPr>
          <w:rFonts w:ascii="Verdana" w:hAnsi="Verdana"/>
          <w:sz w:val="20"/>
          <w:szCs w:val="20"/>
          <w:lang w:val="en-US"/>
        </w:rPr>
        <w:t xml:space="preserve">arguments </w:t>
      </w:r>
      <w:r w:rsidR="007A22DB" w:rsidRPr="008A3740">
        <w:rPr>
          <w:rFonts w:ascii="Verdana" w:hAnsi="Verdana"/>
          <w:sz w:val="20"/>
          <w:szCs w:val="20"/>
          <w:lang w:val="en-US"/>
        </w:rPr>
        <w:t xml:space="preserve">concerning </w:t>
      </w:r>
      <w:r w:rsidRPr="008A3740">
        <w:rPr>
          <w:rFonts w:ascii="Verdana" w:hAnsi="Verdana"/>
          <w:sz w:val="20"/>
          <w:szCs w:val="20"/>
          <w:lang w:val="en-US"/>
        </w:rPr>
        <w:t xml:space="preserve">the merger of the </w:t>
      </w:r>
      <w:r w:rsidR="007A22DB" w:rsidRPr="008A3740">
        <w:rPr>
          <w:rFonts w:ascii="Verdana" w:hAnsi="Verdana"/>
          <w:sz w:val="20"/>
          <w:szCs w:val="20"/>
          <w:lang w:val="en-US"/>
        </w:rPr>
        <w:t>original defendant company</w:t>
      </w:r>
      <w:r w:rsidR="00F71DC8" w:rsidRPr="008A3740">
        <w:rPr>
          <w:rFonts w:ascii="Verdana" w:hAnsi="Verdana"/>
          <w:sz w:val="20"/>
          <w:szCs w:val="20"/>
          <w:lang w:val="en-US"/>
        </w:rPr>
        <w:t xml:space="preserve"> and</w:t>
      </w:r>
      <w:r w:rsidRPr="008A3740">
        <w:rPr>
          <w:rFonts w:ascii="Verdana" w:hAnsi="Verdana"/>
          <w:sz w:val="20"/>
          <w:szCs w:val="20"/>
          <w:lang w:val="en-US"/>
        </w:rPr>
        <w:t>,</w:t>
      </w:r>
      <w:r w:rsidR="00F71DC8" w:rsidRPr="008A3740">
        <w:rPr>
          <w:rFonts w:ascii="Verdana" w:hAnsi="Verdana"/>
          <w:sz w:val="20"/>
          <w:szCs w:val="20"/>
          <w:lang w:val="en-US"/>
        </w:rPr>
        <w:t xml:space="preserve"> having assumed the </w:t>
      </w:r>
      <w:r w:rsidRPr="008A3740">
        <w:rPr>
          <w:rFonts w:ascii="Verdana" w:hAnsi="Verdana"/>
          <w:i/>
          <w:sz w:val="20"/>
          <w:szCs w:val="20"/>
          <w:lang w:val="en-US"/>
        </w:rPr>
        <w:t>univers</w:t>
      </w:r>
      <w:r w:rsidR="00A20C76" w:rsidRPr="008A3740">
        <w:rPr>
          <w:rFonts w:ascii="Verdana" w:hAnsi="Verdana"/>
          <w:i/>
          <w:sz w:val="20"/>
          <w:szCs w:val="20"/>
          <w:lang w:val="en-US"/>
        </w:rPr>
        <w:t>itas juris</w:t>
      </w:r>
      <w:r w:rsidR="00A20C76" w:rsidRPr="008A3740">
        <w:rPr>
          <w:rFonts w:ascii="Verdana" w:hAnsi="Verdana"/>
          <w:sz w:val="20"/>
          <w:szCs w:val="20"/>
          <w:lang w:val="en-US"/>
        </w:rPr>
        <w:t xml:space="preserve"> of the patrimony of </w:t>
      </w:r>
      <w:r w:rsidR="00F71DC8" w:rsidRPr="008A3740">
        <w:rPr>
          <w:rFonts w:ascii="Verdana" w:hAnsi="Verdana"/>
          <w:i/>
          <w:sz w:val="20"/>
          <w:szCs w:val="20"/>
          <w:lang w:val="en-US"/>
        </w:rPr>
        <w:t xml:space="preserve">Empresa </w:t>
      </w:r>
      <w:r w:rsidRPr="008A3740">
        <w:rPr>
          <w:rFonts w:ascii="Verdana" w:hAnsi="Verdana"/>
          <w:i/>
          <w:sz w:val="20"/>
          <w:szCs w:val="20"/>
          <w:lang w:val="en-US"/>
        </w:rPr>
        <w:t>Minera Especial Tintaya</w:t>
      </w:r>
      <w:r w:rsidRPr="008A3740">
        <w:rPr>
          <w:rFonts w:ascii="Verdana" w:hAnsi="Verdana"/>
          <w:sz w:val="20"/>
          <w:szCs w:val="20"/>
          <w:lang w:val="en-US"/>
        </w:rPr>
        <w:t xml:space="preserve"> [S.A], […] </w:t>
      </w:r>
      <w:r w:rsidR="00F71DC8" w:rsidRPr="008A3740">
        <w:rPr>
          <w:rFonts w:ascii="Verdana" w:hAnsi="Verdana"/>
          <w:sz w:val="20"/>
          <w:szCs w:val="20"/>
          <w:lang w:val="en-US"/>
        </w:rPr>
        <w:t xml:space="preserve">this </w:t>
      </w:r>
      <w:r w:rsidRPr="008A3740">
        <w:rPr>
          <w:rFonts w:ascii="Verdana" w:hAnsi="Verdana"/>
          <w:sz w:val="20"/>
          <w:szCs w:val="20"/>
          <w:lang w:val="en-US"/>
        </w:rPr>
        <w:t xml:space="preserve">also </w:t>
      </w:r>
      <w:r w:rsidR="00B82DCC" w:rsidRPr="008A3740">
        <w:rPr>
          <w:rFonts w:ascii="Verdana" w:hAnsi="Verdana"/>
          <w:sz w:val="20"/>
          <w:szCs w:val="20"/>
          <w:lang w:val="en-US"/>
        </w:rPr>
        <w:t>included its liabilities,</w:t>
      </w:r>
      <w:r w:rsidR="00A20C76" w:rsidRPr="008A3740">
        <w:rPr>
          <w:rFonts w:ascii="Verdana" w:hAnsi="Verdana"/>
          <w:sz w:val="20"/>
          <w:szCs w:val="20"/>
          <w:lang w:val="en-US"/>
        </w:rPr>
        <w:t>”</w:t>
      </w:r>
      <w:r w:rsidRPr="008A3740">
        <w:rPr>
          <w:rFonts w:ascii="Verdana" w:hAnsi="Verdana"/>
          <w:sz w:val="20"/>
          <w:szCs w:val="20"/>
          <w:lang w:val="en-US"/>
        </w:rPr>
        <w:t xml:space="preserve"> </w:t>
      </w:r>
      <w:r w:rsidR="00B82DCC" w:rsidRPr="008A3740">
        <w:rPr>
          <w:rFonts w:ascii="Verdana" w:hAnsi="Verdana"/>
          <w:sz w:val="20"/>
          <w:szCs w:val="20"/>
          <w:lang w:val="en-US"/>
        </w:rPr>
        <w:t xml:space="preserve">and </w:t>
      </w:r>
      <w:r w:rsidR="00A20C76" w:rsidRPr="008A3740">
        <w:rPr>
          <w:rFonts w:ascii="Verdana" w:hAnsi="Verdana"/>
          <w:sz w:val="20"/>
          <w:szCs w:val="20"/>
          <w:lang w:val="en-US"/>
        </w:rPr>
        <w:t xml:space="preserve">ordered </w:t>
      </w:r>
      <w:r w:rsidR="00F71DC8" w:rsidRPr="008A3740">
        <w:rPr>
          <w:rFonts w:ascii="Verdana" w:hAnsi="Verdana"/>
          <w:sz w:val="20"/>
          <w:szCs w:val="20"/>
          <w:lang w:val="en-US"/>
        </w:rPr>
        <w:t>the company</w:t>
      </w:r>
      <w:r w:rsidR="00CC2568" w:rsidRPr="008A3740">
        <w:rPr>
          <w:rFonts w:ascii="Verdana" w:hAnsi="Verdana"/>
          <w:sz w:val="20"/>
          <w:szCs w:val="20"/>
          <w:lang w:val="en-US"/>
        </w:rPr>
        <w:t xml:space="preserve"> to </w:t>
      </w:r>
      <w:r w:rsidRPr="008A3740">
        <w:rPr>
          <w:rFonts w:ascii="Verdana" w:hAnsi="Verdana"/>
          <w:sz w:val="20"/>
          <w:szCs w:val="20"/>
          <w:lang w:val="en-US"/>
        </w:rPr>
        <w:t xml:space="preserve">comply with the </w:t>
      </w:r>
      <w:r w:rsidR="00EE3872" w:rsidRPr="008A3740">
        <w:rPr>
          <w:rFonts w:ascii="Verdana" w:hAnsi="Verdana"/>
          <w:sz w:val="20"/>
          <w:szCs w:val="20"/>
          <w:lang w:val="en-US"/>
        </w:rPr>
        <w:t xml:space="preserve">judgment within three </w:t>
      </w:r>
      <w:r w:rsidRPr="008A3740">
        <w:rPr>
          <w:rFonts w:ascii="Verdana" w:hAnsi="Verdana"/>
          <w:sz w:val="20"/>
          <w:szCs w:val="20"/>
          <w:lang w:val="en-US"/>
        </w:rPr>
        <w:t>days.</w:t>
      </w:r>
      <w:r w:rsidRPr="008A3740">
        <w:rPr>
          <w:rStyle w:val="Refdenotaalpie"/>
          <w:szCs w:val="20"/>
          <w:lang w:val="en-US"/>
        </w:rPr>
        <w:footnoteReference w:id="86"/>
      </w:r>
      <w:r w:rsidRPr="008A3740">
        <w:rPr>
          <w:rFonts w:ascii="Verdana" w:hAnsi="Verdana"/>
          <w:sz w:val="20"/>
          <w:szCs w:val="20"/>
          <w:lang w:val="en-US"/>
        </w:rPr>
        <w:t xml:space="preserve"> </w:t>
      </w:r>
    </w:p>
    <w:p w14:paraId="036236E4" w14:textId="77777777" w:rsidR="008E6A56" w:rsidRPr="008A3740" w:rsidRDefault="008E6A56" w:rsidP="008E6A56">
      <w:pPr>
        <w:pStyle w:val="Prrafodelista"/>
        <w:tabs>
          <w:tab w:val="left" w:pos="0"/>
        </w:tabs>
        <w:ind w:left="0"/>
        <w:rPr>
          <w:rFonts w:ascii="Verdana" w:hAnsi="Verdana"/>
          <w:sz w:val="20"/>
          <w:szCs w:val="20"/>
          <w:lang w:val="en-US"/>
        </w:rPr>
      </w:pPr>
      <w:r w:rsidRPr="008A3740">
        <w:rPr>
          <w:rFonts w:ascii="Verdana" w:hAnsi="Verdana"/>
          <w:b/>
          <w:sz w:val="20"/>
          <w:szCs w:val="20"/>
          <w:lang w:val="en-US"/>
        </w:rPr>
        <w:t xml:space="preserve"> </w:t>
      </w:r>
    </w:p>
    <w:p w14:paraId="69E08059"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April 7, 1997, the Fifth Civil Court issued a new resolution </w:t>
      </w:r>
      <w:r w:rsidR="00280E1C" w:rsidRPr="008A3740">
        <w:rPr>
          <w:rFonts w:ascii="Verdana" w:hAnsi="Verdana"/>
          <w:sz w:val="20"/>
          <w:szCs w:val="20"/>
          <w:lang w:val="en-US"/>
        </w:rPr>
        <w:t xml:space="preserve">stating, </w:t>
      </w:r>
      <w:r w:rsidRPr="008A3740">
        <w:rPr>
          <w:rFonts w:ascii="Verdana" w:hAnsi="Verdana"/>
          <w:sz w:val="20"/>
          <w:szCs w:val="20"/>
          <w:lang w:val="en-US"/>
        </w:rPr>
        <w:t>“</w:t>
      </w:r>
      <w:r w:rsidR="00280E1C" w:rsidRPr="008A3740">
        <w:rPr>
          <w:rFonts w:ascii="Verdana" w:hAnsi="Verdana"/>
          <w:sz w:val="20"/>
          <w:szCs w:val="20"/>
          <w:lang w:val="en-US"/>
        </w:rPr>
        <w:t xml:space="preserve">Let </w:t>
      </w:r>
      <w:r w:rsidR="00F71DC8" w:rsidRPr="008A3740">
        <w:rPr>
          <w:rFonts w:ascii="Verdana" w:hAnsi="Verdana"/>
          <w:sz w:val="20"/>
          <w:szCs w:val="20"/>
          <w:lang w:val="en-US"/>
        </w:rPr>
        <w:t xml:space="preserve">the Special </w:t>
      </w:r>
      <w:r w:rsidRPr="008A3740">
        <w:rPr>
          <w:rFonts w:ascii="Verdana" w:hAnsi="Verdana"/>
          <w:sz w:val="20"/>
          <w:szCs w:val="20"/>
          <w:lang w:val="en-US"/>
        </w:rPr>
        <w:t xml:space="preserve">Mining Corporation </w:t>
      </w:r>
      <w:r w:rsidR="00F71DC8" w:rsidRPr="008A3740">
        <w:rPr>
          <w:rFonts w:ascii="Verdana" w:hAnsi="Verdana"/>
          <w:sz w:val="20"/>
          <w:szCs w:val="20"/>
          <w:lang w:val="en-US"/>
        </w:rPr>
        <w:t>Tintaya S.A. (now BHP Tintaya, S.A) be hereby required for the last time to</w:t>
      </w:r>
      <w:r w:rsidR="005525CB" w:rsidRPr="008A3740">
        <w:rPr>
          <w:rFonts w:ascii="Verdana" w:hAnsi="Verdana"/>
          <w:sz w:val="20"/>
          <w:szCs w:val="20"/>
          <w:lang w:val="en-US"/>
        </w:rPr>
        <w:t xml:space="preserve"> </w:t>
      </w:r>
      <w:r w:rsidRPr="008A3740">
        <w:rPr>
          <w:rFonts w:ascii="Verdana" w:hAnsi="Verdana"/>
          <w:sz w:val="20"/>
          <w:szCs w:val="20"/>
          <w:lang w:val="en-US"/>
        </w:rPr>
        <w:t xml:space="preserve">fully comply within three days with the order handed down </w:t>
      </w:r>
      <w:r w:rsidR="00314010" w:rsidRPr="008A3740">
        <w:rPr>
          <w:rFonts w:ascii="Verdana" w:hAnsi="Verdana"/>
          <w:sz w:val="20"/>
          <w:szCs w:val="20"/>
          <w:lang w:val="en-US"/>
        </w:rPr>
        <w:t xml:space="preserve">by </w:t>
      </w:r>
      <w:r w:rsidRPr="008A3740">
        <w:rPr>
          <w:rFonts w:ascii="Verdana" w:hAnsi="Verdana"/>
          <w:sz w:val="20"/>
          <w:szCs w:val="20"/>
          <w:lang w:val="en-US"/>
        </w:rPr>
        <w:t xml:space="preserve">the Supreme Court </w:t>
      </w:r>
      <w:r w:rsidR="00314010" w:rsidRPr="008A3740">
        <w:rPr>
          <w:rFonts w:ascii="Verdana" w:hAnsi="Verdana"/>
          <w:sz w:val="20"/>
          <w:szCs w:val="20"/>
          <w:lang w:val="en-US"/>
        </w:rPr>
        <w:t xml:space="preserve">on </w:t>
      </w:r>
      <w:r w:rsidRPr="008A3740">
        <w:rPr>
          <w:rFonts w:ascii="Verdana" w:hAnsi="Verdana"/>
          <w:sz w:val="20"/>
          <w:szCs w:val="20"/>
          <w:lang w:val="en-US"/>
        </w:rPr>
        <w:t xml:space="preserve">February 2, 1993, </w:t>
      </w:r>
      <w:r w:rsidR="00770CBE" w:rsidRPr="008A3740">
        <w:rPr>
          <w:rFonts w:ascii="Verdana" w:hAnsi="Verdana"/>
          <w:sz w:val="20"/>
          <w:szCs w:val="20"/>
          <w:lang w:val="en-US"/>
        </w:rPr>
        <w:t>on pain of issuan</w:t>
      </w:r>
      <w:r w:rsidR="00F71DC8" w:rsidRPr="008A3740">
        <w:rPr>
          <w:rFonts w:ascii="Verdana" w:hAnsi="Verdana"/>
          <w:sz w:val="20"/>
          <w:szCs w:val="20"/>
          <w:lang w:val="en-US"/>
        </w:rPr>
        <w:t>ce of certified copies for filing criminal suit.”</w:t>
      </w:r>
      <w:r w:rsidRPr="008A3740">
        <w:rPr>
          <w:rStyle w:val="Refdenotaalpie"/>
          <w:szCs w:val="20"/>
          <w:lang w:val="en-US"/>
        </w:rPr>
        <w:footnoteReference w:id="87"/>
      </w:r>
      <w:r w:rsidRPr="008A3740">
        <w:rPr>
          <w:rFonts w:ascii="Verdana" w:hAnsi="Verdana"/>
          <w:sz w:val="20"/>
          <w:szCs w:val="20"/>
          <w:lang w:val="en-US"/>
        </w:rPr>
        <w:t xml:space="preserve"> </w:t>
      </w:r>
    </w:p>
    <w:p w14:paraId="64A8C706" w14:textId="77777777" w:rsidR="008E6A56" w:rsidRPr="008A3740" w:rsidRDefault="008E6A56" w:rsidP="008E6A56">
      <w:pPr>
        <w:pStyle w:val="Prrafodelista"/>
        <w:tabs>
          <w:tab w:val="left" w:pos="0"/>
        </w:tabs>
        <w:ind w:left="0"/>
        <w:rPr>
          <w:rFonts w:ascii="Verdana" w:hAnsi="Verdana"/>
          <w:sz w:val="20"/>
          <w:szCs w:val="20"/>
          <w:lang w:val="en-US"/>
        </w:rPr>
      </w:pPr>
    </w:p>
    <w:p w14:paraId="39E8123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 On October 20, 1999</w:t>
      </w:r>
      <w:r w:rsidR="00314010" w:rsidRPr="008A3740">
        <w:rPr>
          <w:rFonts w:ascii="Verdana" w:hAnsi="Verdana"/>
          <w:sz w:val="20"/>
          <w:szCs w:val="20"/>
          <w:lang w:val="en-US"/>
        </w:rPr>
        <w:t>,</w:t>
      </w:r>
      <w:r w:rsidR="0020076A" w:rsidRPr="008A3740">
        <w:rPr>
          <w:rFonts w:ascii="Verdana" w:hAnsi="Verdana"/>
          <w:sz w:val="20"/>
          <w:szCs w:val="20"/>
          <w:lang w:val="en-US"/>
        </w:rPr>
        <w:t xml:space="preserve"> the First </w:t>
      </w:r>
      <w:r w:rsidRPr="008A3740">
        <w:rPr>
          <w:rFonts w:ascii="Verdana" w:hAnsi="Verdana"/>
          <w:sz w:val="20"/>
          <w:szCs w:val="20"/>
          <w:lang w:val="en-US"/>
        </w:rPr>
        <w:t>Corporat</w:t>
      </w:r>
      <w:r w:rsidR="00314010" w:rsidRPr="008A3740">
        <w:rPr>
          <w:rFonts w:ascii="Verdana" w:hAnsi="Verdana"/>
          <w:sz w:val="20"/>
          <w:szCs w:val="20"/>
          <w:lang w:val="en-US"/>
        </w:rPr>
        <w:t xml:space="preserve">e </w:t>
      </w:r>
      <w:r w:rsidR="00ED2679" w:rsidRPr="008A3740">
        <w:rPr>
          <w:rFonts w:ascii="Verdana" w:hAnsi="Verdana"/>
          <w:sz w:val="20"/>
          <w:szCs w:val="20"/>
          <w:lang w:val="en-US"/>
        </w:rPr>
        <w:t>Transitory</w:t>
      </w:r>
      <w:r w:rsidRPr="008A3740">
        <w:rPr>
          <w:rFonts w:ascii="Verdana" w:hAnsi="Verdana"/>
          <w:sz w:val="20"/>
          <w:szCs w:val="20"/>
          <w:lang w:val="en-US"/>
        </w:rPr>
        <w:t xml:space="preserve"> </w:t>
      </w:r>
      <w:r w:rsidR="0020076A" w:rsidRPr="008A3740">
        <w:rPr>
          <w:rFonts w:ascii="Verdana" w:hAnsi="Verdana"/>
          <w:sz w:val="20"/>
          <w:szCs w:val="20"/>
          <w:lang w:val="en-US"/>
        </w:rPr>
        <w:t xml:space="preserve">Chamber </w:t>
      </w:r>
      <w:r w:rsidR="00ED2679" w:rsidRPr="008A3740">
        <w:rPr>
          <w:rFonts w:ascii="Verdana" w:hAnsi="Verdana"/>
          <w:sz w:val="20"/>
          <w:szCs w:val="20"/>
          <w:lang w:val="en-US"/>
        </w:rPr>
        <w:t>Specialized</w:t>
      </w:r>
      <w:r w:rsidRPr="008A3740">
        <w:rPr>
          <w:rFonts w:ascii="Verdana" w:hAnsi="Verdana"/>
          <w:sz w:val="20"/>
          <w:szCs w:val="20"/>
          <w:lang w:val="en-US"/>
        </w:rPr>
        <w:t xml:space="preserve"> in Public Law ordered the case to be archived because the matter had been paralyzed for more than four months.</w:t>
      </w:r>
      <w:r w:rsidRPr="008A3740">
        <w:rPr>
          <w:rStyle w:val="Refdenotaalpie"/>
          <w:szCs w:val="20"/>
          <w:lang w:val="en-US"/>
        </w:rPr>
        <w:footnoteReference w:id="88"/>
      </w:r>
      <w:r w:rsidRPr="008A3740">
        <w:rPr>
          <w:rFonts w:ascii="Verdana" w:hAnsi="Verdana"/>
          <w:sz w:val="20"/>
          <w:szCs w:val="20"/>
          <w:lang w:val="en-US"/>
        </w:rPr>
        <w:t xml:space="preserve"> </w:t>
      </w:r>
    </w:p>
    <w:p w14:paraId="170F8413" w14:textId="77777777" w:rsidR="008E6A56" w:rsidRPr="008A3740" w:rsidRDefault="008E6A56" w:rsidP="008E6A56">
      <w:pPr>
        <w:tabs>
          <w:tab w:val="left" w:pos="567"/>
        </w:tabs>
        <w:rPr>
          <w:rFonts w:ascii="Verdana" w:hAnsi="Verdana"/>
          <w:sz w:val="20"/>
          <w:szCs w:val="20"/>
          <w:lang w:val="en-US"/>
        </w:rPr>
      </w:pPr>
    </w:p>
    <w:p w14:paraId="494A9A4E"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September 19, 2000, the Pension Standardization Office received a communication from Mr. Muelle Flores dated August 24, 2000, in which he reported that </w:t>
      </w:r>
      <w:r w:rsidR="00B24A10" w:rsidRPr="008A3740">
        <w:rPr>
          <w:rFonts w:ascii="Verdana" w:hAnsi="Verdana"/>
          <w:sz w:val="20"/>
          <w:szCs w:val="20"/>
          <w:lang w:val="en-US"/>
        </w:rPr>
        <w:t xml:space="preserve">as of </w:t>
      </w:r>
      <w:r w:rsidRPr="008A3740">
        <w:rPr>
          <w:rFonts w:ascii="Verdana" w:hAnsi="Verdana"/>
          <w:sz w:val="20"/>
          <w:szCs w:val="20"/>
          <w:lang w:val="en-US"/>
        </w:rPr>
        <w:t xml:space="preserve">1999, BHP Tintaya S.A. had </w:t>
      </w:r>
      <w:r w:rsidR="00B24A10" w:rsidRPr="008A3740">
        <w:rPr>
          <w:rFonts w:ascii="Verdana" w:hAnsi="Verdana"/>
          <w:sz w:val="20"/>
          <w:szCs w:val="20"/>
          <w:lang w:val="en-US"/>
        </w:rPr>
        <w:t>begun paying him a monthly sum of S/800 new soles.</w:t>
      </w:r>
      <w:r w:rsidRPr="008A3740">
        <w:rPr>
          <w:rFonts w:ascii="Verdana" w:hAnsi="Verdana"/>
          <w:sz w:val="20"/>
          <w:szCs w:val="20"/>
          <w:lang w:val="en-US"/>
        </w:rPr>
        <w:t xml:space="preserve"> </w:t>
      </w:r>
      <w:r w:rsidR="00B24A10" w:rsidRPr="008A3740">
        <w:rPr>
          <w:rFonts w:ascii="Verdana" w:hAnsi="Verdana"/>
          <w:sz w:val="20"/>
          <w:szCs w:val="20"/>
          <w:lang w:val="en-US"/>
        </w:rPr>
        <w:t xml:space="preserve">He </w:t>
      </w:r>
      <w:r w:rsidR="00B82DCC" w:rsidRPr="008A3740">
        <w:rPr>
          <w:rFonts w:ascii="Verdana" w:hAnsi="Verdana"/>
          <w:sz w:val="20"/>
          <w:szCs w:val="20"/>
          <w:lang w:val="en-US"/>
        </w:rPr>
        <w:t xml:space="preserve">also </w:t>
      </w:r>
      <w:r w:rsidR="00B24A10" w:rsidRPr="008A3740">
        <w:rPr>
          <w:rFonts w:ascii="Verdana" w:hAnsi="Verdana"/>
          <w:sz w:val="20"/>
          <w:szCs w:val="20"/>
          <w:lang w:val="en-US"/>
        </w:rPr>
        <w:t xml:space="preserve">reported that the company had not “performed </w:t>
      </w:r>
      <w:r w:rsidRPr="008A3740">
        <w:rPr>
          <w:rFonts w:ascii="Verdana" w:hAnsi="Verdana"/>
          <w:sz w:val="20"/>
          <w:szCs w:val="20"/>
          <w:lang w:val="en-US"/>
        </w:rPr>
        <w:t xml:space="preserve">the balanced-out and retroactive calculation </w:t>
      </w:r>
      <w:r w:rsidR="00B24A10" w:rsidRPr="008A3740">
        <w:rPr>
          <w:rFonts w:ascii="Verdana" w:hAnsi="Verdana"/>
          <w:sz w:val="20"/>
          <w:szCs w:val="20"/>
          <w:lang w:val="en-US"/>
        </w:rPr>
        <w:t xml:space="preserve">of </w:t>
      </w:r>
      <w:r w:rsidRPr="008A3740">
        <w:rPr>
          <w:rFonts w:ascii="Verdana" w:hAnsi="Verdana"/>
          <w:sz w:val="20"/>
          <w:szCs w:val="20"/>
          <w:lang w:val="en-US"/>
        </w:rPr>
        <w:t>the pension</w:t>
      </w:r>
      <w:r w:rsidR="00B24A10" w:rsidRPr="008A3740">
        <w:rPr>
          <w:rFonts w:ascii="Verdana" w:hAnsi="Verdana"/>
          <w:sz w:val="20"/>
          <w:szCs w:val="20"/>
          <w:lang w:val="en-US"/>
        </w:rPr>
        <w:t>”</w:t>
      </w:r>
      <w:r w:rsidRPr="008A3740">
        <w:rPr>
          <w:rFonts w:ascii="Verdana" w:hAnsi="Verdana"/>
          <w:sz w:val="20"/>
          <w:szCs w:val="20"/>
          <w:lang w:val="en-US"/>
        </w:rPr>
        <w:t xml:space="preserve"> to which he was legally entitled.</w:t>
      </w:r>
      <w:r w:rsidRPr="008A3740">
        <w:rPr>
          <w:rStyle w:val="Refdenotaalpie"/>
          <w:szCs w:val="20"/>
          <w:lang w:val="en-US"/>
        </w:rPr>
        <w:footnoteReference w:id="89"/>
      </w:r>
    </w:p>
    <w:p w14:paraId="4E0E6E2A" w14:textId="77777777" w:rsidR="008E6A56" w:rsidRPr="008A3740" w:rsidRDefault="008E6A56" w:rsidP="008E6A56">
      <w:pPr>
        <w:pStyle w:val="Prrafodelista"/>
        <w:rPr>
          <w:rFonts w:ascii="Verdana" w:hAnsi="Verdana"/>
          <w:sz w:val="20"/>
          <w:szCs w:val="20"/>
          <w:lang w:val="en-US"/>
        </w:rPr>
      </w:pPr>
    </w:p>
    <w:p w14:paraId="1AA51435"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There is no dispute between the parties regarding the fact that, </w:t>
      </w:r>
      <w:r w:rsidR="005068FE" w:rsidRPr="008A3740">
        <w:rPr>
          <w:rFonts w:ascii="Verdana" w:hAnsi="Verdana"/>
          <w:sz w:val="20"/>
          <w:szCs w:val="20"/>
          <w:lang w:val="en-US"/>
        </w:rPr>
        <w:t xml:space="preserve">from </w:t>
      </w:r>
      <w:r w:rsidRPr="008A3740">
        <w:rPr>
          <w:rFonts w:ascii="Verdana" w:hAnsi="Verdana"/>
          <w:sz w:val="20"/>
          <w:szCs w:val="20"/>
          <w:lang w:val="en-US"/>
        </w:rPr>
        <w:t xml:space="preserve">March 1999 </w:t>
      </w:r>
      <w:r w:rsidR="005068FE" w:rsidRPr="008A3740">
        <w:rPr>
          <w:rFonts w:ascii="Verdana" w:hAnsi="Verdana"/>
          <w:sz w:val="20"/>
          <w:szCs w:val="20"/>
          <w:lang w:val="en-US"/>
        </w:rPr>
        <w:t xml:space="preserve">to June 2001, </w:t>
      </w:r>
      <w:r w:rsidRPr="008A3740">
        <w:rPr>
          <w:rFonts w:ascii="Verdana" w:hAnsi="Verdana"/>
          <w:sz w:val="20"/>
          <w:szCs w:val="20"/>
          <w:lang w:val="en-US"/>
        </w:rPr>
        <w:t xml:space="preserve">BHP Tintaya S.A. made payments of S/800 new soles monthly to Mr. Muelle Flores </w:t>
      </w:r>
      <w:r w:rsidR="005068FE" w:rsidRPr="008A3740">
        <w:rPr>
          <w:rFonts w:ascii="Verdana" w:hAnsi="Verdana"/>
          <w:sz w:val="20"/>
          <w:szCs w:val="20"/>
          <w:lang w:val="en-US"/>
        </w:rPr>
        <w:t xml:space="preserve">for </w:t>
      </w:r>
      <w:r w:rsidRPr="008A3740">
        <w:rPr>
          <w:rFonts w:ascii="Verdana" w:hAnsi="Verdana"/>
          <w:sz w:val="20"/>
          <w:szCs w:val="20"/>
          <w:lang w:val="en-US"/>
        </w:rPr>
        <w:t xml:space="preserve">the pensions corresponding to the months </w:t>
      </w:r>
      <w:r w:rsidR="005068FE" w:rsidRPr="008A3740">
        <w:rPr>
          <w:rFonts w:ascii="Verdana" w:hAnsi="Verdana"/>
          <w:sz w:val="20"/>
          <w:szCs w:val="20"/>
          <w:lang w:val="en-US"/>
        </w:rPr>
        <w:t>between February 1991 and</w:t>
      </w:r>
      <w:r w:rsidRPr="008A3740">
        <w:rPr>
          <w:rFonts w:ascii="Verdana" w:hAnsi="Verdana"/>
          <w:sz w:val="20"/>
          <w:szCs w:val="20"/>
          <w:lang w:val="en-US"/>
        </w:rPr>
        <w:t xml:space="preserve"> June 2001,</w:t>
      </w:r>
      <w:r w:rsidRPr="008A3740">
        <w:rPr>
          <w:rStyle w:val="Refdenotaalpie"/>
          <w:szCs w:val="20"/>
          <w:lang w:val="en-US"/>
        </w:rPr>
        <w:footnoteReference w:id="90"/>
      </w:r>
      <w:r w:rsidRPr="008A3740">
        <w:rPr>
          <w:rFonts w:ascii="Verdana" w:hAnsi="Verdana"/>
          <w:sz w:val="20"/>
          <w:szCs w:val="20"/>
          <w:lang w:val="en-US"/>
        </w:rPr>
        <w:t xml:space="preserve"> except </w:t>
      </w:r>
      <w:r w:rsidR="005068FE" w:rsidRPr="008A3740">
        <w:rPr>
          <w:rFonts w:ascii="Verdana" w:hAnsi="Verdana"/>
          <w:sz w:val="20"/>
          <w:szCs w:val="20"/>
          <w:lang w:val="en-US"/>
        </w:rPr>
        <w:t xml:space="preserve">for </w:t>
      </w:r>
      <w:r w:rsidRPr="008A3740">
        <w:rPr>
          <w:rFonts w:ascii="Verdana" w:hAnsi="Verdana"/>
          <w:sz w:val="20"/>
          <w:szCs w:val="20"/>
          <w:lang w:val="en-US"/>
        </w:rPr>
        <w:t xml:space="preserve">the months </w:t>
      </w:r>
      <w:r w:rsidRPr="008A3740">
        <w:rPr>
          <w:rFonts w:ascii="Verdana" w:hAnsi="Verdana"/>
          <w:sz w:val="20"/>
          <w:szCs w:val="20"/>
          <w:lang w:val="en-US"/>
        </w:rPr>
        <w:lastRenderedPageBreak/>
        <w:t xml:space="preserve">November 1992 to January 1993, payment </w:t>
      </w:r>
      <w:r w:rsidR="00314010" w:rsidRPr="008A3740">
        <w:rPr>
          <w:rFonts w:ascii="Verdana" w:hAnsi="Verdana"/>
          <w:sz w:val="20"/>
          <w:szCs w:val="20"/>
          <w:lang w:val="en-US"/>
        </w:rPr>
        <w:t xml:space="preserve">of which </w:t>
      </w:r>
      <w:r w:rsidRPr="008A3740">
        <w:rPr>
          <w:rFonts w:ascii="Verdana" w:hAnsi="Verdana"/>
          <w:sz w:val="20"/>
          <w:szCs w:val="20"/>
          <w:lang w:val="en-US"/>
        </w:rPr>
        <w:t xml:space="preserve">has not been accredited before this Court. </w:t>
      </w:r>
      <w:r w:rsidR="00ED2679" w:rsidRPr="008A3740">
        <w:rPr>
          <w:rFonts w:ascii="Verdana" w:hAnsi="Verdana"/>
          <w:sz w:val="20"/>
          <w:szCs w:val="20"/>
          <w:lang w:val="en-US"/>
        </w:rPr>
        <w:t xml:space="preserve">According to </w:t>
      </w:r>
      <w:r w:rsidR="00CB75CE" w:rsidRPr="008A3740">
        <w:rPr>
          <w:rFonts w:ascii="Verdana" w:hAnsi="Verdana"/>
          <w:sz w:val="20"/>
          <w:szCs w:val="20"/>
          <w:lang w:val="en-US"/>
        </w:rPr>
        <w:t xml:space="preserve">a document </w:t>
      </w:r>
      <w:r w:rsidR="0020076A" w:rsidRPr="008A3740">
        <w:rPr>
          <w:rFonts w:ascii="Verdana" w:hAnsi="Verdana"/>
          <w:sz w:val="20"/>
          <w:szCs w:val="20"/>
          <w:lang w:val="en-US"/>
        </w:rPr>
        <w:t xml:space="preserve">dated </w:t>
      </w:r>
      <w:r w:rsidRPr="008A3740">
        <w:rPr>
          <w:rFonts w:ascii="Verdana" w:hAnsi="Verdana"/>
          <w:sz w:val="20"/>
          <w:szCs w:val="20"/>
          <w:lang w:val="en-US"/>
        </w:rPr>
        <w:t xml:space="preserve">March 19, 1999, BHP Tintaya S.A. </w:t>
      </w:r>
      <w:r w:rsidR="005068FE" w:rsidRPr="008A3740">
        <w:rPr>
          <w:rFonts w:ascii="Verdana" w:hAnsi="Verdana"/>
          <w:sz w:val="20"/>
          <w:szCs w:val="20"/>
          <w:lang w:val="en-US"/>
        </w:rPr>
        <w:t xml:space="preserve">stated </w:t>
      </w:r>
      <w:r w:rsidRPr="008A3740">
        <w:rPr>
          <w:rFonts w:ascii="Verdana" w:hAnsi="Verdana"/>
          <w:sz w:val="20"/>
          <w:szCs w:val="20"/>
          <w:lang w:val="en-US"/>
        </w:rPr>
        <w:t>that the amount paid constituted “a provisional payment, in compliance with the Supreme Court judgment of February 2, 1993 […]. The final am</w:t>
      </w:r>
      <w:r w:rsidR="00314010" w:rsidRPr="008A3740">
        <w:rPr>
          <w:rFonts w:ascii="Verdana" w:hAnsi="Verdana"/>
          <w:sz w:val="20"/>
          <w:szCs w:val="20"/>
          <w:lang w:val="en-US"/>
        </w:rPr>
        <w:t xml:space="preserve">ount of the pension [would] be </w:t>
      </w:r>
      <w:r w:rsidRPr="008A3740">
        <w:rPr>
          <w:rFonts w:ascii="Verdana" w:hAnsi="Verdana"/>
          <w:sz w:val="20"/>
          <w:szCs w:val="20"/>
          <w:lang w:val="en-US"/>
        </w:rPr>
        <w:t xml:space="preserve">determined by the Actuarial Calculation Office of the ONP. The company </w:t>
      </w:r>
      <w:r w:rsidR="00314010" w:rsidRPr="008A3740">
        <w:rPr>
          <w:rFonts w:ascii="Verdana" w:hAnsi="Verdana"/>
          <w:sz w:val="20"/>
          <w:szCs w:val="20"/>
          <w:lang w:val="en-US"/>
        </w:rPr>
        <w:t xml:space="preserve">[would] </w:t>
      </w:r>
      <w:r w:rsidRPr="008A3740">
        <w:rPr>
          <w:rFonts w:ascii="Verdana" w:hAnsi="Verdana"/>
          <w:sz w:val="20"/>
          <w:szCs w:val="20"/>
          <w:lang w:val="en-US"/>
        </w:rPr>
        <w:t xml:space="preserve">transfer to the [ONP] the </w:t>
      </w:r>
      <w:r w:rsidR="00314010" w:rsidRPr="008A3740">
        <w:rPr>
          <w:rFonts w:ascii="Verdana" w:hAnsi="Verdana"/>
          <w:sz w:val="20"/>
          <w:szCs w:val="20"/>
          <w:lang w:val="en-US"/>
        </w:rPr>
        <w:t xml:space="preserve">corresponding funds for the pension payments </w:t>
      </w:r>
      <w:r w:rsidRPr="008A3740">
        <w:rPr>
          <w:rFonts w:ascii="Verdana" w:hAnsi="Verdana"/>
          <w:sz w:val="20"/>
          <w:szCs w:val="20"/>
          <w:lang w:val="en-US"/>
        </w:rPr>
        <w:t>from April of this year.”</w:t>
      </w:r>
      <w:r w:rsidRPr="008A3740">
        <w:rPr>
          <w:rStyle w:val="Refdenotaalpie"/>
          <w:szCs w:val="20"/>
          <w:lang w:val="en-US"/>
        </w:rPr>
        <w:footnoteReference w:id="91"/>
      </w:r>
      <w:r w:rsidRPr="008A3740">
        <w:rPr>
          <w:rFonts w:ascii="Verdana" w:hAnsi="Verdana"/>
          <w:sz w:val="20"/>
          <w:szCs w:val="20"/>
          <w:lang w:val="en-US"/>
        </w:rPr>
        <w:t xml:space="preserve"> Based on the evidence provided by the parties, </w:t>
      </w:r>
      <w:r w:rsidR="00314010" w:rsidRPr="008A3740">
        <w:rPr>
          <w:rFonts w:ascii="Verdana" w:hAnsi="Verdana"/>
          <w:sz w:val="20"/>
          <w:szCs w:val="20"/>
          <w:lang w:val="en-US"/>
        </w:rPr>
        <w:t>this did not occur</w:t>
      </w:r>
      <w:r w:rsidRPr="008A3740">
        <w:rPr>
          <w:rFonts w:ascii="Verdana" w:hAnsi="Verdana"/>
          <w:sz w:val="20"/>
          <w:szCs w:val="20"/>
          <w:lang w:val="en-US"/>
        </w:rPr>
        <w:t xml:space="preserve">. The total amount </w:t>
      </w:r>
      <w:r w:rsidR="00314010" w:rsidRPr="008A3740">
        <w:rPr>
          <w:rFonts w:ascii="Verdana" w:hAnsi="Verdana"/>
          <w:sz w:val="20"/>
          <w:szCs w:val="20"/>
          <w:lang w:val="en-US"/>
        </w:rPr>
        <w:t xml:space="preserve">paid </w:t>
      </w:r>
      <w:r w:rsidRPr="008A3740">
        <w:rPr>
          <w:rFonts w:ascii="Verdana" w:hAnsi="Verdana"/>
          <w:sz w:val="20"/>
          <w:szCs w:val="20"/>
          <w:lang w:val="en-US"/>
        </w:rPr>
        <w:t xml:space="preserve">to Mr. Muelle Flores </w:t>
      </w:r>
      <w:r w:rsidR="005068FE" w:rsidRPr="008A3740">
        <w:rPr>
          <w:rFonts w:ascii="Verdana" w:hAnsi="Verdana"/>
          <w:sz w:val="20"/>
          <w:szCs w:val="20"/>
          <w:lang w:val="en-US"/>
        </w:rPr>
        <w:t xml:space="preserve">for provisional payment of the </w:t>
      </w:r>
      <w:r w:rsidRPr="008A3740">
        <w:rPr>
          <w:rFonts w:ascii="Verdana" w:hAnsi="Verdana"/>
          <w:sz w:val="20"/>
          <w:szCs w:val="20"/>
          <w:lang w:val="en-US"/>
        </w:rPr>
        <w:t xml:space="preserve">pensions </w:t>
      </w:r>
      <w:r w:rsidR="005068FE" w:rsidRPr="008A3740">
        <w:rPr>
          <w:rFonts w:ascii="Verdana" w:hAnsi="Verdana"/>
          <w:sz w:val="20"/>
          <w:szCs w:val="20"/>
          <w:lang w:val="en-US"/>
        </w:rPr>
        <w:t xml:space="preserve">owed </w:t>
      </w:r>
      <w:r w:rsidR="00B82DCC" w:rsidRPr="008A3740">
        <w:rPr>
          <w:rFonts w:ascii="Verdana" w:hAnsi="Verdana"/>
          <w:sz w:val="20"/>
          <w:szCs w:val="20"/>
          <w:lang w:val="en-US"/>
        </w:rPr>
        <w:t xml:space="preserve">is </w:t>
      </w:r>
      <w:r w:rsidRPr="008A3740">
        <w:rPr>
          <w:rFonts w:ascii="Verdana" w:hAnsi="Verdana"/>
          <w:sz w:val="20"/>
          <w:szCs w:val="20"/>
          <w:lang w:val="en-US"/>
        </w:rPr>
        <w:t xml:space="preserve">S/97,600.00 soles. </w:t>
      </w:r>
    </w:p>
    <w:p w14:paraId="4A04EBA7" w14:textId="77777777" w:rsidR="008E6A56" w:rsidRPr="008A3740" w:rsidRDefault="008E6A56" w:rsidP="008E6A56">
      <w:pPr>
        <w:rPr>
          <w:rFonts w:ascii="Verdana" w:hAnsi="Verdana"/>
          <w:sz w:val="20"/>
          <w:szCs w:val="20"/>
          <w:lang w:val="en-US"/>
        </w:rPr>
      </w:pPr>
    </w:p>
    <w:p w14:paraId="39D13A90"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On October 26, 2000, the ONP replied that “it [was] only competent to </w:t>
      </w:r>
      <w:r w:rsidR="005068FE" w:rsidRPr="008A3740">
        <w:rPr>
          <w:rFonts w:ascii="Verdana" w:hAnsi="Verdana"/>
          <w:sz w:val="20"/>
          <w:szCs w:val="20"/>
          <w:lang w:val="en-US"/>
        </w:rPr>
        <w:t xml:space="preserve">decide </w:t>
      </w:r>
      <w:r w:rsidRPr="008A3740">
        <w:rPr>
          <w:rFonts w:ascii="Verdana" w:hAnsi="Verdana"/>
          <w:sz w:val="20"/>
          <w:szCs w:val="20"/>
          <w:lang w:val="en-US"/>
        </w:rPr>
        <w:t>on claims for t</w:t>
      </w:r>
      <w:r w:rsidR="00ED2679" w:rsidRPr="008A3740">
        <w:rPr>
          <w:rFonts w:ascii="Verdana" w:hAnsi="Verdana"/>
          <w:sz w:val="20"/>
          <w:szCs w:val="20"/>
          <w:lang w:val="en-US"/>
        </w:rPr>
        <w:t xml:space="preserve">he payment of pensions of </w:t>
      </w:r>
      <w:r w:rsidR="005068FE" w:rsidRPr="008A3740">
        <w:rPr>
          <w:rFonts w:ascii="Verdana" w:hAnsi="Verdana"/>
          <w:sz w:val="20"/>
          <w:szCs w:val="20"/>
          <w:lang w:val="en-US"/>
        </w:rPr>
        <w:t xml:space="preserve">those </w:t>
      </w:r>
      <w:r w:rsidR="00ED2679" w:rsidRPr="008A3740">
        <w:rPr>
          <w:rFonts w:ascii="Verdana" w:hAnsi="Verdana"/>
          <w:sz w:val="20"/>
          <w:szCs w:val="20"/>
          <w:lang w:val="en-US"/>
        </w:rPr>
        <w:t xml:space="preserve">institutions </w:t>
      </w:r>
      <w:r w:rsidRPr="008A3740">
        <w:rPr>
          <w:rFonts w:ascii="Verdana" w:hAnsi="Verdana"/>
          <w:sz w:val="20"/>
          <w:szCs w:val="20"/>
          <w:lang w:val="en-US"/>
        </w:rPr>
        <w:t>whose administration and pension payments [</w:t>
      </w:r>
      <w:r w:rsidR="00314010" w:rsidRPr="008A3740">
        <w:rPr>
          <w:rFonts w:ascii="Verdana" w:hAnsi="Verdana"/>
          <w:sz w:val="20"/>
          <w:szCs w:val="20"/>
          <w:lang w:val="en-US"/>
        </w:rPr>
        <w:t>had</w:t>
      </w:r>
      <w:r w:rsidRPr="008A3740">
        <w:rPr>
          <w:rFonts w:ascii="Verdana" w:hAnsi="Verdana"/>
          <w:sz w:val="20"/>
          <w:szCs w:val="20"/>
          <w:lang w:val="en-US"/>
        </w:rPr>
        <w:t xml:space="preserve">] </w:t>
      </w:r>
      <w:r w:rsidR="00314010" w:rsidRPr="008A3740">
        <w:rPr>
          <w:rFonts w:ascii="Verdana" w:hAnsi="Verdana"/>
          <w:sz w:val="20"/>
          <w:szCs w:val="20"/>
          <w:lang w:val="en-US"/>
        </w:rPr>
        <w:t xml:space="preserve">been </w:t>
      </w:r>
      <w:r w:rsidR="00ED2679" w:rsidRPr="008A3740">
        <w:rPr>
          <w:rFonts w:ascii="Verdana" w:hAnsi="Verdana"/>
          <w:sz w:val="20"/>
          <w:szCs w:val="20"/>
          <w:lang w:val="en-US"/>
        </w:rPr>
        <w:t>transferred</w:t>
      </w:r>
      <w:r w:rsidR="005068FE" w:rsidRPr="008A3740">
        <w:rPr>
          <w:rFonts w:ascii="Verdana" w:hAnsi="Verdana"/>
          <w:sz w:val="20"/>
          <w:szCs w:val="20"/>
          <w:lang w:val="en-US"/>
        </w:rPr>
        <w:t xml:space="preserve"> to it</w:t>
      </w:r>
      <w:r w:rsidR="00ED2679" w:rsidRPr="008A3740">
        <w:rPr>
          <w:rFonts w:ascii="Verdana" w:hAnsi="Verdana"/>
          <w:sz w:val="20"/>
          <w:szCs w:val="20"/>
          <w:lang w:val="en-US"/>
        </w:rPr>
        <w:t xml:space="preserve"> […] by express legal provision</w:t>
      </w:r>
      <w:r w:rsidR="00074913" w:rsidRPr="008A3740">
        <w:rPr>
          <w:rFonts w:ascii="Verdana" w:hAnsi="Verdana"/>
          <w:sz w:val="20"/>
          <w:szCs w:val="20"/>
          <w:lang w:val="en-US"/>
        </w:rPr>
        <w:t>s</w:t>
      </w:r>
      <w:r w:rsidRPr="008A3740">
        <w:rPr>
          <w:rFonts w:ascii="Verdana" w:hAnsi="Verdana"/>
          <w:sz w:val="20"/>
          <w:szCs w:val="20"/>
          <w:lang w:val="en-US"/>
        </w:rPr>
        <w:t xml:space="preserve">, </w:t>
      </w:r>
      <w:r w:rsidR="00584DDE" w:rsidRPr="008A3740">
        <w:rPr>
          <w:rFonts w:ascii="Verdana" w:hAnsi="Verdana"/>
          <w:sz w:val="20"/>
          <w:szCs w:val="20"/>
          <w:lang w:val="en-US"/>
        </w:rPr>
        <w:t>a situation that had not occurred</w:t>
      </w:r>
      <w:r w:rsidRPr="008A3740">
        <w:rPr>
          <w:rFonts w:ascii="Verdana" w:hAnsi="Verdana"/>
          <w:sz w:val="20"/>
          <w:szCs w:val="20"/>
          <w:lang w:val="en-US"/>
        </w:rPr>
        <w:t xml:space="preserve"> in the case of </w:t>
      </w:r>
      <w:r w:rsidR="005068FE" w:rsidRPr="008A3740">
        <w:rPr>
          <w:rFonts w:ascii="Verdana" w:hAnsi="Verdana"/>
          <w:sz w:val="20"/>
          <w:szCs w:val="20"/>
          <w:lang w:val="en-US"/>
        </w:rPr>
        <w:t xml:space="preserve">[Mr. Muelle’s] </w:t>
      </w:r>
      <w:r w:rsidR="00074913" w:rsidRPr="008A3740">
        <w:rPr>
          <w:rFonts w:ascii="Verdana" w:hAnsi="Verdana"/>
          <w:sz w:val="20"/>
          <w:szCs w:val="20"/>
          <w:lang w:val="en-US"/>
        </w:rPr>
        <w:t xml:space="preserve">institution </w:t>
      </w:r>
      <w:r w:rsidR="00314010" w:rsidRPr="008A3740">
        <w:rPr>
          <w:rFonts w:ascii="Verdana" w:hAnsi="Verdana"/>
          <w:sz w:val="20"/>
          <w:szCs w:val="20"/>
          <w:lang w:val="en-US"/>
        </w:rPr>
        <w:t>[refer</w:t>
      </w:r>
      <w:r w:rsidR="00074913" w:rsidRPr="008A3740">
        <w:rPr>
          <w:rFonts w:ascii="Verdana" w:hAnsi="Verdana"/>
          <w:sz w:val="20"/>
          <w:szCs w:val="20"/>
          <w:lang w:val="en-US"/>
        </w:rPr>
        <w:t xml:space="preserve">ring </w:t>
      </w:r>
      <w:r w:rsidR="00314010" w:rsidRPr="008A3740">
        <w:rPr>
          <w:rFonts w:ascii="Verdana" w:hAnsi="Verdana"/>
          <w:sz w:val="20"/>
          <w:szCs w:val="20"/>
          <w:lang w:val="en-US"/>
        </w:rPr>
        <w:t>to</w:t>
      </w:r>
      <w:r w:rsidRPr="008A3740">
        <w:rPr>
          <w:rFonts w:ascii="Verdana" w:hAnsi="Verdana"/>
          <w:sz w:val="20"/>
          <w:szCs w:val="20"/>
          <w:lang w:val="en-US"/>
        </w:rPr>
        <w:t xml:space="preserve"> the company]”, and </w:t>
      </w:r>
      <w:r w:rsidR="00074913" w:rsidRPr="008A3740">
        <w:rPr>
          <w:rFonts w:ascii="Verdana" w:hAnsi="Verdana"/>
          <w:sz w:val="20"/>
          <w:szCs w:val="20"/>
          <w:lang w:val="en-US"/>
        </w:rPr>
        <w:t xml:space="preserve">advised him to file his </w:t>
      </w:r>
      <w:r w:rsidRPr="008A3740">
        <w:rPr>
          <w:rFonts w:ascii="Verdana" w:hAnsi="Verdana"/>
          <w:sz w:val="20"/>
          <w:szCs w:val="20"/>
          <w:lang w:val="en-US"/>
        </w:rPr>
        <w:t xml:space="preserve">claim </w:t>
      </w:r>
      <w:r w:rsidR="00074913" w:rsidRPr="008A3740">
        <w:rPr>
          <w:rFonts w:ascii="Verdana" w:hAnsi="Verdana"/>
          <w:sz w:val="20"/>
          <w:szCs w:val="20"/>
          <w:lang w:val="en-US"/>
        </w:rPr>
        <w:t xml:space="preserve">with </w:t>
      </w:r>
      <w:r w:rsidRPr="008A3740">
        <w:rPr>
          <w:rFonts w:ascii="Verdana" w:hAnsi="Verdana"/>
          <w:sz w:val="20"/>
          <w:szCs w:val="20"/>
          <w:lang w:val="en-US"/>
        </w:rPr>
        <w:t xml:space="preserve">the company </w:t>
      </w:r>
      <w:r w:rsidR="00074913" w:rsidRPr="008A3740">
        <w:rPr>
          <w:rFonts w:ascii="Verdana" w:hAnsi="Verdana"/>
          <w:sz w:val="20"/>
          <w:szCs w:val="20"/>
          <w:lang w:val="en-US"/>
        </w:rPr>
        <w:t>paying his pension</w:t>
      </w:r>
      <w:r w:rsidRPr="008A3740">
        <w:rPr>
          <w:rFonts w:ascii="Verdana" w:hAnsi="Verdana"/>
          <w:sz w:val="20"/>
          <w:szCs w:val="20"/>
          <w:lang w:val="en-US"/>
        </w:rPr>
        <w:t>.</w:t>
      </w:r>
      <w:r w:rsidRPr="008A3740">
        <w:rPr>
          <w:rStyle w:val="Refdenotaalpie"/>
          <w:szCs w:val="20"/>
          <w:lang w:val="en-US"/>
        </w:rPr>
        <w:footnoteReference w:id="92"/>
      </w:r>
    </w:p>
    <w:p w14:paraId="2AC0786F" w14:textId="77777777" w:rsidR="008E6A56" w:rsidRPr="008A3740" w:rsidRDefault="008E6A56" w:rsidP="008E6A56">
      <w:pPr>
        <w:tabs>
          <w:tab w:val="left" w:pos="567"/>
        </w:tabs>
        <w:rPr>
          <w:rFonts w:ascii="Verdana" w:hAnsi="Verdana"/>
          <w:sz w:val="20"/>
          <w:szCs w:val="20"/>
          <w:lang w:val="en-US"/>
        </w:rPr>
      </w:pPr>
    </w:p>
    <w:p w14:paraId="34D91729"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In November 2004, the ONP sent a new communication to Mr. Muelle Flores in response to </w:t>
      </w:r>
      <w:r w:rsidR="005525CB" w:rsidRPr="008A3740">
        <w:rPr>
          <w:rFonts w:ascii="Verdana" w:hAnsi="Verdana" w:cs="Arial"/>
          <w:sz w:val="20"/>
          <w:szCs w:val="20"/>
          <w:lang w:val="en-US"/>
        </w:rPr>
        <w:t>his notarized letter</w:t>
      </w:r>
      <w:r w:rsidR="005068FE" w:rsidRPr="008A3740">
        <w:rPr>
          <w:rFonts w:ascii="Verdana" w:hAnsi="Verdana" w:cs="Arial"/>
          <w:sz w:val="20"/>
          <w:szCs w:val="20"/>
          <w:lang w:val="en-US"/>
        </w:rPr>
        <w:t>,</w:t>
      </w:r>
      <w:r w:rsidRPr="008A3740">
        <w:rPr>
          <w:rStyle w:val="Refdenotaalpie"/>
          <w:rFonts w:cs="Arial"/>
          <w:szCs w:val="20"/>
          <w:lang w:val="en-US"/>
        </w:rPr>
        <w:footnoteReference w:id="93"/>
      </w:r>
      <w:r w:rsidR="005525CB" w:rsidRPr="008A3740">
        <w:rPr>
          <w:rFonts w:ascii="Verdana" w:hAnsi="Verdana" w:cs="Arial"/>
          <w:sz w:val="20"/>
          <w:szCs w:val="20"/>
          <w:lang w:val="en-US"/>
        </w:rPr>
        <w:t xml:space="preserve"> </w:t>
      </w:r>
      <w:r w:rsidR="005068FE" w:rsidRPr="008A3740">
        <w:rPr>
          <w:rFonts w:ascii="Verdana" w:hAnsi="Verdana" w:cs="Arial"/>
          <w:sz w:val="20"/>
          <w:szCs w:val="20"/>
          <w:lang w:val="en-US"/>
        </w:rPr>
        <w:t>stating</w:t>
      </w:r>
      <w:r w:rsidRPr="008A3740">
        <w:rPr>
          <w:rFonts w:ascii="Verdana" w:hAnsi="Verdana" w:cs="Arial"/>
          <w:sz w:val="20"/>
          <w:szCs w:val="20"/>
          <w:lang w:val="en-US"/>
        </w:rPr>
        <w:t xml:space="preserve"> that </w:t>
      </w:r>
      <w:r w:rsidR="00394B8C" w:rsidRPr="008A3740">
        <w:rPr>
          <w:rFonts w:ascii="Verdana" w:hAnsi="Verdana" w:cs="Arial"/>
          <w:sz w:val="20"/>
          <w:szCs w:val="20"/>
          <w:lang w:val="en-US"/>
        </w:rPr>
        <w:t xml:space="preserve">his name </w:t>
      </w:r>
      <w:r w:rsidRPr="008A3740">
        <w:rPr>
          <w:rFonts w:ascii="Verdana" w:hAnsi="Verdana" w:cs="Arial"/>
          <w:sz w:val="20"/>
          <w:szCs w:val="20"/>
          <w:lang w:val="en-US"/>
        </w:rPr>
        <w:t>“</w:t>
      </w:r>
      <w:r w:rsidR="00175095" w:rsidRPr="008A3740">
        <w:rPr>
          <w:rFonts w:ascii="Verdana" w:hAnsi="Verdana" w:cs="Arial"/>
          <w:sz w:val="20"/>
          <w:szCs w:val="20"/>
          <w:lang w:val="en-US"/>
        </w:rPr>
        <w:t>[did]</w:t>
      </w:r>
      <w:r w:rsidR="00394B8C" w:rsidRPr="008A3740">
        <w:rPr>
          <w:rFonts w:ascii="Verdana" w:hAnsi="Verdana" w:cs="Arial"/>
          <w:sz w:val="20"/>
          <w:szCs w:val="20"/>
          <w:lang w:val="en-US"/>
        </w:rPr>
        <w:t xml:space="preserve"> </w:t>
      </w:r>
      <w:r w:rsidR="00175095" w:rsidRPr="008A3740">
        <w:rPr>
          <w:rFonts w:ascii="Verdana" w:hAnsi="Verdana" w:cs="Arial"/>
          <w:sz w:val="20"/>
          <w:szCs w:val="20"/>
          <w:lang w:val="en-US"/>
        </w:rPr>
        <w:t xml:space="preserve">not appear </w:t>
      </w:r>
      <w:r w:rsidRPr="008A3740">
        <w:rPr>
          <w:rFonts w:ascii="Verdana" w:hAnsi="Verdana" w:cs="Arial"/>
          <w:sz w:val="20"/>
          <w:szCs w:val="20"/>
          <w:lang w:val="en-US"/>
        </w:rPr>
        <w:t>i</w:t>
      </w:r>
      <w:r w:rsidR="005525CB" w:rsidRPr="008A3740">
        <w:rPr>
          <w:rFonts w:ascii="Verdana" w:hAnsi="Verdana" w:cs="Arial"/>
          <w:sz w:val="20"/>
          <w:szCs w:val="20"/>
          <w:lang w:val="en-US"/>
        </w:rPr>
        <w:t xml:space="preserve">n [its] </w:t>
      </w:r>
      <w:r w:rsidR="00175095" w:rsidRPr="008A3740">
        <w:rPr>
          <w:rFonts w:ascii="Verdana" w:hAnsi="Verdana" w:cs="Arial"/>
          <w:sz w:val="20"/>
          <w:szCs w:val="20"/>
          <w:lang w:val="en-US"/>
        </w:rPr>
        <w:t xml:space="preserve">document processing system </w:t>
      </w:r>
      <w:r w:rsidR="00394B8C" w:rsidRPr="008A3740">
        <w:rPr>
          <w:rFonts w:ascii="Verdana" w:hAnsi="Verdana" w:cs="Arial"/>
          <w:sz w:val="20"/>
          <w:szCs w:val="20"/>
          <w:lang w:val="en-US"/>
        </w:rPr>
        <w:t xml:space="preserve">of </w:t>
      </w:r>
      <w:r w:rsidRPr="008A3740">
        <w:rPr>
          <w:rFonts w:ascii="Verdana" w:hAnsi="Verdana" w:cs="Arial"/>
          <w:sz w:val="20"/>
          <w:szCs w:val="20"/>
          <w:lang w:val="en-US"/>
        </w:rPr>
        <w:t>Decree Law N</w:t>
      </w:r>
      <w:r w:rsidR="005525CB" w:rsidRPr="008A3740">
        <w:rPr>
          <w:rFonts w:ascii="Verdana" w:hAnsi="Verdana" w:cs="Arial"/>
          <w:sz w:val="20"/>
          <w:szCs w:val="20"/>
          <w:lang w:val="en-US"/>
        </w:rPr>
        <w:t xml:space="preserve">° 20530, </w:t>
      </w:r>
      <w:r w:rsidRPr="008A3740">
        <w:rPr>
          <w:rFonts w:ascii="Verdana" w:hAnsi="Verdana" w:cs="Arial"/>
          <w:sz w:val="20"/>
          <w:szCs w:val="20"/>
          <w:lang w:val="en-US"/>
        </w:rPr>
        <w:t xml:space="preserve">[…] [and that] [through </w:t>
      </w:r>
      <w:r w:rsidR="00175095" w:rsidRPr="008A3740">
        <w:rPr>
          <w:rFonts w:ascii="Verdana" w:hAnsi="Verdana" w:cs="Arial"/>
          <w:sz w:val="20"/>
          <w:szCs w:val="20"/>
          <w:lang w:val="en-US"/>
        </w:rPr>
        <w:t xml:space="preserve">a </w:t>
      </w:r>
      <w:r w:rsidRPr="008A3740">
        <w:rPr>
          <w:rFonts w:ascii="Verdana" w:hAnsi="Verdana" w:cs="Arial"/>
          <w:sz w:val="20"/>
          <w:szCs w:val="20"/>
          <w:lang w:val="en-US"/>
        </w:rPr>
        <w:t>resolution of January 2004] the Pension Standardization Office -ONP, ha</w:t>
      </w:r>
      <w:r w:rsidR="00394B8C" w:rsidRPr="008A3740">
        <w:rPr>
          <w:rFonts w:ascii="Verdana" w:hAnsi="Verdana" w:cs="Arial"/>
          <w:sz w:val="20"/>
          <w:szCs w:val="20"/>
          <w:lang w:val="en-US"/>
        </w:rPr>
        <w:t>[</w:t>
      </w:r>
      <w:r w:rsidRPr="008A3740">
        <w:rPr>
          <w:rFonts w:ascii="Verdana" w:hAnsi="Verdana" w:cs="Arial"/>
          <w:sz w:val="20"/>
          <w:szCs w:val="20"/>
          <w:lang w:val="en-US"/>
        </w:rPr>
        <w:t>d</w:t>
      </w:r>
      <w:r w:rsidR="00394B8C" w:rsidRPr="008A3740">
        <w:rPr>
          <w:rFonts w:ascii="Verdana" w:hAnsi="Verdana" w:cs="Arial"/>
          <w:sz w:val="20"/>
          <w:szCs w:val="20"/>
          <w:lang w:val="en-US"/>
        </w:rPr>
        <w:t>]</w:t>
      </w:r>
      <w:r w:rsidRPr="008A3740">
        <w:rPr>
          <w:rFonts w:ascii="Verdana" w:hAnsi="Verdana" w:cs="Arial"/>
          <w:sz w:val="20"/>
          <w:szCs w:val="20"/>
          <w:lang w:val="en-US"/>
        </w:rPr>
        <w:t xml:space="preserve"> been delegat</w:t>
      </w:r>
      <w:r w:rsidR="00314010" w:rsidRPr="008A3740">
        <w:rPr>
          <w:rFonts w:ascii="Verdana" w:hAnsi="Verdana" w:cs="Arial"/>
          <w:sz w:val="20"/>
          <w:szCs w:val="20"/>
          <w:lang w:val="en-US"/>
        </w:rPr>
        <w:t>ed the task of reco</w:t>
      </w:r>
      <w:r w:rsidR="00FA0708" w:rsidRPr="008A3740">
        <w:rPr>
          <w:rFonts w:ascii="Verdana" w:hAnsi="Verdana" w:cs="Arial"/>
          <w:sz w:val="20"/>
          <w:szCs w:val="20"/>
          <w:lang w:val="en-US"/>
        </w:rPr>
        <w:t>gnition</w:t>
      </w:r>
      <w:r w:rsidR="00314010" w:rsidRPr="008A3740">
        <w:rPr>
          <w:rFonts w:ascii="Verdana" w:hAnsi="Verdana" w:cs="Arial"/>
          <w:sz w:val="20"/>
          <w:szCs w:val="20"/>
          <w:lang w:val="en-US"/>
        </w:rPr>
        <w:t>, d</w:t>
      </w:r>
      <w:r w:rsidR="005525CB" w:rsidRPr="008A3740">
        <w:rPr>
          <w:rFonts w:ascii="Verdana" w:hAnsi="Verdana" w:cs="Arial"/>
          <w:sz w:val="20"/>
          <w:szCs w:val="20"/>
          <w:lang w:val="en-US"/>
        </w:rPr>
        <w:t>eclaration, qu</w:t>
      </w:r>
      <w:r w:rsidRPr="008A3740">
        <w:rPr>
          <w:rFonts w:ascii="Verdana" w:hAnsi="Verdana" w:cs="Arial"/>
          <w:sz w:val="20"/>
          <w:szCs w:val="20"/>
          <w:lang w:val="en-US"/>
        </w:rPr>
        <w:t>alification and pay</w:t>
      </w:r>
      <w:r w:rsidR="00FA0708" w:rsidRPr="008A3740">
        <w:rPr>
          <w:rFonts w:ascii="Verdana" w:hAnsi="Verdana" w:cs="Arial"/>
          <w:sz w:val="20"/>
          <w:szCs w:val="20"/>
          <w:lang w:val="en-US"/>
        </w:rPr>
        <w:t xml:space="preserve">ment of </w:t>
      </w:r>
      <w:r w:rsidRPr="008A3740">
        <w:rPr>
          <w:rFonts w:ascii="Verdana" w:hAnsi="Verdana" w:cs="Arial"/>
          <w:sz w:val="20"/>
          <w:szCs w:val="20"/>
          <w:lang w:val="en-US"/>
        </w:rPr>
        <w:t xml:space="preserve">pensions of </w:t>
      </w:r>
      <w:r w:rsidR="00394B8C" w:rsidRPr="008A3740">
        <w:rPr>
          <w:rFonts w:ascii="Verdana" w:hAnsi="Verdana" w:cs="Arial"/>
          <w:sz w:val="20"/>
          <w:szCs w:val="20"/>
          <w:lang w:val="en-US"/>
        </w:rPr>
        <w:t xml:space="preserve">those entities </w:t>
      </w:r>
      <w:r w:rsidRPr="008A3740">
        <w:rPr>
          <w:rFonts w:ascii="Verdana" w:hAnsi="Verdana" w:cs="Arial"/>
          <w:sz w:val="20"/>
          <w:szCs w:val="20"/>
          <w:lang w:val="en-US"/>
        </w:rPr>
        <w:t>privatized, liquida</w:t>
      </w:r>
      <w:r w:rsidR="00314010" w:rsidRPr="008A3740">
        <w:rPr>
          <w:rFonts w:ascii="Verdana" w:hAnsi="Verdana" w:cs="Arial"/>
          <w:sz w:val="20"/>
          <w:szCs w:val="20"/>
          <w:lang w:val="en-US"/>
        </w:rPr>
        <w:t>ted</w:t>
      </w:r>
      <w:r w:rsidRPr="008A3740">
        <w:rPr>
          <w:rFonts w:ascii="Verdana" w:hAnsi="Verdana" w:cs="Arial"/>
          <w:sz w:val="20"/>
          <w:szCs w:val="20"/>
          <w:lang w:val="en-US"/>
        </w:rPr>
        <w:t>, deactivated and/or dissolved</w:t>
      </w:r>
      <w:r w:rsidR="005525CB" w:rsidRPr="008A3740">
        <w:rPr>
          <w:rFonts w:ascii="Verdana" w:hAnsi="Verdana" w:cs="Arial"/>
          <w:sz w:val="20"/>
          <w:szCs w:val="20"/>
          <w:lang w:val="en-US"/>
        </w:rPr>
        <w:t xml:space="preserve"> </w:t>
      </w:r>
      <w:r w:rsidR="00394B8C" w:rsidRPr="008A3740">
        <w:rPr>
          <w:rFonts w:ascii="Verdana" w:hAnsi="Verdana" w:cs="Arial"/>
          <w:sz w:val="20"/>
          <w:szCs w:val="20"/>
          <w:lang w:val="en-US"/>
        </w:rPr>
        <w:t xml:space="preserve">under </w:t>
      </w:r>
      <w:r w:rsidRPr="008A3740">
        <w:rPr>
          <w:rFonts w:ascii="Verdana" w:hAnsi="Verdana" w:cs="Arial"/>
          <w:sz w:val="20"/>
          <w:szCs w:val="20"/>
          <w:lang w:val="en-US"/>
        </w:rPr>
        <w:t>Decree Law N° 20530 that [</w:t>
      </w:r>
      <w:r w:rsidR="00394B8C" w:rsidRPr="008A3740">
        <w:rPr>
          <w:rFonts w:ascii="Verdana" w:hAnsi="Verdana" w:cs="Arial"/>
          <w:sz w:val="20"/>
          <w:szCs w:val="20"/>
          <w:lang w:val="en-US"/>
        </w:rPr>
        <w:t>had</w:t>
      </w:r>
      <w:r w:rsidRPr="008A3740">
        <w:rPr>
          <w:rFonts w:ascii="Verdana" w:hAnsi="Verdana" w:cs="Arial"/>
          <w:sz w:val="20"/>
          <w:szCs w:val="20"/>
          <w:lang w:val="en-US"/>
        </w:rPr>
        <w:t xml:space="preserve">] </w:t>
      </w:r>
      <w:r w:rsidR="00394B8C" w:rsidRPr="008A3740">
        <w:rPr>
          <w:rFonts w:ascii="Verdana" w:hAnsi="Verdana" w:cs="Arial"/>
          <w:sz w:val="20"/>
          <w:szCs w:val="20"/>
          <w:lang w:val="en-US"/>
        </w:rPr>
        <w:t xml:space="preserve">their own respective </w:t>
      </w:r>
      <w:r w:rsidR="00314010" w:rsidRPr="008A3740">
        <w:rPr>
          <w:rFonts w:ascii="Verdana" w:hAnsi="Verdana" w:cs="Arial"/>
          <w:sz w:val="20"/>
          <w:szCs w:val="20"/>
          <w:lang w:val="en-US"/>
        </w:rPr>
        <w:t>f</w:t>
      </w:r>
      <w:r w:rsidR="00394B8C" w:rsidRPr="008A3740">
        <w:rPr>
          <w:rFonts w:ascii="Verdana" w:hAnsi="Verdana" w:cs="Arial"/>
          <w:sz w:val="20"/>
          <w:szCs w:val="20"/>
          <w:lang w:val="en-US"/>
        </w:rPr>
        <w:t>inancial resources</w:t>
      </w:r>
      <w:r w:rsidRPr="008A3740">
        <w:rPr>
          <w:rFonts w:ascii="Verdana" w:hAnsi="Verdana" w:cs="Arial"/>
          <w:sz w:val="20"/>
          <w:szCs w:val="20"/>
          <w:lang w:val="en-US"/>
        </w:rPr>
        <w:t xml:space="preserve">, </w:t>
      </w:r>
      <w:r w:rsidR="00394B8C" w:rsidRPr="008A3740">
        <w:rPr>
          <w:rFonts w:ascii="Verdana" w:hAnsi="Verdana" w:cs="Arial"/>
          <w:sz w:val="20"/>
          <w:szCs w:val="20"/>
          <w:lang w:val="en-US"/>
        </w:rPr>
        <w:t xml:space="preserve">and that </w:t>
      </w:r>
      <w:r w:rsidRPr="008A3740">
        <w:rPr>
          <w:rFonts w:ascii="Verdana" w:hAnsi="Verdana" w:cs="Arial"/>
          <w:sz w:val="20"/>
          <w:szCs w:val="20"/>
          <w:lang w:val="en-US"/>
        </w:rPr>
        <w:t xml:space="preserve">BHP Tintaya S.A. </w:t>
      </w:r>
      <w:r w:rsidR="00394B8C" w:rsidRPr="008A3740">
        <w:rPr>
          <w:rFonts w:ascii="Verdana" w:hAnsi="Verdana" w:cs="Arial"/>
          <w:sz w:val="20"/>
          <w:szCs w:val="20"/>
          <w:lang w:val="en-US"/>
        </w:rPr>
        <w:t xml:space="preserve">company </w:t>
      </w:r>
      <w:r w:rsidR="005525CB" w:rsidRPr="008A3740">
        <w:rPr>
          <w:rFonts w:ascii="Verdana" w:hAnsi="Verdana" w:cs="Arial"/>
          <w:sz w:val="20"/>
          <w:szCs w:val="20"/>
          <w:lang w:val="en-US"/>
        </w:rPr>
        <w:t xml:space="preserve">[did] not appear </w:t>
      </w:r>
      <w:r w:rsidR="00394B8C" w:rsidRPr="008A3740">
        <w:rPr>
          <w:rFonts w:ascii="Verdana" w:hAnsi="Verdana" w:cs="Arial"/>
          <w:sz w:val="20"/>
          <w:szCs w:val="20"/>
          <w:lang w:val="en-US"/>
        </w:rPr>
        <w:t xml:space="preserve">to be </w:t>
      </w:r>
      <w:r w:rsidR="005525CB" w:rsidRPr="008A3740">
        <w:rPr>
          <w:rFonts w:ascii="Verdana" w:hAnsi="Verdana" w:cs="Arial"/>
          <w:sz w:val="20"/>
          <w:szCs w:val="20"/>
          <w:lang w:val="en-US"/>
        </w:rPr>
        <w:t xml:space="preserve">included </w:t>
      </w:r>
      <w:r w:rsidR="005F68BC" w:rsidRPr="008A3740">
        <w:rPr>
          <w:rFonts w:ascii="Verdana" w:hAnsi="Verdana" w:cs="Arial"/>
          <w:sz w:val="20"/>
          <w:szCs w:val="20"/>
          <w:lang w:val="en-US"/>
        </w:rPr>
        <w:t>among th</w:t>
      </w:r>
      <w:r w:rsidR="00B76BDE" w:rsidRPr="008A3740">
        <w:rPr>
          <w:rFonts w:ascii="Verdana" w:hAnsi="Verdana" w:cs="Arial"/>
          <w:sz w:val="20"/>
          <w:szCs w:val="20"/>
          <w:lang w:val="en-US"/>
        </w:rPr>
        <w:t>os</w:t>
      </w:r>
      <w:r w:rsidR="005F68BC" w:rsidRPr="008A3740">
        <w:rPr>
          <w:rFonts w:ascii="Verdana" w:hAnsi="Verdana" w:cs="Arial"/>
          <w:sz w:val="20"/>
          <w:szCs w:val="20"/>
          <w:lang w:val="en-US"/>
        </w:rPr>
        <w:t xml:space="preserve">e </w:t>
      </w:r>
      <w:r w:rsidR="008B6FB0" w:rsidRPr="008A3740">
        <w:rPr>
          <w:rFonts w:ascii="Verdana" w:hAnsi="Verdana" w:cs="Arial"/>
          <w:sz w:val="20"/>
          <w:szCs w:val="20"/>
          <w:lang w:val="en-US"/>
        </w:rPr>
        <w:t xml:space="preserve">under the responsibility of </w:t>
      </w:r>
      <w:r w:rsidRPr="008A3740">
        <w:rPr>
          <w:rFonts w:ascii="Verdana" w:hAnsi="Verdana" w:cs="Arial"/>
          <w:sz w:val="20"/>
          <w:szCs w:val="20"/>
          <w:lang w:val="en-US"/>
        </w:rPr>
        <w:t>the ONP.”</w:t>
      </w:r>
      <w:r w:rsidRPr="008A3740">
        <w:rPr>
          <w:rStyle w:val="Refdenotaalpie"/>
          <w:rFonts w:cs="Arial"/>
          <w:szCs w:val="20"/>
          <w:lang w:val="en-US"/>
        </w:rPr>
        <w:footnoteReference w:id="94"/>
      </w:r>
    </w:p>
    <w:p w14:paraId="075A5BC3" w14:textId="77777777" w:rsidR="008E6A56" w:rsidRPr="008A3740" w:rsidRDefault="008E6A56" w:rsidP="008E6A56">
      <w:pPr>
        <w:pStyle w:val="Prrafodelista"/>
        <w:rPr>
          <w:rFonts w:ascii="Verdana" w:hAnsi="Verdana" w:cs="Arial"/>
          <w:sz w:val="20"/>
          <w:szCs w:val="20"/>
          <w:lang w:val="en-US"/>
        </w:rPr>
      </w:pPr>
    </w:p>
    <w:p w14:paraId="307EEF7A"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Mr. Muelle Flores sent a notari</w:t>
      </w:r>
      <w:r w:rsidR="005525CB" w:rsidRPr="008A3740">
        <w:rPr>
          <w:rFonts w:ascii="Verdana" w:hAnsi="Verdana" w:cs="Arial"/>
          <w:sz w:val="20"/>
          <w:szCs w:val="20"/>
          <w:lang w:val="en-US"/>
        </w:rPr>
        <w:t xml:space="preserve">zed </w:t>
      </w:r>
      <w:r w:rsidRPr="008A3740">
        <w:rPr>
          <w:rFonts w:ascii="Verdana" w:hAnsi="Verdana" w:cs="Arial"/>
          <w:sz w:val="20"/>
          <w:szCs w:val="20"/>
          <w:lang w:val="en-US"/>
        </w:rPr>
        <w:t xml:space="preserve">letter to the Ministry of Economy and Finance (hereinafter the “MEF”), requesting information as to whether Law No. 28115 </w:t>
      </w:r>
      <w:r w:rsidR="00394B8C" w:rsidRPr="008A3740">
        <w:rPr>
          <w:rFonts w:ascii="Verdana" w:hAnsi="Verdana" w:cs="Arial"/>
          <w:sz w:val="20"/>
          <w:szCs w:val="20"/>
          <w:lang w:val="en-US"/>
        </w:rPr>
        <w:t xml:space="preserve">-  </w:t>
      </w:r>
      <w:r w:rsidR="005525CB" w:rsidRPr="008A3740">
        <w:rPr>
          <w:rFonts w:ascii="Verdana" w:hAnsi="Verdana" w:cs="Arial"/>
          <w:sz w:val="20"/>
          <w:szCs w:val="20"/>
          <w:lang w:val="en-US"/>
        </w:rPr>
        <w:t>establishing that the MEF was the S</w:t>
      </w:r>
      <w:r w:rsidRPr="008A3740">
        <w:rPr>
          <w:rFonts w:ascii="Verdana" w:hAnsi="Verdana" w:cs="Arial"/>
          <w:sz w:val="20"/>
          <w:szCs w:val="20"/>
          <w:lang w:val="en-US"/>
        </w:rPr>
        <w:t xml:space="preserve">tate entity responsible for </w:t>
      </w:r>
      <w:r w:rsidR="005525CB" w:rsidRPr="008A3740">
        <w:rPr>
          <w:rFonts w:ascii="Verdana" w:hAnsi="Verdana" w:cs="Arial"/>
          <w:sz w:val="20"/>
          <w:szCs w:val="20"/>
          <w:lang w:val="en-US"/>
        </w:rPr>
        <w:t xml:space="preserve">paying </w:t>
      </w:r>
      <w:r w:rsidRPr="008A3740">
        <w:rPr>
          <w:rFonts w:ascii="Verdana" w:hAnsi="Verdana" w:cs="Arial"/>
          <w:sz w:val="20"/>
          <w:szCs w:val="20"/>
          <w:lang w:val="en-US"/>
        </w:rPr>
        <w:t xml:space="preserve">the </w:t>
      </w:r>
      <w:r w:rsidR="005525CB" w:rsidRPr="008A3740">
        <w:rPr>
          <w:rFonts w:ascii="Verdana" w:hAnsi="Verdana" w:cs="Arial"/>
          <w:sz w:val="20"/>
          <w:szCs w:val="20"/>
          <w:lang w:val="en-US"/>
        </w:rPr>
        <w:t xml:space="preserve">pensions of workers </w:t>
      </w:r>
      <w:r w:rsidR="00394B8C" w:rsidRPr="008A3740">
        <w:rPr>
          <w:rFonts w:ascii="Verdana" w:hAnsi="Verdana" w:cs="Arial"/>
          <w:sz w:val="20"/>
          <w:szCs w:val="20"/>
          <w:lang w:val="en-US"/>
        </w:rPr>
        <w:t xml:space="preserve">following </w:t>
      </w:r>
      <w:r w:rsidRPr="008A3740">
        <w:rPr>
          <w:rFonts w:ascii="Verdana" w:hAnsi="Verdana" w:cs="Arial"/>
          <w:sz w:val="20"/>
          <w:szCs w:val="20"/>
          <w:lang w:val="en-US"/>
        </w:rPr>
        <w:t>the privatization of state companies (</w:t>
      </w:r>
      <w:r w:rsidRPr="008A3740">
        <w:rPr>
          <w:rFonts w:ascii="Verdana" w:hAnsi="Verdana" w:cs="Arial"/>
          <w:i/>
          <w:sz w:val="20"/>
          <w:szCs w:val="20"/>
          <w:lang w:val="en-US"/>
        </w:rPr>
        <w:t>infra</w:t>
      </w:r>
      <w:r w:rsidR="00394B8C" w:rsidRPr="008A3740">
        <w:rPr>
          <w:rFonts w:ascii="Verdana" w:hAnsi="Verdana" w:cs="Arial"/>
          <w:sz w:val="20"/>
          <w:szCs w:val="20"/>
          <w:lang w:val="en-US"/>
        </w:rPr>
        <w:t xml:space="preserve"> para. 102) -</w:t>
      </w:r>
      <w:r w:rsidRPr="008A3740">
        <w:rPr>
          <w:rFonts w:ascii="Verdana" w:hAnsi="Verdana" w:cs="Arial"/>
          <w:sz w:val="20"/>
          <w:szCs w:val="20"/>
          <w:lang w:val="en-US"/>
        </w:rPr>
        <w:t xml:space="preserve"> was applicable to him. Mr. Muelle Flores also </w:t>
      </w:r>
      <w:r w:rsidR="00B11C8B" w:rsidRPr="008A3740">
        <w:rPr>
          <w:rFonts w:ascii="Verdana" w:hAnsi="Verdana" w:cs="Arial"/>
          <w:sz w:val="20"/>
          <w:szCs w:val="20"/>
          <w:lang w:val="en-US"/>
        </w:rPr>
        <w:t xml:space="preserve">requested </w:t>
      </w:r>
      <w:r w:rsidRPr="008A3740">
        <w:rPr>
          <w:rFonts w:ascii="Verdana" w:hAnsi="Verdana" w:cs="Arial"/>
          <w:sz w:val="20"/>
          <w:szCs w:val="20"/>
          <w:lang w:val="en-US"/>
        </w:rPr>
        <w:t xml:space="preserve">information as to whether after the privatization of </w:t>
      </w:r>
      <w:r w:rsidR="00394B8C" w:rsidRPr="008A3740">
        <w:rPr>
          <w:rFonts w:ascii="Verdana" w:hAnsi="Verdana" w:cs="Arial"/>
          <w:i/>
          <w:sz w:val="20"/>
          <w:szCs w:val="20"/>
          <w:lang w:val="en-US"/>
        </w:rPr>
        <w:t xml:space="preserve">Empresa </w:t>
      </w:r>
      <w:r w:rsidRPr="008A3740">
        <w:rPr>
          <w:rFonts w:ascii="Verdana" w:hAnsi="Verdana" w:cs="Arial"/>
          <w:i/>
          <w:sz w:val="20"/>
          <w:szCs w:val="20"/>
          <w:lang w:val="en-US"/>
        </w:rPr>
        <w:t>Minera Especial Tintaya S.A.</w:t>
      </w:r>
      <w:r w:rsidRPr="008A3740">
        <w:rPr>
          <w:rFonts w:ascii="Verdana" w:hAnsi="Verdana" w:cs="Arial"/>
          <w:sz w:val="20"/>
          <w:szCs w:val="20"/>
          <w:lang w:val="en-US"/>
        </w:rPr>
        <w:t xml:space="preserve">, the mandates </w:t>
      </w:r>
      <w:r w:rsidR="00394B8C" w:rsidRPr="008A3740">
        <w:rPr>
          <w:rFonts w:ascii="Verdana" w:hAnsi="Verdana" w:cs="Arial"/>
          <w:sz w:val="20"/>
          <w:szCs w:val="20"/>
          <w:lang w:val="en-US"/>
        </w:rPr>
        <w:t xml:space="preserve">issued in </w:t>
      </w:r>
      <w:r w:rsidRPr="008A3740">
        <w:rPr>
          <w:rFonts w:ascii="Verdana" w:hAnsi="Verdana" w:cs="Arial"/>
          <w:sz w:val="20"/>
          <w:szCs w:val="20"/>
          <w:lang w:val="en-US"/>
        </w:rPr>
        <w:t xml:space="preserve">the </w:t>
      </w:r>
      <w:r w:rsidR="00371D1D" w:rsidRPr="008A3740">
        <w:rPr>
          <w:rFonts w:ascii="Verdana" w:hAnsi="Verdana" w:cs="Arial"/>
          <w:sz w:val="20"/>
          <w:szCs w:val="20"/>
          <w:lang w:val="en-US"/>
        </w:rPr>
        <w:t xml:space="preserve">Supreme </w:t>
      </w:r>
      <w:r w:rsidR="00FA0708" w:rsidRPr="008A3740">
        <w:rPr>
          <w:rFonts w:ascii="Verdana" w:hAnsi="Verdana" w:cs="Arial"/>
          <w:sz w:val="20"/>
          <w:szCs w:val="20"/>
          <w:lang w:val="en-US"/>
        </w:rPr>
        <w:t xml:space="preserve">Court judgments </w:t>
      </w:r>
      <w:r w:rsidR="00B11C8B" w:rsidRPr="008A3740">
        <w:rPr>
          <w:rFonts w:ascii="Verdana" w:hAnsi="Verdana" w:cs="Arial"/>
          <w:sz w:val="20"/>
          <w:szCs w:val="20"/>
          <w:lang w:val="en-US"/>
        </w:rPr>
        <w:t xml:space="preserve">of </w:t>
      </w:r>
      <w:r w:rsidRPr="008A3740">
        <w:rPr>
          <w:rFonts w:ascii="Verdana" w:hAnsi="Verdana" w:cs="Arial"/>
          <w:sz w:val="20"/>
          <w:szCs w:val="20"/>
          <w:lang w:val="en-US"/>
        </w:rPr>
        <w:t>February 2, 1993</w:t>
      </w:r>
      <w:r w:rsidR="00FA0708" w:rsidRPr="008A3740">
        <w:rPr>
          <w:rFonts w:ascii="Verdana" w:hAnsi="Verdana" w:cs="Arial"/>
          <w:sz w:val="20"/>
          <w:szCs w:val="20"/>
          <w:lang w:val="en-US"/>
        </w:rPr>
        <w:t xml:space="preserve">, and </w:t>
      </w:r>
      <w:r w:rsidRPr="008A3740">
        <w:rPr>
          <w:rFonts w:ascii="Verdana" w:hAnsi="Verdana" w:cs="Arial"/>
          <w:sz w:val="20"/>
          <w:szCs w:val="20"/>
          <w:lang w:val="en-US"/>
        </w:rPr>
        <w:t xml:space="preserve">October </w:t>
      </w:r>
      <w:r w:rsidR="00FA0708" w:rsidRPr="008A3740">
        <w:rPr>
          <w:rFonts w:ascii="Verdana" w:hAnsi="Verdana" w:cs="Arial"/>
          <w:sz w:val="20"/>
          <w:szCs w:val="20"/>
          <w:lang w:val="en-US"/>
        </w:rPr>
        <w:t xml:space="preserve">29, </w:t>
      </w:r>
      <w:r w:rsidRPr="008A3740">
        <w:rPr>
          <w:rFonts w:ascii="Verdana" w:hAnsi="Verdana" w:cs="Arial"/>
          <w:sz w:val="20"/>
          <w:szCs w:val="20"/>
          <w:lang w:val="en-US"/>
        </w:rPr>
        <w:t>1997, as</w:t>
      </w:r>
      <w:r w:rsidR="00371D1D" w:rsidRPr="008A3740">
        <w:rPr>
          <w:rFonts w:ascii="Verdana" w:hAnsi="Verdana" w:cs="Arial"/>
          <w:sz w:val="20"/>
          <w:szCs w:val="20"/>
          <w:lang w:val="en-US"/>
        </w:rPr>
        <w:t xml:space="preserve"> well as the </w:t>
      </w:r>
      <w:r w:rsidRPr="008A3740">
        <w:rPr>
          <w:rFonts w:ascii="Verdana" w:hAnsi="Verdana" w:cs="Arial"/>
          <w:sz w:val="20"/>
          <w:szCs w:val="20"/>
          <w:lang w:val="en-US"/>
        </w:rPr>
        <w:t>Constitutional Court judgment of December 10, 1999</w:t>
      </w:r>
      <w:r w:rsidR="00371D1D" w:rsidRPr="008A3740">
        <w:rPr>
          <w:rFonts w:ascii="Verdana" w:hAnsi="Verdana" w:cs="Arial"/>
          <w:sz w:val="20"/>
          <w:szCs w:val="20"/>
          <w:lang w:val="en-US"/>
        </w:rPr>
        <w:t>,</w:t>
      </w:r>
      <w:r w:rsidRPr="008A3740">
        <w:rPr>
          <w:rFonts w:ascii="Verdana" w:hAnsi="Verdana" w:cs="Arial"/>
          <w:sz w:val="20"/>
          <w:szCs w:val="20"/>
          <w:lang w:val="en-US"/>
        </w:rPr>
        <w:t xml:space="preserve"> were assumed as a</w:t>
      </w:r>
      <w:r w:rsidR="00314010" w:rsidRPr="008A3740">
        <w:rPr>
          <w:rFonts w:ascii="Verdana" w:hAnsi="Verdana" w:cs="Arial"/>
          <w:sz w:val="20"/>
          <w:szCs w:val="20"/>
          <w:lang w:val="en-US"/>
        </w:rPr>
        <w:t>n</w:t>
      </w:r>
      <w:r w:rsidRPr="008A3740">
        <w:rPr>
          <w:rFonts w:ascii="Verdana" w:hAnsi="Verdana" w:cs="Arial"/>
          <w:sz w:val="20"/>
          <w:szCs w:val="20"/>
          <w:lang w:val="en-US"/>
        </w:rPr>
        <w:t xml:space="preserve"> obligation by said Ministry. </w:t>
      </w:r>
      <w:r w:rsidR="00371D1D" w:rsidRPr="008A3740">
        <w:rPr>
          <w:rFonts w:ascii="Verdana" w:hAnsi="Verdana" w:cs="Arial"/>
          <w:sz w:val="20"/>
          <w:szCs w:val="20"/>
          <w:lang w:val="en-US"/>
        </w:rPr>
        <w:t xml:space="preserve">In response, </w:t>
      </w:r>
      <w:r w:rsidRPr="008A3740">
        <w:rPr>
          <w:rFonts w:ascii="Verdana" w:hAnsi="Verdana" w:cs="Arial"/>
          <w:sz w:val="20"/>
          <w:szCs w:val="20"/>
          <w:lang w:val="en-US"/>
        </w:rPr>
        <w:t>Mr. Muelle Flores</w:t>
      </w:r>
      <w:r w:rsidR="00314010" w:rsidRPr="008A3740">
        <w:rPr>
          <w:rFonts w:ascii="Verdana" w:hAnsi="Verdana" w:cs="Arial"/>
          <w:sz w:val="20"/>
          <w:szCs w:val="20"/>
          <w:lang w:val="en-US"/>
        </w:rPr>
        <w:t xml:space="preserve"> was </w:t>
      </w:r>
      <w:r w:rsidR="00371D1D" w:rsidRPr="008A3740">
        <w:rPr>
          <w:rFonts w:ascii="Verdana" w:hAnsi="Verdana" w:cs="Arial"/>
          <w:sz w:val="20"/>
          <w:szCs w:val="20"/>
          <w:lang w:val="en-US"/>
        </w:rPr>
        <w:t xml:space="preserve">informed </w:t>
      </w:r>
      <w:r w:rsidRPr="008A3740">
        <w:rPr>
          <w:rFonts w:ascii="Verdana" w:hAnsi="Verdana" w:cs="Arial"/>
          <w:sz w:val="20"/>
          <w:szCs w:val="20"/>
          <w:lang w:val="en-US"/>
        </w:rPr>
        <w:t>that “</w:t>
      </w:r>
      <w:r w:rsidRPr="008A3740">
        <w:rPr>
          <w:rFonts w:ascii="Verdana" w:hAnsi="Verdana" w:cs="Arial"/>
          <w:iCs/>
          <w:sz w:val="20"/>
          <w:szCs w:val="20"/>
          <w:lang w:val="en-US"/>
        </w:rPr>
        <w:t>the Min</w:t>
      </w:r>
      <w:r w:rsidR="005525CB" w:rsidRPr="008A3740">
        <w:rPr>
          <w:rFonts w:ascii="Verdana" w:hAnsi="Verdana" w:cs="Arial"/>
          <w:iCs/>
          <w:sz w:val="20"/>
          <w:szCs w:val="20"/>
          <w:lang w:val="en-US"/>
        </w:rPr>
        <w:t xml:space="preserve">istry of </w:t>
      </w:r>
      <w:r w:rsidRPr="008A3740">
        <w:rPr>
          <w:rFonts w:ascii="Verdana" w:hAnsi="Verdana" w:cs="Arial"/>
          <w:iCs/>
          <w:sz w:val="20"/>
          <w:szCs w:val="20"/>
          <w:lang w:val="en-US"/>
        </w:rPr>
        <w:t xml:space="preserve">Economy and Finance ha[d] not </w:t>
      </w:r>
      <w:r w:rsidR="00314010" w:rsidRPr="008A3740">
        <w:rPr>
          <w:rFonts w:ascii="Verdana" w:hAnsi="Verdana" w:cs="Arial"/>
          <w:iCs/>
          <w:sz w:val="20"/>
          <w:szCs w:val="20"/>
          <w:lang w:val="en-US"/>
        </w:rPr>
        <w:t xml:space="preserve">assumed </w:t>
      </w:r>
      <w:r w:rsidRPr="008A3740">
        <w:rPr>
          <w:rFonts w:ascii="Verdana" w:hAnsi="Verdana" w:cs="Arial"/>
          <w:iCs/>
          <w:sz w:val="20"/>
          <w:szCs w:val="20"/>
          <w:lang w:val="en-US"/>
        </w:rPr>
        <w:t xml:space="preserve">the obligations in relation to [his] pension […] </w:t>
      </w:r>
      <w:r w:rsidR="009F6689" w:rsidRPr="008A3740">
        <w:rPr>
          <w:rFonts w:ascii="Verdana" w:hAnsi="Verdana" w:cs="Arial"/>
          <w:iCs/>
          <w:sz w:val="20"/>
          <w:szCs w:val="20"/>
          <w:lang w:val="en-US"/>
        </w:rPr>
        <w:t xml:space="preserve">given that a </w:t>
      </w:r>
      <w:r w:rsidR="00371D1D" w:rsidRPr="008A3740">
        <w:rPr>
          <w:rFonts w:ascii="Verdana" w:hAnsi="Verdana" w:cs="Arial"/>
          <w:iCs/>
          <w:sz w:val="20"/>
          <w:szCs w:val="20"/>
          <w:lang w:val="en-US"/>
        </w:rPr>
        <w:t>j</w:t>
      </w:r>
      <w:r w:rsidR="009F6689" w:rsidRPr="008A3740">
        <w:rPr>
          <w:rFonts w:ascii="Verdana" w:hAnsi="Verdana" w:cs="Arial"/>
          <w:iCs/>
          <w:sz w:val="20"/>
          <w:szCs w:val="20"/>
          <w:lang w:val="en-US"/>
        </w:rPr>
        <w:t>udgment by</w:t>
      </w:r>
      <w:r w:rsidRPr="008A3740">
        <w:rPr>
          <w:rFonts w:ascii="Verdana" w:hAnsi="Verdana" w:cs="Arial"/>
          <w:iCs/>
          <w:sz w:val="20"/>
          <w:szCs w:val="20"/>
          <w:lang w:val="en-US"/>
        </w:rPr>
        <w:t xml:space="preserve"> the Constitutional Court expressly requir</w:t>
      </w:r>
      <w:r w:rsidR="009F6689" w:rsidRPr="008A3740">
        <w:rPr>
          <w:rFonts w:ascii="Verdana" w:hAnsi="Verdana" w:cs="Arial"/>
          <w:iCs/>
          <w:sz w:val="20"/>
          <w:szCs w:val="20"/>
          <w:lang w:val="en-US"/>
        </w:rPr>
        <w:t xml:space="preserve">ed </w:t>
      </w:r>
      <w:r w:rsidRPr="008A3740">
        <w:rPr>
          <w:rFonts w:ascii="Verdana" w:hAnsi="Verdana" w:cs="Arial"/>
          <w:iCs/>
          <w:sz w:val="20"/>
          <w:szCs w:val="20"/>
          <w:lang w:val="en-US"/>
        </w:rPr>
        <w:t xml:space="preserve">the </w:t>
      </w:r>
      <w:r w:rsidR="00B11C8B" w:rsidRPr="008A3740">
        <w:rPr>
          <w:rFonts w:ascii="Verdana" w:hAnsi="Verdana" w:cs="Arial"/>
          <w:i/>
          <w:iCs/>
          <w:sz w:val="20"/>
          <w:szCs w:val="20"/>
          <w:lang w:val="en-US"/>
        </w:rPr>
        <w:t xml:space="preserve">Empresa </w:t>
      </w:r>
      <w:r w:rsidRPr="008A3740">
        <w:rPr>
          <w:rFonts w:ascii="Verdana" w:hAnsi="Verdana" w:cs="Arial"/>
          <w:i/>
          <w:iCs/>
          <w:sz w:val="20"/>
          <w:szCs w:val="20"/>
          <w:lang w:val="en-US"/>
        </w:rPr>
        <w:t>Minera Especial Tintaya S.A.</w:t>
      </w:r>
      <w:r w:rsidRPr="008A3740">
        <w:rPr>
          <w:rFonts w:ascii="Verdana" w:hAnsi="Verdana" w:cs="Arial"/>
          <w:iCs/>
          <w:sz w:val="20"/>
          <w:szCs w:val="20"/>
          <w:lang w:val="en-US"/>
        </w:rPr>
        <w:t xml:space="preserve"> to continue </w:t>
      </w:r>
      <w:r w:rsidR="009F6689" w:rsidRPr="008A3740">
        <w:rPr>
          <w:rFonts w:ascii="Verdana" w:hAnsi="Verdana" w:cs="Arial"/>
          <w:iCs/>
          <w:sz w:val="20"/>
          <w:szCs w:val="20"/>
          <w:lang w:val="en-US"/>
        </w:rPr>
        <w:t xml:space="preserve">paying </w:t>
      </w:r>
      <w:r w:rsidRPr="008A3740">
        <w:rPr>
          <w:rFonts w:ascii="Verdana" w:hAnsi="Verdana" w:cs="Arial"/>
          <w:iCs/>
          <w:sz w:val="20"/>
          <w:szCs w:val="20"/>
          <w:lang w:val="en-US"/>
        </w:rPr>
        <w:t>his p</w:t>
      </w:r>
      <w:r w:rsidR="009F6689" w:rsidRPr="008A3740">
        <w:rPr>
          <w:rFonts w:ascii="Verdana" w:hAnsi="Verdana" w:cs="Arial"/>
          <w:iCs/>
          <w:sz w:val="20"/>
          <w:szCs w:val="20"/>
          <w:lang w:val="en-US"/>
        </w:rPr>
        <w:t>ension</w:t>
      </w:r>
      <w:r w:rsidRPr="008A3740">
        <w:rPr>
          <w:rFonts w:ascii="Verdana" w:hAnsi="Verdana" w:cs="Arial"/>
          <w:iCs/>
          <w:sz w:val="20"/>
          <w:szCs w:val="20"/>
          <w:lang w:val="en-US"/>
        </w:rPr>
        <w:t xml:space="preserve">, </w:t>
      </w:r>
      <w:r w:rsidR="00371D1D" w:rsidRPr="008A3740">
        <w:rPr>
          <w:rFonts w:ascii="Verdana" w:hAnsi="Verdana" w:cs="Arial"/>
          <w:iCs/>
          <w:sz w:val="20"/>
          <w:szCs w:val="20"/>
          <w:lang w:val="en-US"/>
        </w:rPr>
        <w:t xml:space="preserve">and therefore Law No. 28115 [was] not </w:t>
      </w:r>
      <w:r w:rsidRPr="008A3740">
        <w:rPr>
          <w:rFonts w:ascii="Verdana" w:hAnsi="Verdana" w:cs="Arial"/>
          <w:iCs/>
          <w:sz w:val="20"/>
          <w:szCs w:val="20"/>
          <w:lang w:val="en-US"/>
        </w:rPr>
        <w:t>applicable to his specific case.”</w:t>
      </w:r>
      <w:r w:rsidRPr="008A3740">
        <w:rPr>
          <w:rStyle w:val="Refdenotaalpie"/>
          <w:rFonts w:cs="Arial"/>
          <w:iCs/>
          <w:szCs w:val="20"/>
          <w:lang w:val="en-US"/>
        </w:rPr>
        <w:footnoteReference w:id="95"/>
      </w:r>
    </w:p>
    <w:p w14:paraId="10B5F889" w14:textId="77777777" w:rsidR="008E6A56" w:rsidRPr="008A3740" w:rsidRDefault="008E6A56" w:rsidP="008E6A56">
      <w:pPr>
        <w:rPr>
          <w:rFonts w:ascii="Verdana" w:hAnsi="Verdana"/>
          <w:sz w:val="20"/>
          <w:szCs w:val="20"/>
          <w:lang w:val="en-US"/>
        </w:rPr>
      </w:pPr>
    </w:p>
    <w:p w14:paraId="300C51BF"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During the proceeding before the Commission, Mr. Muelle </w:t>
      </w:r>
      <w:r w:rsidR="00371D1D" w:rsidRPr="008A3740">
        <w:rPr>
          <w:rFonts w:ascii="Verdana" w:hAnsi="Verdana"/>
          <w:sz w:val="20"/>
          <w:szCs w:val="20"/>
          <w:lang w:val="en-US"/>
        </w:rPr>
        <w:t xml:space="preserve">explained </w:t>
      </w:r>
      <w:r w:rsidRPr="008A3740">
        <w:rPr>
          <w:rFonts w:ascii="Verdana" w:hAnsi="Verdana"/>
          <w:sz w:val="20"/>
          <w:szCs w:val="20"/>
          <w:lang w:val="en-US"/>
        </w:rPr>
        <w:t xml:space="preserve">that he suddenly lost his hearing in 1999 and that he went “to the most renowned medical specialists” who could do nothing </w:t>
      </w:r>
      <w:r w:rsidR="00B11C8B" w:rsidRPr="008A3740">
        <w:rPr>
          <w:rFonts w:ascii="Verdana" w:hAnsi="Verdana"/>
          <w:sz w:val="20"/>
          <w:szCs w:val="20"/>
          <w:lang w:val="en-US"/>
        </w:rPr>
        <w:t xml:space="preserve">to help </w:t>
      </w:r>
      <w:r w:rsidRPr="008A3740">
        <w:rPr>
          <w:rFonts w:ascii="Verdana" w:hAnsi="Verdana"/>
          <w:sz w:val="20"/>
          <w:szCs w:val="20"/>
          <w:lang w:val="en-US"/>
        </w:rPr>
        <w:t xml:space="preserve">his hearing problem </w:t>
      </w:r>
      <w:r w:rsidR="00371D1D" w:rsidRPr="008A3740">
        <w:rPr>
          <w:rFonts w:ascii="Verdana" w:hAnsi="Verdana"/>
          <w:sz w:val="20"/>
          <w:szCs w:val="20"/>
          <w:lang w:val="en-US"/>
        </w:rPr>
        <w:t xml:space="preserve">but </w:t>
      </w:r>
      <w:r w:rsidRPr="008A3740">
        <w:rPr>
          <w:rFonts w:ascii="Verdana" w:hAnsi="Verdana"/>
          <w:sz w:val="20"/>
          <w:szCs w:val="20"/>
          <w:lang w:val="en-US"/>
        </w:rPr>
        <w:t>“recommended that [he] be examine</w:t>
      </w:r>
      <w:r w:rsidR="00371D1D" w:rsidRPr="008A3740">
        <w:rPr>
          <w:rFonts w:ascii="Verdana" w:hAnsi="Verdana"/>
          <w:sz w:val="20"/>
          <w:szCs w:val="20"/>
          <w:lang w:val="en-US"/>
        </w:rPr>
        <w:t>d</w:t>
      </w:r>
      <w:r w:rsidRPr="008A3740">
        <w:rPr>
          <w:rFonts w:ascii="Verdana" w:hAnsi="Verdana"/>
          <w:sz w:val="20"/>
          <w:szCs w:val="20"/>
          <w:lang w:val="en-US"/>
        </w:rPr>
        <w:t xml:space="preserve"> at a center or institution in the more adva</w:t>
      </w:r>
      <w:r w:rsidR="00371D1D" w:rsidRPr="008A3740">
        <w:rPr>
          <w:rFonts w:ascii="Verdana" w:hAnsi="Verdana"/>
          <w:sz w:val="20"/>
          <w:szCs w:val="20"/>
          <w:lang w:val="en-US"/>
        </w:rPr>
        <w:t>nced countries in th</w:t>
      </w:r>
      <w:r w:rsidR="00B11C8B" w:rsidRPr="008A3740">
        <w:rPr>
          <w:rFonts w:ascii="Verdana" w:hAnsi="Verdana"/>
          <w:sz w:val="20"/>
          <w:szCs w:val="20"/>
          <w:lang w:val="en-US"/>
        </w:rPr>
        <w:t>es</w:t>
      </w:r>
      <w:r w:rsidR="00371D1D" w:rsidRPr="008A3740">
        <w:rPr>
          <w:rFonts w:ascii="Verdana" w:hAnsi="Verdana"/>
          <w:sz w:val="20"/>
          <w:szCs w:val="20"/>
          <w:lang w:val="en-US"/>
        </w:rPr>
        <w:t>e matter</w:t>
      </w:r>
      <w:r w:rsidR="00B11C8B" w:rsidRPr="008A3740">
        <w:rPr>
          <w:rFonts w:ascii="Verdana" w:hAnsi="Verdana"/>
          <w:sz w:val="20"/>
          <w:szCs w:val="20"/>
          <w:lang w:val="en-US"/>
        </w:rPr>
        <w:t>s</w:t>
      </w:r>
      <w:r w:rsidR="00371D1D" w:rsidRPr="008A3740">
        <w:rPr>
          <w:rFonts w:ascii="Verdana" w:hAnsi="Verdana"/>
          <w:sz w:val="20"/>
          <w:szCs w:val="20"/>
          <w:lang w:val="en-US"/>
        </w:rPr>
        <w:t xml:space="preserve"> [and</w:t>
      </w:r>
      <w:r w:rsidRPr="008A3740">
        <w:rPr>
          <w:rFonts w:ascii="Verdana" w:hAnsi="Verdana"/>
          <w:sz w:val="20"/>
          <w:szCs w:val="20"/>
          <w:lang w:val="en-US"/>
        </w:rPr>
        <w:t xml:space="preserve">] </w:t>
      </w:r>
      <w:r w:rsidR="00371D1D" w:rsidRPr="008A3740">
        <w:rPr>
          <w:rFonts w:ascii="Verdana" w:hAnsi="Verdana"/>
          <w:sz w:val="20"/>
          <w:szCs w:val="20"/>
          <w:lang w:val="en-US"/>
        </w:rPr>
        <w:t xml:space="preserve">that is how [he obtained] an appointment in </w:t>
      </w:r>
      <w:r w:rsidRPr="008A3740">
        <w:rPr>
          <w:rFonts w:ascii="Verdana" w:hAnsi="Verdana" w:cs="Arial"/>
          <w:sz w:val="20"/>
          <w:szCs w:val="20"/>
          <w:lang w:val="en-US"/>
        </w:rPr>
        <w:t>March 2001 at the Audiology Research Institute of the University of Miami.”</w:t>
      </w:r>
      <w:r w:rsidRPr="008A3740">
        <w:rPr>
          <w:rStyle w:val="Refdenotaalpie"/>
          <w:szCs w:val="20"/>
          <w:lang w:val="en-US"/>
        </w:rPr>
        <w:footnoteReference w:id="96"/>
      </w:r>
      <w:r w:rsidRPr="008A3740">
        <w:rPr>
          <w:rFonts w:ascii="Verdana" w:hAnsi="Verdana"/>
          <w:sz w:val="20"/>
          <w:szCs w:val="20"/>
          <w:lang w:val="en-US"/>
        </w:rPr>
        <w:t xml:space="preserve"> </w:t>
      </w:r>
      <w:r w:rsidR="00B11C8B" w:rsidRPr="008A3740">
        <w:rPr>
          <w:rFonts w:ascii="Verdana" w:hAnsi="Verdana"/>
          <w:sz w:val="20"/>
          <w:szCs w:val="20"/>
          <w:lang w:val="en-US"/>
        </w:rPr>
        <w:t>As a result</w:t>
      </w:r>
      <w:r w:rsidRPr="008A3740">
        <w:rPr>
          <w:rFonts w:ascii="Verdana" w:hAnsi="Verdana"/>
          <w:sz w:val="20"/>
          <w:szCs w:val="20"/>
          <w:lang w:val="en-US"/>
        </w:rPr>
        <w:t>, Mr. Muelle Flores remained abroad for seven years, approximately.</w:t>
      </w:r>
      <w:r w:rsidRPr="008A3740">
        <w:rPr>
          <w:rStyle w:val="Refdenotaalpie"/>
          <w:szCs w:val="20"/>
          <w:lang w:val="en-US"/>
        </w:rPr>
        <w:footnoteReference w:id="97"/>
      </w:r>
      <w:r w:rsidRPr="008A3740">
        <w:rPr>
          <w:rFonts w:ascii="Verdana" w:hAnsi="Verdana"/>
          <w:sz w:val="20"/>
          <w:szCs w:val="20"/>
          <w:lang w:val="en-US"/>
        </w:rPr>
        <w:t xml:space="preserve"> The aforementioned partial payments were suspended from July 2001, after the presumed victim traveled to the United States.</w:t>
      </w:r>
    </w:p>
    <w:p w14:paraId="63A8EC25" w14:textId="77777777" w:rsidR="008E6A56" w:rsidRPr="008A3740" w:rsidRDefault="008E6A56" w:rsidP="008E6A56">
      <w:pPr>
        <w:tabs>
          <w:tab w:val="left" w:pos="567"/>
        </w:tabs>
        <w:rPr>
          <w:rFonts w:ascii="Verdana" w:hAnsi="Verdana"/>
          <w:sz w:val="20"/>
          <w:szCs w:val="20"/>
          <w:lang w:val="en-US"/>
        </w:rPr>
      </w:pPr>
    </w:p>
    <w:p w14:paraId="62782686"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 After </w:t>
      </w:r>
      <w:r w:rsidR="00B11C8B" w:rsidRPr="008A3740">
        <w:rPr>
          <w:rFonts w:ascii="Verdana" w:hAnsi="Verdana"/>
          <w:sz w:val="20"/>
          <w:szCs w:val="20"/>
          <w:lang w:val="en-US"/>
        </w:rPr>
        <w:t xml:space="preserve">his return to </w:t>
      </w:r>
      <w:r w:rsidRPr="008A3740">
        <w:rPr>
          <w:rFonts w:ascii="Verdana" w:hAnsi="Verdana"/>
          <w:sz w:val="20"/>
          <w:szCs w:val="20"/>
          <w:lang w:val="en-US"/>
        </w:rPr>
        <w:t>Peru, Mr. Mu</w:t>
      </w:r>
      <w:r w:rsidR="00371D1D" w:rsidRPr="008A3740">
        <w:rPr>
          <w:rFonts w:ascii="Verdana" w:hAnsi="Verdana"/>
          <w:sz w:val="20"/>
          <w:szCs w:val="20"/>
          <w:lang w:val="en-US"/>
        </w:rPr>
        <w:t>elle Flores requested that his case be reopened</w:t>
      </w:r>
      <w:r w:rsidRPr="008A3740">
        <w:rPr>
          <w:rStyle w:val="Refdenotaalpie"/>
          <w:szCs w:val="20"/>
          <w:lang w:val="en-US"/>
        </w:rPr>
        <w:footnoteReference w:id="98"/>
      </w:r>
      <w:r w:rsidRPr="008A3740">
        <w:rPr>
          <w:rFonts w:ascii="Verdana" w:hAnsi="Verdana"/>
          <w:sz w:val="20"/>
          <w:szCs w:val="20"/>
          <w:lang w:val="en-US"/>
        </w:rPr>
        <w:t xml:space="preserve"> and</w:t>
      </w:r>
      <w:r w:rsidR="00371D1D" w:rsidRPr="008A3740">
        <w:rPr>
          <w:rFonts w:ascii="Verdana" w:hAnsi="Verdana"/>
          <w:sz w:val="20"/>
          <w:szCs w:val="20"/>
          <w:lang w:val="en-US"/>
        </w:rPr>
        <w:t>,</w:t>
      </w:r>
      <w:r w:rsidRPr="008A3740">
        <w:rPr>
          <w:rFonts w:ascii="Verdana" w:hAnsi="Verdana"/>
          <w:sz w:val="20"/>
          <w:szCs w:val="20"/>
          <w:lang w:val="en-US"/>
        </w:rPr>
        <w:t xml:space="preserve"> on </w:t>
      </w:r>
      <w:r w:rsidR="009F6689" w:rsidRPr="008A3740">
        <w:rPr>
          <w:rFonts w:ascii="Verdana" w:hAnsi="Verdana"/>
          <w:sz w:val="20"/>
          <w:szCs w:val="20"/>
          <w:lang w:val="en-US"/>
        </w:rPr>
        <w:t>August 5</w:t>
      </w:r>
      <w:r w:rsidRPr="008A3740">
        <w:rPr>
          <w:rFonts w:ascii="Verdana" w:hAnsi="Verdana"/>
          <w:sz w:val="20"/>
          <w:szCs w:val="20"/>
          <w:lang w:val="en-US"/>
        </w:rPr>
        <w:t>, 2008</w:t>
      </w:r>
      <w:r w:rsidR="00314010" w:rsidRPr="008A3740">
        <w:rPr>
          <w:rFonts w:ascii="Verdana" w:hAnsi="Verdana"/>
          <w:sz w:val="20"/>
          <w:szCs w:val="20"/>
          <w:lang w:val="en-US"/>
        </w:rPr>
        <w:t>,</w:t>
      </w:r>
      <w:r w:rsidRPr="008A3740">
        <w:rPr>
          <w:rFonts w:ascii="Verdana" w:hAnsi="Verdana"/>
          <w:sz w:val="20"/>
          <w:szCs w:val="20"/>
          <w:lang w:val="en-US"/>
        </w:rPr>
        <w:t xml:space="preserve"> the </w:t>
      </w:r>
      <w:r w:rsidR="00B82DCC" w:rsidRPr="008A3740">
        <w:rPr>
          <w:rFonts w:ascii="Verdana" w:hAnsi="Verdana"/>
          <w:sz w:val="20"/>
          <w:szCs w:val="20"/>
          <w:lang w:val="en-US"/>
        </w:rPr>
        <w:t>Forty-</w:t>
      </w:r>
      <w:r w:rsidR="008A3740" w:rsidRPr="008A3740">
        <w:rPr>
          <w:rFonts w:ascii="Verdana" w:hAnsi="Verdana"/>
          <w:sz w:val="20"/>
          <w:szCs w:val="20"/>
          <w:lang w:val="en-US"/>
        </w:rPr>
        <w:t>third Civil</w:t>
      </w:r>
      <w:r w:rsidRPr="008A3740">
        <w:rPr>
          <w:rFonts w:ascii="Verdana" w:hAnsi="Verdana"/>
          <w:sz w:val="20"/>
          <w:szCs w:val="20"/>
          <w:lang w:val="en-US"/>
        </w:rPr>
        <w:t xml:space="preserve"> Court of the Superior Court of Lima </w:t>
      </w:r>
      <w:r w:rsidR="00371D1D" w:rsidRPr="008A3740">
        <w:rPr>
          <w:rFonts w:ascii="Verdana" w:hAnsi="Verdana"/>
          <w:sz w:val="20"/>
          <w:szCs w:val="20"/>
          <w:lang w:val="en-US"/>
        </w:rPr>
        <w:t xml:space="preserve">took on the </w:t>
      </w:r>
      <w:r w:rsidR="009F6689" w:rsidRPr="008A3740">
        <w:rPr>
          <w:rFonts w:ascii="Verdana" w:hAnsi="Verdana"/>
          <w:sz w:val="20"/>
          <w:szCs w:val="20"/>
          <w:lang w:val="en-US"/>
        </w:rPr>
        <w:t>reopened case</w:t>
      </w:r>
      <w:r w:rsidRPr="008A3740">
        <w:rPr>
          <w:rFonts w:ascii="Verdana" w:hAnsi="Verdana"/>
          <w:sz w:val="20"/>
          <w:szCs w:val="20"/>
          <w:lang w:val="en-US"/>
        </w:rPr>
        <w:t>.</w:t>
      </w:r>
      <w:r w:rsidRPr="008A3740">
        <w:rPr>
          <w:rFonts w:ascii="Verdana" w:hAnsi="Verdana"/>
          <w:b/>
          <w:sz w:val="20"/>
          <w:szCs w:val="20"/>
          <w:lang w:val="en-US"/>
        </w:rPr>
        <w:t xml:space="preserve"> </w:t>
      </w:r>
    </w:p>
    <w:p w14:paraId="366ACFC7" w14:textId="77777777" w:rsidR="008E6A56" w:rsidRPr="008A3740" w:rsidRDefault="008E6A56" w:rsidP="008E6A56">
      <w:pPr>
        <w:pStyle w:val="Prrafodelista"/>
        <w:rPr>
          <w:rFonts w:ascii="Verdana" w:hAnsi="Verdana"/>
          <w:sz w:val="20"/>
          <w:szCs w:val="20"/>
          <w:lang w:val="en-US"/>
        </w:rPr>
      </w:pPr>
    </w:p>
    <w:p w14:paraId="3AB1CAC1"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rPr>
      </w:pPr>
      <w:r w:rsidRPr="008A3740">
        <w:rPr>
          <w:rFonts w:ascii="Verdana" w:hAnsi="Verdana"/>
          <w:sz w:val="20"/>
          <w:szCs w:val="20"/>
          <w:lang w:val="en-US"/>
        </w:rPr>
        <w:t xml:space="preserve"> On April 6, 2009, th</w:t>
      </w:r>
      <w:r w:rsidR="00314010" w:rsidRPr="008A3740">
        <w:rPr>
          <w:rFonts w:ascii="Verdana" w:hAnsi="Verdana"/>
          <w:sz w:val="20"/>
          <w:szCs w:val="20"/>
          <w:lang w:val="en-US"/>
        </w:rPr>
        <w:t xml:space="preserve">e </w:t>
      </w:r>
      <w:r w:rsidR="00BC1CFD" w:rsidRPr="008A3740">
        <w:rPr>
          <w:rFonts w:ascii="Verdana" w:hAnsi="Verdana" w:cs="Arial"/>
          <w:sz w:val="20"/>
          <w:szCs w:val="20"/>
          <w:lang w:val="en-US"/>
        </w:rPr>
        <w:t xml:space="preserve">Thirty-Eighth </w:t>
      </w:r>
      <w:r w:rsidR="00314010" w:rsidRPr="008A3740">
        <w:rPr>
          <w:rFonts w:ascii="Verdana" w:hAnsi="Verdana"/>
          <w:sz w:val="20"/>
          <w:szCs w:val="20"/>
          <w:lang w:val="en-US"/>
        </w:rPr>
        <w:t xml:space="preserve">Civil Court of </w:t>
      </w:r>
      <w:r w:rsidRPr="008A3740">
        <w:rPr>
          <w:rFonts w:ascii="Verdana" w:hAnsi="Verdana"/>
          <w:sz w:val="20"/>
          <w:szCs w:val="20"/>
          <w:lang w:val="en-US"/>
        </w:rPr>
        <w:t xml:space="preserve">Lima, which </w:t>
      </w:r>
      <w:r w:rsidR="009A133A" w:rsidRPr="008A3740">
        <w:rPr>
          <w:rFonts w:ascii="Verdana" w:hAnsi="Verdana"/>
          <w:sz w:val="20"/>
          <w:szCs w:val="20"/>
          <w:lang w:val="en-US"/>
        </w:rPr>
        <w:t xml:space="preserve">had </w:t>
      </w:r>
      <w:r w:rsidRPr="008A3740">
        <w:rPr>
          <w:rFonts w:ascii="Verdana" w:hAnsi="Verdana"/>
          <w:sz w:val="20"/>
          <w:szCs w:val="20"/>
          <w:lang w:val="en-US"/>
        </w:rPr>
        <w:t xml:space="preserve">assumed </w:t>
      </w:r>
      <w:r w:rsidR="00CC75CD" w:rsidRPr="008A3740">
        <w:rPr>
          <w:rFonts w:ascii="Verdana" w:hAnsi="Verdana"/>
          <w:sz w:val="20"/>
          <w:szCs w:val="20"/>
          <w:lang w:val="en-US"/>
        </w:rPr>
        <w:t xml:space="preserve">jurisdiction </w:t>
      </w:r>
      <w:r w:rsidR="00371D1D" w:rsidRPr="008A3740">
        <w:rPr>
          <w:rFonts w:ascii="Verdana" w:hAnsi="Verdana"/>
          <w:sz w:val="20"/>
          <w:szCs w:val="20"/>
          <w:lang w:val="en-US"/>
        </w:rPr>
        <w:t xml:space="preserve">for </w:t>
      </w:r>
      <w:r w:rsidR="009A133A" w:rsidRPr="008A3740">
        <w:rPr>
          <w:rFonts w:ascii="Verdana" w:hAnsi="Verdana"/>
          <w:sz w:val="20"/>
          <w:szCs w:val="20"/>
          <w:lang w:val="en-US"/>
        </w:rPr>
        <w:t>e</w:t>
      </w:r>
      <w:r w:rsidR="00CC75CD" w:rsidRPr="008A3740">
        <w:rPr>
          <w:rFonts w:ascii="Verdana" w:hAnsi="Verdana"/>
          <w:sz w:val="20"/>
          <w:szCs w:val="20"/>
          <w:lang w:val="en-US"/>
        </w:rPr>
        <w:t xml:space="preserve">xecuting </w:t>
      </w:r>
      <w:r w:rsidRPr="008A3740">
        <w:rPr>
          <w:rFonts w:ascii="Verdana" w:hAnsi="Verdana"/>
          <w:sz w:val="20"/>
          <w:szCs w:val="20"/>
          <w:lang w:val="en-US"/>
        </w:rPr>
        <w:t xml:space="preserve">the judgment </w:t>
      </w:r>
      <w:r w:rsidR="00371D1D" w:rsidRPr="008A3740">
        <w:rPr>
          <w:rFonts w:ascii="Verdana" w:hAnsi="Verdana"/>
          <w:sz w:val="20"/>
          <w:szCs w:val="20"/>
          <w:lang w:val="en-US"/>
        </w:rPr>
        <w:t xml:space="preserve">of </w:t>
      </w:r>
      <w:r w:rsidRPr="008A3740">
        <w:rPr>
          <w:rFonts w:ascii="Verdana" w:hAnsi="Verdana"/>
          <w:sz w:val="20"/>
          <w:szCs w:val="20"/>
          <w:lang w:val="en-US"/>
        </w:rPr>
        <w:t>February 1993,</w:t>
      </w:r>
      <w:r w:rsidRPr="008A3740">
        <w:rPr>
          <w:rFonts w:ascii="Verdana" w:hAnsi="Verdana"/>
          <w:b/>
          <w:sz w:val="20"/>
          <w:szCs w:val="20"/>
          <w:lang w:val="en-US"/>
        </w:rPr>
        <w:t xml:space="preserve"> </w:t>
      </w:r>
      <w:r w:rsidR="00371D1D" w:rsidRPr="008A3740">
        <w:rPr>
          <w:rFonts w:ascii="Verdana" w:hAnsi="Verdana"/>
          <w:sz w:val="20"/>
          <w:szCs w:val="20"/>
          <w:lang w:val="en-US"/>
        </w:rPr>
        <w:t>issued</w:t>
      </w:r>
      <w:r w:rsidR="00371D1D" w:rsidRPr="008A3740">
        <w:rPr>
          <w:rFonts w:ascii="Verdana" w:hAnsi="Verdana"/>
          <w:b/>
          <w:sz w:val="20"/>
          <w:szCs w:val="20"/>
          <w:lang w:val="en-US"/>
        </w:rPr>
        <w:t xml:space="preserve"> </w:t>
      </w:r>
      <w:r w:rsidRPr="008A3740">
        <w:rPr>
          <w:rFonts w:ascii="Verdana" w:hAnsi="Verdana"/>
          <w:sz w:val="20"/>
          <w:szCs w:val="20"/>
          <w:lang w:val="en-US"/>
        </w:rPr>
        <w:t xml:space="preserve">two resolutions </w:t>
      </w:r>
      <w:r w:rsidR="00371D1D" w:rsidRPr="008A3740">
        <w:rPr>
          <w:rFonts w:ascii="Verdana" w:hAnsi="Verdana"/>
          <w:sz w:val="20"/>
          <w:szCs w:val="20"/>
          <w:lang w:val="en-US"/>
        </w:rPr>
        <w:t xml:space="preserve">on </w:t>
      </w:r>
      <w:r w:rsidRPr="008A3740">
        <w:rPr>
          <w:rFonts w:ascii="Verdana" w:hAnsi="Verdana"/>
          <w:sz w:val="20"/>
          <w:szCs w:val="20"/>
          <w:lang w:val="en-US"/>
        </w:rPr>
        <w:t xml:space="preserve">January 5 and March 23, 2009, respectively, </w:t>
      </w:r>
      <w:r w:rsidR="00371D1D" w:rsidRPr="008A3740">
        <w:rPr>
          <w:rFonts w:ascii="Verdana" w:hAnsi="Verdana"/>
          <w:sz w:val="20"/>
          <w:szCs w:val="20"/>
          <w:lang w:val="en-US"/>
        </w:rPr>
        <w:t xml:space="preserve">ordering </w:t>
      </w:r>
      <w:r w:rsidRPr="008A3740">
        <w:rPr>
          <w:rFonts w:ascii="Verdana" w:hAnsi="Verdana"/>
          <w:sz w:val="20"/>
          <w:szCs w:val="20"/>
          <w:lang w:val="en-US"/>
        </w:rPr>
        <w:t>the company to comply with the aforementioned judgment within three days</w:t>
      </w:r>
      <w:r w:rsidR="00314010" w:rsidRPr="008A3740">
        <w:rPr>
          <w:rFonts w:ascii="Verdana" w:hAnsi="Verdana"/>
          <w:sz w:val="20"/>
          <w:szCs w:val="20"/>
          <w:lang w:val="en-US"/>
        </w:rPr>
        <w:t>.</w:t>
      </w:r>
      <w:r w:rsidRPr="008A3740">
        <w:rPr>
          <w:rStyle w:val="Refdenotaalpie"/>
          <w:szCs w:val="20"/>
          <w:lang w:val="en-US"/>
        </w:rPr>
        <w:footnoteReference w:id="99"/>
      </w:r>
    </w:p>
    <w:p w14:paraId="51BC1033" w14:textId="77777777" w:rsidR="008E6A56" w:rsidRPr="008A3740" w:rsidRDefault="008E6A56" w:rsidP="008E6A56">
      <w:pPr>
        <w:pStyle w:val="Prrafodelista"/>
        <w:tabs>
          <w:tab w:val="left" w:pos="0"/>
        </w:tabs>
        <w:ind w:left="0"/>
        <w:rPr>
          <w:rFonts w:ascii="Verdana" w:hAnsi="Verdana" w:cs="Arial"/>
          <w:sz w:val="20"/>
          <w:szCs w:val="20"/>
          <w:lang w:val="en-US"/>
        </w:rPr>
      </w:pPr>
    </w:p>
    <w:p w14:paraId="36C6564F"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On April 13, 2009 the company Xstrata Tintaya S.A. (forme</w:t>
      </w:r>
      <w:r w:rsidR="00513719" w:rsidRPr="008A3740">
        <w:rPr>
          <w:rFonts w:ascii="Verdana" w:hAnsi="Verdana" w:cs="Arial"/>
          <w:sz w:val="20"/>
          <w:szCs w:val="20"/>
          <w:lang w:val="en-US"/>
        </w:rPr>
        <w:t>r</w:t>
      </w:r>
      <w:r w:rsidRPr="008A3740">
        <w:rPr>
          <w:rFonts w:ascii="Verdana" w:hAnsi="Verdana" w:cs="Arial"/>
          <w:sz w:val="20"/>
          <w:szCs w:val="20"/>
          <w:lang w:val="en-US"/>
        </w:rPr>
        <w:t xml:space="preserve">ly BHP Billiton Tintaya S.A.) </w:t>
      </w:r>
      <w:r w:rsidR="00513719" w:rsidRPr="008A3740">
        <w:rPr>
          <w:rFonts w:ascii="Verdana" w:hAnsi="Verdana" w:cs="Arial"/>
          <w:sz w:val="20"/>
          <w:szCs w:val="20"/>
          <w:lang w:val="en-US"/>
        </w:rPr>
        <w:t xml:space="preserve">attended the </w:t>
      </w:r>
      <w:r w:rsidRPr="008A3740">
        <w:rPr>
          <w:rFonts w:ascii="Verdana" w:hAnsi="Verdana" w:cs="Arial"/>
          <w:sz w:val="20"/>
          <w:szCs w:val="20"/>
          <w:lang w:val="en-US"/>
        </w:rPr>
        <w:t>proce</w:t>
      </w:r>
      <w:r w:rsidR="00513719" w:rsidRPr="008A3740">
        <w:rPr>
          <w:rFonts w:ascii="Verdana" w:hAnsi="Verdana" w:cs="Arial"/>
          <w:sz w:val="20"/>
          <w:szCs w:val="20"/>
          <w:lang w:val="en-US"/>
        </w:rPr>
        <w:t xml:space="preserve">eding </w:t>
      </w:r>
      <w:r w:rsidRPr="008A3740">
        <w:rPr>
          <w:rFonts w:ascii="Verdana" w:hAnsi="Verdana" w:cs="Arial"/>
          <w:sz w:val="20"/>
          <w:szCs w:val="20"/>
          <w:lang w:val="en-US"/>
        </w:rPr>
        <w:t xml:space="preserve">before the Thirty-Eighth Civil Court of Lima and </w:t>
      </w:r>
      <w:r w:rsidR="00BC1CFD" w:rsidRPr="008A3740">
        <w:rPr>
          <w:rFonts w:ascii="Verdana" w:hAnsi="Verdana" w:cs="Arial"/>
          <w:sz w:val="20"/>
          <w:szCs w:val="20"/>
          <w:lang w:val="en-US"/>
        </w:rPr>
        <w:t xml:space="preserve">emphasized </w:t>
      </w:r>
      <w:r w:rsidRPr="008A3740">
        <w:rPr>
          <w:rFonts w:ascii="Verdana" w:hAnsi="Verdana" w:cs="Arial"/>
          <w:sz w:val="20"/>
          <w:szCs w:val="20"/>
          <w:lang w:val="en-US"/>
        </w:rPr>
        <w:t xml:space="preserve">that the </w:t>
      </w:r>
      <w:r w:rsidR="00BC1CFD" w:rsidRPr="008A3740">
        <w:rPr>
          <w:rFonts w:ascii="Verdana" w:hAnsi="Verdana" w:cs="Arial"/>
          <w:i/>
          <w:sz w:val="20"/>
          <w:szCs w:val="20"/>
          <w:lang w:val="en-US"/>
        </w:rPr>
        <w:t xml:space="preserve">Empresa </w:t>
      </w:r>
      <w:r w:rsidRPr="008A3740">
        <w:rPr>
          <w:rFonts w:ascii="Verdana" w:hAnsi="Verdana" w:cs="Arial"/>
          <w:i/>
          <w:sz w:val="20"/>
          <w:szCs w:val="20"/>
          <w:lang w:val="en-US"/>
        </w:rPr>
        <w:t>Especial Tintaya S.A.</w:t>
      </w:r>
      <w:r w:rsidRPr="008A3740">
        <w:rPr>
          <w:rFonts w:ascii="Verdana" w:hAnsi="Verdana" w:cs="Arial"/>
          <w:sz w:val="20"/>
          <w:szCs w:val="20"/>
          <w:lang w:val="en-US"/>
        </w:rPr>
        <w:t xml:space="preserve"> was privatized in 1994 and</w:t>
      </w:r>
      <w:r w:rsidR="00BC1CFD" w:rsidRPr="008A3740">
        <w:rPr>
          <w:rFonts w:ascii="Verdana" w:hAnsi="Verdana" w:cs="Arial"/>
          <w:sz w:val="20"/>
          <w:szCs w:val="20"/>
          <w:lang w:val="en-US"/>
        </w:rPr>
        <w:t>,</w:t>
      </w:r>
      <w:r w:rsidRPr="008A3740">
        <w:rPr>
          <w:rFonts w:ascii="Verdana" w:hAnsi="Verdana" w:cs="Arial"/>
          <w:sz w:val="20"/>
          <w:szCs w:val="20"/>
          <w:lang w:val="en-US"/>
        </w:rPr>
        <w:t xml:space="preserve"> </w:t>
      </w:r>
      <w:r w:rsidR="00BC1CFD" w:rsidRPr="008A3740">
        <w:rPr>
          <w:rFonts w:ascii="Verdana" w:hAnsi="Verdana" w:cs="Arial"/>
          <w:sz w:val="20"/>
          <w:szCs w:val="20"/>
          <w:lang w:val="en-US"/>
        </w:rPr>
        <w:t xml:space="preserve">over time, </w:t>
      </w:r>
      <w:r w:rsidRPr="008A3740">
        <w:rPr>
          <w:rFonts w:ascii="Verdana" w:hAnsi="Verdana" w:cs="Arial"/>
          <w:sz w:val="20"/>
          <w:szCs w:val="20"/>
          <w:lang w:val="en-US"/>
        </w:rPr>
        <w:t xml:space="preserve">was purchased by </w:t>
      </w:r>
      <w:r w:rsidR="00BC1CFD" w:rsidRPr="008A3740">
        <w:rPr>
          <w:rFonts w:ascii="Verdana" w:hAnsi="Verdana" w:cs="Arial"/>
          <w:sz w:val="20"/>
          <w:szCs w:val="20"/>
          <w:lang w:val="en-US"/>
        </w:rPr>
        <w:t xml:space="preserve">various </w:t>
      </w:r>
      <w:r w:rsidRPr="008A3740">
        <w:rPr>
          <w:rFonts w:ascii="Verdana" w:hAnsi="Verdana" w:cs="Arial"/>
          <w:sz w:val="20"/>
          <w:szCs w:val="20"/>
          <w:lang w:val="en-US"/>
        </w:rPr>
        <w:t>different corporations, its current owner being Xstrata Tintaya S.A.</w:t>
      </w:r>
      <w:r w:rsidRPr="008A3740">
        <w:rPr>
          <w:rStyle w:val="Refdenotaalpie"/>
          <w:rFonts w:cs="Arial"/>
          <w:szCs w:val="20"/>
          <w:lang w:val="en-US"/>
        </w:rPr>
        <w:footnoteReference w:id="100"/>
      </w:r>
      <w:r w:rsidRPr="008A3740">
        <w:rPr>
          <w:rFonts w:ascii="Verdana" w:hAnsi="Verdana" w:cs="Arial"/>
          <w:sz w:val="20"/>
          <w:szCs w:val="20"/>
          <w:lang w:val="en-US"/>
        </w:rPr>
        <w:t xml:space="preserve"> </w:t>
      </w:r>
    </w:p>
    <w:p w14:paraId="71E9F01C" w14:textId="77777777" w:rsidR="008E6A56" w:rsidRPr="008A3740" w:rsidRDefault="008E6A56" w:rsidP="008E6A56">
      <w:pPr>
        <w:tabs>
          <w:tab w:val="left" w:pos="567"/>
        </w:tabs>
        <w:rPr>
          <w:rFonts w:ascii="Verdana" w:hAnsi="Verdana" w:cs="Arial"/>
          <w:sz w:val="20"/>
          <w:szCs w:val="20"/>
          <w:lang w:val="en-US"/>
        </w:rPr>
      </w:pPr>
    </w:p>
    <w:p w14:paraId="36AD5317"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Xstrata Tintaya S.A. indicated that “</w:t>
      </w:r>
      <w:r w:rsidR="009F6689" w:rsidRPr="008A3740">
        <w:rPr>
          <w:rFonts w:ascii="Verdana" w:hAnsi="Verdana" w:cs="Arial"/>
          <w:sz w:val="20"/>
          <w:szCs w:val="20"/>
          <w:lang w:val="en-US"/>
        </w:rPr>
        <w:t xml:space="preserve">the </w:t>
      </w:r>
      <w:r w:rsidR="00513719" w:rsidRPr="008A3740">
        <w:rPr>
          <w:rFonts w:ascii="Verdana" w:hAnsi="Verdana" w:cs="Arial"/>
          <w:sz w:val="20"/>
          <w:szCs w:val="20"/>
          <w:lang w:val="en-US"/>
        </w:rPr>
        <w:t>D</w:t>
      </w:r>
      <w:r w:rsidR="00BC1CFD" w:rsidRPr="008A3740">
        <w:rPr>
          <w:rFonts w:ascii="Verdana" w:hAnsi="Verdana" w:cs="Arial"/>
          <w:sz w:val="20"/>
          <w:szCs w:val="20"/>
          <w:lang w:val="en-US"/>
        </w:rPr>
        <w:t xml:space="preserve">ecree Law </w:t>
      </w:r>
      <w:r w:rsidR="00513719" w:rsidRPr="008A3740">
        <w:rPr>
          <w:rFonts w:ascii="Verdana" w:hAnsi="Verdana" w:cs="Arial"/>
          <w:sz w:val="20"/>
          <w:szCs w:val="20"/>
          <w:lang w:val="en-US"/>
        </w:rPr>
        <w:t xml:space="preserve">N° 20530 </w:t>
      </w:r>
      <w:r w:rsidR="00FA0708" w:rsidRPr="008A3740">
        <w:rPr>
          <w:rFonts w:ascii="Verdana" w:hAnsi="Verdana" w:cs="Arial"/>
          <w:sz w:val="20"/>
          <w:szCs w:val="20"/>
          <w:lang w:val="en-US"/>
        </w:rPr>
        <w:t xml:space="preserve">scheme </w:t>
      </w:r>
      <w:r w:rsidR="009F6689" w:rsidRPr="008A3740">
        <w:rPr>
          <w:rFonts w:ascii="Verdana" w:hAnsi="Verdana" w:cs="Arial"/>
          <w:sz w:val="20"/>
          <w:szCs w:val="20"/>
          <w:lang w:val="en-US"/>
        </w:rPr>
        <w:t xml:space="preserve">[was] </w:t>
      </w:r>
      <w:r w:rsidR="00513719" w:rsidRPr="008A3740">
        <w:rPr>
          <w:rFonts w:ascii="Verdana" w:hAnsi="Verdana" w:cs="Arial"/>
          <w:sz w:val="20"/>
          <w:szCs w:val="20"/>
          <w:lang w:val="en-US"/>
        </w:rPr>
        <w:t>a system</w:t>
      </w:r>
      <w:r w:rsidRPr="008A3740">
        <w:rPr>
          <w:rFonts w:ascii="Verdana" w:hAnsi="Verdana" w:cs="Arial"/>
          <w:sz w:val="20"/>
          <w:szCs w:val="20"/>
          <w:lang w:val="en-US"/>
        </w:rPr>
        <w:t xml:space="preserve"> that regula[ted] State pensions and benefits </w:t>
      </w:r>
      <w:r w:rsidR="009F6689" w:rsidRPr="008A3740">
        <w:rPr>
          <w:rFonts w:ascii="Verdana" w:hAnsi="Verdana" w:cs="Arial"/>
          <w:sz w:val="20"/>
          <w:szCs w:val="20"/>
          <w:lang w:val="en-US"/>
        </w:rPr>
        <w:t xml:space="preserve">for workers who provided </w:t>
      </w:r>
      <w:r w:rsidR="00FA0708" w:rsidRPr="008A3740">
        <w:rPr>
          <w:rFonts w:ascii="Verdana" w:hAnsi="Verdana" w:cs="Arial"/>
          <w:sz w:val="20"/>
          <w:szCs w:val="20"/>
          <w:lang w:val="en-US"/>
        </w:rPr>
        <w:t xml:space="preserve">civil </w:t>
      </w:r>
      <w:r w:rsidRPr="008A3740">
        <w:rPr>
          <w:rFonts w:ascii="Verdana" w:hAnsi="Verdana" w:cs="Arial"/>
          <w:sz w:val="20"/>
          <w:szCs w:val="20"/>
          <w:lang w:val="en-US"/>
        </w:rPr>
        <w:t xml:space="preserve">services </w:t>
      </w:r>
      <w:r w:rsidR="00BC1CFD" w:rsidRPr="008A3740">
        <w:rPr>
          <w:rFonts w:ascii="Verdana" w:hAnsi="Verdana" w:cs="Arial"/>
          <w:sz w:val="20"/>
          <w:szCs w:val="20"/>
          <w:lang w:val="en-US"/>
        </w:rPr>
        <w:t xml:space="preserve">to </w:t>
      </w:r>
      <w:r w:rsidRPr="008A3740">
        <w:rPr>
          <w:rFonts w:ascii="Verdana" w:hAnsi="Verdana" w:cs="Arial"/>
          <w:sz w:val="20"/>
          <w:szCs w:val="20"/>
          <w:lang w:val="en-US"/>
        </w:rPr>
        <w:t>th</w:t>
      </w:r>
      <w:r w:rsidR="00FA0708" w:rsidRPr="008A3740">
        <w:rPr>
          <w:rFonts w:ascii="Verdana" w:hAnsi="Verdana" w:cs="Arial"/>
          <w:sz w:val="20"/>
          <w:szCs w:val="20"/>
          <w:lang w:val="en-US"/>
        </w:rPr>
        <w:t>e n</w:t>
      </w:r>
      <w:r w:rsidR="00513719" w:rsidRPr="008A3740">
        <w:rPr>
          <w:rFonts w:ascii="Verdana" w:hAnsi="Verdana" w:cs="Arial"/>
          <w:sz w:val="20"/>
          <w:szCs w:val="20"/>
          <w:lang w:val="en-US"/>
        </w:rPr>
        <w:t>ational public sector […]</w:t>
      </w:r>
      <w:r w:rsidR="006B1F44" w:rsidRPr="008A3740">
        <w:rPr>
          <w:rFonts w:ascii="Verdana" w:hAnsi="Verdana" w:cs="Arial"/>
          <w:sz w:val="20"/>
          <w:szCs w:val="20"/>
          <w:lang w:val="en-US"/>
        </w:rPr>
        <w:t>.</w:t>
      </w:r>
      <w:r w:rsidR="00513719" w:rsidRPr="008A3740">
        <w:rPr>
          <w:rFonts w:ascii="Verdana" w:hAnsi="Verdana" w:cs="Arial"/>
          <w:sz w:val="20"/>
          <w:szCs w:val="20"/>
          <w:lang w:val="en-US"/>
        </w:rPr>
        <w:t>” T</w:t>
      </w:r>
      <w:r w:rsidRPr="008A3740">
        <w:rPr>
          <w:rFonts w:ascii="Verdana" w:hAnsi="Verdana" w:cs="Arial"/>
          <w:sz w:val="20"/>
          <w:szCs w:val="20"/>
          <w:lang w:val="en-US"/>
        </w:rPr>
        <w:t xml:space="preserve">he company </w:t>
      </w:r>
      <w:r w:rsidR="009F6689" w:rsidRPr="008A3740">
        <w:rPr>
          <w:rFonts w:ascii="Verdana" w:hAnsi="Verdana" w:cs="Arial"/>
          <w:sz w:val="20"/>
          <w:szCs w:val="20"/>
          <w:lang w:val="en-US"/>
        </w:rPr>
        <w:t xml:space="preserve">emphasized </w:t>
      </w:r>
      <w:r w:rsidRPr="008A3740">
        <w:rPr>
          <w:rFonts w:ascii="Verdana" w:hAnsi="Verdana" w:cs="Arial"/>
          <w:sz w:val="20"/>
          <w:szCs w:val="20"/>
          <w:lang w:val="en-US"/>
        </w:rPr>
        <w:t>that “</w:t>
      </w:r>
      <w:r w:rsidR="00FA0708" w:rsidRPr="008A3740">
        <w:rPr>
          <w:rFonts w:ascii="Verdana" w:hAnsi="Verdana" w:cs="Arial"/>
          <w:sz w:val="20"/>
          <w:szCs w:val="20"/>
          <w:lang w:val="en-US"/>
        </w:rPr>
        <w:t xml:space="preserve">the </w:t>
      </w:r>
      <w:r w:rsidRPr="008A3740">
        <w:rPr>
          <w:rFonts w:ascii="Verdana" w:hAnsi="Verdana" w:cs="Arial"/>
          <w:sz w:val="20"/>
          <w:szCs w:val="20"/>
          <w:lang w:val="en-US"/>
        </w:rPr>
        <w:t>D</w:t>
      </w:r>
      <w:r w:rsidR="009F6689" w:rsidRPr="008A3740">
        <w:rPr>
          <w:rFonts w:ascii="Verdana" w:hAnsi="Verdana" w:cs="Arial"/>
          <w:sz w:val="20"/>
          <w:szCs w:val="20"/>
          <w:lang w:val="en-US"/>
        </w:rPr>
        <w:t xml:space="preserve">ecree Law </w:t>
      </w:r>
      <w:r w:rsidRPr="008A3740">
        <w:rPr>
          <w:rFonts w:ascii="Verdana" w:hAnsi="Verdana" w:cs="Arial"/>
          <w:sz w:val="20"/>
          <w:szCs w:val="20"/>
          <w:lang w:val="en-US"/>
        </w:rPr>
        <w:t xml:space="preserve">N° 20530 </w:t>
      </w:r>
      <w:r w:rsidR="00FA0708" w:rsidRPr="008A3740">
        <w:rPr>
          <w:rFonts w:ascii="Verdana" w:hAnsi="Verdana" w:cs="Arial"/>
          <w:sz w:val="20"/>
          <w:szCs w:val="20"/>
          <w:lang w:val="en-US"/>
        </w:rPr>
        <w:t xml:space="preserve">system </w:t>
      </w:r>
      <w:r w:rsidR="006B1F44" w:rsidRPr="008A3740">
        <w:rPr>
          <w:rFonts w:ascii="Verdana" w:hAnsi="Verdana" w:cs="Arial"/>
          <w:sz w:val="20"/>
          <w:szCs w:val="20"/>
          <w:lang w:val="en-US"/>
        </w:rPr>
        <w:t>establish</w:t>
      </w:r>
      <w:r w:rsidRPr="008A3740">
        <w:rPr>
          <w:rFonts w:ascii="Verdana" w:hAnsi="Verdana" w:cs="Arial"/>
          <w:sz w:val="20"/>
          <w:szCs w:val="20"/>
          <w:lang w:val="en-US"/>
        </w:rPr>
        <w:t>[</w:t>
      </w:r>
      <w:r w:rsidR="009F6689" w:rsidRPr="008A3740">
        <w:rPr>
          <w:rFonts w:ascii="Verdana" w:hAnsi="Verdana" w:cs="Arial"/>
          <w:sz w:val="20"/>
          <w:szCs w:val="20"/>
          <w:lang w:val="en-US"/>
        </w:rPr>
        <w:t>ed</w:t>
      </w:r>
      <w:r w:rsidRPr="008A3740">
        <w:rPr>
          <w:rFonts w:ascii="Verdana" w:hAnsi="Verdana" w:cs="Arial"/>
          <w:sz w:val="20"/>
          <w:szCs w:val="20"/>
          <w:lang w:val="en-US"/>
        </w:rPr>
        <w:t xml:space="preserve">] a </w:t>
      </w:r>
      <w:r w:rsidR="009F6689" w:rsidRPr="008A3740">
        <w:rPr>
          <w:rFonts w:ascii="Verdana" w:hAnsi="Verdana" w:cs="Arial"/>
          <w:sz w:val="20"/>
          <w:szCs w:val="20"/>
          <w:lang w:val="en-US"/>
        </w:rPr>
        <w:t xml:space="preserve">pension </w:t>
      </w:r>
      <w:r w:rsidRPr="008A3740">
        <w:rPr>
          <w:rFonts w:ascii="Verdana" w:hAnsi="Verdana" w:cs="Arial"/>
          <w:sz w:val="20"/>
          <w:szCs w:val="20"/>
          <w:lang w:val="en-US"/>
        </w:rPr>
        <w:t xml:space="preserve">obligation between the State (entity and/or company) and </w:t>
      </w:r>
      <w:r w:rsidR="009F6689" w:rsidRPr="008A3740">
        <w:rPr>
          <w:rFonts w:ascii="Verdana" w:hAnsi="Verdana" w:cs="Arial"/>
          <w:sz w:val="20"/>
          <w:szCs w:val="20"/>
          <w:lang w:val="en-US"/>
        </w:rPr>
        <w:t xml:space="preserve">its former </w:t>
      </w:r>
      <w:r w:rsidR="00BC1CFD" w:rsidRPr="008A3740">
        <w:rPr>
          <w:rFonts w:ascii="Verdana" w:hAnsi="Verdana" w:cs="Arial"/>
          <w:sz w:val="20"/>
          <w:szCs w:val="20"/>
          <w:lang w:val="en-US"/>
        </w:rPr>
        <w:t>employees</w:t>
      </w:r>
      <w:r w:rsidRPr="008A3740">
        <w:rPr>
          <w:rFonts w:ascii="Verdana" w:hAnsi="Verdana" w:cs="Arial"/>
          <w:sz w:val="20"/>
          <w:szCs w:val="20"/>
          <w:lang w:val="en-US"/>
        </w:rPr>
        <w:t xml:space="preserve">, </w:t>
      </w:r>
      <w:r w:rsidR="00513719" w:rsidRPr="008A3740">
        <w:rPr>
          <w:rFonts w:ascii="Verdana" w:hAnsi="Verdana" w:cs="Arial"/>
          <w:sz w:val="20"/>
          <w:szCs w:val="20"/>
          <w:lang w:val="en-US"/>
        </w:rPr>
        <w:t xml:space="preserve">provided </w:t>
      </w:r>
      <w:r w:rsidR="00BC1CFD" w:rsidRPr="008A3740">
        <w:rPr>
          <w:rFonts w:ascii="Verdana" w:hAnsi="Verdana" w:cs="Arial"/>
          <w:sz w:val="20"/>
          <w:szCs w:val="20"/>
          <w:lang w:val="en-US"/>
        </w:rPr>
        <w:t xml:space="preserve">that </w:t>
      </w:r>
      <w:r w:rsidR="00513719" w:rsidRPr="008A3740">
        <w:rPr>
          <w:rFonts w:ascii="Verdana" w:hAnsi="Verdana" w:cs="Arial"/>
          <w:sz w:val="20"/>
          <w:szCs w:val="20"/>
          <w:lang w:val="en-US"/>
        </w:rPr>
        <w:t>th</w:t>
      </w:r>
      <w:r w:rsidR="009F6689" w:rsidRPr="008A3740">
        <w:rPr>
          <w:rFonts w:ascii="Verdana" w:hAnsi="Verdana" w:cs="Arial"/>
          <w:sz w:val="20"/>
          <w:szCs w:val="20"/>
          <w:lang w:val="en-US"/>
        </w:rPr>
        <w:t>ey</w:t>
      </w:r>
      <w:r w:rsidR="00FA0708" w:rsidRPr="008A3740">
        <w:rPr>
          <w:rFonts w:ascii="Verdana" w:hAnsi="Verdana" w:cs="Arial"/>
          <w:sz w:val="20"/>
          <w:szCs w:val="20"/>
          <w:lang w:val="en-US"/>
        </w:rPr>
        <w:t xml:space="preserve"> met</w:t>
      </w:r>
      <w:r w:rsidR="009F6689" w:rsidRPr="008A3740">
        <w:rPr>
          <w:rFonts w:ascii="Verdana" w:hAnsi="Verdana" w:cs="Arial"/>
          <w:sz w:val="20"/>
          <w:szCs w:val="20"/>
          <w:lang w:val="en-US"/>
        </w:rPr>
        <w:t xml:space="preserve"> </w:t>
      </w:r>
      <w:r w:rsidRPr="008A3740">
        <w:rPr>
          <w:rFonts w:ascii="Verdana" w:hAnsi="Verdana" w:cs="Arial"/>
          <w:sz w:val="20"/>
          <w:szCs w:val="20"/>
          <w:lang w:val="en-US"/>
        </w:rPr>
        <w:t>the requi</w:t>
      </w:r>
      <w:r w:rsidR="00513719" w:rsidRPr="008A3740">
        <w:rPr>
          <w:rFonts w:ascii="Verdana" w:hAnsi="Verdana" w:cs="Arial"/>
          <w:sz w:val="20"/>
          <w:szCs w:val="20"/>
          <w:lang w:val="en-US"/>
        </w:rPr>
        <w:t xml:space="preserve">rements </w:t>
      </w:r>
      <w:r w:rsidR="00FA0708" w:rsidRPr="008A3740">
        <w:rPr>
          <w:rFonts w:ascii="Verdana" w:hAnsi="Verdana" w:cs="Arial"/>
          <w:sz w:val="20"/>
          <w:szCs w:val="20"/>
          <w:lang w:val="en-US"/>
        </w:rPr>
        <w:t xml:space="preserve">stipulated </w:t>
      </w:r>
      <w:r w:rsidRPr="008A3740">
        <w:rPr>
          <w:rFonts w:ascii="Verdana" w:hAnsi="Verdana" w:cs="Arial"/>
          <w:sz w:val="20"/>
          <w:szCs w:val="20"/>
          <w:lang w:val="en-US"/>
        </w:rPr>
        <w:t xml:space="preserve">in </w:t>
      </w:r>
      <w:r w:rsidR="00FA0708" w:rsidRPr="008A3740">
        <w:rPr>
          <w:rFonts w:ascii="Verdana" w:hAnsi="Verdana" w:cs="Arial"/>
          <w:sz w:val="20"/>
          <w:szCs w:val="20"/>
          <w:lang w:val="en-US"/>
        </w:rPr>
        <w:t>that</w:t>
      </w:r>
      <w:r w:rsidR="009F6689" w:rsidRPr="008A3740">
        <w:rPr>
          <w:rFonts w:ascii="Verdana" w:hAnsi="Verdana" w:cs="Arial"/>
          <w:sz w:val="20"/>
          <w:szCs w:val="20"/>
          <w:lang w:val="en-US"/>
        </w:rPr>
        <w:t xml:space="preserve"> </w:t>
      </w:r>
      <w:r w:rsidRPr="008A3740">
        <w:rPr>
          <w:rFonts w:ascii="Verdana" w:hAnsi="Verdana" w:cs="Arial"/>
          <w:sz w:val="20"/>
          <w:szCs w:val="20"/>
          <w:lang w:val="en-US"/>
        </w:rPr>
        <w:t xml:space="preserve">Decree. </w:t>
      </w:r>
      <w:r w:rsidR="009F6689" w:rsidRPr="008A3740">
        <w:rPr>
          <w:rFonts w:ascii="Verdana" w:hAnsi="Verdana" w:cs="Arial"/>
          <w:sz w:val="20"/>
          <w:szCs w:val="20"/>
          <w:lang w:val="en-US"/>
        </w:rPr>
        <w:t>Ov</w:t>
      </w:r>
      <w:r w:rsidR="00513719" w:rsidRPr="008A3740">
        <w:rPr>
          <w:rFonts w:ascii="Verdana" w:hAnsi="Verdana" w:cs="Arial"/>
          <w:sz w:val="20"/>
          <w:szCs w:val="20"/>
          <w:lang w:val="en-US"/>
        </w:rPr>
        <w:t xml:space="preserve">er time, </w:t>
      </w:r>
      <w:r w:rsidRPr="008A3740">
        <w:rPr>
          <w:rFonts w:ascii="Verdana" w:hAnsi="Verdana" w:cs="Arial"/>
          <w:sz w:val="20"/>
          <w:szCs w:val="20"/>
          <w:lang w:val="en-US"/>
        </w:rPr>
        <w:t xml:space="preserve">the </w:t>
      </w:r>
      <w:r w:rsidR="001D4B23" w:rsidRPr="008A3740">
        <w:rPr>
          <w:rFonts w:ascii="Verdana" w:hAnsi="Verdana" w:cs="Arial"/>
          <w:sz w:val="20"/>
          <w:szCs w:val="20"/>
          <w:lang w:val="en-US"/>
        </w:rPr>
        <w:t xml:space="preserve">authority to </w:t>
      </w:r>
      <w:r w:rsidR="00FC3228" w:rsidRPr="008A3740">
        <w:rPr>
          <w:rFonts w:ascii="Verdana" w:hAnsi="Verdana" w:cs="Arial"/>
          <w:sz w:val="20"/>
          <w:szCs w:val="20"/>
          <w:lang w:val="en-US"/>
        </w:rPr>
        <w:t xml:space="preserve">recognize </w:t>
      </w:r>
      <w:r w:rsidR="009F6689" w:rsidRPr="008A3740">
        <w:rPr>
          <w:rFonts w:ascii="Verdana" w:hAnsi="Verdana" w:cs="Arial"/>
          <w:sz w:val="20"/>
          <w:szCs w:val="20"/>
          <w:lang w:val="en-US"/>
        </w:rPr>
        <w:t>the right to</w:t>
      </w:r>
      <w:r w:rsidRPr="008A3740">
        <w:rPr>
          <w:rFonts w:ascii="Verdana" w:hAnsi="Verdana" w:cs="Arial"/>
          <w:sz w:val="20"/>
          <w:szCs w:val="20"/>
          <w:lang w:val="en-US"/>
        </w:rPr>
        <w:t xml:space="preserve"> </w:t>
      </w:r>
      <w:r w:rsidR="00FC3228" w:rsidRPr="008A3740">
        <w:rPr>
          <w:rFonts w:ascii="Verdana" w:hAnsi="Verdana" w:cs="Arial"/>
          <w:sz w:val="20"/>
          <w:szCs w:val="20"/>
          <w:lang w:val="en-US"/>
        </w:rPr>
        <w:t xml:space="preserve">a pension and benefits </w:t>
      </w:r>
      <w:r w:rsidR="00FA0708" w:rsidRPr="008A3740">
        <w:rPr>
          <w:rFonts w:ascii="Verdana" w:hAnsi="Verdana" w:cs="Arial"/>
          <w:sz w:val="20"/>
          <w:szCs w:val="20"/>
          <w:lang w:val="en-US"/>
        </w:rPr>
        <w:t>unde</w:t>
      </w:r>
      <w:r w:rsidR="001D4B23" w:rsidRPr="008A3740">
        <w:rPr>
          <w:rFonts w:ascii="Verdana" w:hAnsi="Verdana" w:cs="Arial"/>
          <w:sz w:val="20"/>
          <w:szCs w:val="20"/>
          <w:lang w:val="en-US"/>
        </w:rPr>
        <w:t>r that</w:t>
      </w:r>
      <w:r w:rsidR="00FA0708" w:rsidRPr="008A3740">
        <w:rPr>
          <w:rFonts w:ascii="Verdana" w:hAnsi="Verdana" w:cs="Arial"/>
          <w:sz w:val="20"/>
          <w:szCs w:val="20"/>
          <w:lang w:val="en-US"/>
        </w:rPr>
        <w:t xml:space="preserve"> system </w:t>
      </w:r>
      <w:r w:rsidR="006B1F44" w:rsidRPr="008A3740">
        <w:rPr>
          <w:rFonts w:ascii="Verdana" w:hAnsi="Verdana" w:cs="Arial"/>
          <w:sz w:val="20"/>
          <w:szCs w:val="20"/>
          <w:lang w:val="en-US"/>
        </w:rPr>
        <w:t>was</w:t>
      </w:r>
      <w:r w:rsidRPr="008A3740">
        <w:rPr>
          <w:rFonts w:ascii="Verdana" w:hAnsi="Verdana" w:cs="Arial"/>
          <w:sz w:val="20"/>
          <w:szCs w:val="20"/>
          <w:lang w:val="en-US"/>
        </w:rPr>
        <w:t xml:space="preserve"> </w:t>
      </w:r>
      <w:r w:rsidR="009F6689" w:rsidRPr="008A3740">
        <w:rPr>
          <w:rFonts w:ascii="Verdana" w:hAnsi="Verdana" w:cs="Arial"/>
          <w:sz w:val="20"/>
          <w:szCs w:val="20"/>
          <w:lang w:val="en-US"/>
        </w:rPr>
        <w:t>attributed</w:t>
      </w:r>
      <w:r w:rsidRPr="008A3740">
        <w:rPr>
          <w:rFonts w:ascii="Verdana" w:hAnsi="Verdana" w:cs="Arial"/>
          <w:sz w:val="20"/>
          <w:szCs w:val="20"/>
          <w:lang w:val="en-US"/>
        </w:rPr>
        <w:t xml:space="preserve">, initially, to the State institution where the pensioner worked, </w:t>
      </w:r>
      <w:r w:rsidR="009F6689" w:rsidRPr="008A3740">
        <w:rPr>
          <w:rFonts w:ascii="Verdana" w:hAnsi="Verdana" w:cs="Arial"/>
          <w:sz w:val="20"/>
          <w:szCs w:val="20"/>
          <w:lang w:val="en-US"/>
        </w:rPr>
        <w:t xml:space="preserve">and subsequently </w:t>
      </w:r>
      <w:r w:rsidRPr="008A3740">
        <w:rPr>
          <w:rFonts w:ascii="Verdana" w:hAnsi="Verdana" w:cs="Arial"/>
          <w:sz w:val="20"/>
          <w:szCs w:val="20"/>
          <w:lang w:val="en-US"/>
        </w:rPr>
        <w:t xml:space="preserve">to the Pension Standardization Office, </w:t>
      </w:r>
      <w:r w:rsidR="00513719" w:rsidRPr="008A3740">
        <w:rPr>
          <w:rFonts w:ascii="Verdana" w:hAnsi="Verdana" w:cs="Arial"/>
          <w:sz w:val="20"/>
          <w:szCs w:val="20"/>
          <w:lang w:val="en-US"/>
        </w:rPr>
        <w:t xml:space="preserve">to </w:t>
      </w:r>
      <w:r w:rsidRPr="008A3740">
        <w:rPr>
          <w:rFonts w:ascii="Verdana" w:hAnsi="Verdana" w:cs="Arial"/>
          <w:sz w:val="20"/>
          <w:szCs w:val="20"/>
          <w:lang w:val="en-US"/>
        </w:rPr>
        <w:t xml:space="preserve">finally return to </w:t>
      </w:r>
      <w:r w:rsidR="009F6689" w:rsidRPr="008A3740">
        <w:rPr>
          <w:rFonts w:ascii="Verdana" w:hAnsi="Verdana" w:cs="Arial"/>
          <w:sz w:val="20"/>
          <w:szCs w:val="20"/>
          <w:lang w:val="en-US"/>
        </w:rPr>
        <w:t xml:space="preserve">the initial system whereby each </w:t>
      </w:r>
      <w:r w:rsidRPr="008A3740">
        <w:rPr>
          <w:rFonts w:ascii="Verdana" w:hAnsi="Verdana" w:cs="Arial"/>
          <w:sz w:val="20"/>
          <w:szCs w:val="20"/>
          <w:lang w:val="en-US"/>
        </w:rPr>
        <w:t xml:space="preserve">entity was </w:t>
      </w:r>
      <w:r w:rsidR="009F6689" w:rsidRPr="008A3740">
        <w:rPr>
          <w:rFonts w:ascii="Verdana" w:hAnsi="Verdana" w:cs="Arial"/>
          <w:sz w:val="20"/>
          <w:szCs w:val="20"/>
          <w:lang w:val="en-US"/>
        </w:rPr>
        <w:t xml:space="preserve">responsible for </w:t>
      </w:r>
      <w:r w:rsidRPr="008A3740">
        <w:rPr>
          <w:rFonts w:ascii="Verdana" w:hAnsi="Verdana" w:cs="Arial"/>
          <w:sz w:val="20"/>
          <w:szCs w:val="20"/>
          <w:lang w:val="en-US"/>
        </w:rPr>
        <w:t>reco</w:t>
      </w:r>
      <w:r w:rsidR="005F68BC" w:rsidRPr="008A3740">
        <w:rPr>
          <w:rFonts w:ascii="Verdana" w:hAnsi="Verdana" w:cs="Arial"/>
          <w:sz w:val="20"/>
          <w:szCs w:val="20"/>
          <w:lang w:val="en-US"/>
        </w:rPr>
        <w:t xml:space="preserve">gnizing </w:t>
      </w:r>
      <w:r w:rsidRPr="008A3740">
        <w:rPr>
          <w:rFonts w:ascii="Verdana" w:hAnsi="Verdana" w:cs="Arial"/>
          <w:sz w:val="20"/>
          <w:szCs w:val="20"/>
          <w:lang w:val="en-US"/>
        </w:rPr>
        <w:t>and pay</w:t>
      </w:r>
      <w:r w:rsidR="009F6689" w:rsidRPr="008A3740">
        <w:rPr>
          <w:rFonts w:ascii="Verdana" w:hAnsi="Verdana" w:cs="Arial"/>
          <w:sz w:val="20"/>
          <w:szCs w:val="20"/>
          <w:lang w:val="en-US"/>
        </w:rPr>
        <w:t>ing</w:t>
      </w:r>
      <w:r w:rsidRPr="008A3740">
        <w:rPr>
          <w:rFonts w:ascii="Verdana" w:eastAsia="HiddenHorzOCR" w:hAnsi="Verdana" w:cs="Arial"/>
          <w:sz w:val="20"/>
          <w:szCs w:val="20"/>
          <w:lang w:val="en-US"/>
        </w:rPr>
        <w:t xml:space="preserve"> </w:t>
      </w:r>
      <w:r w:rsidR="006B1F44" w:rsidRPr="008A3740">
        <w:rPr>
          <w:rFonts w:ascii="Verdana" w:eastAsia="HiddenHorzOCR" w:hAnsi="Verdana" w:cs="Arial"/>
          <w:sz w:val="20"/>
          <w:szCs w:val="20"/>
          <w:lang w:val="en-US"/>
        </w:rPr>
        <w:t xml:space="preserve">its own workers’ </w:t>
      </w:r>
      <w:r w:rsidR="00513719" w:rsidRPr="008A3740">
        <w:rPr>
          <w:rFonts w:ascii="Verdana" w:eastAsia="HiddenHorzOCR" w:hAnsi="Verdana" w:cs="Arial"/>
          <w:sz w:val="20"/>
          <w:szCs w:val="20"/>
          <w:lang w:val="en-US"/>
        </w:rPr>
        <w:t xml:space="preserve">pension </w:t>
      </w:r>
      <w:r w:rsidR="009F6689" w:rsidRPr="008A3740">
        <w:rPr>
          <w:rFonts w:ascii="Verdana" w:hAnsi="Verdana" w:cs="Arial"/>
          <w:sz w:val="20"/>
          <w:szCs w:val="20"/>
          <w:lang w:val="en-US"/>
        </w:rPr>
        <w:t>benefits</w:t>
      </w:r>
      <w:r w:rsidRPr="008A3740">
        <w:rPr>
          <w:rFonts w:ascii="Verdana" w:hAnsi="Verdana" w:cs="Arial"/>
          <w:sz w:val="20"/>
          <w:szCs w:val="20"/>
          <w:lang w:val="en-US"/>
        </w:rPr>
        <w:t xml:space="preserve">. </w:t>
      </w:r>
      <w:r w:rsidR="006B1F44" w:rsidRPr="008A3740">
        <w:rPr>
          <w:rFonts w:ascii="Verdana" w:hAnsi="Verdana" w:cs="Arial"/>
          <w:sz w:val="20"/>
          <w:szCs w:val="20"/>
          <w:lang w:val="en-US"/>
        </w:rPr>
        <w:t>I</w:t>
      </w:r>
      <w:r w:rsidR="001C4CF3" w:rsidRPr="008A3740">
        <w:rPr>
          <w:rFonts w:ascii="Verdana" w:hAnsi="Verdana" w:cs="Arial"/>
          <w:sz w:val="20"/>
          <w:szCs w:val="20"/>
          <w:lang w:val="en-US"/>
        </w:rPr>
        <w:t xml:space="preserve">t was </w:t>
      </w:r>
      <w:r w:rsidR="006B1F44" w:rsidRPr="008A3740">
        <w:rPr>
          <w:rFonts w:ascii="Verdana" w:hAnsi="Verdana" w:cs="Arial"/>
          <w:sz w:val="20"/>
          <w:szCs w:val="20"/>
          <w:lang w:val="en-US"/>
        </w:rPr>
        <w:t xml:space="preserve">also </w:t>
      </w:r>
      <w:r w:rsidR="001C4CF3" w:rsidRPr="008A3740">
        <w:rPr>
          <w:rFonts w:ascii="Verdana" w:hAnsi="Verdana" w:cs="Arial"/>
          <w:sz w:val="20"/>
          <w:szCs w:val="20"/>
          <w:lang w:val="en-US"/>
        </w:rPr>
        <w:t xml:space="preserve">established that </w:t>
      </w:r>
      <w:r w:rsidR="00A51A42" w:rsidRPr="008A3740">
        <w:rPr>
          <w:rFonts w:ascii="Verdana" w:hAnsi="Verdana" w:cs="Arial"/>
          <w:sz w:val="20"/>
          <w:szCs w:val="20"/>
          <w:lang w:val="en-US"/>
        </w:rPr>
        <w:t xml:space="preserve">for </w:t>
      </w:r>
      <w:r w:rsidRPr="008A3740">
        <w:rPr>
          <w:rFonts w:ascii="Verdana" w:hAnsi="Verdana" w:cs="Arial"/>
          <w:sz w:val="20"/>
          <w:szCs w:val="20"/>
          <w:lang w:val="en-US"/>
        </w:rPr>
        <w:t xml:space="preserve">companies </w:t>
      </w:r>
      <w:r w:rsidR="006B1F44" w:rsidRPr="008A3740">
        <w:rPr>
          <w:rFonts w:ascii="Verdana" w:hAnsi="Verdana" w:cs="Arial"/>
          <w:sz w:val="20"/>
          <w:szCs w:val="20"/>
          <w:lang w:val="en-US"/>
        </w:rPr>
        <w:t xml:space="preserve">that had been privatized </w:t>
      </w:r>
      <w:r w:rsidRPr="008A3740">
        <w:rPr>
          <w:rFonts w:ascii="Verdana" w:hAnsi="Verdana" w:cs="Arial"/>
          <w:sz w:val="20"/>
          <w:szCs w:val="20"/>
          <w:lang w:val="en-US"/>
        </w:rPr>
        <w:t>(</w:t>
      </w:r>
      <w:r w:rsidR="00A51A42" w:rsidRPr="008A3740">
        <w:rPr>
          <w:rFonts w:ascii="Verdana" w:hAnsi="Verdana" w:cs="Arial"/>
          <w:sz w:val="20"/>
          <w:szCs w:val="20"/>
          <w:lang w:val="en-US"/>
        </w:rPr>
        <w:t xml:space="preserve">in which </w:t>
      </w:r>
      <w:r w:rsidRPr="008A3740">
        <w:rPr>
          <w:rFonts w:ascii="Verdana" w:hAnsi="Verdana" w:cs="Arial"/>
          <w:sz w:val="20"/>
          <w:szCs w:val="20"/>
          <w:lang w:val="en-US"/>
        </w:rPr>
        <w:t xml:space="preserve">the State </w:t>
      </w:r>
      <w:r w:rsidR="00A51A42" w:rsidRPr="008A3740">
        <w:rPr>
          <w:rFonts w:ascii="Verdana" w:hAnsi="Verdana" w:cs="Arial"/>
          <w:sz w:val="20"/>
          <w:szCs w:val="20"/>
          <w:lang w:val="en-US"/>
        </w:rPr>
        <w:t>had</w:t>
      </w:r>
      <w:r w:rsidR="001D4B23" w:rsidRPr="008A3740">
        <w:rPr>
          <w:rFonts w:ascii="Verdana" w:hAnsi="Verdana" w:cs="Arial"/>
          <w:sz w:val="20"/>
          <w:szCs w:val="20"/>
          <w:lang w:val="en-US"/>
        </w:rPr>
        <w:t xml:space="preserve"> no </w:t>
      </w:r>
      <w:r w:rsidR="00FC3228" w:rsidRPr="008A3740">
        <w:rPr>
          <w:rFonts w:ascii="Verdana" w:hAnsi="Verdana" w:cs="Arial"/>
          <w:sz w:val="20"/>
          <w:szCs w:val="20"/>
          <w:lang w:val="en-US"/>
        </w:rPr>
        <w:t>stake</w:t>
      </w:r>
      <w:r w:rsidRPr="008A3740">
        <w:rPr>
          <w:rFonts w:ascii="Verdana" w:hAnsi="Verdana" w:cs="Arial"/>
          <w:sz w:val="20"/>
          <w:szCs w:val="20"/>
          <w:lang w:val="en-US"/>
        </w:rPr>
        <w:t xml:space="preserve">), dissolved or liquidated, the competent entity </w:t>
      </w:r>
      <w:r w:rsidR="001D4B23" w:rsidRPr="008A3740">
        <w:rPr>
          <w:rFonts w:ascii="Verdana" w:hAnsi="Verdana" w:cs="Arial"/>
          <w:sz w:val="20"/>
          <w:szCs w:val="20"/>
          <w:lang w:val="en-US"/>
        </w:rPr>
        <w:t>“</w:t>
      </w:r>
      <w:r w:rsidR="001D4B23" w:rsidRPr="008A3740">
        <w:rPr>
          <w:rFonts w:ascii="Verdana" w:hAnsi="Verdana" w:cs="Arial"/>
          <w:sz w:val="20"/>
          <w:szCs w:val="20"/>
          <w:lang w:val="en-GB"/>
        </w:rPr>
        <w:t>[</w:t>
      </w:r>
      <w:r w:rsidR="001D4B23" w:rsidRPr="008A3740">
        <w:rPr>
          <w:rFonts w:ascii="Verdana" w:hAnsi="Verdana" w:cs="Arial"/>
          <w:sz w:val="20"/>
          <w:szCs w:val="20"/>
          <w:lang w:val="en-US"/>
        </w:rPr>
        <w:t>would be</w:t>
      </w:r>
      <w:r w:rsidR="005F68BC" w:rsidRPr="008A3740">
        <w:rPr>
          <w:rFonts w:ascii="Verdana" w:hAnsi="Verdana" w:cs="Arial"/>
          <w:sz w:val="20"/>
          <w:szCs w:val="20"/>
          <w:lang w:val="en-US"/>
        </w:rPr>
        <w:t xml:space="preserve">] the Ministry of </w:t>
      </w:r>
      <w:r w:rsidRPr="008A3740">
        <w:rPr>
          <w:rFonts w:ascii="Verdana" w:hAnsi="Verdana" w:cs="Arial"/>
          <w:sz w:val="20"/>
          <w:szCs w:val="20"/>
          <w:lang w:val="en-US"/>
        </w:rPr>
        <w:t>Economy and Finance [</w:t>
      </w:r>
      <w:r w:rsidR="006B1F44" w:rsidRPr="008A3740">
        <w:rPr>
          <w:rFonts w:ascii="Verdana" w:hAnsi="Verdana" w:cs="Arial"/>
          <w:sz w:val="20"/>
          <w:szCs w:val="20"/>
          <w:lang w:val="en-US"/>
        </w:rPr>
        <w:t xml:space="preserve">referring </w:t>
      </w:r>
      <w:r w:rsidRPr="008A3740">
        <w:rPr>
          <w:rFonts w:ascii="Verdana" w:hAnsi="Verdana" w:cs="Arial"/>
          <w:sz w:val="20"/>
          <w:szCs w:val="20"/>
          <w:lang w:val="en-US"/>
        </w:rPr>
        <w:t>to laws No. 27719 and 28115] (</w:t>
      </w:r>
      <w:r w:rsidRPr="008A3740">
        <w:rPr>
          <w:rFonts w:ascii="Verdana" w:hAnsi="Verdana" w:cs="Arial"/>
          <w:i/>
          <w:sz w:val="20"/>
          <w:szCs w:val="20"/>
          <w:lang w:val="en-US"/>
        </w:rPr>
        <w:t>infra</w:t>
      </w:r>
      <w:r w:rsidRPr="008A3740">
        <w:rPr>
          <w:rFonts w:ascii="Verdana" w:hAnsi="Verdana" w:cs="Arial"/>
          <w:sz w:val="20"/>
          <w:szCs w:val="20"/>
          <w:lang w:val="en-US"/>
        </w:rPr>
        <w:t xml:space="preserve"> para. 138)</w:t>
      </w:r>
      <w:r w:rsidR="001D4B23" w:rsidRPr="008A3740">
        <w:rPr>
          <w:rFonts w:ascii="Verdana" w:hAnsi="Verdana" w:cs="Arial"/>
          <w:sz w:val="20"/>
          <w:szCs w:val="20"/>
          <w:lang w:val="en-US"/>
        </w:rPr>
        <w:t>.”</w:t>
      </w:r>
      <w:r w:rsidRPr="008A3740">
        <w:rPr>
          <w:rFonts w:ascii="Verdana" w:hAnsi="Verdana" w:cs="Arial"/>
          <w:sz w:val="20"/>
          <w:szCs w:val="20"/>
          <w:lang w:val="en-US"/>
        </w:rPr>
        <w:t xml:space="preserve"> </w:t>
      </w:r>
      <w:r w:rsidR="006B1F44" w:rsidRPr="008A3740">
        <w:rPr>
          <w:rFonts w:ascii="Verdana" w:hAnsi="Verdana" w:cs="Arial"/>
          <w:sz w:val="20"/>
          <w:szCs w:val="20"/>
          <w:lang w:val="en-US"/>
        </w:rPr>
        <w:t xml:space="preserve">In that regard, </w:t>
      </w:r>
      <w:r w:rsidRPr="008A3740">
        <w:rPr>
          <w:rFonts w:ascii="Verdana" w:hAnsi="Verdana" w:cs="Arial"/>
          <w:sz w:val="20"/>
          <w:szCs w:val="20"/>
          <w:lang w:val="en-US"/>
        </w:rPr>
        <w:t xml:space="preserve">Xstrata Tintaya S.A. concluded that the competent entity was the MEF, </w:t>
      </w:r>
      <w:r w:rsidR="001D4B23" w:rsidRPr="008A3740">
        <w:rPr>
          <w:rFonts w:ascii="Verdana" w:hAnsi="Verdana" w:cs="Arial"/>
          <w:sz w:val="20"/>
          <w:szCs w:val="20"/>
          <w:lang w:val="en-US"/>
        </w:rPr>
        <w:t xml:space="preserve">which was asked to attend the </w:t>
      </w:r>
      <w:r w:rsidRPr="008A3740">
        <w:rPr>
          <w:rFonts w:ascii="Verdana" w:hAnsi="Verdana" w:cs="Arial"/>
          <w:sz w:val="20"/>
          <w:szCs w:val="20"/>
          <w:lang w:val="en-US"/>
        </w:rPr>
        <w:t>e</w:t>
      </w:r>
      <w:r w:rsidR="006B1F44" w:rsidRPr="008A3740">
        <w:rPr>
          <w:rFonts w:ascii="Verdana" w:hAnsi="Verdana" w:cs="Arial"/>
          <w:sz w:val="20"/>
          <w:szCs w:val="20"/>
          <w:lang w:val="en-US"/>
        </w:rPr>
        <w:t>nforcement proceeding</w:t>
      </w:r>
      <w:r w:rsidRPr="008A3740">
        <w:rPr>
          <w:rFonts w:ascii="Verdana" w:hAnsi="Verdana" w:cs="Arial"/>
          <w:sz w:val="20"/>
          <w:szCs w:val="20"/>
          <w:lang w:val="en-US"/>
        </w:rPr>
        <w:t>.</w:t>
      </w:r>
      <w:r w:rsidRPr="008A3740">
        <w:rPr>
          <w:rStyle w:val="Refdenotaalpie"/>
          <w:rFonts w:cs="Arial"/>
          <w:szCs w:val="20"/>
          <w:lang w:val="en-US"/>
        </w:rPr>
        <w:footnoteReference w:id="101"/>
      </w:r>
    </w:p>
    <w:p w14:paraId="32596901" w14:textId="77777777" w:rsidR="008E6A56" w:rsidRPr="008A3740" w:rsidRDefault="008E6A56" w:rsidP="008E6A56">
      <w:pPr>
        <w:tabs>
          <w:tab w:val="left" w:pos="567"/>
        </w:tabs>
        <w:rPr>
          <w:rFonts w:ascii="Verdana" w:hAnsi="Verdana" w:cs="Arial"/>
          <w:sz w:val="20"/>
          <w:szCs w:val="20"/>
          <w:lang w:val="en-US"/>
        </w:rPr>
      </w:pPr>
    </w:p>
    <w:p w14:paraId="2B1E286D"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On April 26, 2010</w:t>
      </w:r>
      <w:r w:rsidR="006B1F44" w:rsidRPr="008A3740">
        <w:rPr>
          <w:rFonts w:ascii="Verdana" w:hAnsi="Verdana" w:cs="Arial"/>
          <w:sz w:val="20"/>
          <w:szCs w:val="20"/>
          <w:lang w:val="en-US"/>
        </w:rPr>
        <w:t>,</w:t>
      </w:r>
      <w:r w:rsidRPr="008A3740">
        <w:rPr>
          <w:rFonts w:ascii="Verdana" w:hAnsi="Verdana" w:cs="Arial"/>
          <w:sz w:val="20"/>
          <w:szCs w:val="20"/>
          <w:lang w:val="en-US"/>
        </w:rPr>
        <w:t xml:space="preserve"> the Thirty-Eighth Civil Court of Lima issued a new resolution in wh</w:t>
      </w:r>
      <w:r w:rsidR="006B1F44" w:rsidRPr="008A3740">
        <w:rPr>
          <w:rFonts w:ascii="Verdana" w:hAnsi="Verdana" w:cs="Arial"/>
          <w:sz w:val="20"/>
          <w:szCs w:val="20"/>
          <w:lang w:val="en-US"/>
        </w:rPr>
        <w:t xml:space="preserve">ich it stated that, despite </w:t>
      </w:r>
      <w:r w:rsidRPr="008A3740">
        <w:rPr>
          <w:rFonts w:ascii="Verdana" w:hAnsi="Verdana" w:cs="Arial"/>
          <w:sz w:val="20"/>
          <w:szCs w:val="20"/>
          <w:lang w:val="en-US"/>
        </w:rPr>
        <w:t xml:space="preserve">reiterated instructions to the defendant company to comply with the Supreme Court judgment, the plaintiff’s claim was no longer viable </w:t>
      </w:r>
      <w:r w:rsidR="00090C64" w:rsidRPr="008A3740">
        <w:rPr>
          <w:rFonts w:ascii="Verdana" w:hAnsi="Verdana" w:cs="Arial"/>
          <w:sz w:val="20"/>
          <w:szCs w:val="20"/>
          <w:lang w:val="en-US"/>
        </w:rPr>
        <w:t>given that the State company had been</w:t>
      </w:r>
      <w:r w:rsidRPr="008A3740">
        <w:rPr>
          <w:rFonts w:ascii="Verdana" w:hAnsi="Verdana" w:cs="Arial"/>
          <w:sz w:val="20"/>
          <w:szCs w:val="20"/>
          <w:lang w:val="en-US"/>
        </w:rPr>
        <w:t xml:space="preserve"> privatiz</w:t>
      </w:r>
      <w:r w:rsidR="00090C64" w:rsidRPr="008A3740">
        <w:rPr>
          <w:rFonts w:ascii="Verdana" w:hAnsi="Verdana" w:cs="Arial"/>
          <w:sz w:val="20"/>
          <w:szCs w:val="20"/>
          <w:lang w:val="en-US"/>
        </w:rPr>
        <w:t>ed after the</w:t>
      </w:r>
      <w:r w:rsidR="001D4B23" w:rsidRPr="008A3740">
        <w:rPr>
          <w:rFonts w:ascii="Verdana" w:hAnsi="Verdana" w:cs="Arial"/>
          <w:sz w:val="20"/>
          <w:szCs w:val="20"/>
          <w:lang w:val="en-US"/>
        </w:rPr>
        <w:t xml:space="preserve"> judgement</w:t>
      </w:r>
      <w:r w:rsidR="00090C64" w:rsidRPr="008A3740">
        <w:rPr>
          <w:rFonts w:ascii="Verdana" w:hAnsi="Verdana" w:cs="Arial"/>
          <w:sz w:val="20"/>
          <w:szCs w:val="20"/>
          <w:lang w:val="en-US"/>
        </w:rPr>
        <w:t xml:space="preserve"> was issued</w:t>
      </w:r>
      <w:r w:rsidRPr="008A3740">
        <w:rPr>
          <w:rFonts w:ascii="Verdana" w:hAnsi="Verdana" w:cs="Arial"/>
          <w:sz w:val="20"/>
          <w:szCs w:val="20"/>
          <w:lang w:val="en-US"/>
        </w:rPr>
        <w:t xml:space="preserve">, </w:t>
      </w:r>
      <w:r w:rsidR="00090C64" w:rsidRPr="008A3740">
        <w:rPr>
          <w:rFonts w:ascii="Verdana" w:hAnsi="Verdana" w:cs="Arial"/>
          <w:sz w:val="20"/>
          <w:szCs w:val="20"/>
          <w:lang w:val="en-US"/>
        </w:rPr>
        <w:t xml:space="preserve">and therefore it was not </w:t>
      </w:r>
      <w:r w:rsidRPr="008A3740">
        <w:rPr>
          <w:rFonts w:ascii="Verdana" w:hAnsi="Verdana" w:cs="Arial"/>
          <w:sz w:val="20"/>
          <w:szCs w:val="20"/>
          <w:lang w:val="en-US"/>
        </w:rPr>
        <w:t>obliga</w:t>
      </w:r>
      <w:r w:rsidR="001D4B23" w:rsidRPr="008A3740">
        <w:rPr>
          <w:rFonts w:ascii="Verdana" w:hAnsi="Verdana" w:cs="Arial"/>
          <w:sz w:val="20"/>
          <w:szCs w:val="20"/>
          <w:lang w:val="en-US"/>
        </w:rPr>
        <w:t xml:space="preserve">ted to </w:t>
      </w:r>
      <w:r w:rsidR="00090C64" w:rsidRPr="008A3740">
        <w:rPr>
          <w:rFonts w:ascii="Verdana" w:hAnsi="Verdana" w:cs="Arial"/>
          <w:sz w:val="20"/>
          <w:szCs w:val="20"/>
          <w:lang w:val="en-US"/>
        </w:rPr>
        <w:t xml:space="preserve">make the </w:t>
      </w:r>
      <w:r w:rsidRPr="008A3740">
        <w:rPr>
          <w:rFonts w:ascii="Verdana" w:hAnsi="Verdana" w:cs="Arial"/>
          <w:sz w:val="20"/>
          <w:szCs w:val="20"/>
          <w:lang w:val="en-US"/>
        </w:rPr>
        <w:t>payment</w:t>
      </w:r>
      <w:r w:rsidR="00090C64" w:rsidRPr="008A3740">
        <w:rPr>
          <w:rFonts w:ascii="Verdana" w:hAnsi="Verdana" w:cs="Arial"/>
          <w:sz w:val="20"/>
          <w:szCs w:val="20"/>
          <w:lang w:val="en-US"/>
        </w:rPr>
        <w:t>s</w:t>
      </w:r>
      <w:r w:rsidRPr="008A3740">
        <w:rPr>
          <w:rFonts w:ascii="Verdana" w:hAnsi="Verdana" w:cs="Arial"/>
          <w:sz w:val="20"/>
          <w:szCs w:val="20"/>
          <w:lang w:val="en-US"/>
        </w:rPr>
        <w:t xml:space="preserve"> </w:t>
      </w:r>
      <w:r w:rsidR="00090C64" w:rsidRPr="008A3740">
        <w:rPr>
          <w:rFonts w:ascii="Verdana" w:hAnsi="Verdana" w:cs="Arial"/>
          <w:sz w:val="20"/>
          <w:szCs w:val="20"/>
          <w:lang w:val="en-US"/>
        </w:rPr>
        <w:lastRenderedPageBreak/>
        <w:t xml:space="preserve">ordered by the </w:t>
      </w:r>
      <w:r w:rsidRPr="008A3740">
        <w:rPr>
          <w:rFonts w:ascii="Verdana" w:hAnsi="Verdana" w:cs="Arial"/>
          <w:sz w:val="20"/>
          <w:szCs w:val="20"/>
          <w:lang w:val="en-US"/>
        </w:rPr>
        <w:t>Supreme Court</w:t>
      </w:r>
      <w:r w:rsidR="001D4B23" w:rsidRPr="008A3740">
        <w:rPr>
          <w:rFonts w:ascii="Verdana" w:hAnsi="Verdana" w:cs="Arial"/>
          <w:sz w:val="20"/>
          <w:szCs w:val="20"/>
          <w:lang w:val="en-US"/>
        </w:rPr>
        <w:t xml:space="preserve"> ruling</w:t>
      </w:r>
      <w:r w:rsidRPr="008A3740">
        <w:rPr>
          <w:rFonts w:ascii="Verdana" w:hAnsi="Verdana" w:cs="Arial"/>
          <w:sz w:val="20"/>
          <w:szCs w:val="20"/>
          <w:lang w:val="en-US"/>
        </w:rPr>
        <w:t>.</w:t>
      </w:r>
      <w:r w:rsidRPr="008A3740">
        <w:rPr>
          <w:rStyle w:val="Refdenotaalpie"/>
          <w:rFonts w:cs="Arial"/>
          <w:szCs w:val="20"/>
          <w:lang w:val="en-US"/>
        </w:rPr>
        <w:footnoteReference w:id="102"/>
      </w:r>
      <w:r w:rsidRPr="008A3740">
        <w:rPr>
          <w:rFonts w:ascii="Verdana" w:hAnsi="Verdana" w:cs="Arial"/>
          <w:sz w:val="20"/>
          <w:szCs w:val="20"/>
          <w:lang w:val="en-US"/>
        </w:rPr>
        <w:t xml:space="preserve"> The decision established that Xstrata Tintaya S.A. was a private company, </w:t>
      </w:r>
      <w:r w:rsidR="000647CA" w:rsidRPr="008A3740">
        <w:rPr>
          <w:rFonts w:ascii="Verdana" w:hAnsi="Verdana" w:cs="Arial"/>
          <w:sz w:val="20"/>
          <w:szCs w:val="20"/>
          <w:lang w:val="en-US"/>
        </w:rPr>
        <w:t xml:space="preserve">whose </w:t>
      </w:r>
      <w:r w:rsidRPr="008A3740">
        <w:rPr>
          <w:rFonts w:ascii="Verdana" w:hAnsi="Verdana" w:cs="Arial"/>
          <w:sz w:val="20"/>
          <w:szCs w:val="20"/>
          <w:lang w:val="en-US"/>
        </w:rPr>
        <w:t xml:space="preserve">obligation </w:t>
      </w:r>
      <w:r w:rsidR="000647CA" w:rsidRPr="008A3740">
        <w:rPr>
          <w:rFonts w:ascii="Verdana" w:hAnsi="Verdana" w:cs="Arial"/>
          <w:sz w:val="20"/>
          <w:szCs w:val="20"/>
          <w:lang w:val="en-US"/>
        </w:rPr>
        <w:t xml:space="preserve">to </w:t>
      </w:r>
      <w:r w:rsidRPr="008A3740">
        <w:rPr>
          <w:rFonts w:ascii="Verdana" w:hAnsi="Verdana" w:cs="Arial"/>
          <w:sz w:val="20"/>
          <w:szCs w:val="20"/>
          <w:lang w:val="en-US"/>
        </w:rPr>
        <w:t>pay the pension rights claimed had not been demonstrated.</w:t>
      </w:r>
      <w:r w:rsidRPr="008A3740">
        <w:rPr>
          <w:rStyle w:val="Refdenotaalpie"/>
          <w:rFonts w:cs="Arial"/>
          <w:szCs w:val="20"/>
          <w:lang w:val="en-US"/>
        </w:rPr>
        <w:footnoteReference w:id="103"/>
      </w:r>
      <w:r w:rsidRPr="008A3740">
        <w:rPr>
          <w:rFonts w:ascii="Verdana" w:hAnsi="Verdana" w:cs="Arial"/>
          <w:b/>
          <w:sz w:val="20"/>
          <w:szCs w:val="20"/>
          <w:lang w:val="en-US"/>
        </w:rPr>
        <w:t xml:space="preserve"> </w:t>
      </w:r>
    </w:p>
    <w:p w14:paraId="3F01A800" w14:textId="77777777" w:rsidR="008E6A56" w:rsidRPr="008A3740" w:rsidRDefault="008E6A56" w:rsidP="008E6A56">
      <w:pPr>
        <w:tabs>
          <w:tab w:val="left" w:pos="567"/>
        </w:tabs>
        <w:rPr>
          <w:rFonts w:ascii="Verdana" w:hAnsi="Verdana" w:cs="Arial"/>
          <w:sz w:val="20"/>
          <w:szCs w:val="20"/>
          <w:lang w:val="en-US"/>
        </w:rPr>
      </w:pPr>
    </w:p>
    <w:p w14:paraId="3D96F000"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 On May 17, 2010, the same date on which he was notified, Mr. Muelle Flores filed an appeal against the aforesaid resolution;</w:t>
      </w:r>
      <w:r w:rsidRPr="008A3740">
        <w:rPr>
          <w:rStyle w:val="Refdenotaalpie"/>
          <w:rFonts w:cs="Arial"/>
          <w:szCs w:val="20"/>
          <w:lang w:val="en-US"/>
        </w:rPr>
        <w:footnoteReference w:id="104"/>
      </w:r>
      <w:r w:rsidRPr="008A3740">
        <w:rPr>
          <w:rFonts w:ascii="Verdana" w:hAnsi="Verdana" w:cs="Arial"/>
          <w:sz w:val="20"/>
          <w:szCs w:val="20"/>
          <w:lang w:val="en-US"/>
        </w:rPr>
        <w:t xml:space="preserve"> </w:t>
      </w:r>
      <w:r w:rsidR="001D4B23" w:rsidRPr="008A3740">
        <w:rPr>
          <w:rFonts w:ascii="Verdana" w:hAnsi="Verdana" w:cs="Arial"/>
          <w:sz w:val="20"/>
          <w:szCs w:val="20"/>
          <w:lang w:val="en-US"/>
        </w:rPr>
        <w:t xml:space="preserve">his </w:t>
      </w:r>
      <w:r w:rsidRPr="008A3740">
        <w:rPr>
          <w:rFonts w:ascii="Verdana" w:hAnsi="Verdana" w:cs="Arial"/>
          <w:sz w:val="20"/>
          <w:szCs w:val="20"/>
          <w:lang w:val="en-US"/>
        </w:rPr>
        <w:t xml:space="preserve">appeal was then forwarded to the Civil </w:t>
      </w:r>
      <w:r w:rsidR="00811092" w:rsidRPr="008A3740">
        <w:rPr>
          <w:rFonts w:ascii="Verdana" w:hAnsi="Verdana" w:cs="Arial"/>
          <w:sz w:val="20"/>
          <w:szCs w:val="20"/>
          <w:lang w:val="en-US"/>
        </w:rPr>
        <w:t>Chamber</w:t>
      </w:r>
      <w:r w:rsidRPr="008A3740">
        <w:rPr>
          <w:rFonts w:ascii="Verdana" w:hAnsi="Verdana" w:cs="Arial"/>
          <w:sz w:val="20"/>
          <w:szCs w:val="20"/>
          <w:lang w:val="en-US"/>
        </w:rPr>
        <w:t>.</w:t>
      </w:r>
      <w:r w:rsidRPr="008A3740">
        <w:rPr>
          <w:rStyle w:val="Refdenotaalpie"/>
          <w:rFonts w:cs="Arial"/>
          <w:szCs w:val="20"/>
          <w:lang w:val="en-US"/>
        </w:rPr>
        <w:footnoteReference w:id="105"/>
      </w:r>
      <w:r w:rsidRPr="008A3740">
        <w:rPr>
          <w:rFonts w:ascii="Verdana" w:hAnsi="Verdana" w:cs="Arial"/>
          <w:sz w:val="20"/>
          <w:szCs w:val="20"/>
          <w:lang w:val="en-US"/>
        </w:rPr>
        <w:t xml:space="preserve"> In his brief, Mr. Mue</w:t>
      </w:r>
      <w:r w:rsidR="001D4B23" w:rsidRPr="008A3740">
        <w:rPr>
          <w:rFonts w:ascii="Verdana" w:hAnsi="Verdana" w:cs="Arial"/>
          <w:sz w:val="20"/>
          <w:szCs w:val="20"/>
          <w:lang w:val="en-US"/>
        </w:rPr>
        <w:t xml:space="preserve">lle acknowledged receipt of </w:t>
      </w:r>
      <w:r w:rsidRPr="008A3740">
        <w:rPr>
          <w:rFonts w:ascii="Verdana" w:hAnsi="Verdana" w:cs="Arial"/>
          <w:sz w:val="20"/>
          <w:szCs w:val="20"/>
          <w:lang w:val="en-US"/>
        </w:rPr>
        <w:t xml:space="preserve">pension payments corresponding to the </w:t>
      </w:r>
      <w:r w:rsidR="007A5C86" w:rsidRPr="008A3740">
        <w:rPr>
          <w:rFonts w:ascii="Verdana" w:hAnsi="Verdana" w:cs="Arial"/>
          <w:sz w:val="20"/>
          <w:szCs w:val="20"/>
          <w:lang w:val="en-US"/>
        </w:rPr>
        <w:t xml:space="preserve">period </w:t>
      </w:r>
      <w:r w:rsidRPr="008A3740">
        <w:rPr>
          <w:rFonts w:ascii="Verdana" w:hAnsi="Verdana" w:cs="Arial"/>
          <w:sz w:val="20"/>
          <w:szCs w:val="20"/>
          <w:lang w:val="en-US"/>
        </w:rPr>
        <w:t>from February 1991 to December 2000, as well as those for the months of January to June, 2001</w:t>
      </w:r>
      <w:r w:rsidRPr="008A3740">
        <w:rPr>
          <w:rStyle w:val="Refdenotaalpie"/>
          <w:rFonts w:cs="Arial"/>
          <w:szCs w:val="20"/>
          <w:lang w:val="en-US"/>
        </w:rPr>
        <w:footnoteReference w:id="106"/>
      </w:r>
      <w:r w:rsidRPr="008A3740">
        <w:rPr>
          <w:rFonts w:ascii="Verdana" w:hAnsi="Verdana" w:cs="Arial"/>
          <w:sz w:val="20"/>
          <w:szCs w:val="20"/>
          <w:lang w:val="en-US"/>
        </w:rPr>
        <w:t xml:space="preserve"> (</w:t>
      </w:r>
      <w:r w:rsidRPr="008A3740">
        <w:rPr>
          <w:rFonts w:ascii="Verdana" w:hAnsi="Verdana" w:cs="Arial"/>
          <w:i/>
          <w:sz w:val="20"/>
          <w:szCs w:val="20"/>
          <w:lang w:val="en-US"/>
        </w:rPr>
        <w:t>supra</w:t>
      </w:r>
      <w:r w:rsidRPr="008A3740">
        <w:rPr>
          <w:rFonts w:ascii="Verdana" w:hAnsi="Verdana" w:cs="Arial"/>
          <w:sz w:val="20"/>
          <w:szCs w:val="20"/>
          <w:lang w:val="en-US"/>
        </w:rPr>
        <w:t xml:space="preserve"> para. 80).</w:t>
      </w:r>
      <w:r w:rsidRPr="008A3740">
        <w:rPr>
          <w:rFonts w:ascii="Verdana" w:hAnsi="Verdana" w:cs="Arial"/>
          <w:b/>
          <w:sz w:val="20"/>
          <w:szCs w:val="20"/>
          <w:lang w:val="en-US"/>
        </w:rPr>
        <w:t xml:space="preserve"> </w:t>
      </w:r>
    </w:p>
    <w:p w14:paraId="62820E55" w14:textId="77777777" w:rsidR="008E6A56" w:rsidRPr="008A3740" w:rsidRDefault="008E6A56" w:rsidP="008E6A56">
      <w:pPr>
        <w:pStyle w:val="Prrafodelista"/>
        <w:rPr>
          <w:rFonts w:ascii="Verdana" w:hAnsi="Verdana" w:cs="Arial"/>
          <w:sz w:val="20"/>
          <w:szCs w:val="20"/>
          <w:lang w:val="en-US"/>
        </w:rPr>
      </w:pPr>
    </w:p>
    <w:p w14:paraId="326CC705"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 On April 13, 2011, the Second Civil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of the Superior Court of Lima annulled the resolution of the </w:t>
      </w:r>
      <w:r w:rsidR="007A5C86" w:rsidRPr="008A3740">
        <w:rPr>
          <w:rFonts w:ascii="Verdana" w:hAnsi="Verdana" w:cs="Arial"/>
          <w:sz w:val="20"/>
          <w:szCs w:val="20"/>
          <w:lang w:val="en-US"/>
        </w:rPr>
        <w:t xml:space="preserve">Thirty-eighth </w:t>
      </w:r>
      <w:r w:rsidRPr="008A3740">
        <w:rPr>
          <w:rFonts w:ascii="Verdana" w:hAnsi="Verdana" w:cs="Arial"/>
          <w:sz w:val="20"/>
          <w:szCs w:val="20"/>
          <w:lang w:val="en-US"/>
        </w:rPr>
        <w:t xml:space="preserve">Civil Court of Lima of April 26, 2010, and ordered </w:t>
      </w:r>
      <w:r w:rsidR="007A5C86" w:rsidRPr="008A3740">
        <w:rPr>
          <w:rFonts w:ascii="Verdana" w:hAnsi="Verdana" w:cs="Arial"/>
          <w:sz w:val="20"/>
          <w:szCs w:val="20"/>
          <w:lang w:val="en-US"/>
        </w:rPr>
        <w:t>the re</w:t>
      </w:r>
      <w:r w:rsidR="00094BCD" w:rsidRPr="008A3740">
        <w:rPr>
          <w:rFonts w:ascii="Verdana" w:hAnsi="Verdana" w:cs="Arial"/>
          <w:sz w:val="20"/>
          <w:szCs w:val="20"/>
          <w:lang w:val="en-US"/>
        </w:rPr>
        <w:t xml:space="preserve">storation of </w:t>
      </w:r>
      <w:r w:rsidR="007A5C86" w:rsidRPr="008A3740">
        <w:rPr>
          <w:rFonts w:ascii="Verdana" w:hAnsi="Verdana" w:cs="Arial"/>
          <w:sz w:val="20"/>
          <w:szCs w:val="20"/>
          <w:lang w:val="en-US"/>
        </w:rPr>
        <w:t>the procedural act affected</w:t>
      </w:r>
      <w:r w:rsidRPr="008A3740">
        <w:rPr>
          <w:rFonts w:ascii="Verdana" w:hAnsi="Verdana" w:cs="Arial"/>
          <w:sz w:val="20"/>
          <w:szCs w:val="20"/>
          <w:lang w:val="en-US"/>
        </w:rPr>
        <w:t xml:space="preserve">. The Second Civil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considered that the </w:t>
      </w:r>
      <w:r w:rsidR="007A5C86" w:rsidRPr="008A3740">
        <w:rPr>
          <w:rFonts w:ascii="Verdana" w:hAnsi="Verdana" w:cs="Arial"/>
          <w:sz w:val="20"/>
          <w:szCs w:val="20"/>
          <w:lang w:val="en-US"/>
        </w:rPr>
        <w:t xml:space="preserve">Thirty-eighth </w:t>
      </w:r>
      <w:r w:rsidRPr="008A3740">
        <w:rPr>
          <w:rFonts w:ascii="Verdana" w:hAnsi="Verdana" w:cs="Arial"/>
          <w:sz w:val="20"/>
          <w:szCs w:val="20"/>
          <w:lang w:val="en-US"/>
        </w:rPr>
        <w:t>Civil Court had assumed as completely true the statements made by Xstrata Tintaya S.A., without first determining whether the “Magma Copper” company had or had not taken over the assets and liabilities of the initial defendant party (</w:t>
      </w:r>
      <w:r w:rsidRPr="008A3740">
        <w:rPr>
          <w:rFonts w:ascii="Verdana" w:hAnsi="Verdana" w:cs="Arial"/>
          <w:i/>
          <w:sz w:val="20"/>
          <w:szCs w:val="20"/>
          <w:lang w:val="en-US"/>
        </w:rPr>
        <w:t>Empresa Minera Especial Tintaya S.A.).</w:t>
      </w:r>
      <w:r w:rsidRPr="008A3740">
        <w:rPr>
          <w:rFonts w:ascii="Verdana" w:hAnsi="Verdana" w:cs="Arial"/>
          <w:sz w:val="20"/>
          <w:szCs w:val="20"/>
          <w:lang w:val="en-US"/>
        </w:rPr>
        <w:t xml:space="preserve"> </w:t>
      </w:r>
      <w:r w:rsidR="00094BCD" w:rsidRPr="008A3740">
        <w:rPr>
          <w:rFonts w:ascii="Verdana" w:hAnsi="Verdana" w:cs="Arial"/>
          <w:sz w:val="20"/>
          <w:szCs w:val="20"/>
          <w:lang w:val="en-US"/>
        </w:rPr>
        <w:t xml:space="preserve">The Chamber </w:t>
      </w:r>
      <w:r w:rsidRPr="008A3740">
        <w:rPr>
          <w:rFonts w:ascii="Verdana" w:hAnsi="Verdana" w:cs="Arial"/>
          <w:sz w:val="20"/>
          <w:szCs w:val="20"/>
          <w:lang w:val="en-US"/>
        </w:rPr>
        <w:t xml:space="preserve">concluded that if </w:t>
      </w:r>
      <w:r w:rsidR="000647CA" w:rsidRPr="008A3740">
        <w:rPr>
          <w:rFonts w:ascii="Verdana" w:hAnsi="Verdana" w:cs="Arial"/>
          <w:sz w:val="20"/>
          <w:szCs w:val="20"/>
          <w:lang w:val="en-US"/>
        </w:rPr>
        <w:t xml:space="preserve">indeed </w:t>
      </w:r>
      <w:r w:rsidRPr="008A3740">
        <w:rPr>
          <w:rFonts w:ascii="Verdana" w:hAnsi="Verdana" w:cs="Arial"/>
          <w:sz w:val="20"/>
          <w:szCs w:val="20"/>
          <w:lang w:val="en-US"/>
        </w:rPr>
        <w:t xml:space="preserve">it had assumed all those assets and liabilities, then that private company would also be </w:t>
      </w:r>
      <w:r w:rsidR="000647CA" w:rsidRPr="008A3740">
        <w:rPr>
          <w:rFonts w:ascii="Verdana" w:hAnsi="Verdana" w:cs="Arial"/>
          <w:sz w:val="20"/>
          <w:szCs w:val="20"/>
          <w:lang w:val="en-US"/>
        </w:rPr>
        <w:t xml:space="preserve">required </w:t>
      </w:r>
      <w:r w:rsidRPr="008A3740">
        <w:rPr>
          <w:rFonts w:ascii="Verdana" w:hAnsi="Verdana" w:cs="Arial"/>
          <w:sz w:val="20"/>
          <w:szCs w:val="20"/>
          <w:lang w:val="en-US"/>
        </w:rPr>
        <w:t xml:space="preserve">to pay Mr. Muelle Flores’ pension. The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also emphasized that the Thirty-Eighth Civil Court had issued its resolution w</w:t>
      </w:r>
      <w:r w:rsidR="000647CA" w:rsidRPr="008A3740">
        <w:rPr>
          <w:rFonts w:ascii="Verdana" w:hAnsi="Verdana" w:cs="Arial"/>
          <w:sz w:val="20"/>
          <w:szCs w:val="20"/>
          <w:lang w:val="en-US"/>
        </w:rPr>
        <w:t xml:space="preserve">ithout specifying the facts </w:t>
      </w:r>
      <w:r w:rsidR="00094BCD" w:rsidRPr="008A3740">
        <w:rPr>
          <w:rFonts w:ascii="Verdana" w:hAnsi="Verdana" w:cs="Arial"/>
          <w:sz w:val="20"/>
          <w:szCs w:val="20"/>
          <w:lang w:val="en-US"/>
        </w:rPr>
        <w:t xml:space="preserve">and </w:t>
      </w:r>
      <w:r w:rsidR="00C57C3F" w:rsidRPr="008A3740">
        <w:rPr>
          <w:rFonts w:ascii="Verdana" w:hAnsi="Verdana" w:cs="Arial"/>
          <w:sz w:val="20"/>
          <w:szCs w:val="20"/>
          <w:lang w:val="en-US"/>
        </w:rPr>
        <w:t xml:space="preserve">the </w:t>
      </w:r>
      <w:r w:rsidRPr="008A3740">
        <w:rPr>
          <w:rFonts w:ascii="Verdana" w:hAnsi="Verdana" w:cs="Arial"/>
          <w:sz w:val="20"/>
          <w:szCs w:val="20"/>
          <w:lang w:val="en-US"/>
        </w:rPr>
        <w:t xml:space="preserve">corresponding legal provisions supporting </w:t>
      </w:r>
      <w:r w:rsidR="00C57C3F" w:rsidRPr="008A3740">
        <w:rPr>
          <w:rFonts w:ascii="Verdana" w:hAnsi="Verdana" w:cs="Arial"/>
          <w:sz w:val="20"/>
          <w:szCs w:val="20"/>
          <w:lang w:val="en-US"/>
        </w:rPr>
        <w:t xml:space="preserve">its </w:t>
      </w:r>
      <w:r w:rsidR="000647CA" w:rsidRPr="008A3740">
        <w:rPr>
          <w:rFonts w:ascii="Verdana" w:hAnsi="Verdana" w:cs="Arial"/>
          <w:sz w:val="20"/>
          <w:szCs w:val="20"/>
          <w:lang w:val="en-US"/>
        </w:rPr>
        <w:t>decision</w:t>
      </w:r>
      <w:r w:rsidRPr="008A3740">
        <w:rPr>
          <w:rFonts w:ascii="Verdana" w:hAnsi="Verdana" w:cs="Arial"/>
          <w:sz w:val="20"/>
          <w:szCs w:val="20"/>
          <w:lang w:val="en-US"/>
        </w:rPr>
        <w:t>, in violation of the right to due substantiation of judicial resolutions.</w:t>
      </w:r>
      <w:r w:rsidRPr="008A3740">
        <w:rPr>
          <w:rStyle w:val="Refdenotaalpie"/>
          <w:rFonts w:cs="Arial"/>
          <w:szCs w:val="20"/>
          <w:lang w:val="en-US"/>
        </w:rPr>
        <w:footnoteReference w:id="107"/>
      </w:r>
      <w:r w:rsidRPr="008A3740">
        <w:rPr>
          <w:rFonts w:ascii="Verdana" w:hAnsi="Verdana" w:cs="Arial"/>
          <w:sz w:val="20"/>
          <w:szCs w:val="20"/>
          <w:lang w:val="en-US"/>
        </w:rPr>
        <w:t xml:space="preserve"> </w:t>
      </w:r>
    </w:p>
    <w:p w14:paraId="121BD320" w14:textId="77777777" w:rsidR="008E6A56" w:rsidRPr="008A3740" w:rsidRDefault="008E6A56" w:rsidP="008E6A56">
      <w:pPr>
        <w:pStyle w:val="Prrafodelista"/>
        <w:rPr>
          <w:rFonts w:ascii="Verdana" w:hAnsi="Verdana" w:cs="Arial"/>
          <w:sz w:val="20"/>
          <w:szCs w:val="20"/>
          <w:lang w:val="en-US"/>
        </w:rPr>
      </w:pPr>
    </w:p>
    <w:p w14:paraId="507F30F7"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 On May 17, 2012, the </w:t>
      </w:r>
      <w:r w:rsidR="00094BCD" w:rsidRPr="008A3740">
        <w:rPr>
          <w:rFonts w:ascii="Verdana" w:hAnsi="Verdana" w:cs="Arial"/>
          <w:sz w:val="20"/>
          <w:szCs w:val="20"/>
          <w:lang w:val="en-US"/>
        </w:rPr>
        <w:t xml:space="preserve">Thirty-third </w:t>
      </w:r>
      <w:r w:rsidRPr="008A3740">
        <w:rPr>
          <w:rFonts w:ascii="Verdana" w:hAnsi="Verdana" w:cs="Arial"/>
          <w:sz w:val="20"/>
          <w:szCs w:val="20"/>
          <w:lang w:val="en-US"/>
        </w:rPr>
        <w:t>Civil Court of Lima issued a resolution requiring Xstrata Tintaya S.A. to comply with the order issued by the Supreme Court in its judgment of February 2, 1993.</w:t>
      </w:r>
      <w:r w:rsidRPr="008A3740">
        <w:rPr>
          <w:rStyle w:val="Refdenotaalpie"/>
          <w:rFonts w:cs="Arial"/>
          <w:szCs w:val="20"/>
          <w:lang w:val="en-US"/>
        </w:rPr>
        <w:footnoteReference w:id="108"/>
      </w:r>
      <w:r w:rsidRPr="008A3740">
        <w:rPr>
          <w:rFonts w:ascii="Verdana" w:hAnsi="Verdana" w:cs="Arial"/>
          <w:sz w:val="20"/>
          <w:szCs w:val="20"/>
          <w:lang w:val="en-US"/>
        </w:rPr>
        <w:t xml:space="preserve"> The company filed an appeal against said resolution.</w:t>
      </w:r>
      <w:r w:rsidRPr="008A3740">
        <w:rPr>
          <w:rStyle w:val="Refdenotaalpie"/>
          <w:rFonts w:cs="Arial"/>
          <w:szCs w:val="20"/>
          <w:lang w:val="en-US"/>
        </w:rPr>
        <w:footnoteReference w:id="109"/>
      </w:r>
      <w:r w:rsidRPr="008A3740">
        <w:rPr>
          <w:rFonts w:ascii="Verdana" w:hAnsi="Verdana" w:cs="Arial"/>
          <w:sz w:val="20"/>
          <w:szCs w:val="20"/>
          <w:lang w:val="en-US"/>
        </w:rPr>
        <w:t xml:space="preserve"> On October 30, 2012, the </w:t>
      </w:r>
      <w:r w:rsidR="00094BCD" w:rsidRPr="008A3740">
        <w:rPr>
          <w:rFonts w:ascii="Verdana" w:hAnsi="Verdana" w:cs="Arial"/>
          <w:sz w:val="20"/>
          <w:szCs w:val="20"/>
          <w:lang w:val="en-US"/>
        </w:rPr>
        <w:t xml:space="preserve">Thirty-third </w:t>
      </w:r>
      <w:r w:rsidRPr="008A3740">
        <w:rPr>
          <w:rFonts w:ascii="Verdana" w:hAnsi="Verdana" w:cs="Arial"/>
          <w:sz w:val="20"/>
          <w:szCs w:val="20"/>
          <w:lang w:val="en-US"/>
        </w:rPr>
        <w:t>Civil Court of Lima decided that “[…] it [was] reasonable to order the temporary suspension of the [e</w:t>
      </w:r>
      <w:r w:rsidR="00B82DCC" w:rsidRPr="008A3740">
        <w:rPr>
          <w:rFonts w:ascii="Verdana" w:hAnsi="Verdana" w:cs="Arial"/>
          <w:sz w:val="20"/>
          <w:szCs w:val="20"/>
          <w:lang w:val="en-US"/>
        </w:rPr>
        <w:t>xecution</w:t>
      </w:r>
      <w:r w:rsidRPr="008A3740">
        <w:rPr>
          <w:rFonts w:ascii="Verdana" w:hAnsi="Verdana" w:cs="Arial"/>
          <w:sz w:val="20"/>
          <w:szCs w:val="20"/>
          <w:lang w:val="en-US"/>
        </w:rPr>
        <w:t>] process, pending a [decision] on the appeal filed by the [defendant] company.”</w:t>
      </w:r>
      <w:r w:rsidRPr="008A3740">
        <w:rPr>
          <w:rStyle w:val="Refdenotaalpie"/>
          <w:rFonts w:cs="Arial"/>
          <w:szCs w:val="20"/>
          <w:lang w:val="en-US"/>
        </w:rPr>
        <w:footnoteReference w:id="110"/>
      </w:r>
      <w:r w:rsidRPr="008A3740">
        <w:rPr>
          <w:rFonts w:ascii="Verdana" w:hAnsi="Verdana" w:cs="Arial"/>
          <w:sz w:val="20"/>
          <w:szCs w:val="20"/>
          <w:lang w:val="en-US"/>
        </w:rPr>
        <w:t xml:space="preserve"> On November 20, 2012, Mr. Muelle Flores appealed against this last decision to suspend </w:t>
      </w:r>
      <w:r w:rsidR="00CC75CD" w:rsidRPr="008A3740">
        <w:rPr>
          <w:rFonts w:ascii="Verdana" w:hAnsi="Verdana" w:cs="Arial"/>
          <w:sz w:val="20"/>
          <w:szCs w:val="20"/>
          <w:lang w:val="en-US"/>
        </w:rPr>
        <w:t xml:space="preserve">the </w:t>
      </w:r>
      <w:r w:rsidRPr="008A3740">
        <w:rPr>
          <w:rFonts w:ascii="Verdana" w:hAnsi="Verdana" w:cs="Arial"/>
          <w:sz w:val="20"/>
          <w:szCs w:val="20"/>
          <w:lang w:val="en-US"/>
        </w:rPr>
        <w:t>e</w:t>
      </w:r>
      <w:r w:rsidR="00B82DCC" w:rsidRPr="008A3740">
        <w:rPr>
          <w:rFonts w:ascii="Verdana" w:hAnsi="Verdana" w:cs="Arial"/>
          <w:sz w:val="20"/>
          <w:szCs w:val="20"/>
          <w:lang w:val="en-US"/>
        </w:rPr>
        <w:t xml:space="preserve">xecution </w:t>
      </w:r>
      <w:r w:rsidR="00CC75CD" w:rsidRPr="008A3740">
        <w:rPr>
          <w:rFonts w:ascii="Verdana" w:hAnsi="Verdana" w:cs="Arial"/>
          <w:sz w:val="20"/>
          <w:szCs w:val="20"/>
          <w:lang w:val="en-US"/>
        </w:rPr>
        <w:t>process</w:t>
      </w:r>
      <w:r w:rsidRPr="008A3740">
        <w:rPr>
          <w:rFonts w:ascii="Verdana" w:hAnsi="Verdana" w:cs="Arial"/>
          <w:sz w:val="20"/>
          <w:szCs w:val="20"/>
          <w:lang w:val="en-US"/>
        </w:rPr>
        <w:t xml:space="preserve">, arguing that it impaired the </w:t>
      </w:r>
      <w:r w:rsidR="00B7261C" w:rsidRPr="008A3740">
        <w:rPr>
          <w:rFonts w:ascii="Verdana" w:hAnsi="Verdana" w:cs="Arial"/>
          <w:i/>
          <w:sz w:val="20"/>
          <w:szCs w:val="20"/>
          <w:lang w:val="en-US"/>
        </w:rPr>
        <w:t xml:space="preserve">res </w:t>
      </w:r>
      <w:r w:rsidRPr="008A3740">
        <w:rPr>
          <w:rFonts w:ascii="Verdana" w:hAnsi="Verdana" w:cs="Arial"/>
          <w:i/>
          <w:sz w:val="20"/>
          <w:szCs w:val="20"/>
          <w:lang w:val="en-US"/>
        </w:rPr>
        <w:t>judicata</w:t>
      </w:r>
      <w:r w:rsidRPr="008A3740">
        <w:rPr>
          <w:rFonts w:ascii="Verdana" w:hAnsi="Verdana" w:cs="Arial"/>
          <w:sz w:val="20"/>
          <w:szCs w:val="20"/>
          <w:lang w:val="en-US"/>
        </w:rPr>
        <w:t xml:space="preserve"> status of the previous judgments granting him his pension rights, so that there could be no change or delay in their enforcement.</w:t>
      </w:r>
      <w:r w:rsidRPr="008A3740">
        <w:rPr>
          <w:rStyle w:val="Refdenotaalpie"/>
          <w:rFonts w:cs="Arial"/>
          <w:szCs w:val="20"/>
          <w:lang w:val="en-US"/>
        </w:rPr>
        <w:footnoteReference w:id="111"/>
      </w:r>
      <w:r w:rsidRPr="008A3740">
        <w:rPr>
          <w:rFonts w:ascii="Verdana" w:hAnsi="Verdana" w:cs="Arial"/>
          <w:sz w:val="20"/>
          <w:szCs w:val="20"/>
          <w:lang w:val="en-US"/>
        </w:rPr>
        <w:t xml:space="preserve"> </w:t>
      </w:r>
    </w:p>
    <w:p w14:paraId="3A86525E" w14:textId="77777777" w:rsidR="008E6A56" w:rsidRPr="008A3740" w:rsidRDefault="008E6A56" w:rsidP="008E6A56">
      <w:pPr>
        <w:tabs>
          <w:tab w:val="left" w:pos="567"/>
        </w:tabs>
        <w:rPr>
          <w:rFonts w:ascii="Verdana" w:hAnsi="Verdana" w:cs="Arial"/>
          <w:sz w:val="20"/>
          <w:szCs w:val="20"/>
          <w:lang w:val="en-US"/>
        </w:rPr>
      </w:pPr>
    </w:p>
    <w:p w14:paraId="4E12A36F"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On October 10, 2013, the Second Civil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of the Superior Court of Justice issued a </w:t>
      </w:r>
      <w:r w:rsidR="005A49D4" w:rsidRPr="008A3740">
        <w:rPr>
          <w:rFonts w:ascii="Verdana" w:hAnsi="Verdana" w:cs="Arial"/>
          <w:sz w:val="20"/>
          <w:szCs w:val="20"/>
          <w:lang w:val="en-US"/>
        </w:rPr>
        <w:t xml:space="preserve">decision </w:t>
      </w:r>
      <w:r w:rsidRPr="008A3740">
        <w:rPr>
          <w:rFonts w:ascii="Verdana" w:hAnsi="Verdana" w:cs="Arial"/>
          <w:sz w:val="20"/>
          <w:szCs w:val="20"/>
          <w:lang w:val="en-US"/>
        </w:rPr>
        <w:t xml:space="preserve">annulling the resolution of May 17, 2012 of the </w:t>
      </w:r>
      <w:r w:rsidR="005A49D4" w:rsidRPr="008A3740">
        <w:rPr>
          <w:rFonts w:ascii="Verdana" w:hAnsi="Verdana" w:cs="Arial"/>
          <w:sz w:val="20"/>
          <w:szCs w:val="20"/>
          <w:lang w:val="en-US"/>
        </w:rPr>
        <w:t>Thirty-third</w:t>
      </w:r>
      <w:r w:rsidRPr="008A3740">
        <w:rPr>
          <w:rFonts w:ascii="Verdana" w:hAnsi="Verdana" w:cs="Arial"/>
          <w:sz w:val="20"/>
          <w:szCs w:val="20"/>
          <w:lang w:val="en-US"/>
        </w:rPr>
        <w:t xml:space="preserve"> Civil Court of Lima. The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w:t>
      </w:r>
      <w:r w:rsidR="005A49D4" w:rsidRPr="008A3740">
        <w:rPr>
          <w:rFonts w:ascii="Verdana" w:hAnsi="Verdana" w:cs="Arial"/>
          <w:sz w:val="20"/>
          <w:szCs w:val="20"/>
          <w:lang w:val="en-US"/>
        </w:rPr>
        <w:t xml:space="preserve">examined the purchase-sale contract of </w:t>
      </w:r>
      <w:r w:rsidRPr="008A3740">
        <w:rPr>
          <w:rFonts w:ascii="Verdana" w:hAnsi="Verdana" w:cs="Arial"/>
          <w:sz w:val="20"/>
          <w:szCs w:val="20"/>
          <w:lang w:val="en-US"/>
        </w:rPr>
        <w:t>Tintaya S.A., of November 29, 1994, and conclu</w:t>
      </w:r>
      <w:r w:rsidR="00CC75CD" w:rsidRPr="008A3740">
        <w:rPr>
          <w:rFonts w:ascii="Verdana" w:hAnsi="Verdana" w:cs="Arial"/>
          <w:sz w:val="20"/>
          <w:szCs w:val="20"/>
          <w:lang w:val="en-US"/>
        </w:rPr>
        <w:t>ded that when the State</w:t>
      </w:r>
      <w:r w:rsidR="00CD437A" w:rsidRPr="008A3740">
        <w:rPr>
          <w:rFonts w:ascii="Verdana" w:hAnsi="Verdana" w:cs="Arial"/>
          <w:sz w:val="20"/>
          <w:szCs w:val="20"/>
          <w:lang w:val="en-US"/>
        </w:rPr>
        <w:t>-owned</w:t>
      </w:r>
      <w:r w:rsidR="00CC75CD" w:rsidRPr="008A3740">
        <w:rPr>
          <w:rFonts w:ascii="Verdana" w:hAnsi="Verdana" w:cs="Arial"/>
          <w:sz w:val="20"/>
          <w:szCs w:val="20"/>
          <w:lang w:val="en-US"/>
        </w:rPr>
        <w:t xml:space="preserve"> company </w:t>
      </w:r>
      <w:r w:rsidRPr="008A3740">
        <w:rPr>
          <w:rFonts w:ascii="Verdana" w:hAnsi="Verdana" w:cs="Arial"/>
          <w:sz w:val="20"/>
          <w:szCs w:val="20"/>
          <w:lang w:val="en-US"/>
        </w:rPr>
        <w:t xml:space="preserve">was privatized, </w:t>
      </w:r>
      <w:r w:rsidR="00CC75CD" w:rsidRPr="008A3740">
        <w:rPr>
          <w:rFonts w:ascii="Verdana" w:hAnsi="Verdana" w:cs="Arial"/>
          <w:sz w:val="20"/>
          <w:szCs w:val="20"/>
          <w:lang w:val="en-US"/>
        </w:rPr>
        <w:t xml:space="preserve">the private purchaser </w:t>
      </w:r>
      <w:r w:rsidRPr="008A3740">
        <w:rPr>
          <w:rFonts w:ascii="Verdana" w:hAnsi="Verdana" w:cs="Arial"/>
          <w:sz w:val="20"/>
          <w:szCs w:val="20"/>
          <w:lang w:val="en-US"/>
        </w:rPr>
        <w:t xml:space="preserve">Magma Copper Corporation and Global Magma Ltd., did not </w:t>
      </w:r>
      <w:r w:rsidR="00CC75CD" w:rsidRPr="008A3740">
        <w:rPr>
          <w:rFonts w:ascii="Verdana" w:hAnsi="Verdana" w:cs="Arial"/>
          <w:sz w:val="20"/>
          <w:szCs w:val="20"/>
          <w:lang w:val="en-US"/>
        </w:rPr>
        <w:t>take over</w:t>
      </w:r>
      <w:r w:rsidR="005A49D4" w:rsidRPr="008A3740">
        <w:rPr>
          <w:rFonts w:ascii="Verdana" w:hAnsi="Verdana" w:cs="Arial"/>
          <w:sz w:val="20"/>
          <w:szCs w:val="20"/>
          <w:lang w:val="en-US"/>
        </w:rPr>
        <w:t xml:space="preserve"> </w:t>
      </w:r>
      <w:r w:rsidRPr="008A3740">
        <w:rPr>
          <w:rFonts w:ascii="Verdana" w:hAnsi="Verdana" w:cs="Arial"/>
          <w:sz w:val="20"/>
          <w:szCs w:val="20"/>
          <w:lang w:val="en-US"/>
        </w:rPr>
        <w:t xml:space="preserve">the liabilities </w:t>
      </w:r>
      <w:r w:rsidR="00F93D39" w:rsidRPr="008A3740">
        <w:rPr>
          <w:rFonts w:ascii="Verdana" w:hAnsi="Verdana" w:cs="Arial"/>
          <w:sz w:val="20"/>
          <w:szCs w:val="20"/>
          <w:lang w:val="en-US"/>
        </w:rPr>
        <w:t>of the State</w:t>
      </w:r>
      <w:r w:rsidR="008A3740" w:rsidRPr="008A3740">
        <w:rPr>
          <w:rFonts w:ascii="Verdana" w:hAnsi="Verdana" w:cs="Arial"/>
          <w:sz w:val="20"/>
          <w:szCs w:val="20"/>
          <w:lang w:val="en-US"/>
        </w:rPr>
        <w:t>-owned</w:t>
      </w:r>
      <w:r w:rsidR="00F93D39" w:rsidRPr="008A3740">
        <w:rPr>
          <w:rFonts w:ascii="Verdana" w:hAnsi="Verdana" w:cs="Arial"/>
          <w:sz w:val="20"/>
          <w:szCs w:val="20"/>
          <w:lang w:val="en-US"/>
        </w:rPr>
        <w:t xml:space="preserve"> </w:t>
      </w:r>
      <w:r w:rsidRPr="008A3740">
        <w:rPr>
          <w:rFonts w:ascii="Verdana" w:hAnsi="Verdana" w:cs="Arial"/>
          <w:sz w:val="20"/>
          <w:szCs w:val="20"/>
          <w:lang w:val="en-US"/>
        </w:rPr>
        <w:t xml:space="preserve">company, </w:t>
      </w:r>
      <w:r w:rsidR="00B7261C" w:rsidRPr="008A3740">
        <w:rPr>
          <w:rFonts w:ascii="Verdana" w:hAnsi="Verdana" w:cs="Arial"/>
          <w:sz w:val="20"/>
          <w:szCs w:val="20"/>
          <w:lang w:val="en-US"/>
        </w:rPr>
        <w:t xml:space="preserve">or </w:t>
      </w:r>
      <w:r w:rsidRPr="008A3740">
        <w:rPr>
          <w:rFonts w:ascii="Verdana" w:hAnsi="Verdana" w:cs="Arial"/>
          <w:sz w:val="20"/>
          <w:szCs w:val="20"/>
          <w:lang w:val="en-US"/>
        </w:rPr>
        <w:t xml:space="preserve">the obligation </w:t>
      </w:r>
      <w:r w:rsidR="00B7261C" w:rsidRPr="008A3740">
        <w:rPr>
          <w:rFonts w:ascii="Verdana" w:hAnsi="Verdana" w:cs="Arial"/>
          <w:sz w:val="20"/>
          <w:szCs w:val="20"/>
          <w:lang w:val="en-US"/>
        </w:rPr>
        <w:lastRenderedPageBreak/>
        <w:t xml:space="preserve">to pay </w:t>
      </w:r>
      <w:r w:rsidRPr="008A3740">
        <w:rPr>
          <w:rFonts w:ascii="Verdana" w:hAnsi="Verdana" w:cs="Arial"/>
          <w:sz w:val="20"/>
          <w:szCs w:val="20"/>
          <w:lang w:val="en-US"/>
        </w:rPr>
        <w:t xml:space="preserve">pensions. It stressed that the pension rules of Decree Law No. 20530 regulated State pensions and benefits financed with State resources, and consequently the private company could not administer pension funds; moreover, it emphasized that it did not </w:t>
      </w:r>
      <w:r w:rsidR="005A49D4" w:rsidRPr="008A3740">
        <w:rPr>
          <w:rFonts w:ascii="Verdana" w:hAnsi="Verdana" w:cs="Arial"/>
          <w:sz w:val="20"/>
          <w:szCs w:val="20"/>
          <w:lang w:val="en-US"/>
        </w:rPr>
        <w:t xml:space="preserve">take on </w:t>
      </w:r>
      <w:r w:rsidR="00CC75CD" w:rsidRPr="008A3740">
        <w:rPr>
          <w:rFonts w:ascii="Verdana" w:hAnsi="Verdana" w:cs="Arial"/>
          <w:sz w:val="20"/>
          <w:szCs w:val="20"/>
          <w:lang w:val="en-US"/>
        </w:rPr>
        <w:t>that obligation and</w:t>
      </w:r>
      <w:r w:rsidRPr="008A3740">
        <w:rPr>
          <w:rFonts w:ascii="Verdana" w:hAnsi="Verdana" w:cs="Arial"/>
          <w:sz w:val="20"/>
          <w:szCs w:val="20"/>
          <w:lang w:val="en-US"/>
        </w:rPr>
        <w:t xml:space="preserve"> </w:t>
      </w:r>
      <w:r w:rsidR="00B7261C" w:rsidRPr="008A3740">
        <w:rPr>
          <w:rFonts w:ascii="Verdana" w:hAnsi="Verdana" w:cs="Arial"/>
          <w:sz w:val="20"/>
          <w:szCs w:val="20"/>
          <w:lang w:val="en-US"/>
        </w:rPr>
        <w:t xml:space="preserve">that </w:t>
      </w:r>
      <w:r w:rsidR="00CC75CD" w:rsidRPr="008A3740">
        <w:rPr>
          <w:rFonts w:ascii="Verdana" w:hAnsi="Verdana" w:cs="Arial"/>
          <w:sz w:val="20"/>
          <w:szCs w:val="20"/>
          <w:lang w:val="en-US"/>
        </w:rPr>
        <w:t xml:space="preserve">in accordance with </w:t>
      </w:r>
      <w:r w:rsidRPr="008A3740">
        <w:rPr>
          <w:rFonts w:ascii="Verdana" w:hAnsi="Verdana" w:cs="Arial"/>
          <w:sz w:val="20"/>
          <w:szCs w:val="20"/>
          <w:lang w:val="en-US"/>
        </w:rPr>
        <w:t xml:space="preserve">the </w:t>
      </w:r>
      <w:r w:rsidR="00CC75CD" w:rsidRPr="008A3740">
        <w:rPr>
          <w:rFonts w:ascii="Verdana" w:hAnsi="Verdana" w:cs="Arial"/>
          <w:sz w:val="20"/>
          <w:szCs w:val="20"/>
          <w:lang w:val="en-US"/>
        </w:rPr>
        <w:t xml:space="preserve">cited </w:t>
      </w:r>
      <w:r w:rsidRPr="008A3740">
        <w:rPr>
          <w:rFonts w:ascii="Verdana" w:hAnsi="Verdana" w:cs="Arial"/>
          <w:sz w:val="20"/>
          <w:szCs w:val="20"/>
          <w:lang w:val="en-US"/>
        </w:rPr>
        <w:t>Decree</w:t>
      </w:r>
      <w:r w:rsidR="00CC75CD" w:rsidRPr="008A3740">
        <w:rPr>
          <w:rFonts w:ascii="Verdana" w:hAnsi="Verdana" w:cs="Arial"/>
          <w:sz w:val="20"/>
          <w:szCs w:val="20"/>
          <w:lang w:val="en-US"/>
        </w:rPr>
        <w:t>,</w:t>
      </w:r>
      <w:r w:rsidRPr="008A3740">
        <w:rPr>
          <w:rFonts w:ascii="Verdana" w:hAnsi="Verdana" w:cs="Arial"/>
          <w:sz w:val="20"/>
          <w:szCs w:val="20"/>
          <w:lang w:val="en-US"/>
        </w:rPr>
        <w:t xml:space="preserve"> the </w:t>
      </w:r>
      <w:r w:rsidR="005A49D4" w:rsidRPr="008A3740">
        <w:rPr>
          <w:rFonts w:ascii="Verdana" w:hAnsi="Verdana" w:cs="Arial"/>
          <w:sz w:val="20"/>
          <w:szCs w:val="20"/>
          <w:lang w:val="en-US"/>
        </w:rPr>
        <w:t xml:space="preserve">plaintiff’s </w:t>
      </w:r>
      <w:r w:rsidR="00513719" w:rsidRPr="008A3740">
        <w:rPr>
          <w:rFonts w:ascii="Verdana" w:hAnsi="Verdana" w:cs="Arial"/>
          <w:sz w:val="20"/>
          <w:szCs w:val="20"/>
          <w:lang w:val="en-US"/>
        </w:rPr>
        <w:t xml:space="preserve">legal </w:t>
      </w:r>
      <w:r w:rsidR="005A49D4" w:rsidRPr="008A3740">
        <w:rPr>
          <w:rFonts w:ascii="Verdana" w:hAnsi="Verdana" w:cs="Arial"/>
          <w:sz w:val="20"/>
          <w:szCs w:val="20"/>
          <w:lang w:val="en-US"/>
        </w:rPr>
        <w:t xml:space="preserve">relationship </w:t>
      </w:r>
      <w:r w:rsidRPr="008A3740">
        <w:rPr>
          <w:rFonts w:ascii="Verdana" w:hAnsi="Verdana" w:cs="Arial"/>
          <w:sz w:val="20"/>
          <w:szCs w:val="20"/>
          <w:lang w:val="en-US"/>
        </w:rPr>
        <w:t>was with the State.</w:t>
      </w:r>
      <w:r w:rsidRPr="008A3740">
        <w:rPr>
          <w:rStyle w:val="Refdenotaalpie"/>
          <w:rFonts w:cs="Arial"/>
          <w:szCs w:val="20"/>
          <w:lang w:val="en-US"/>
        </w:rPr>
        <w:footnoteReference w:id="112"/>
      </w:r>
      <w:r w:rsidRPr="008A3740">
        <w:rPr>
          <w:rFonts w:ascii="Verdana" w:hAnsi="Verdana" w:cs="Arial"/>
          <w:sz w:val="20"/>
          <w:szCs w:val="20"/>
          <w:lang w:val="en-US"/>
        </w:rPr>
        <w:t xml:space="preserve"> </w:t>
      </w:r>
      <w:r w:rsidR="00CB16FA" w:rsidRPr="008A3740">
        <w:rPr>
          <w:rFonts w:ascii="Verdana" w:hAnsi="Verdana" w:cs="Arial"/>
          <w:sz w:val="20"/>
          <w:szCs w:val="20"/>
          <w:lang w:val="en-US"/>
        </w:rPr>
        <w:t>In addition, t</w:t>
      </w:r>
      <w:r w:rsidRPr="008A3740">
        <w:rPr>
          <w:rFonts w:ascii="Verdana" w:hAnsi="Verdana" w:cs="Arial"/>
          <w:sz w:val="20"/>
          <w:szCs w:val="20"/>
          <w:lang w:val="en-US"/>
        </w:rPr>
        <w:t xml:space="preserve">he Second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w:t>
      </w:r>
      <w:r w:rsidR="00CB16FA" w:rsidRPr="008A3740">
        <w:rPr>
          <w:rFonts w:ascii="Verdana" w:hAnsi="Verdana" w:cs="Arial"/>
          <w:sz w:val="20"/>
          <w:szCs w:val="20"/>
          <w:lang w:val="en-US"/>
        </w:rPr>
        <w:t>considered that,</w:t>
      </w:r>
      <w:r w:rsidRPr="008A3740">
        <w:rPr>
          <w:rFonts w:ascii="Verdana" w:hAnsi="Verdana" w:cs="Arial"/>
          <w:sz w:val="20"/>
          <w:szCs w:val="20"/>
          <w:lang w:val="en-US"/>
        </w:rPr>
        <w:t xml:space="preserve"> in the case of privatized companies, the rules </w:t>
      </w:r>
      <w:r w:rsidR="00CB16FA" w:rsidRPr="008A3740">
        <w:rPr>
          <w:rFonts w:ascii="Verdana" w:hAnsi="Verdana" w:cs="Arial"/>
          <w:sz w:val="20"/>
          <w:szCs w:val="20"/>
          <w:lang w:val="en-US"/>
        </w:rPr>
        <w:t xml:space="preserve">introduced in 2002 stipulated </w:t>
      </w:r>
      <w:r w:rsidRPr="008A3740">
        <w:rPr>
          <w:rFonts w:ascii="Verdana" w:hAnsi="Verdana" w:cs="Arial"/>
          <w:sz w:val="20"/>
          <w:szCs w:val="20"/>
          <w:lang w:val="en-US"/>
        </w:rPr>
        <w:t xml:space="preserve">which public entities would be responsible for </w:t>
      </w:r>
      <w:r w:rsidR="00CB16FA" w:rsidRPr="008A3740">
        <w:rPr>
          <w:rFonts w:ascii="Verdana" w:hAnsi="Verdana" w:cs="Arial"/>
          <w:sz w:val="20"/>
          <w:szCs w:val="20"/>
          <w:lang w:val="en-US"/>
        </w:rPr>
        <w:t xml:space="preserve">awarding and paying </w:t>
      </w:r>
      <w:r w:rsidRPr="008A3740">
        <w:rPr>
          <w:rFonts w:ascii="Verdana" w:hAnsi="Verdana" w:cs="Arial"/>
          <w:sz w:val="20"/>
          <w:szCs w:val="20"/>
          <w:lang w:val="en-US"/>
        </w:rPr>
        <w:t xml:space="preserve">pensions under the </w:t>
      </w:r>
      <w:r w:rsidR="00CB16FA" w:rsidRPr="008A3740">
        <w:rPr>
          <w:rFonts w:ascii="Verdana" w:hAnsi="Verdana" w:cs="Arial"/>
          <w:sz w:val="20"/>
          <w:szCs w:val="20"/>
          <w:lang w:val="en-US"/>
        </w:rPr>
        <w:t xml:space="preserve">system </w:t>
      </w:r>
      <w:r w:rsidRPr="008A3740">
        <w:rPr>
          <w:rFonts w:ascii="Verdana" w:hAnsi="Verdana" w:cs="Arial"/>
          <w:sz w:val="20"/>
          <w:szCs w:val="20"/>
          <w:lang w:val="en-US"/>
        </w:rPr>
        <w:t>in question.</w:t>
      </w:r>
      <w:r w:rsidRPr="008A3740">
        <w:rPr>
          <w:rStyle w:val="Refdenotaalpie"/>
          <w:rFonts w:cs="Arial"/>
          <w:szCs w:val="20"/>
          <w:lang w:val="en-US"/>
        </w:rPr>
        <w:footnoteReference w:id="113"/>
      </w:r>
      <w:r w:rsidRPr="008A3740">
        <w:rPr>
          <w:rFonts w:ascii="Verdana" w:hAnsi="Verdana" w:cs="Arial"/>
          <w:sz w:val="20"/>
          <w:szCs w:val="20"/>
          <w:lang w:val="en-US"/>
        </w:rPr>
        <w:t xml:space="preserve"> The </w:t>
      </w:r>
      <w:r w:rsidR="00CB16FA" w:rsidRPr="008A3740">
        <w:rPr>
          <w:rFonts w:ascii="Verdana" w:hAnsi="Verdana" w:cs="Arial"/>
          <w:sz w:val="20"/>
          <w:szCs w:val="20"/>
          <w:lang w:val="en-US"/>
        </w:rPr>
        <w:t xml:space="preserve">Chamber </w:t>
      </w:r>
      <w:r w:rsidRPr="008A3740">
        <w:rPr>
          <w:rFonts w:ascii="Verdana" w:hAnsi="Verdana" w:cs="Arial"/>
          <w:sz w:val="20"/>
          <w:szCs w:val="20"/>
          <w:lang w:val="en-US"/>
        </w:rPr>
        <w:t>orde</w:t>
      </w:r>
      <w:r w:rsidR="00F95995" w:rsidRPr="008A3740">
        <w:rPr>
          <w:rFonts w:ascii="Verdana" w:hAnsi="Verdana" w:cs="Arial"/>
          <w:sz w:val="20"/>
          <w:szCs w:val="20"/>
          <w:lang w:val="en-US"/>
        </w:rPr>
        <w:t xml:space="preserve">red that a new </w:t>
      </w:r>
      <w:r w:rsidRPr="008A3740">
        <w:rPr>
          <w:rFonts w:ascii="Verdana" w:hAnsi="Verdana" w:cs="Arial"/>
          <w:sz w:val="20"/>
          <w:szCs w:val="20"/>
          <w:lang w:val="en-US"/>
        </w:rPr>
        <w:t xml:space="preserve">resolution </w:t>
      </w:r>
      <w:r w:rsidR="00F95995" w:rsidRPr="008A3740">
        <w:rPr>
          <w:rFonts w:ascii="Verdana" w:hAnsi="Verdana" w:cs="Arial"/>
          <w:sz w:val="20"/>
          <w:szCs w:val="20"/>
          <w:lang w:val="en-US"/>
        </w:rPr>
        <w:t xml:space="preserve">be issued, </w:t>
      </w:r>
      <w:r w:rsidR="00CB16FA" w:rsidRPr="008A3740">
        <w:rPr>
          <w:rFonts w:ascii="Verdana" w:hAnsi="Verdana" w:cs="Arial"/>
          <w:sz w:val="20"/>
          <w:szCs w:val="20"/>
          <w:lang w:val="en-US"/>
        </w:rPr>
        <w:t>“</w:t>
      </w:r>
      <w:r w:rsidRPr="008A3740">
        <w:rPr>
          <w:rFonts w:ascii="Verdana" w:hAnsi="Verdana" w:cs="Arial"/>
          <w:sz w:val="20"/>
          <w:szCs w:val="20"/>
          <w:lang w:val="en-US"/>
        </w:rPr>
        <w:t xml:space="preserve">taking </w:t>
      </w:r>
      <w:r w:rsidR="00CB16FA" w:rsidRPr="008A3740">
        <w:rPr>
          <w:rFonts w:ascii="Verdana" w:hAnsi="Verdana" w:cs="Arial"/>
          <w:sz w:val="20"/>
          <w:szCs w:val="20"/>
          <w:lang w:val="en-US"/>
        </w:rPr>
        <w:t xml:space="preserve">these considerations </w:t>
      </w:r>
      <w:r w:rsidRPr="008A3740">
        <w:rPr>
          <w:rFonts w:ascii="Verdana" w:hAnsi="Verdana" w:cs="Arial"/>
          <w:sz w:val="20"/>
          <w:szCs w:val="20"/>
          <w:lang w:val="en-US"/>
        </w:rPr>
        <w:t>into account</w:t>
      </w:r>
      <w:r w:rsidR="00CB16FA" w:rsidRPr="008A3740">
        <w:rPr>
          <w:rFonts w:ascii="Verdana" w:hAnsi="Verdana" w:cs="Arial"/>
          <w:sz w:val="20"/>
          <w:szCs w:val="20"/>
          <w:lang w:val="en-US"/>
        </w:rPr>
        <w:t>.”</w:t>
      </w:r>
      <w:r w:rsidRPr="008A3740">
        <w:rPr>
          <w:rStyle w:val="Refdenotaalpie"/>
          <w:rFonts w:cs="Arial"/>
          <w:szCs w:val="20"/>
          <w:lang w:val="en-US"/>
        </w:rPr>
        <w:footnoteReference w:id="114"/>
      </w:r>
      <w:r w:rsidRPr="008A3740">
        <w:rPr>
          <w:rFonts w:ascii="Verdana" w:hAnsi="Verdana" w:cs="Arial"/>
          <w:sz w:val="20"/>
          <w:szCs w:val="20"/>
          <w:lang w:val="en-US"/>
        </w:rPr>
        <w:t xml:space="preserve"> </w:t>
      </w:r>
      <w:r w:rsidR="00CB16FA" w:rsidRPr="008A3740">
        <w:rPr>
          <w:rFonts w:ascii="Verdana" w:hAnsi="Verdana" w:cs="Arial"/>
          <w:sz w:val="20"/>
          <w:szCs w:val="20"/>
          <w:lang w:val="en-US"/>
        </w:rPr>
        <w:t>Thus, the resolution of October 30, 2012</w:t>
      </w:r>
      <w:r w:rsidR="001E67CA" w:rsidRPr="008A3740">
        <w:rPr>
          <w:rFonts w:ascii="Verdana" w:hAnsi="Verdana" w:cs="Arial"/>
          <w:sz w:val="20"/>
          <w:szCs w:val="20"/>
          <w:lang w:val="en-US"/>
        </w:rPr>
        <w:t>,</w:t>
      </w:r>
      <w:r w:rsidR="00CB16FA" w:rsidRPr="008A3740">
        <w:rPr>
          <w:rFonts w:ascii="Verdana" w:hAnsi="Verdana" w:cs="Arial"/>
          <w:sz w:val="20"/>
          <w:szCs w:val="20"/>
          <w:lang w:val="en-US"/>
        </w:rPr>
        <w:t xml:space="preserve"> ordering the suspension of the [e</w:t>
      </w:r>
      <w:r w:rsidR="001E67CA" w:rsidRPr="008A3740">
        <w:rPr>
          <w:rFonts w:ascii="Verdana" w:hAnsi="Verdana" w:cs="Arial"/>
          <w:sz w:val="20"/>
          <w:szCs w:val="20"/>
          <w:lang w:val="en-US"/>
        </w:rPr>
        <w:t>xecution</w:t>
      </w:r>
      <w:r w:rsidR="00CB16FA" w:rsidRPr="008A3740">
        <w:rPr>
          <w:rFonts w:ascii="Verdana" w:hAnsi="Verdana" w:cs="Arial"/>
          <w:sz w:val="20"/>
          <w:szCs w:val="20"/>
          <w:lang w:val="en-US"/>
        </w:rPr>
        <w:t>] proceeding pending a decision on the appeal,</w:t>
      </w:r>
      <w:r w:rsidRPr="008A3740">
        <w:rPr>
          <w:rFonts w:ascii="Verdana" w:hAnsi="Verdana" w:cs="Arial"/>
          <w:sz w:val="20"/>
          <w:szCs w:val="20"/>
          <w:lang w:val="en-US"/>
        </w:rPr>
        <w:t xml:space="preserve"> </w:t>
      </w:r>
      <w:r w:rsidR="00CB16FA" w:rsidRPr="008A3740">
        <w:rPr>
          <w:rFonts w:ascii="Verdana" w:hAnsi="Verdana" w:cs="Arial"/>
          <w:sz w:val="20"/>
          <w:szCs w:val="20"/>
          <w:lang w:val="en-US"/>
        </w:rPr>
        <w:t xml:space="preserve">was rendered </w:t>
      </w:r>
      <w:r w:rsidR="00F95995" w:rsidRPr="008A3740">
        <w:rPr>
          <w:rFonts w:ascii="Verdana" w:hAnsi="Verdana" w:cs="Arial"/>
          <w:sz w:val="20"/>
          <w:szCs w:val="20"/>
          <w:lang w:val="en-US"/>
        </w:rPr>
        <w:t>ineffective</w:t>
      </w:r>
      <w:r w:rsidRPr="008A3740">
        <w:rPr>
          <w:rFonts w:ascii="Verdana" w:hAnsi="Verdana" w:cs="Arial"/>
          <w:sz w:val="20"/>
          <w:szCs w:val="20"/>
          <w:lang w:val="en-US"/>
        </w:rPr>
        <w:t>.</w:t>
      </w:r>
      <w:r w:rsidRPr="008A3740">
        <w:rPr>
          <w:rStyle w:val="Refdenotaalpie"/>
          <w:rFonts w:cs="Arial"/>
          <w:szCs w:val="20"/>
          <w:lang w:val="en-US"/>
        </w:rPr>
        <w:footnoteReference w:id="115"/>
      </w:r>
    </w:p>
    <w:p w14:paraId="3C14B782" w14:textId="77777777" w:rsidR="008E6A56" w:rsidRPr="008A3740" w:rsidRDefault="008E6A56" w:rsidP="008E6A56">
      <w:pPr>
        <w:tabs>
          <w:tab w:val="left" w:pos="567"/>
        </w:tabs>
        <w:rPr>
          <w:rFonts w:ascii="Verdana" w:hAnsi="Verdana" w:cs="Arial"/>
          <w:sz w:val="20"/>
          <w:szCs w:val="20"/>
          <w:lang w:val="en-US"/>
        </w:rPr>
      </w:pPr>
    </w:p>
    <w:p w14:paraId="01D0DC6F"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On September 5, 2014, the </w:t>
      </w:r>
      <w:r w:rsidR="005A49D4" w:rsidRPr="008A3740">
        <w:rPr>
          <w:rFonts w:ascii="Verdana" w:hAnsi="Verdana" w:cs="Arial"/>
          <w:sz w:val="20"/>
          <w:szCs w:val="20"/>
          <w:lang w:val="en-US"/>
        </w:rPr>
        <w:t>Thirty-third</w:t>
      </w:r>
      <w:r w:rsidRPr="008A3740">
        <w:rPr>
          <w:rFonts w:ascii="Verdana" w:hAnsi="Verdana" w:cs="Arial"/>
          <w:sz w:val="20"/>
          <w:szCs w:val="20"/>
          <w:lang w:val="en-US"/>
        </w:rPr>
        <w:t xml:space="preserve"> Civil Court adopted a resolution </w:t>
      </w:r>
      <w:r w:rsidR="00A1358C" w:rsidRPr="008A3740">
        <w:rPr>
          <w:rFonts w:ascii="Verdana" w:hAnsi="Verdana" w:cs="Arial"/>
          <w:sz w:val="20"/>
          <w:szCs w:val="20"/>
          <w:lang w:val="en-US"/>
        </w:rPr>
        <w:t xml:space="preserve">requiring that </w:t>
      </w:r>
      <w:r w:rsidRPr="008A3740">
        <w:rPr>
          <w:rFonts w:ascii="Verdana" w:hAnsi="Verdana" w:cs="Arial"/>
          <w:sz w:val="20"/>
          <w:szCs w:val="20"/>
          <w:lang w:val="en-US"/>
        </w:rPr>
        <w:t>the MEF provide information on the assets and liabilities assumed by the fo</w:t>
      </w:r>
      <w:r w:rsidR="00803258" w:rsidRPr="008A3740">
        <w:rPr>
          <w:rFonts w:ascii="Verdana" w:hAnsi="Verdana" w:cs="Arial"/>
          <w:sz w:val="20"/>
          <w:szCs w:val="20"/>
          <w:lang w:val="en-US"/>
        </w:rPr>
        <w:t>rmer State company Tintaya S.A.</w:t>
      </w:r>
      <w:r w:rsidRPr="008A3740">
        <w:rPr>
          <w:rFonts w:ascii="Verdana" w:hAnsi="Verdana" w:cs="Arial"/>
          <w:sz w:val="20"/>
          <w:szCs w:val="20"/>
          <w:lang w:val="en-US"/>
        </w:rPr>
        <w:t xml:space="preserve"> </w:t>
      </w:r>
      <w:r w:rsidR="00803258" w:rsidRPr="008A3740">
        <w:rPr>
          <w:rFonts w:ascii="Verdana" w:hAnsi="Verdana" w:cs="Arial"/>
          <w:sz w:val="20"/>
          <w:szCs w:val="20"/>
          <w:lang w:val="en-US"/>
        </w:rPr>
        <w:t>This information was requ</w:t>
      </w:r>
      <w:r w:rsidR="00A1358C" w:rsidRPr="008A3740">
        <w:rPr>
          <w:rFonts w:ascii="Verdana" w:hAnsi="Verdana" w:cs="Arial"/>
          <w:sz w:val="20"/>
          <w:szCs w:val="20"/>
          <w:lang w:val="en-US"/>
        </w:rPr>
        <w:t xml:space="preserve">ired </w:t>
      </w:r>
      <w:r w:rsidR="00803258" w:rsidRPr="008A3740">
        <w:rPr>
          <w:rFonts w:ascii="Verdana" w:hAnsi="Verdana" w:cs="Arial"/>
          <w:sz w:val="20"/>
          <w:szCs w:val="20"/>
          <w:lang w:val="en-US"/>
        </w:rPr>
        <w:t>i</w:t>
      </w:r>
      <w:r w:rsidRPr="008A3740">
        <w:rPr>
          <w:rFonts w:ascii="Verdana" w:hAnsi="Verdana" w:cs="Arial"/>
          <w:sz w:val="20"/>
          <w:szCs w:val="20"/>
          <w:lang w:val="en-US"/>
        </w:rPr>
        <w:t>n an officia</w:t>
      </w:r>
      <w:r w:rsidR="00803258" w:rsidRPr="008A3740">
        <w:rPr>
          <w:rFonts w:ascii="Verdana" w:hAnsi="Verdana" w:cs="Arial"/>
          <w:sz w:val="20"/>
          <w:szCs w:val="20"/>
          <w:lang w:val="en-US"/>
        </w:rPr>
        <w:t>l letter dated September 9, 2014</w:t>
      </w:r>
      <w:r w:rsidRPr="008A3740">
        <w:rPr>
          <w:rFonts w:ascii="Verdana" w:hAnsi="Verdana" w:cs="Arial"/>
          <w:sz w:val="20"/>
          <w:szCs w:val="20"/>
          <w:lang w:val="en-US"/>
        </w:rPr>
        <w:t>.</w:t>
      </w:r>
      <w:r w:rsidRPr="008A3740">
        <w:rPr>
          <w:rStyle w:val="Refdenotaalpie"/>
          <w:rFonts w:cs="Arial"/>
          <w:szCs w:val="20"/>
          <w:lang w:val="en-US"/>
        </w:rPr>
        <w:footnoteReference w:id="116"/>
      </w:r>
    </w:p>
    <w:p w14:paraId="44A53882" w14:textId="77777777" w:rsidR="008E6A56" w:rsidRPr="008A3740" w:rsidRDefault="008E6A56" w:rsidP="008E6A56">
      <w:pPr>
        <w:pStyle w:val="Prrafodelista"/>
        <w:rPr>
          <w:rFonts w:ascii="Verdana" w:hAnsi="Verdana" w:cs="Arial"/>
          <w:sz w:val="20"/>
          <w:szCs w:val="20"/>
          <w:lang w:val="en-US"/>
        </w:rPr>
      </w:pPr>
    </w:p>
    <w:p w14:paraId="1175B730"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On June 11, 2015, the </w:t>
      </w:r>
      <w:r w:rsidR="005A49D4" w:rsidRPr="008A3740">
        <w:rPr>
          <w:rFonts w:ascii="Verdana" w:hAnsi="Verdana" w:cs="Arial"/>
          <w:sz w:val="20"/>
          <w:szCs w:val="20"/>
          <w:lang w:val="en-US"/>
        </w:rPr>
        <w:t>Thirty-third</w:t>
      </w:r>
      <w:r w:rsidRPr="008A3740">
        <w:rPr>
          <w:rFonts w:ascii="Verdana" w:hAnsi="Verdana" w:cs="Arial"/>
          <w:sz w:val="20"/>
          <w:szCs w:val="20"/>
          <w:lang w:val="en-US"/>
        </w:rPr>
        <w:t xml:space="preserve"> Civil Court issued a resolution declaring </w:t>
      </w:r>
      <w:r w:rsidR="00A1358C" w:rsidRPr="008A3740">
        <w:rPr>
          <w:rFonts w:ascii="Verdana" w:hAnsi="Verdana" w:cs="Arial"/>
          <w:sz w:val="20"/>
          <w:szCs w:val="20"/>
          <w:lang w:val="en-US"/>
        </w:rPr>
        <w:t xml:space="preserve">without merit </w:t>
      </w:r>
      <w:r w:rsidRPr="008A3740">
        <w:rPr>
          <w:rFonts w:ascii="Verdana" w:hAnsi="Verdana" w:cs="Arial"/>
          <w:sz w:val="20"/>
          <w:szCs w:val="20"/>
          <w:lang w:val="en-US"/>
        </w:rPr>
        <w:t xml:space="preserve">the annulment of the resolution of September 5, 2014, </w:t>
      </w:r>
      <w:r w:rsidR="00A1358C" w:rsidRPr="008A3740">
        <w:rPr>
          <w:rFonts w:ascii="Verdana" w:hAnsi="Verdana" w:cs="Arial"/>
          <w:sz w:val="20"/>
          <w:szCs w:val="20"/>
          <w:lang w:val="en-US"/>
        </w:rPr>
        <w:t>and considered</w:t>
      </w:r>
      <w:r w:rsidRPr="008A3740">
        <w:rPr>
          <w:rFonts w:ascii="Verdana" w:hAnsi="Verdana" w:cs="Arial"/>
          <w:sz w:val="20"/>
          <w:szCs w:val="20"/>
          <w:lang w:val="en-US"/>
        </w:rPr>
        <w:t xml:space="preserve"> that the company Xstrata Tintaya S.A. should assume the obligation to pay Mr. Muelle Flores’ pension. The </w:t>
      </w:r>
      <w:r w:rsidR="005A49D4" w:rsidRPr="008A3740">
        <w:rPr>
          <w:rFonts w:ascii="Verdana" w:hAnsi="Verdana" w:cs="Arial"/>
          <w:sz w:val="20"/>
          <w:szCs w:val="20"/>
          <w:lang w:val="en-US"/>
        </w:rPr>
        <w:t>Thirty-third</w:t>
      </w:r>
      <w:r w:rsidRPr="008A3740">
        <w:rPr>
          <w:rFonts w:ascii="Verdana" w:hAnsi="Verdana" w:cs="Arial"/>
          <w:sz w:val="20"/>
          <w:szCs w:val="20"/>
          <w:lang w:val="en-US"/>
        </w:rPr>
        <w:t xml:space="preserve"> Civil Court emphasized that the judgment of February 2, 1993</w:t>
      </w:r>
      <w:r w:rsidR="00A1358C" w:rsidRPr="008A3740">
        <w:rPr>
          <w:rFonts w:ascii="Verdana" w:hAnsi="Verdana" w:cs="Arial"/>
          <w:sz w:val="20"/>
          <w:szCs w:val="20"/>
          <w:lang w:val="en-US"/>
        </w:rPr>
        <w:t>,</w:t>
      </w:r>
      <w:r w:rsidRPr="008A3740">
        <w:rPr>
          <w:rFonts w:ascii="Verdana" w:hAnsi="Verdana" w:cs="Arial"/>
          <w:sz w:val="20"/>
          <w:szCs w:val="20"/>
          <w:lang w:val="en-US"/>
        </w:rPr>
        <w:t xml:space="preserve"> was issued prior to the privatization of Tintaya S.A. and based its </w:t>
      </w:r>
      <w:r w:rsidR="00803258" w:rsidRPr="008A3740">
        <w:rPr>
          <w:rFonts w:ascii="Verdana" w:hAnsi="Verdana" w:cs="Arial"/>
          <w:sz w:val="20"/>
          <w:szCs w:val="20"/>
          <w:lang w:val="en-US"/>
        </w:rPr>
        <w:t xml:space="preserve">annulment </w:t>
      </w:r>
      <w:r w:rsidRPr="008A3740">
        <w:rPr>
          <w:rFonts w:ascii="Verdana" w:hAnsi="Verdana" w:cs="Arial"/>
          <w:sz w:val="20"/>
          <w:szCs w:val="20"/>
          <w:lang w:val="en-US"/>
        </w:rPr>
        <w:t>decision</w:t>
      </w:r>
      <w:r w:rsidR="00803258" w:rsidRPr="008A3740">
        <w:rPr>
          <w:rFonts w:ascii="Verdana" w:hAnsi="Verdana" w:cs="Arial"/>
          <w:sz w:val="20"/>
          <w:szCs w:val="20"/>
          <w:lang w:val="en-US"/>
        </w:rPr>
        <w:t xml:space="preserve"> o</w:t>
      </w:r>
      <w:r w:rsidRPr="008A3740">
        <w:rPr>
          <w:rFonts w:ascii="Verdana" w:hAnsi="Verdana" w:cs="Arial"/>
          <w:sz w:val="20"/>
          <w:szCs w:val="20"/>
          <w:lang w:val="en-US"/>
        </w:rPr>
        <w:t xml:space="preserve">n the following arguments: a) the MEF and the ONP concluded that </w:t>
      </w:r>
      <w:r w:rsidR="00803258" w:rsidRPr="008A3740">
        <w:rPr>
          <w:rFonts w:ascii="Verdana" w:hAnsi="Verdana" w:cs="Arial"/>
          <w:sz w:val="20"/>
          <w:szCs w:val="20"/>
          <w:lang w:val="en-US"/>
        </w:rPr>
        <w:t xml:space="preserve">they did not have the </w:t>
      </w:r>
      <w:r w:rsidRPr="008A3740">
        <w:rPr>
          <w:rFonts w:ascii="Verdana" w:hAnsi="Verdana" w:cs="Arial"/>
          <w:sz w:val="20"/>
          <w:szCs w:val="20"/>
          <w:lang w:val="en-US"/>
        </w:rPr>
        <w:t xml:space="preserve">obligation </w:t>
      </w:r>
      <w:r w:rsidR="00803258" w:rsidRPr="008A3740">
        <w:rPr>
          <w:rFonts w:ascii="Verdana" w:hAnsi="Verdana" w:cs="Arial"/>
          <w:sz w:val="20"/>
          <w:szCs w:val="20"/>
          <w:lang w:val="en-US"/>
        </w:rPr>
        <w:t xml:space="preserve">to pay </w:t>
      </w:r>
      <w:r w:rsidRPr="008A3740">
        <w:rPr>
          <w:rFonts w:ascii="Verdana" w:hAnsi="Verdana" w:cs="Arial"/>
          <w:sz w:val="20"/>
          <w:szCs w:val="20"/>
          <w:lang w:val="en-US"/>
        </w:rPr>
        <w:t xml:space="preserve">Mr. Muelle Flores’ pension, since the judgment of the Constitutional Court </w:t>
      </w:r>
      <w:r w:rsidR="00F95995" w:rsidRPr="008A3740">
        <w:rPr>
          <w:rFonts w:ascii="Verdana" w:hAnsi="Verdana" w:cs="Arial"/>
          <w:sz w:val="20"/>
          <w:szCs w:val="20"/>
          <w:lang w:val="en-US"/>
        </w:rPr>
        <w:t xml:space="preserve">had </w:t>
      </w:r>
      <w:r w:rsidRPr="008A3740">
        <w:rPr>
          <w:rFonts w:ascii="Verdana" w:hAnsi="Verdana" w:cs="Arial"/>
          <w:sz w:val="20"/>
          <w:szCs w:val="20"/>
          <w:lang w:val="en-US"/>
        </w:rPr>
        <w:t xml:space="preserve">expressly </w:t>
      </w:r>
      <w:r w:rsidR="00F95995" w:rsidRPr="008A3740">
        <w:rPr>
          <w:rFonts w:ascii="Verdana" w:hAnsi="Verdana" w:cs="Arial"/>
          <w:sz w:val="20"/>
          <w:szCs w:val="20"/>
          <w:lang w:val="en-US"/>
        </w:rPr>
        <w:t xml:space="preserve">stated </w:t>
      </w:r>
      <w:r w:rsidRPr="008A3740">
        <w:rPr>
          <w:rFonts w:ascii="Verdana" w:hAnsi="Verdana" w:cs="Arial"/>
          <w:sz w:val="20"/>
          <w:szCs w:val="20"/>
          <w:lang w:val="en-US"/>
        </w:rPr>
        <w:t xml:space="preserve">that </w:t>
      </w:r>
      <w:r w:rsidR="00803258" w:rsidRPr="008A3740">
        <w:rPr>
          <w:rFonts w:ascii="Verdana" w:hAnsi="Verdana" w:cs="Arial"/>
          <w:sz w:val="20"/>
          <w:szCs w:val="20"/>
          <w:lang w:val="en-US"/>
        </w:rPr>
        <w:t xml:space="preserve">Tintaya S.A. had </w:t>
      </w:r>
      <w:r w:rsidRPr="008A3740">
        <w:rPr>
          <w:rFonts w:ascii="Verdana" w:hAnsi="Verdana" w:cs="Arial"/>
          <w:sz w:val="20"/>
          <w:szCs w:val="20"/>
          <w:lang w:val="en-US"/>
        </w:rPr>
        <w:t xml:space="preserve">the obligation </w:t>
      </w:r>
      <w:r w:rsidR="00803258" w:rsidRPr="008A3740">
        <w:rPr>
          <w:rFonts w:ascii="Verdana" w:hAnsi="Verdana" w:cs="Arial"/>
          <w:sz w:val="20"/>
          <w:szCs w:val="20"/>
          <w:lang w:val="en-US"/>
        </w:rPr>
        <w:t xml:space="preserve">to pay it </w:t>
      </w:r>
      <w:r w:rsidRPr="008A3740">
        <w:rPr>
          <w:rFonts w:ascii="Verdana" w:hAnsi="Verdana" w:cs="Arial"/>
          <w:sz w:val="20"/>
          <w:szCs w:val="20"/>
          <w:lang w:val="en-US"/>
        </w:rPr>
        <w:t>(</w:t>
      </w:r>
      <w:r w:rsidRPr="008A3740">
        <w:rPr>
          <w:rFonts w:ascii="Verdana" w:hAnsi="Verdana" w:cs="Arial"/>
          <w:i/>
          <w:sz w:val="20"/>
          <w:szCs w:val="20"/>
          <w:lang w:val="en-US"/>
        </w:rPr>
        <w:t>supra</w:t>
      </w:r>
      <w:r w:rsidRPr="008A3740">
        <w:rPr>
          <w:rFonts w:ascii="Verdana" w:hAnsi="Verdana" w:cs="Arial"/>
          <w:sz w:val="20"/>
          <w:szCs w:val="20"/>
          <w:lang w:val="en-US"/>
        </w:rPr>
        <w:t xml:space="preserve"> paras. 67 and 68); b) “</w:t>
      </w:r>
      <w:r w:rsidR="00803258" w:rsidRPr="008A3740">
        <w:rPr>
          <w:rFonts w:ascii="Verdana" w:hAnsi="Verdana" w:cs="Arial"/>
          <w:sz w:val="20"/>
          <w:szCs w:val="20"/>
          <w:lang w:val="en-US"/>
        </w:rPr>
        <w:t xml:space="preserve">it </w:t>
      </w:r>
      <w:r w:rsidRPr="008A3740">
        <w:rPr>
          <w:rFonts w:ascii="Verdana" w:hAnsi="Verdana" w:cs="Arial"/>
          <w:sz w:val="20"/>
          <w:szCs w:val="20"/>
          <w:lang w:val="en-US"/>
        </w:rPr>
        <w:t>[ha</w:t>
      </w:r>
      <w:r w:rsidR="00803258" w:rsidRPr="008A3740">
        <w:rPr>
          <w:rFonts w:ascii="Verdana" w:hAnsi="Verdana" w:cs="Arial"/>
          <w:sz w:val="20"/>
          <w:szCs w:val="20"/>
          <w:lang w:val="en-US"/>
        </w:rPr>
        <w:t>d</w:t>
      </w:r>
      <w:r w:rsidRPr="008A3740">
        <w:rPr>
          <w:rFonts w:ascii="Verdana" w:hAnsi="Verdana" w:cs="Arial"/>
          <w:sz w:val="20"/>
          <w:szCs w:val="20"/>
          <w:lang w:val="en-US"/>
        </w:rPr>
        <w:t xml:space="preserve">] </w:t>
      </w:r>
      <w:r w:rsidR="00803258" w:rsidRPr="008A3740">
        <w:rPr>
          <w:rFonts w:ascii="Verdana" w:hAnsi="Verdana" w:cs="Arial"/>
          <w:sz w:val="20"/>
          <w:szCs w:val="20"/>
          <w:lang w:val="en-US"/>
        </w:rPr>
        <w:t xml:space="preserve">been </w:t>
      </w:r>
      <w:r w:rsidRPr="008A3740">
        <w:rPr>
          <w:rFonts w:ascii="Verdana" w:hAnsi="Verdana" w:cs="Arial"/>
          <w:sz w:val="20"/>
          <w:szCs w:val="20"/>
          <w:lang w:val="en-US"/>
        </w:rPr>
        <w:t xml:space="preserve">accredited that Magma Copper Corporation Tintaya </w:t>
      </w:r>
      <w:r w:rsidR="00803258" w:rsidRPr="008A3740">
        <w:rPr>
          <w:rFonts w:ascii="Verdana" w:hAnsi="Verdana" w:cs="Arial"/>
          <w:sz w:val="20"/>
          <w:szCs w:val="20"/>
          <w:lang w:val="en-US"/>
        </w:rPr>
        <w:t xml:space="preserve">assumed </w:t>
      </w:r>
      <w:r w:rsidRPr="008A3740">
        <w:rPr>
          <w:rFonts w:ascii="Verdana" w:hAnsi="Verdana" w:cs="Arial"/>
          <w:sz w:val="20"/>
          <w:szCs w:val="20"/>
          <w:lang w:val="en-US"/>
        </w:rPr>
        <w:t xml:space="preserve">the </w:t>
      </w:r>
      <w:r w:rsidR="00EB4C3E" w:rsidRPr="008A3740">
        <w:rPr>
          <w:rFonts w:ascii="Verdana" w:hAnsi="Verdana" w:cs="Arial"/>
          <w:sz w:val="20"/>
          <w:szCs w:val="20"/>
          <w:lang w:val="en-US"/>
        </w:rPr>
        <w:t xml:space="preserve">legal universality of the company’s assets </w:t>
      </w:r>
      <w:r w:rsidRPr="008A3740">
        <w:rPr>
          <w:rFonts w:ascii="Verdana" w:hAnsi="Verdana" w:cs="Arial"/>
          <w:sz w:val="20"/>
          <w:szCs w:val="20"/>
          <w:lang w:val="en-US"/>
        </w:rPr>
        <w:t>[</w:t>
      </w:r>
      <w:r w:rsidR="00B96E05" w:rsidRPr="008A3740">
        <w:rPr>
          <w:rFonts w:ascii="Verdana" w:hAnsi="Verdana" w:cs="Arial"/>
          <w:sz w:val="20"/>
          <w:szCs w:val="20"/>
          <w:lang w:val="en-US"/>
        </w:rPr>
        <w:t xml:space="preserve">the State company </w:t>
      </w:r>
      <w:r w:rsidRPr="008A3740">
        <w:rPr>
          <w:rFonts w:ascii="Verdana" w:hAnsi="Verdana" w:cs="Arial"/>
          <w:sz w:val="20"/>
          <w:szCs w:val="20"/>
          <w:lang w:val="en-US"/>
        </w:rPr>
        <w:t>Tintaya S.A.]”; c) the company BHP Billiton Tintaya S.A. made p</w:t>
      </w:r>
      <w:r w:rsidR="00A1358C" w:rsidRPr="008A3740">
        <w:rPr>
          <w:rFonts w:ascii="Verdana" w:hAnsi="Verdana" w:cs="Arial"/>
          <w:sz w:val="20"/>
          <w:szCs w:val="20"/>
          <w:lang w:val="en-US"/>
        </w:rPr>
        <w:t>ension p</w:t>
      </w:r>
      <w:r w:rsidRPr="008A3740">
        <w:rPr>
          <w:rFonts w:ascii="Verdana" w:hAnsi="Verdana" w:cs="Arial"/>
          <w:sz w:val="20"/>
          <w:szCs w:val="20"/>
          <w:lang w:val="en-US"/>
        </w:rPr>
        <w:t>ayments, and d) “</w:t>
      </w:r>
      <w:r w:rsidR="00B96E05" w:rsidRPr="008A3740">
        <w:rPr>
          <w:rFonts w:ascii="Verdana" w:hAnsi="Verdana" w:cs="Arial"/>
          <w:sz w:val="20"/>
          <w:szCs w:val="20"/>
          <w:lang w:val="en-US"/>
        </w:rPr>
        <w:t xml:space="preserve">it </w:t>
      </w:r>
      <w:r w:rsidRPr="008A3740">
        <w:rPr>
          <w:rFonts w:ascii="Verdana" w:hAnsi="Verdana" w:cs="Arial"/>
          <w:sz w:val="20"/>
          <w:szCs w:val="20"/>
          <w:lang w:val="en-US"/>
        </w:rPr>
        <w:t>[</w:t>
      </w:r>
      <w:r w:rsidR="00B96E05" w:rsidRPr="008A3740">
        <w:rPr>
          <w:rFonts w:ascii="Verdana" w:hAnsi="Verdana" w:cs="Arial"/>
          <w:sz w:val="20"/>
          <w:szCs w:val="20"/>
          <w:lang w:val="en-US"/>
        </w:rPr>
        <w:t>was</w:t>
      </w:r>
      <w:r w:rsidRPr="008A3740">
        <w:rPr>
          <w:rFonts w:ascii="Verdana" w:hAnsi="Verdana" w:cs="Arial"/>
          <w:sz w:val="20"/>
          <w:szCs w:val="20"/>
          <w:lang w:val="en-US"/>
        </w:rPr>
        <w:t>] obvious that Xstrata Tintaya S.A. ha[d] also taken on</w:t>
      </w:r>
      <w:r w:rsidR="00B96E05" w:rsidRPr="008A3740">
        <w:rPr>
          <w:rFonts w:ascii="Verdana" w:hAnsi="Verdana" w:cs="Arial"/>
          <w:sz w:val="20"/>
          <w:szCs w:val="20"/>
          <w:lang w:val="en-US"/>
        </w:rPr>
        <w:t xml:space="preserve"> the assets and liabilities of </w:t>
      </w:r>
      <w:r w:rsidRPr="008A3740">
        <w:rPr>
          <w:rFonts w:ascii="Verdana" w:hAnsi="Verdana" w:cs="Arial"/>
          <w:sz w:val="20"/>
          <w:szCs w:val="20"/>
          <w:lang w:val="en-US"/>
        </w:rPr>
        <w:t>the previous companies</w:t>
      </w:r>
      <w:r w:rsidR="00803258" w:rsidRPr="008A3740">
        <w:rPr>
          <w:rFonts w:ascii="Verdana" w:hAnsi="Verdana" w:cs="Arial"/>
          <w:sz w:val="20"/>
          <w:szCs w:val="20"/>
          <w:lang w:val="en-US"/>
        </w:rPr>
        <w:t>.</w:t>
      </w:r>
      <w:r w:rsidRPr="008A3740">
        <w:rPr>
          <w:rFonts w:ascii="Verdana" w:hAnsi="Verdana" w:cs="Arial"/>
          <w:sz w:val="20"/>
          <w:szCs w:val="20"/>
          <w:lang w:val="en-US"/>
        </w:rPr>
        <w:t>”</w:t>
      </w:r>
      <w:r w:rsidRPr="008A3740">
        <w:rPr>
          <w:rStyle w:val="Refdenotaalpie"/>
          <w:rFonts w:cs="Arial"/>
          <w:szCs w:val="20"/>
          <w:lang w:val="en-US"/>
        </w:rPr>
        <w:footnoteReference w:id="117"/>
      </w:r>
      <w:r w:rsidRPr="008A3740">
        <w:rPr>
          <w:rFonts w:ascii="Verdana" w:hAnsi="Verdana" w:cs="Arial"/>
          <w:sz w:val="20"/>
          <w:szCs w:val="20"/>
          <w:lang w:val="en-US"/>
        </w:rPr>
        <w:t xml:space="preserve"> This decision was appealed by Xstrata Tintaya S.A.</w:t>
      </w:r>
    </w:p>
    <w:p w14:paraId="6C015C64" w14:textId="77777777" w:rsidR="008E6A56" w:rsidRPr="008A3740" w:rsidRDefault="008E6A56" w:rsidP="008E6A56">
      <w:pPr>
        <w:pStyle w:val="Prrafodelista"/>
        <w:rPr>
          <w:rFonts w:ascii="Verdana" w:hAnsi="Verdana" w:cs="Arial"/>
          <w:sz w:val="20"/>
          <w:szCs w:val="20"/>
          <w:lang w:val="en-US"/>
        </w:rPr>
      </w:pPr>
    </w:p>
    <w:p w14:paraId="0B424BC3"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On October 26, 2015, t</w:t>
      </w:r>
      <w:r w:rsidR="00F95995" w:rsidRPr="008A3740">
        <w:rPr>
          <w:rFonts w:ascii="Verdana" w:hAnsi="Verdana" w:cs="Arial"/>
          <w:sz w:val="20"/>
          <w:szCs w:val="20"/>
          <w:lang w:val="en-US"/>
        </w:rPr>
        <w:t xml:space="preserve">he </w:t>
      </w:r>
      <w:r w:rsidR="005A49D4" w:rsidRPr="008A3740">
        <w:rPr>
          <w:rFonts w:ascii="Verdana" w:hAnsi="Verdana" w:cs="Arial"/>
          <w:sz w:val="20"/>
          <w:szCs w:val="20"/>
          <w:lang w:val="en-US"/>
        </w:rPr>
        <w:t>Thirty-third</w:t>
      </w:r>
      <w:r w:rsidR="00F95995" w:rsidRPr="008A3740">
        <w:rPr>
          <w:rFonts w:ascii="Verdana" w:hAnsi="Verdana" w:cs="Arial"/>
          <w:sz w:val="20"/>
          <w:szCs w:val="20"/>
          <w:lang w:val="en-US"/>
        </w:rPr>
        <w:t xml:space="preserve"> Civil Court </w:t>
      </w:r>
      <w:r w:rsidR="008846B1" w:rsidRPr="008A3740">
        <w:rPr>
          <w:rFonts w:ascii="Verdana" w:hAnsi="Verdana" w:cs="Arial"/>
          <w:sz w:val="20"/>
          <w:szCs w:val="20"/>
          <w:lang w:val="en-US"/>
        </w:rPr>
        <w:t>instructed t</w:t>
      </w:r>
      <w:r w:rsidR="00884CEA" w:rsidRPr="008A3740">
        <w:rPr>
          <w:rFonts w:ascii="Verdana" w:hAnsi="Verdana" w:cs="Arial"/>
          <w:sz w:val="20"/>
          <w:szCs w:val="20"/>
          <w:lang w:val="en-US"/>
        </w:rPr>
        <w:t xml:space="preserve">he </w:t>
      </w:r>
      <w:r w:rsidR="00F95995" w:rsidRPr="008A3740">
        <w:rPr>
          <w:rFonts w:ascii="Verdana" w:hAnsi="Verdana" w:cs="Arial"/>
          <w:sz w:val="20"/>
          <w:szCs w:val="20"/>
          <w:lang w:val="en-US"/>
        </w:rPr>
        <w:t xml:space="preserve">private investment promotion agency </w:t>
      </w:r>
      <w:r w:rsidRPr="008A3740">
        <w:rPr>
          <w:rFonts w:ascii="Verdana" w:hAnsi="Verdana" w:cs="Arial"/>
          <w:sz w:val="20"/>
          <w:szCs w:val="20"/>
          <w:lang w:val="en-US"/>
        </w:rPr>
        <w:t>(</w:t>
      </w:r>
      <w:r w:rsidR="00FA4846" w:rsidRPr="008A3740">
        <w:rPr>
          <w:rFonts w:ascii="Verdana" w:hAnsi="Verdana" w:cs="Arial"/>
          <w:i/>
          <w:sz w:val="20"/>
          <w:szCs w:val="20"/>
          <w:lang w:val="en-US"/>
        </w:rPr>
        <w:t>Proinversión</w:t>
      </w:r>
      <w:r w:rsidRPr="008A3740">
        <w:rPr>
          <w:rFonts w:ascii="Verdana" w:hAnsi="Verdana" w:cs="Arial"/>
          <w:sz w:val="20"/>
          <w:szCs w:val="20"/>
          <w:lang w:val="en-US"/>
        </w:rPr>
        <w:t xml:space="preserve">) to report, urgently, on the assets and liabilities assumed by the </w:t>
      </w:r>
      <w:r w:rsidR="00F95995" w:rsidRPr="008A3740">
        <w:rPr>
          <w:rFonts w:ascii="Verdana" w:hAnsi="Verdana" w:cs="Arial"/>
          <w:sz w:val="20"/>
          <w:szCs w:val="20"/>
          <w:lang w:val="en-US"/>
        </w:rPr>
        <w:t xml:space="preserve">former State-owned </w:t>
      </w:r>
      <w:r w:rsidRPr="008A3740">
        <w:rPr>
          <w:rFonts w:ascii="Verdana" w:hAnsi="Verdana" w:cs="Arial"/>
          <w:sz w:val="20"/>
          <w:szCs w:val="20"/>
          <w:lang w:val="en-US"/>
        </w:rPr>
        <w:t xml:space="preserve">company </w:t>
      </w:r>
      <w:r w:rsidR="00B96E05" w:rsidRPr="008A3740">
        <w:rPr>
          <w:rFonts w:ascii="Verdana" w:hAnsi="Verdana" w:cs="Arial"/>
          <w:sz w:val="20"/>
          <w:szCs w:val="20"/>
          <w:lang w:val="en-US"/>
        </w:rPr>
        <w:t>Tintaya S.A.</w:t>
      </w:r>
      <w:r w:rsidRPr="008A3740">
        <w:rPr>
          <w:rStyle w:val="Refdenotaalpie"/>
          <w:rFonts w:cs="Arial"/>
          <w:szCs w:val="20"/>
          <w:lang w:val="en-US"/>
        </w:rPr>
        <w:footnoteReference w:id="118"/>
      </w:r>
      <w:r w:rsidRPr="008A3740">
        <w:rPr>
          <w:rFonts w:ascii="Verdana" w:hAnsi="Verdana" w:cs="Arial"/>
          <w:sz w:val="20"/>
          <w:szCs w:val="20"/>
          <w:lang w:val="en-US"/>
        </w:rPr>
        <w:t xml:space="preserve"> Given that th</w:t>
      </w:r>
      <w:r w:rsidR="008846B1" w:rsidRPr="008A3740">
        <w:rPr>
          <w:rFonts w:ascii="Verdana" w:hAnsi="Verdana" w:cs="Arial"/>
          <w:sz w:val="20"/>
          <w:szCs w:val="20"/>
          <w:lang w:val="en-US"/>
        </w:rPr>
        <w:t xml:space="preserve">is agency </w:t>
      </w:r>
      <w:r w:rsidRPr="008A3740">
        <w:rPr>
          <w:rFonts w:ascii="Verdana" w:hAnsi="Verdana" w:cs="Arial"/>
          <w:sz w:val="20"/>
          <w:szCs w:val="20"/>
          <w:lang w:val="en-US"/>
        </w:rPr>
        <w:t xml:space="preserve">did not </w:t>
      </w:r>
      <w:r w:rsidR="00F95995" w:rsidRPr="008A3740">
        <w:rPr>
          <w:rFonts w:ascii="Verdana" w:hAnsi="Verdana" w:cs="Arial"/>
          <w:sz w:val="20"/>
          <w:szCs w:val="20"/>
          <w:lang w:val="en-US"/>
        </w:rPr>
        <w:t xml:space="preserve">provide </w:t>
      </w:r>
      <w:r w:rsidRPr="008A3740">
        <w:rPr>
          <w:rFonts w:ascii="Verdana" w:hAnsi="Verdana" w:cs="Arial"/>
          <w:sz w:val="20"/>
          <w:szCs w:val="20"/>
          <w:lang w:val="en-US"/>
        </w:rPr>
        <w:t xml:space="preserve">the information requested, Mr. Muelle Flores presented a brief </w:t>
      </w:r>
      <w:r w:rsidR="00F95995" w:rsidRPr="008A3740">
        <w:rPr>
          <w:rFonts w:ascii="Verdana" w:hAnsi="Verdana" w:cs="Arial"/>
          <w:sz w:val="20"/>
          <w:szCs w:val="20"/>
          <w:lang w:val="en-US"/>
        </w:rPr>
        <w:t xml:space="preserve">on </w:t>
      </w:r>
      <w:r w:rsidRPr="008A3740">
        <w:rPr>
          <w:rFonts w:ascii="Verdana" w:hAnsi="Verdana" w:cs="Arial"/>
          <w:sz w:val="20"/>
          <w:szCs w:val="20"/>
          <w:lang w:val="en-US"/>
        </w:rPr>
        <w:t xml:space="preserve">June 7, 2016, </w:t>
      </w:r>
      <w:r w:rsidR="00FA4846" w:rsidRPr="008A3740">
        <w:rPr>
          <w:rFonts w:ascii="Verdana" w:hAnsi="Verdana" w:cs="Arial"/>
          <w:sz w:val="20"/>
          <w:szCs w:val="20"/>
          <w:lang w:val="en-US"/>
        </w:rPr>
        <w:t xml:space="preserve">requesting that </w:t>
      </w:r>
      <w:r w:rsidR="00FA4846" w:rsidRPr="008A3740">
        <w:rPr>
          <w:rFonts w:ascii="Verdana" w:hAnsi="Verdana" w:cs="Arial"/>
          <w:i/>
          <w:sz w:val="20"/>
          <w:szCs w:val="20"/>
          <w:lang w:val="en-US"/>
        </w:rPr>
        <w:t>Proinversión</w:t>
      </w:r>
      <w:r w:rsidR="00FA4846" w:rsidRPr="008A3740">
        <w:rPr>
          <w:rFonts w:ascii="Verdana" w:hAnsi="Verdana" w:cs="Arial"/>
          <w:sz w:val="20"/>
          <w:szCs w:val="20"/>
          <w:lang w:val="en-US"/>
        </w:rPr>
        <w:t xml:space="preserve"> be </w:t>
      </w:r>
      <w:r w:rsidR="00F95995" w:rsidRPr="008A3740">
        <w:rPr>
          <w:rFonts w:ascii="Verdana" w:hAnsi="Verdana" w:cs="Arial"/>
          <w:sz w:val="20"/>
          <w:szCs w:val="20"/>
          <w:lang w:val="en-US"/>
        </w:rPr>
        <w:t>ordered to comply with that</w:t>
      </w:r>
      <w:r w:rsidRPr="008A3740">
        <w:rPr>
          <w:rFonts w:ascii="Verdana" w:hAnsi="Verdana" w:cs="Arial"/>
          <w:sz w:val="20"/>
          <w:szCs w:val="20"/>
          <w:lang w:val="en-US"/>
        </w:rPr>
        <w:t xml:space="preserve"> request, under </w:t>
      </w:r>
      <w:r w:rsidR="00803258" w:rsidRPr="008A3740">
        <w:rPr>
          <w:rFonts w:ascii="Verdana" w:hAnsi="Verdana" w:cs="Arial"/>
          <w:sz w:val="20"/>
          <w:szCs w:val="20"/>
          <w:lang w:val="en-US"/>
        </w:rPr>
        <w:t>penalty of a fine</w:t>
      </w:r>
      <w:r w:rsidRPr="008A3740">
        <w:rPr>
          <w:rFonts w:ascii="Verdana" w:hAnsi="Verdana" w:cs="Arial"/>
          <w:sz w:val="20"/>
          <w:szCs w:val="20"/>
          <w:lang w:val="en-US"/>
        </w:rPr>
        <w:t>.</w:t>
      </w:r>
      <w:r w:rsidRPr="008A3740">
        <w:rPr>
          <w:rStyle w:val="Refdenotaalpie"/>
          <w:rFonts w:cs="Arial"/>
          <w:szCs w:val="20"/>
          <w:lang w:val="en-US"/>
        </w:rPr>
        <w:footnoteReference w:id="119"/>
      </w:r>
    </w:p>
    <w:p w14:paraId="09612CD1" w14:textId="77777777" w:rsidR="008E6A56" w:rsidRPr="008A3740" w:rsidRDefault="008E6A56" w:rsidP="008E6A56">
      <w:pPr>
        <w:pStyle w:val="Prrafodelista"/>
        <w:rPr>
          <w:rFonts w:ascii="Verdana" w:hAnsi="Verdana" w:cs="Arial"/>
          <w:sz w:val="20"/>
          <w:szCs w:val="20"/>
          <w:lang w:val="en-US"/>
        </w:rPr>
      </w:pPr>
    </w:p>
    <w:p w14:paraId="70011182"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In a brief dated May 3, 2017, Mr. Muelle Flores </w:t>
      </w:r>
      <w:r w:rsidR="00F95995" w:rsidRPr="008A3740">
        <w:rPr>
          <w:rFonts w:ascii="Verdana" w:hAnsi="Verdana" w:cs="Arial"/>
          <w:sz w:val="20"/>
          <w:szCs w:val="20"/>
          <w:lang w:val="en-US"/>
        </w:rPr>
        <w:t xml:space="preserve">stated </w:t>
      </w:r>
      <w:r w:rsidRPr="008A3740">
        <w:rPr>
          <w:rFonts w:ascii="Verdana" w:hAnsi="Verdana" w:cs="Arial"/>
          <w:sz w:val="20"/>
          <w:szCs w:val="20"/>
          <w:lang w:val="en-US"/>
        </w:rPr>
        <w:t xml:space="preserve">that on July 7, 2016, </w:t>
      </w:r>
      <w:r w:rsidR="00FA4846" w:rsidRPr="008A3740">
        <w:rPr>
          <w:rFonts w:ascii="Verdana" w:hAnsi="Verdana" w:cs="Arial"/>
          <w:i/>
          <w:sz w:val="20"/>
          <w:szCs w:val="20"/>
          <w:lang w:val="en-US"/>
        </w:rPr>
        <w:t>Proinversión</w:t>
      </w:r>
      <w:r w:rsidRPr="008A3740">
        <w:rPr>
          <w:rFonts w:ascii="Verdana" w:hAnsi="Verdana" w:cs="Arial"/>
          <w:sz w:val="20"/>
          <w:szCs w:val="20"/>
          <w:lang w:val="en-US"/>
        </w:rPr>
        <w:t xml:space="preserve"> </w:t>
      </w:r>
      <w:r w:rsidR="00FA4846" w:rsidRPr="008A3740">
        <w:rPr>
          <w:rFonts w:ascii="Verdana" w:hAnsi="Verdana" w:cs="Arial"/>
          <w:sz w:val="20"/>
          <w:szCs w:val="20"/>
          <w:lang w:val="en-US"/>
        </w:rPr>
        <w:t xml:space="preserve">provided the requested information to </w:t>
      </w:r>
      <w:r w:rsidRPr="008A3740">
        <w:rPr>
          <w:rFonts w:ascii="Verdana" w:hAnsi="Verdana" w:cs="Arial"/>
          <w:sz w:val="20"/>
          <w:szCs w:val="20"/>
          <w:lang w:val="en-US"/>
        </w:rPr>
        <w:t xml:space="preserve">the Court. </w:t>
      </w:r>
      <w:r w:rsidR="008846B1" w:rsidRPr="008A3740">
        <w:rPr>
          <w:rFonts w:ascii="Verdana" w:hAnsi="Verdana" w:cs="Arial"/>
          <w:sz w:val="20"/>
          <w:szCs w:val="20"/>
          <w:lang w:val="en-US"/>
        </w:rPr>
        <w:t xml:space="preserve">It </w:t>
      </w:r>
      <w:r w:rsidRPr="008A3740">
        <w:rPr>
          <w:rFonts w:ascii="Verdana" w:hAnsi="Verdana" w:cs="Arial"/>
          <w:sz w:val="20"/>
          <w:szCs w:val="20"/>
          <w:lang w:val="en-US"/>
        </w:rPr>
        <w:t xml:space="preserve">emphasized that Annex F “List </w:t>
      </w:r>
      <w:r w:rsidR="00B96E05" w:rsidRPr="008A3740">
        <w:rPr>
          <w:rFonts w:ascii="Verdana" w:hAnsi="Verdana" w:cs="Arial"/>
          <w:sz w:val="20"/>
          <w:szCs w:val="20"/>
          <w:lang w:val="en-US"/>
        </w:rPr>
        <w:t xml:space="preserve">of </w:t>
      </w:r>
      <w:r w:rsidR="008846B1" w:rsidRPr="008A3740">
        <w:rPr>
          <w:rFonts w:ascii="Verdana" w:hAnsi="Verdana" w:cs="Arial"/>
          <w:sz w:val="20"/>
          <w:szCs w:val="20"/>
          <w:lang w:val="en-US"/>
        </w:rPr>
        <w:t xml:space="preserve">Legal </w:t>
      </w:r>
      <w:r w:rsidRPr="008A3740">
        <w:rPr>
          <w:rFonts w:ascii="Verdana" w:hAnsi="Verdana" w:cs="Arial"/>
          <w:sz w:val="20"/>
          <w:szCs w:val="20"/>
          <w:lang w:val="en-US"/>
        </w:rPr>
        <w:t xml:space="preserve">Actions” of the Final Report CEPRI Tintaya, included a letter sent to the </w:t>
      </w:r>
      <w:r w:rsidR="00513719" w:rsidRPr="008A3740">
        <w:rPr>
          <w:rFonts w:ascii="Verdana" w:hAnsi="Verdana" w:cs="Arial"/>
          <w:sz w:val="20"/>
          <w:szCs w:val="20"/>
          <w:lang w:val="en-US"/>
        </w:rPr>
        <w:t>former State</w:t>
      </w:r>
      <w:r w:rsidR="00CD437A" w:rsidRPr="008A3740">
        <w:rPr>
          <w:rFonts w:ascii="Verdana" w:hAnsi="Verdana" w:cs="Arial"/>
          <w:sz w:val="20"/>
          <w:szCs w:val="20"/>
          <w:lang w:val="en-US"/>
        </w:rPr>
        <w:t>-owned</w:t>
      </w:r>
      <w:r w:rsidR="00513719" w:rsidRPr="008A3740">
        <w:rPr>
          <w:rFonts w:ascii="Verdana" w:hAnsi="Verdana" w:cs="Arial"/>
          <w:sz w:val="20"/>
          <w:szCs w:val="20"/>
          <w:lang w:val="en-US"/>
        </w:rPr>
        <w:t xml:space="preserve"> </w:t>
      </w:r>
      <w:r w:rsidRPr="008A3740">
        <w:rPr>
          <w:rFonts w:ascii="Verdana" w:hAnsi="Verdana" w:cs="Arial"/>
          <w:sz w:val="20"/>
          <w:szCs w:val="20"/>
          <w:lang w:val="en-US"/>
        </w:rPr>
        <w:t xml:space="preserve">company </w:t>
      </w:r>
      <w:r w:rsidR="008846B1" w:rsidRPr="008A3740">
        <w:rPr>
          <w:rFonts w:ascii="Verdana" w:hAnsi="Verdana" w:cs="Arial"/>
          <w:sz w:val="20"/>
          <w:szCs w:val="20"/>
          <w:lang w:val="en-US"/>
        </w:rPr>
        <w:t xml:space="preserve">specifying </w:t>
      </w:r>
      <w:r w:rsidR="00513719" w:rsidRPr="008A3740">
        <w:rPr>
          <w:rFonts w:ascii="Verdana" w:hAnsi="Verdana" w:cs="Arial"/>
          <w:sz w:val="20"/>
          <w:szCs w:val="20"/>
          <w:lang w:val="en-US"/>
        </w:rPr>
        <w:t xml:space="preserve">the </w:t>
      </w:r>
      <w:r w:rsidR="008846B1" w:rsidRPr="008A3740">
        <w:rPr>
          <w:rFonts w:ascii="Verdana" w:hAnsi="Verdana" w:cs="Arial"/>
          <w:sz w:val="20"/>
          <w:szCs w:val="20"/>
          <w:lang w:val="en-US"/>
        </w:rPr>
        <w:t xml:space="preserve">existing legal </w:t>
      </w:r>
      <w:r w:rsidRPr="008A3740">
        <w:rPr>
          <w:rFonts w:ascii="Verdana" w:hAnsi="Verdana" w:cs="Arial"/>
          <w:sz w:val="20"/>
          <w:szCs w:val="20"/>
          <w:lang w:val="en-US"/>
        </w:rPr>
        <w:t xml:space="preserve">proceedings against </w:t>
      </w:r>
      <w:r w:rsidR="008846B1" w:rsidRPr="008A3740">
        <w:rPr>
          <w:rFonts w:ascii="Verdana" w:hAnsi="Verdana" w:cs="Arial"/>
          <w:sz w:val="20"/>
          <w:szCs w:val="20"/>
          <w:lang w:val="en-US"/>
        </w:rPr>
        <w:t>it</w:t>
      </w:r>
      <w:r w:rsidRPr="008A3740">
        <w:rPr>
          <w:rFonts w:ascii="Verdana" w:hAnsi="Verdana" w:cs="Arial"/>
          <w:sz w:val="20"/>
          <w:szCs w:val="20"/>
          <w:lang w:val="en-US"/>
        </w:rPr>
        <w:t>,</w:t>
      </w:r>
      <w:r w:rsidR="00B96E05" w:rsidRPr="008A3740">
        <w:rPr>
          <w:rFonts w:ascii="Verdana" w:hAnsi="Verdana" w:cs="Arial"/>
          <w:sz w:val="20"/>
          <w:szCs w:val="20"/>
          <w:lang w:val="en-US"/>
        </w:rPr>
        <w:t xml:space="preserve"> as well as the contingent liability</w:t>
      </w:r>
      <w:r w:rsidRPr="008A3740">
        <w:rPr>
          <w:rFonts w:ascii="Verdana" w:hAnsi="Verdana" w:cs="Arial"/>
          <w:sz w:val="20"/>
          <w:szCs w:val="20"/>
          <w:lang w:val="en-US"/>
        </w:rPr>
        <w:t xml:space="preserve"> of </w:t>
      </w:r>
      <w:r w:rsidR="00513719" w:rsidRPr="008A3740">
        <w:rPr>
          <w:rFonts w:ascii="Verdana" w:hAnsi="Verdana" w:cs="Arial"/>
          <w:sz w:val="20"/>
          <w:szCs w:val="20"/>
          <w:lang w:val="en-US"/>
        </w:rPr>
        <w:t>each</w:t>
      </w:r>
      <w:r w:rsidR="00B96E05" w:rsidRPr="008A3740">
        <w:rPr>
          <w:rFonts w:ascii="Verdana" w:hAnsi="Verdana" w:cs="Arial"/>
          <w:sz w:val="20"/>
          <w:szCs w:val="20"/>
          <w:lang w:val="en-US"/>
        </w:rPr>
        <w:t xml:space="preserve"> </w:t>
      </w:r>
      <w:r w:rsidR="008846B1" w:rsidRPr="008A3740">
        <w:rPr>
          <w:rFonts w:ascii="Verdana" w:hAnsi="Verdana" w:cs="Arial"/>
          <w:sz w:val="20"/>
          <w:szCs w:val="20"/>
          <w:lang w:val="en-US"/>
        </w:rPr>
        <w:t>one</w:t>
      </w:r>
      <w:r w:rsidR="00803258" w:rsidRPr="008A3740">
        <w:rPr>
          <w:rFonts w:ascii="Verdana" w:hAnsi="Verdana" w:cs="Arial"/>
          <w:sz w:val="20"/>
          <w:szCs w:val="20"/>
          <w:lang w:val="en-US"/>
        </w:rPr>
        <w:t xml:space="preserve">. </w:t>
      </w:r>
      <w:r w:rsidR="005F68BC" w:rsidRPr="008A3740">
        <w:rPr>
          <w:rFonts w:ascii="Verdana" w:hAnsi="Verdana" w:cs="Arial"/>
          <w:sz w:val="20"/>
          <w:szCs w:val="20"/>
          <w:lang w:val="en-US"/>
        </w:rPr>
        <w:t xml:space="preserve">Therefore, </w:t>
      </w:r>
      <w:r w:rsidR="00803258" w:rsidRPr="008A3740">
        <w:rPr>
          <w:rFonts w:ascii="Verdana" w:hAnsi="Verdana" w:cs="Arial"/>
          <w:sz w:val="20"/>
          <w:szCs w:val="20"/>
          <w:lang w:val="en-US"/>
        </w:rPr>
        <w:t xml:space="preserve">in </w:t>
      </w:r>
      <w:r w:rsidR="00F93D39" w:rsidRPr="008A3740">
        <w:rPr>
          <w:rFonts w:ascii="Verdana" w:hAnsi="Verdana" w:cs="Arial"/>
          <w:sz w:val="20"/>
          <w:szCs w:val="20"/>
          <w:lang w:val="en-US"/>
        </w:rPr>
        <w:t xml:space="preserve">the brief filed on behalf of </w:t>
      </w:r>
      <w:r w:rsidRPr="008A3740">
        <w:rPr>
          <w:rFonts w:ascii="Verdana" w:hAnsi="Verdana" w:cs="Arial"/>
          <w:sz w:val="20"/>
          <w:szCs w:val="20"/>
          <w:lang w:val="en-US"/>
        </w:rPr>
        <w:t>Mr. Muelle Flores</w:t>
      </w:r>
      <w:r w:rsidR="00F93D39" w:rsidRPr="008A3740">
        <w:rPr>
          <w:rFonts w:ascii="Verdana" w:hAnsi="Verdana" w:cs="Arial"/>
          <w:sz w:val="20"/>
          <w:szCs w:val="20"/>
          <w:lang w:val="en-US"/>
        </w:rPr>
        <w:t xml:space="preserve"> it was</w:t>
      </w:r>
      <w:r w:rsidRPr="008A3740">
        <w:rPr>
          <w:rFonts w:ascii="Verdana" w:hAnsi="Verdana" w:cs="Arial"/>
          <w:sz w:val="20"/>
          <w:szCs w:val="20"/>
          <w:lang w:val="en-US"/>
        </w:rPr>
        <w:t xml:space="preserve"> </w:t>
      </w:r>
      <w:r w:rsidR="00F93D39" w:rsidRPr="008A3740">
        <w:rPr>
          <w:rFonts w:ascii="Verdana" w:hAnsi="Verdana" w:cs="Arial"/>
          <w:sz w:val="20"/>
          <w:szCs w:val="20"/>
          <w:lang w:val="en-US"/>
        </w:rPr>
        <w:t xml:space="preserve">argued </w:t>
      </w:r>
      <w:r w:rsidRPr="008A3740">
        <w:rPr>
          <w:rFonts w:ascii="Verdana" w:hAnsi="Verdana" w:cs="Arial"/>
          <w:sz w:val="20"/>
          <w:szCs w:val="20"/>
          <w:lang w:val="en-US"/>
        </w:rPr>
        <w:t>that “ha</w:t>
      </w:r>
      <w:r w:rsidR="005F68BC" w:rsidRPr="008A3740">
        <w:rPr>
          <w:rFonts w:ascii="Verdana" w:hAnsi="Verdana" w:cs="Arial"/>
          <w:sz w:val="20"/>
          <w:szCs w:val="20"/>
          <w:lang w:val="en-US"/>
        </w:rPr>
        <w:t xml:space="preserve">ving been proven </w:t>
      </w:r>
      <w:r w:rsidRPr="008A3740">
        <w:rPr>
          <w:rFonts w:ascii="Verdana" w:hAnsi="Verdana" w:cs="Arial"/>
          <w:sz w:val="20"/>
          <w:szCs w:val="20"/>
          <w:lang w:val="en-US"/>
        </w:rPr>
        <w:t>tha</w:t>
      </w:r>
      <w:r w:rsidR="00F9466B" w:rsidRPr="008A3740">
        <w:rPr>
          <w:rFonts w:ascii="Verdana" w:hAnsi="Verdana" w:cs="Arial"/>
          <w:sz w:val="20"/>
          <w:szCs w:val="20"/>
          <w:lang w:val="en-US"/>
        </w:rPr>
        <w:t>t a contingent liability</w:t>
      </w:r>
      <w:r w:rsidRPr="008A3740">
        <w:rPr>
          <w:rFonts w:ascii="Verdana" w:hAnsi="Verdana" w:cs="Arial"/>
          <w:sz w:val="20"/>
          <w:szCs w:val="20"/>
          <w:lang w:val="en-US"/>
        </w:rPr>
        <w:t xml:space="preserve"> </w:t>
      </w:r>
      <w:r w:rsidR="00F93D39" w:rsidRPr="008A3740">
        <w:rPr>
          <w:rFonts w:ascii="Verdana" w:hAnsi="Verdana" w:cs="Arial"/>
          <w:sz w:val="20"/>
          <w:szCs w:val="20"/>
          <w:lang w:val="en-US"/>
        </w:rPr>
        <w:t xml:space="preserve">exist[ed] in </w:t>
      </w:r>
      <w:r w:rsidRPr="008A3740">
        <w:rPr>
          <w:rFonts w:ascii="Verdana" w:hAnsi="Verdana" w:cs="Arial"/>
          <w:sz w:val="20"/>
          <w:szCs w:val="20"/>
          <w:lang w:val="en-US"/>
        </w:rPr>
        <w:t>favor of the plaintiff and that the Company XSTRATA TINTAYA S.A. EX BHP BILLINTON TINTAYA S.A. had taken over the assets and liabilities of the previous comp</w:t>
      </w:r>
      <w:r w:rsidR="00726507" w:rsidRPr="008A3740">
        <w:rPr>
          <w:rFonts w:ascii="Verdana" w:hAnsi="Verdana" w:cs="Arial"/>
          <w:sz w:val="20"/>
          <w:szCs w:val="20"/>
          <w:lang w:val="en-US"/>
        </w:rPr>
        <w:t>anies, the logical</w:t>
      </w:r>
      <w:r w:rsidRPr="008A3740">
        <w:rPr>
          <w:rFonts w:ascii="Verdana" w:hAnsi="Verdana" w:cs="Arial"/>
          <w:sz w:val="20"/>
          <w:szCs w:val="20"/>
          <w:lang w:val="en-US"/>
        </w:rPr>
        <w:t xml:space="preserve"> and obvious</w:t>
      </w:r>
      <w:r w:rsidR="00726507" w:rsidRPr="008A3740">
        <w:rPr>
          <w:rFonts w:ascii="Verdana" w:hAnsi="Verdana" w:cs="Arial"/>
          <w:sz w:val="20"/>
          <w:szCs w:val="20"/>
          <w:lang w:val="en-US"/>
        </w:rPr>
        <w:t xml:space="preserve"> </w:t>
      </w:r>
      <w:r w:rsidR="00F93D39" w:rsidRPr="008A3740">
        <w:rPr>
          <w:rFonts w:ascii="Verdana" w:hAnsi="Verdana" w:cs="Arial"/>
          <w:sz w:val="20"/>
          <w:szCs w:val="20"/>
          <w:lang w:val="en-US"/>
        </w:rPr>
        <w:t>correlative</w:t>
      </w:r>
      <w:r w:rsidRPr="008A3740">
        <w:rPr>
          <w:rFonts w:ascii="Verdana" w:hAnsi="Verdana" w:cs="Arial"/>
          <w:sz w:val="20"/>
          <w:szCs w:val="20"/>
          <w:lang w:val="en-US"/>
        </w:rPr>
        <w:t xml:space="preserve"> is that </w:t>
      </w:r>
      <w:r w:rsidR="00F9466B" w:rsidRPr="008A3740">
        <w:rPr>
          <w:rFonts w:ascii="Verdana" w:hAnsi="Verdana" w:cs="Arial"/>
          <w:sz w:val="20"/>
          <w:szCs w:val="20"/>
          <w:lang w:val="en-US"/>
        </w:rPr>
        <w:t xml:space="preserve">said </w:t>
      </w:r>
      <w:r w:rsidRPr="008A3740">
        <w:rPr>
          <w:rFonts w:ascii="Verdana" w:hAnsi="Verdana" w:cs="Arial"/>
          <w:sz w:val="20"/>
          <w:szCs w:val="20"/>
          <w:lang w:val="en-US"/>
        </w:rPr>
        <w:t xml:space="preserve">company </w:t>
      </w:r>
      <w:r w:rsidR="00F9466B" w:rsidRPr="008A3740">
        <w:rPr>
          <w:rFonts w:ascii="Verdana" w:hAnsi="Verdana" w:cs="Arial"/>
          <w:sz w:val="20"/>
          <w:szCs w:val="20"/>
          <w:lang w:val="en-US"/>
        </w:rPr>
        <w:t xml:space="preserve">must </w:t>
      </w:r>
      <w:r w:rsidRPr="008A3740">
        <w:rPr>
          <w:rFonts w:ascii="Verdana" w:hAnsi="Verdana" w:cs="Arial"/>
          <w:sz w:val="20"/>
          <w:szCs w:val="20"/>
          <w:lang w:val="en-US"/>
        </w:rPr>
        <w:t>c</w:t>
      </w:r>
      <w:r w:rsidR="008846B1" w:rsidRPr="008A3740">
        <w:rPr>
          <w:rFonts w:ascii="Verdana" w:hAnsi="Verdana" w:cs="Arial"/>
          <w:sz w:val="20"/>
          <w:szCs w:val="20"/>
          <w:lang w:val="en-US"/>
        </w:rPr>
        <w:t xml:space="preserve">omply </w:t>
      </w:r>
      <w:r w:rsidRPr="008A3740">
        <w:rPr>
          <w:rFonts w:ascii="Verdana" w:hAnsi="Verdana" w:cs="Arial"/>
          <w:sz w:val="20"/>
          <w:szCs w:val="20"/>
          <w:lang w:val="en-US"/>
        </w:rPr>
        <w:t xml:space="preserve">with the payment of the </w:t>
      </w:r>
      <w:r w:rsidR="00F93D39" w:rsidRPr="008A3740">
        <w:rPr>
          <w:rFonts w:ascii="Verdana" w:hAnsi="Verdana" w:cs="Arial"/>
          <w:sz w:val="20"/>
          <w:szCs w:val="20"/>
          <w:lang w:val="en-US"/>
        </w:rPr>
        <w:t xml:space="preserve">plaintiff’s retirement </w:t>
      </w:r>
      <w:r w:rsidRPr="008A3740">
        <w:rPr>
          <w:rFonts w:ascii="Verdana" w:hAnsi="Verdana" w:cs="Arial"/>
          <w:sz w:val="20"/>
          <w:szCs w:val="20"/>
          <w:lang w:val="en-US"/>
        </w:rPr>
        <w:t>pension</w:t>
      </w:r>
      <w:r w:rsidR="00085FB9" w:rsidRPr="008A3740">
        <w:rPr>
          <w:rFonts w:ascii="Verdana" w:hAnsi="Verdana" w:cs="Arial"/>
          <w:sz w:val="20"/>
          <w:szCs w:val="20"/>
          <w:lang w:val="en-US"/>
        </w:rPr>
        <w:t>,”</w:t>
      </w:r>
      <w:r w:rsidRPr="008A3740">
        <w:rPr>
          <w:rFonts w:ascii="Verdana" w:hAnsi="Verdana" w:cs="Arial"/>
          <w:sz w:val="20"/>
          <w:szCs w:val="20"/>
          <w:lang w:val="en-US"/>
        </w:rPr>
        <w:t xml:space="preserve"> and requested that “PREFERENTIAL TREATMENT”</w:t>
      </w:r>
      <w:r w:rsidR="00F93D39" w:rsidRPr="008A3740">
        <w:rPr>
          <w:rFonts w:ascii="Verdana" w:hAnsi="Verdana" w:cs="Arial"/>
          <w:sz w:val="20"/>
          <w:szCs w:val="20"/>
          <w:lang w:val="en-US"/>
        </w:rPr>
        <w:t xml:space="preserve"> be given to</w:t>
      </w:r>
      <w:r w:rsidRPr="008A3740">
        <w:rPr>
          <w:rFonts w:ascii="Verdana" w:hAnsi="Verdana" w:cs="Arial"/>
          <w:sz w:val="20"/>
          <w:szCs w:val="20"/>
          <w:lang w:val="en-US"/>
        </w:rPr>
        <w:t xml:space="preserve"> the execution of the judicial proceeding, since </w:t>
      </w:r>
      <w:r w:rsidR="00F93D39" w:rsidRPr="008A3740">
        <w:rPr>
          <w:rFonts w:ascii="Verdana" w:hAnsi="Verdana" w:cs="Arial"/>
          <w:sz w:val="20"/>
          <w:szCs w:val="20"/>
          <w:lang w:val="en-US"/>
        </w:rPr>
        <w:t xml:space="preserve">the plaintiff </w:t>
      </w:r>
      <w:r w:rsidRPr="008A3740">
        <w:rPr>
          <w:rFonts w:ascii="Verdana" w:hAnsi="Verdana" w:cs="Arial"/>
          <w:sz w:val="20"/>
          <w:szCs w:val="20"/>
          <w:lang w:val="en-US"/>
        </w:rPr>
        <w:t xml:space="preserve">was 81 years </w:t>
      </w:r>
      <w:r w:rsidR="00803258" w:rsidRPr="008A3740">
        <w:rPr>
          <w:rFonts w:ascii="Verdana" w:hAnsi="Verdana" w:cs="Arial"/>
          <w:sz w:val="20"/>
          <w:szCs w:val="20"/>
          <w:lang w:val="en-US"/>
        </w:rPr>
        <w:t xml:space="preserve">of age </w:t>
      </w:r>
      <w:r w:rsidRPr="008A3740">
        <w:rPr>
          <w:rFonts w:ascii="Verdana" w:hAnsi="Verdana" w:cs="Arial"/>
          <w:sz w:val="20"/>
          <w:szCs w:val="20"/>
          <w:lang w:val="en-US"/>
        </w:rPr>
        <w:t>at the time.</w:t>
      </w:r>
      <w:r w:rsidRPr="008A3740">
        <w:rPr>
          <w:rStyle w:val="Refdenotaalpie"/>
          <w:rFonts w:cs="Arial"/>
          <w:szCs w:val="20"/>
          <w:lang w:val="en-US"/>
        </w:rPr>
        <w:footnoteReference w:id="120"/>
      </w:r>
      <w:r w:rsidRPr="008A3740">
        <w:rPr>
          <w:rFonts w:ascii="Verdana" w:hAnsi="Verdana" w:cs="Arial"/>
          <w:sz w:val="20"/>
          <w:szCs w:val="20"/>
          <w:lang w:val="en-US"/>
        </w:rPr>
        <w:t xml:space="preserve"> </w:t>
      </w:r>
    </w:p>
    <w:p w14:paraId="7409A248" w14:textId="77777777" w:rsidR="008E6A56" w:rsidRPr="008A3740" w:rsidRDefault="008E6A56" w:rsidP="008E6A56">
      <w:pPr>
        <w:pStyle w:val="Prrafodelista"/>
        <w:rPr>
          <w:rFonts w:ascii="Verdana" w:hAnsi="Verdana" w:cs="Arial"/>
          <w:sz w:val="20"/>
          <w:szCs w:val="20"/>
          <w:lang w:val="en-US"/>
        </w:rPr>
      </w:pPr>
    </w:p>
    <w:p w14:paraId="30A3A050"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On February 14, 2017, based on the appeal filed by Xstrata Tintaya, the Second Civil </w:t>
      </w:r>
      <w:r w:rsidR="00811092" w:rsidRPr="008A3740">
        <w:rPr>
          <w:rFonts w:ascii="Verdana" w:hAnsi="Verdana" w:cs="Arial"/>
          <w:sz w:val="20"/>
          <w:szCs w:val="20"/>
          <w:lang w:val="en-US"/>
        </w:rPr>
        <w:t>Chamber</w:t>
      </w:r>
      <w:r w:rsidRPr="008A3740">
        <w:rPr>
          <w:rFonts w:ascii="Verdana" w:hAnsi="Verdana" w:cs="Arial"/>
          <w:sz w:val="20"/>
          <w:szCs w:val="20"/>
          <w:lang w:val="en-US"/>
        </w:rPr>
        <w:t xml:space="preserve"> </w:t>
      </w:r>
      <w:r w:rsidR="00BC3FD3" w:rsidRPr="008A3740">
        <w:rPr>
          <w:rFonts w:ascii="Verdana" w:hAnsi="Verdana" w:cs="Arial"/>
          <w:sz w:val="20"/>
          <w:szCs w:val="20"/>
          <w:lang w:val="en-US"/>
        </w:rPr>
        <w:t xml:space="preserve">declared invalid </w:t>
      </w:r>
      <w:r w:rsidRPr="008A3740">
        <w:rPr>
          <w:rFonts w:ascii="Verdana" w:hAnsi="Verdana" w:cs="Arial"/>
          <w:sz w:val="20"/>
          <w:szCs w:val="20"/>
          <w:lang w:val="en-US"/>
        </w:rPr>
        <w:t>the resolution of June 11, 2015, considering that “</w:t>
      </w:r>
      <w:r w:rsidR="00BC3FD3" w:rsidRPr="008A3740">
        <w:rPr>
          <w:rFonts w:ascii="Verdana" w:hAnsi="Verdana" w:cs="Arial"/>
          <w:sz w:val="20"/>
          <w:szCs w:val="20"/>
          <w:lang w:val="en-US"/>
        </w:rPr>
        <w:t xml:space="preserve">there </w:t>
      </w:r>
      <w:r w:rsidRPr="008A3740">
        <w:rPr>
          <w:rFonts w:ascii="Verdana" w:hAnsi="Verdana" w:cs="Arial"/>
          <w:sz w:val="20"/>
          <w:szCs w:val="20"/>
          <w:lang w:val="en-US"/>
        </w:rPr>
        <w:t>[</w:t>
      </w:r>
      <w:r w:rsidR="00BC3FD3" w:rsidRPr="008A3740">
        <w:rPr>
          <w:rFonts w:ascii="Verdana" w:hAnsi="Verdana" w:cs="Arial"/>
          <w:sz w:val="20"/>
          <w:szCs w:val="20"/>
          <w:lang w:val="en-US"/>
        </w:rPr>
        <w:t>were</w:t>
      </w:r>
      <w:r w:rsidRPr="008A3740">
        <w:rPr>
          <w:rFonts w:ascii="Verdana" w:hAnsi="Verdana" w:cs="Arial"/>
          <w:sz w:val="20"/>
          <w:szCs w:val="20"/>
          <w:lang w:val="en-US"/>
        </w:rPr>
        <w:t xml:space="preserve">] </w:t>
      </w:r>
      <w:r w:rsidR="00BC3FD3" w:rsidRPr="008A3740">
        <w:rPr>
          <w:rFonts w:ascii="Verdana" w:hAnsi="Verdana" w:cs="Arial"/>
          <w:sz w:val="20"/>
          <w:szCs w:val="20"/>
          <w:lang w:val="en-US"/>
        </w:rPr>
        <w:t xml:space="preserve">no </w:t>
      </w:r>
      <w:r w:rsidRPr="008A3740">
        <w:rPr>
          <w:rFonts w:ascii="Verdana" w:hAnsi="Verdana" w:cs="Arial"/>
          <w:sz w:val="20"/>
          <w:szCs w:val="20"/>
          <w:lang w:val="en-US"/>
        </w:rPr>
        <w:t xml:space="preserve">grounds for annulment because it was not issued </w:t>
      </w:r>
      <w:r w:rsidR="00BC3FD3" w:rsidRPr="008A3740">
        <w:rPr>
          <w:rFonts w:ascii="Verdana" w:hAnsi="Verdana" w:cs="Arial"/>
          <w:sz w:val="20"/>
          <w:szCs w:val="20"/>
          <w:lang w:val="en-US"/>
        </w:rPr>
        <w:t xml:space="preserve">pursuant to </w:t>
      </w:r>
      <w:r w:rsidRPr="008A3740">
        <w:rPr>
          <w:rFonts w:ascii="Verdana" w:hAnsi="Verdana" w:cs="Arial"/>
          <w:sz w:val="20"/>
          <w:szCs w:val="20"/>
          <w:lang w:val="en-US"/>
        </w:rPr>
        <w:t>the</w:t>
      </w:r>
      <w:r w:rsidR="00BC3FD3" w:rsidRPr="008A3740">
        <w:rPr>
          <w:rFonts w:ascii="Verdana" w:hAnsi="Verdana" w:cs="Arial"/>
          <w:sz w:val="20"/>
          <w:szCs w:val="20"/>
          <w:lang w:val="en-US"/>
        </w:rPr>
        <w:t xml:space="preserve"> merits of the actions.”</w:t>
      </w:r>
      <w:r w:rsidRPr="008A3740">
        <w:rPr>
          <w:rFonts w:ascii="Verdana" w:hAnsi="Verdana" w:cs="Arial"/>
          <w:sz w:val="20"/>
          <w:szCs w:val="20"/>
          <w:lang w:val="en-US"/>
        </w:rPr>
        <w:t xml:space="preserve"> </w:t>
      </w:r>
      <w:r w:rsidR="00BC3FD3" w:rsidRPr="008A3740">
        <w:rPr>
          <w:rFonts w:ascii="Verdana" w:hAnsi="Verdana" w:cs="Arial"/>
          <w:sz w:val="20"/>
          <w:szCs w:val="20"/>
          <w:lang w:val="en-US"/>
        </w:rPr>
        <w:t xml:space="preserve">The Chamber ordered </w:t>
      </w:r>
      <w:r w:rsidR="00027D90" w:rsidRPr="008A3740">
        <w:rPr>
          <w:rFonts w:ascii="Verdana" w:hAnsi="Verdana" w:cs="Arial"/>
          <w:sz w:val="20"/>
          <w:szCs w:val="20"/>
          <w:lang w:val="en-US"/>
        </w:rPr>
        <w:t xml:space="preserve">the court </w:t>
      </w:r>
      <w:r w:rsidR="00027D90" w:rsidRPr="008A3740">
        <w:rPr>
          <w:rFonts w:ascii="Verdana" w:hAnsi="Verdana" w:cs="Arial"/>
          <w:i/>
          <w:sz w:val="20"/>
          <w:szCs w:val="20"/>
          <w:lang w:val="en-US"/>
        </w:rPr>
        <w:t>a quo</w:t>
      </w:r>
      <w:r w:rsidR="00027D90" w:rsidRPr="008A3740">
        <w:rPr>
          <w:rFonts w:ascii="Verdana" w:hAnsi="Verdana" w:cs="Arial"/>
          <w:sz w:val="20"/>
          <w:szCs w:val="20"/>
          <w:lang w:val="en-US"/>
        </w:rPr>
        <w:t xml:space="preserve"> </w:t>
      </w:r>
      <w:r w:rsidR="00BC3FD3" w:rsidRPr="008A3740">
        <w:rPr>
          <w:rFonts w:ascii="Verdana" w:hAnsi="Verdana" w:cs="Arial"/>
          <w:sz w:val="20"/>
          <w:szCs w:val="20"/>
          <w:lang w:val="en-US"/>
        </w:rPr>
        <w:t>t</w:t>
      </w:r>
      <w:r w:rsidR="00027D90" w:rsidRPr="008A3740">
        <w:rPr>
          <w:rFonts w:ascii="Verdana" w:hAnsi="Verdana" w:cs="Arial"/>
          <w:sz w:val="20"/>
          <w:szCs w:val="20"/>
          <w:lang w:val="en-US"/>
        </w:rPr>
        <w:t xml:space="preserve">o continue the </w:t>
      </w:r>
      <w:r w:rsidRPr="008A3740">
        <w:rPr>
          <w:rFonts w:ascii="Verdana" w:hAnsi="Verdana" w:cs="Arial"/>
          <w:sz w:val="20"/>
          <w:szCs w:val="20"/>
          <w:lang w:val="en-US"/>
        </w:rPr>
        <w:t xml:space="preserve">case </w:t>
      </w:r>
      <w:r w:rsidR="00BC3FD3" w:rsidRPr="008A3740">
        <w:rPr>
          <w:rFonts w:ascii="Verdana" w:hAnsi="Verdana" w:cs="Arial"/>
          <w:sz w:val="20"/>
          <w:szCs w:val="20"/>
          <w:lang w:val="en-US"/>
        </w:rPr>
        <w:t>and t</w:t>
      </w:r>
      <w:r w:rsidR="00027D90" w:rsidRPr="008A3740">
        <w:rPr>
          <w:rFonts w:ascii="Verdana" w:hAnsi="Verdana" w:cs="Arial"/>
          <w:sz w:val="20"/>
          <w:szCs w:val="20"/>
          <w:lang w:val="en-US"/>
        </w:rPr>
        <w:t xml:space="preserve">o renew </w:t>
      </w:r>
      <w:r w:rsidRPr="008A3740">
        <w:rPr>
          <w:rFonts w:ascii="Verdana" w:hAnsi="Verdana" w:cs="Arial"/>
          <w:sz w:val="20"/>
          <w:szCs w:val="20"/>
          <w:lang w:val="en-US"/>
        </w:rPr>
        <w:t xml:space="preserve">the procedural </w:t>
      </w:r>
      <w:r w:rsidR="001C21E7" w:rsidRPr="008A3740">
        <w:rPr>
          <w:rFonts w:ascii="Verdana" w:hAnsi="Verdana" w:cs="Arial"/>
          <w:sz w:val="20"/>
          <w:szCs w:val="20"/>
          <w:lang w:val="en-US"/>
        </w:rPr>
        <w:t xml:space="preserve">act </w:t>
      </w:r>
      <w:r w:rsidRPr="008A3740">
        <w:rPr>
          <w:rFonts w:ascii="Verdana" w:hAnsi="Verdana" w:cs="Arial"/>
          <w:sz w:val="20"/>
          <w:szCs w:val="20"/>
          <w:lang w:val="en-US"/>
        </w:rPr>
        <w:t>affected</w:t>
      </w:r>
      <w:r w:rsidR="00027D90" w:rsidRPr="008A3740">
        <w:rPr>
          <w:rFonts w:ascii="Verdana" w:hAnsi="Verdana" w:cs="Arial"/>
          <w:sz w:val="20"/>
          <w:szCs w:val="20"/>
          <w:lang w:val="en-US"/>
        </w:rPr>
        <w:t xml:space="preserve">, issuing </w:t>
      </w:r>
      <w:r w:rsidRPr="008A3740">
        <w:rPr>
          <w:rFonts w:ascii="Verdana" w:hAnsi="Verdana" w:cs="Arial"/>
          <w:sz w:val="20"/>
          <w:szCs w:val="20"/>
          <w:lang w:val="en-US"/>
        </w:rPr>
        <w:t>a new resolution according to law.</w:t>
      </w:r>
      <w:r w:rsidRPr="008A3740">
        <w:rPr>
          <w:rStyle w:val="Refdenotaalpie"/>
          <w:rFonts w:cs="Arial"/>
          <w:szCs w:val="20"/>
          <w:lang w:val="en-US"/>
        </w:rPr>
        <w:footnoteReference w:id="121"/>
      </w:r>
      <w:r w:rsidRPr="008A3740">
        <w:rPr>
          <w:rFonts w:ascii="Verdana" w:hAnsi="Verdana" w:cs="Arial"/>
          <w:sz w:val="20"/>
          <w:szCs w:val="20"/>
          <w:lang w:val="en-US"/>
        </w:rPr>
        <w:t xml:space="preserve"> </w:t>
      </w:r>
      <w:r w:rsidR="00027D90" w:rsidRPr="008A3740">
        <w:rPr>
          <w:rFonts w:ascii="Verdana" w:hAnsi="Verdana" w:cs="Arial"/>
          <w:sz w:val="20"/>
          <w:szCs w:val="20"/>
          <w:lang w:val="en-US"/>
        </w:rPr>
        <w:t xml:space="preserve">This </w:t>
      </w:r>
      <w:r w:rsidRPr="008A3740">
        <w:rPr>
          <w:rFonts w:ascii="Verdana" w:hAnsi="Verdana" w:cs="Arial"/>
          <w:sz w:val="20"/>
          <w:szCs w:val="20"/>
          <w:lang w:val="en-US"/>
        </w:rPr>
        <w:t>decision</w:t>
      </w:r>
      <w:r w:rsidR="00027D90" w:rsidRPr="008A3740">
        <w:rPr>
          <w:rFonts w:ascii="Verdana" w:hAnsi="Verdana" w:cs="Arial"/>
          <w:sz w:val="20"/>
          <w:szCs w:val="20"/>
          <w:lang w:val="en-US"/>
        </w:rPr>
        <w:t xml:space="preserve"> indicated that </w:t>
      </w:r>
      <w:r w:rsidRPr="008A3740">
        <w:rPr>
          <w:rFonts w:ascii="Verdana" w:hAnsi="Verdana" w:cs="Arial"/>
          <w:sz w:val="20"/>
          <w:szCs w:val="20"/>
          <w:lang w:val="en-US"/>
        </w:rPr>
        <w:t xml:space="preserve">the judge established that Xstrata Tintaya S.A. was responsible for paying the pension, despite the fact that at the time when the decision on the appeal was issued, the information requested from MEF on September 9, 2014, was not yet available. Thus it was considered incongruous that </w:t>
      </w:r>
      <w:r w:rsidR="00726507" w:rsidRPr="008A3740">
        <w:rPr>
          <w:rFonts w:ascii="Verdana" w:hAnsi="Verdana" w:cs="Arial"/>
          <w:sz w:val="20"/>
          <w:szCs w:val="20"/>
          <w:lang w:val="en-US"/>
        </w:rPr>
        <w:t xml:space="preserve">a ruling </w:t>
      </w:r>
      <w:r w:rsidR="00F9466B" w:rsidRPr="008A3740">
        <w:rPr>
          <w:rFonts w:ascii="Verdana" w:hAnsi="Verdana" w:cs="Arial"/>
          <w:sz w:val="20"/>
          <w:szCs w:val="20"/>
          <w:lang w:val="en-US"/>
        </w:rPr>
        <w:t xml:space="preserve">had been issued </w:t>
      </w:r>
      <w:r w:rsidRPr="008A3740">
        <w:rPr>
          <w:rFonts w:ascii="Verdana" w:hAnsi="Verdana" w:cs="Arial"/>
          <w:sz w:val="20"/>
          <w:szCs w:val="20"/>
          <w:lang w:val="en-US"/>
        </w:rPr>
        <w:t xml:space="preserve">on the dispute, </w:t>
      </w:r>
      <w:r w:rsidR="00513719" w:rsidRPr="008A3740">
        <w:rPr>
          <w:rFonts w:ascii="Verdana" w:hAnsi="Verdana" w:cs="Arial"/>
          <w:sz w:val="20"/>
          <w:szCs w:val="20"/>
          <w:lang w:val="en-US"/>
        </w:rPr>
        <w:t xml:space="preserve">without having </w:t>
      </w:r>
      <w:r w:rsidRPr="008A3740">
        <w:rPr>
          <w:rFonts w:ascii="Verdana" w:hAnsi="Verdana" w:cs="Arial"/>
          <w:sz w:val="20"/>
          <w:szCs w:val="20"/>
          <w:lang w:val="en-US"/>
        </w:rPr>
        <w:t xml:space="preserve">the information necessary </w:t>
      </w:r>
      <w:r w:rsidR="00513719" w:rsidRPr="008A3740">
        <w:rPr>
          <w:rFonts w:ascii="Verdana" w:hAnsi="Verdana" w:cs="Arial"/>
          <w:sz w:val="20"/>
          <w:szCs w:val="20"/>
          <w:lang w:val="en-US"/>
        </w:rPr>
        <w:t xml:space="preserve">to take </w:t>
      </w:r>
      <w:r w:rsidRPr="008A3740">
        <w:rPr>
          <w:rFonts w:ascii="Verdana" w:hAnsi="Verdana" w:cs="Arial"/>
          <w:sz w:val="20"/>
          <w:szCs w:val="20"/>
          <w:lang w:val="en-US"/>
        </w:rPr>
        <w:t>a decision.</w:t>
      </w:r>
      <w:r w:rsidRPr="008A3740">
        <w:rPr>
          <w:rStyle w:val="Refdenotaalpie"/>
          <w:rFonts w:cs="Arial"/>
          <w:szCs w:val="20"/>
          <w:lang w:val="en-US"/>
        </w:rPr>
        <w:footnoteReference w:id="122"/>
      </w:r>
    </w:p>
    <w:p w14:paraId="1049F628" w14:textId="77777777" w:rsidR="008E6A56" w:rsidRPr="008A3740" w:rsidRDefault="008E6A56" w:rsidP="008E6A56">
      <w:pPr>
        <w:tabs>
          <w:tab w:val="left" w:pos="567"/>
        </w:tabs>
        <w:rPr>
          <w:rFonts w:ascii="Verdana" w:hAnsi="Verdana" w:cs="Arial"/>
          <w:sz w:val="20"/>
          <w:szCs w:val="20"/>
          <w:lang w:val="en-US"/>
        </w:rPr>
      </w:pPr>
    </w:p>
    <w:p w14:paraId="00750EE3"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 xml:space="preserve">The </w:t>
      </w:r>
      <w:r w:rsidR="005A49D4" w:rsidRPr="008A3740">
        <w:rPr>
          <w:rFonts w:ascii="Verdana" w:hAnsi="Verdana" w:cs="Arial"/>
          <w:sz w:val="20"/>
          <w:szCs w:val="20"/>
          <w:lang w:val="en-US"/>
        </w:rPr>
        <w:t>Thirty-third</w:t>
      </w:r>
      <w:r w:rsidRPr="008A3740">
        <w:rPr>
          <w:rFonts w:ascii="Verdana" w:hAnsi="Verdana" w:cs="Arial"/>
          <w:sz w:val="20"/>
          <w:szCs w:val="20"/>
          <w:lang w:val="en-US"/>
        </w:rPr>
        <w:t xml:space="preserve"> Civil Court scheduled an oral report for March 27, 2018, which was attended by </w:t>
      </w:r>
      <w:r w:rsidR="00027D90" w:rsidRPr="008A3740">
        <w:rPr>
          <w:rFonts w:ascii="Verdana" w:hAnsi="Verdana" w:cs="Arial"/>
          <w:sz w:val="20"/>
          <w:szCs w:val="20"/>
          <w:lang w:val="en-US"/>
        </w:rPr>
        <w:t xml:space="preserve">the defense counsel of </w:t>
      </w:r>
      <w:r w:rsidRPr="008A3740">
        <w:rPr>
          <w:rFonts w:ascii="Verdana" w:hAnsi="Verdana" w:cs="Arial"/>
          <w:sz w:val="20"/>
          <w:szCs w:val="20"/>
          <w:lang w:val="en-US"/>
        </w:rPr>
        <w:t>Mr. Muelle Flores</w:t>
      </w:r>
      <w:r w:rsidR="00027D90" w:rsidRPr="008A3740">
        <w:rPr>
          <w:rFonts w:ascii="Verdana" w:hAnsi="Verdana" w:cs="Arial"/>
          <w:sz w:val="20"/>
          <w:szCs w:val="20"/>
          <w:lang w:val="en-US"/>
        </w:rPr>
        <w:t>, but not by the counsel</w:t>
      </w:r>
      <w:r w:rsidRPr="008A3740">
        <w:rPr>
          <w:rFonts w:ascii="Verdana" w:hAnsi="Verdana" w:cs="Arial"/>
          <w:sz w:val="20"/>
          <w:szCs w:val="20"/>
          <w:lang w:val="en-US"/>
        </w:rPr>
        <w:t xml:space="preserve"> of the private company. The Court informed the parties that the </w:t>
      </w:r>
      <w:r w:rsidR="007D44FA" w:rsidRPr="008A3740">
        <w:rPr>
          <w:rFonts w:ascii="Verdana" w:hAnsi="Verdana" w:cs="Arial"/>
          <w:sz w:val="20"/>
          <w:szCs w:val="20"/>
          <w:lang w:val="en-US"/>
        </w:rPr>
        <w:t>case files were available and the matter could proceed</w:t>
      </w:r>
      <w:r w:rsidRPr="008A3740">
        <w:rPr>
          <w:rFonts w:ascii="Verdana" w:hAnsi="Verdana" w:cs="Arial"/>
          <w:sz w:val="20"/>
          <w:szCs w:val="20"/>
          <w:lang w:val="en-US"/>
        </w:rPr>
        <w:t>.</w:t>
      </w:r>
      <w:r w:rsidRPr="008A3740">
        <w:rPr>
          <w:rStyle w:val="Refdenotaalpie"/>
          <w:rFonts w:cs="Arial"/>
          <w:szCs w:val="20"/>
          <w:lang w:val="en-US"/>
        </w:rPr>
        <w:footnoteReference w:id="123"/>
      </w:r>
      <w:r w:rsidRPr="008A3740">
        <w:rPr>
          <w:rFonts w:ascii="Verdana" w:hAnsi="Verdana" w:cs="Arial"/>
          <w:sz w:val="20"/>
          <w:szCs w:val="20"/>
          <w:lang w:val="en-US"/>
        </w:rPr>
        <w:t xml:space="preserve"> This is the last procedural act that is recorded in the body of evidence before this Court.</w:t>
      </w:r>
    </w:p>
    <w:p w14:paraId="25C8D057" w14:textId="77777777" w:rsidR="008E6A56" w:rsidRPr="008A3740" w:rsidRDefault="008E6A56" w:rsidP="008E6A56">
      <w:pPr>
        <w:pStyle w:val="Prrafodelista"/>
        <w:rPr>
          <w:rFonts w:ascii="Verdana" w:hAnsi="Verdana" w:cs="Arial"/>
          <w:sz w:val="20"/>
          <w:szCs w:val="20"/>
          <w:lang w:val="en-US"/>
        </w:rPr>
      </w:pPr>
    </w:p>
    <w:p w14:paraId="23ED6416" w14:textId="77777777" w:rsidR="008E6A56" w:rsidRPr="008A3740" w:rsidRDefault="008E6A56" w:rsidP="00D17A65">
      <w:pPr>
        <w:numPr>
          <w:ilvl w:val="0"/>
          <w:numId w:val="3"/>
        </w:numPr>
        <w:tabs>
          <w:tab w:val="left" w:pos="567"/>
          <w:tab w:val="num" w:pos="12305"/>
        </w:tabs>
        <w:ind w:left="0" w:firstLine="0"/>
        <w:rPr>
          <w:rFonts w:ascii="Verdana" w:hAnsi="Verdana" w:cs="Arial"/>
          <w:b/>
          <w:sz w:val="20"/>
          <w:szCs w:val="20"/>
          <w:lang w:val="en-US"/>
        </w:rPr>
      </w:pPr>
      <w:r w:rsidRPr="008A3740">
        <w:rPr>
          <w:rFonts w:ascii="Verdana" w:hAnsi="Verdana" w:cs="Arial"/>
          <w:sz w:val="20"/>
          <w:szCs w:val="20"/>
          <w:lang w:val="en-US"/>
        </w:rPr>
        <w:t xml:space="preserve">To date, the execution process, initiated in 1993, is still </w:t>
      </w:r>
      <w:r w:rsidR="00085FB9" w:rsidRPr="008A3740">
        <w:rPr>
          <w:rFonts w:ascii="Verdana" w:hAnsi="Verdana" w:cs="Arial"/>
          <w:sz w:val="20"/>
          <w:szCs w:val="20"/>
          <w:lang w:val="en-US"/>
        </w:rPr>
        <w:t>ongoing</w:t>
      </w:r>
      <w:r w:rsidRPr="008A3740">
        <w:rPr>
          <w:rFonts w:ascii="Verdana" w:hAnsi="Verdana" w:cs="Arial"/>
          <w:sz w:val="20"/>
          <w:szCs w:val="20"/>
          <w:lang w:val="en-US"/>
        </w:rPr>
        <w:t>.</w:t>
      </w:r>
    </w:p>
    <w:p w14:paraId="65257419" w14:textId="77777777" w:rsidR="008E6A56" w:rsidRPr="008A3740" w:rsidRDefault="008E6A56" w:rsidP="008E6A56">
      <w:pPr>
        <w:pStyle w:val="Prrafodelista"/>
        <w:rPr>
          <w:rFonts w:ascii="Verdana" w:hAnsi="Verdana" w:cs="Arial"/>
          <w:sz w:val="20"/>
          <w:szCs w:val="20"/>
          <w:lang w:val="en-US"/>
        </w:rPr>
      </w:pPr>
    </w:p>
    <w:p w14:paraId="68E3CBF1" w14:textId="77777777" w:rsidR="008E6A56" w:rsidRPr="008A3740" w:rsidRDefault="008E6A56" w:rsidP="008E6A56">
      <w:pPr>
        <w:pStyle w:val="Ttulo2"/>
        <w:tabs>
          <w:tab w:val="clear" w:pos="360"/>
        </w:tabs>
        <w:ind w:hanging="360"/>
        <w:rPr>
          <w:lang w:val="en-US"/>
        </w:rPr>
      </w:pPr>
      <w:bookmarkStart w:id="78" w:name="_Toc5009875"/>
      <w:r w:rsidRPr="008A3740">
        <w:rPr>
          <w:lang w:val="en-US"/>
        </w:rPr>
        <w:t>Regulations on pensions and privatizations from 2002</w:t>
      </w:r>
      <w:bookmarkEnd w:id="78"/>
      <w:r w:rsidRPr="008A3740">
        <w:rPr>
          <w:lang w:val="en-US"/>
        </w:rPr>
        <w:t xml:space="preserve"> </w:t>
      </w:r>
    </w:p>
    <w:p w14:paraId="0613D171" w14:textId="77777777" w:rsidR="008E6A56" w:rsidRPr="008A3740" w:rsidRDefault="008E6A56" w:rsidP="008E6A56">
      <w:pPr>
        <w:tabs>
          <w:tab w:val="left" w:pos="567"/>
        </w:tabs>
        <w:rPr>
          <w:rFonts w:ascii="Verdana" w:hAnsi="Verdana" w:cs="Arial"/>
          <w:sz w:val="20"/>
          <w:szCs w:val="20"/>
          <w:lang w:val="en-US"/>
        </w:rPr>
      </w:pPr>
    </w:p>
    <w:p w14:paraId="41569D50"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On May 12, 2002</w:t>
      </w:r>
      <w:r w:rsidR="007D44FA" w:rsidRPr="008A3740">
        <w:rPr>
          <w:rFonts w:ascii="Verdana" w:hAnsi="Verdana" w:cs="Arial"/>
          <w:sz w:val="20"/>
          <w:szCs w:val="20"/>
          <w:lang w:val="en-US"/>
        </w:rPr>
        <w:t>,</w:t>
      </w:r>
      <w:r w:rsidRPr="008A3740">
        <w:rPr>
          <w:rStyle w:val="Refdenotaalpie"/>
          <w:rFonts w:cs="Arial"/>
          <w:szCs w:val="20"/>
          <w:lang w:val="en-US"/>
        </w:rPr>
        <w:footnoteReference w:id="124"/>
      </w:r>
      <w:r w:rsidR="007D44FA" w:rsidRPr="008A3740">
        <w:rPr>
          <w:rFonts w:ascii="Verdana" w:hAnsi="Verdana" w:cs="Arial"/>
          <w:sz w:val="20"/>
          <w:szCs w:val="20"/>
          <w:lang w:val="en-US"/>
        </w:rPr>
        <w:t xml:space="preserve"> Law No. 27719 was published;</w:t>
      </w:r>
      <w:r w:rsidRPr="008A3740">
        <w:rPr>
          <w:rFonts w:ascii="Verdana" w:hAnsi="Verdana" w:cs="Arial"/>
          <w:sz w:val="20"/>
          <w:szCs w:val="20"/>
          <w:lang w:val="en-US"/>
        </w:rPr>
        <w:t xml:space="preserve"> Article 7 </w:t>
      </w:r>
      <w:r w:rsidR="007D44FA" w:rsidRPr="008A3740">
        <w:rPr>
          <w:rFonts w:ascii="Verdana" w:hAnsi="Verdana" w:cs="Arial"/>
          <w:sz w:val="20"/>
          <w:szCs w:val="20"/>
          <w:lang w:val="en-US"/>
        </w:rPr>
        <w:t xml:space="preserve">of that law </w:t>
      </w:r>
      <w:r w:rsidRPr="008A3740">
        <w:rPr>
          <w:rFonts w:ascii="Verdana" w:hAnsi="Verdana" w:cs="Arial"/>
          <w:sz w:val="20"/>
          <w:szCs w:val="20"/>
          <w:lang w:val="en-US"/>
        </w:rPr>
        <w:t>establ</w:t>
      </w:r>
      <w:r w:rsidR="00513719" w:rsidRPr="008A3740">
        <w:rPr>
          <w:rFonts w:ascii="Verdana" w:hAnsi="Verdana" w:cs="Arial"/>
          <w:sz w:val="20"/>
          <w:szCs w:val="20"/>
          <w:lang w:val="en-US"/>
        </w:rPr>
        <w:t xml:space="preserve">ished that </w:t>
      </w:r>
      <w:r w:rsidR="00513719" w:rsidRPr="008A3740">
        <w:rPr>
          <w:rFonts w:ascii="Verdana" w:hAnsi="Verdana" w:cs="Arial"/>
          <w:sz w:val="20"/>
          <w:szCs w:val="20"/>
          <w:lang w:val="en-US"/>
        </w:rPr>
        <w:lastRenderedPageBreak/>
        <w:t>“</w:t>
      </w:r>
      <w:r w:rsidRPr="008A3740">
        <w:rPr>
          <w:rFonts w:ascii="Verdana" w:hAnsi="Verdana" w:cs="Arial"/>
          <w:sz w:val="20"/>
          <w:szCs w:val="20"/>
          <w:lang w:val="en-US"/>
        </w:rPr>
        <w:t>pensioner</w:t>
      </w:r>
      <w:r w:rsidR="00AC66DE" w:rsidRPr="008A3740">
        <w:rPr>
          <w:rFonts w:ascii="Verdana" w:hAnsi="Verdana" w:cs="Arial"/>
          <w:sz w:val="20"/>
          <w:szCs w:val="20"/>
          <w:lang w:val="en-US"/>
        </w:rPr>
        <w:t>s whose</w:t>
      </w:r>
      <w:r w:rsidRPr="008A3740">
        <w:rPr>
          <w:rFonts w:ascii="Verdana" w:hAnsi="Verdana" w:cs="Arial"/>
          <w:sz w:val="20"/>
          <w:szCs w:val="20"/>
          <w:lang w:val="en-US"/>
        </w:rPr>
        <w:t xml:space="preserve"> </w:t>
      </w:r>
      <w:r w:rsidR="008C2421" w:rsidRPr="008A3740">
        <w:rPr>
          <w:rFonts w:ascii="Verdana" w:hAnsi="Verdana" w:cs="Arial"/>
          <w:sz w:val="20"/>
          <w:szCs w:val="20"/>
          <w:lang w:val="en-US"/>
        </w:rPr>
        <w:t xml:space="preserve">institution of </w:t>
      </w:r>
      <w:r w:rsidR="005F68BC" w:rsidRPr="008A3740">
        <w:rPr>
          <w:rFonts w:ascii="Verdana" w:hAnsi="Verdana" w:cs="Arial"/>
          <w:sz w:val="20"/>
          <w:szCs w:val="20"/>
          <w:lang w:val="en-US"/>
        </w:rPr>
        <w:t xml:space="preserve">origin </w:t>
      </w:r>
      <w:r w:rsidR="00AC66DE" w:rsidRPr="008A3740">
        <w:rPr>
          <w:rFonts w:ascii="Verdana" w:hAnsi="Verdana" w:cs="Arial"/>
          <w:sz w:val="20"/>
          <w:szCs w:val="20"/>
          <w:lang w:val="en-US"/>
        </w:rPr>
        <w:t xml:space="preserve">has been </w:t>
      </w:r>
      <w:r w:rsidRPr="008A3740">
        <w:rPr>
          <w:rFonts w:ascii="Verdana" w:hAnsi="Verdana" w:cs="Arial"/>
          <w:sz w:val="20"/>
          <w:szCs w:val="20"/>
          <w:lang w:val="en-US"/>
        </w:rPr>
        <w:t xml:space="preserve">privatized or dissolved, </w:t>
      </w:r>
      <w:r w:rsidR="0041627C" w:rsidRPr="008A3740">
        <w:rPr>
          <w:rFonts w:ascii="Verdana" w:hAnsi="Verdana" w:cs="Arial"/>
          <w:sz w:val="20"/>
          <w:szCs w:val="20"/>
          <w:lang w:val="en-US"/>
        </w:rPr>
        <w:t>sha</w:t>
      </w:r>
      <w:r w:rsidR="005F68BC" w:rsidRPr="008A3740">
        <w:rPr>
          <w:rFonts w:ascii="Verdana" w:hAnsi="Verdana" w:cs="Arial"/>
          <w:sz w:val="20"/>
          <w:szCs w:val="20"/>
          <w:lang w:val="en-US"/>
        </w:rPr>
        <w:t xml:space="preserve">ll </w:t>
      </w:r>
      <w:r w:rsidR="00AC66DE" w:rsidRPr="008A3740">
        <w:rPr>
          <w:rFonts w:ascii="Verdana" w:hAnsi="Verdana" w:cs="Arial"/>
          <w:sz w:val="20"/>
          <w:szCs w:val="20"/>
          <w:lang w:val="en-US"/>
        </w:rPr>
        <w:t xml:space="preserve">receive their pensions from </w:t>
      </w:r>
      <w:r w:rsidR="008C7252" w:rsidRPr="008A3740">
        <w:rPr>
          <w:rFonts w:ascii="Verdana" w:hAnsi="Verdana" w:cs="Arial"/>
          <w:sz w:val="20"/>
          <w:szCs w:val="20"/>
          <w:lang w:val="en-US"/>
        </w:rPr>
        <w:t xml:space="preserve">the Ministry of </w:t>
      </w:r>
      <w:r w:rsidRPr="008A3740">
        <w:rPr>
          <w:rFonts w:ascii="Verdana" w:hAnsi="Verdana" w:cs="Arial"/>
          <w:sz w:val="20"/>
          <w:szCs w:val="20"/>
          <w:lang w:val="en-US"/>
        </w:rPr>
        <w:t>Economy and Finance</w:t>
      </w:r>
      <w:r w:rsidR="00726507" w:rsidRPr="008A3740">
        <w:rPr>
          <w:rFonts w:ascii="Verdana" w:hAnsi="Verdana" w:cs="Arial"/>
          <w:sz w:val="20"/>
          <w:szCs w:val="20"/>
          <w:lang w:val="en-US"/>
        </w:rPr>
        <w:t>.</w:t>
      </w:r>
      <w:r w:rsidRPr="008A3740">
        <w:rPr>
          <w:rFonts w:ascii="Verdana" w:hAnsi="Verdana" w:cs="Arial"/>
          <w:sz w:val="20"/>
          <w:szCs w:val="20"/>
          <w:lang w:val="en-US"/>
        </w:rPr>
        <w:t>”</w:t>
      </w:r>
      <w:r w:rsidRPr="008A3740">
        <w:rPr>
          <w:rStyle w:val="Refdenotaalpie"/>
          <w:rFonts w:cs="Arial"/>
          <w:szCs w:val="20"/>
          <w:lang w:val="en-US"/>
        </w:rPr>
        <w:footnoteReference w:id="125"/>
      </w:r>
      <w:r w:rsidRPr="008A3740">
        <w:rPr>
          <w:rFonts w:ascii="Verdana" w:hAnsi="Verdana" w:cs="Arial"/>
          <w:i/>
          <w:sz w:val="20"/>
          <w:szCs w:val="20"/>
          <w:lang w:val="en-US"/>
        </w:rPr>
        <w:t xml:space="preserve"> </w:t>
      </w:r>
    </w:p>
    <w:p w14:paraId="32DDE7EC" w14:textId="77777777" w:rsidR="008E6A56" w:rsidRPr="008A3740" w:rsidRDefault="008E6A56" w:rsidP="008E6A56">
      <w:pPr>
        <w:rPr>
          <w:rFonts w:ascii="Verdana" w:hAnsi="Verdana" w:cs="Arial"/>
          <w:sz w:val="20"/>
          <w:szCs w:val="20"/>
          <w:lang w:val="en-US"/>
        </w:rPr>
      </w:pPr>
    </w:p>
    <w:p w14:paraId="061704C1"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The previous rule was expanded on December 6, 2003</w:t>
      </w:r>
      <w:r w:rsidR="00E67B04" w:rsidRPr="008A3740">
        <w:rPr>
          <w:rFonts w:ascii="Verdana" w:hAnsi="Verdana" w:cs="Arial"/>
          <w:sz w:val="20"/>
          <w:szCs w:val="20"/>
          <w:lang w:val="en-US"/>
        </w:rPr>
        <w:t>,</w:t>
      </w:r>
      <w:r w:rsidRPr="008A3740">
        <w:rPr>
          <w:rFonts w:ascii="Verdana" w:hAnsi="Verdana" w:cs="Arial"/>
          <w:sz w:val="20"/>
          <w:szCs w:val="20"/>
          <w:lang w:val="en-US"/>
        </w:rPr>
        <w:t xml:space="preserve"> through </w:t>
      </w:r>
      <w:r w:rsidR="00E67B04" w:rsidRPr="008A3740">
        <w:rPr>
          <w:rFonts w:ascii="Verdana" w:hAnsi="Verdana" w:cs="Arial"/>
          <w:sz w:val="20"/>
          <w:szCs w:val="20"/>
          <w:lang w:val="en-US"/>
        </w:rPr>
        <w:t>Law No. 28115. Article 1 of  this</w:t>
      </w:r>
      <w:r w:rsidRPr="008A3740">
        <w:rPr>
          <w:rFonts w:ascii="Verdana" w:hAnsi="Verdana" w:cs="Arial"/>
          <w:sz w:val="20"/>
          <w:szCs w:val="20"/>
          <w:lang w:val="en-US"/>
        </w:rPr>
        <w:t xml:space="preserve"> l</w:t>
      </w:r>
      <w:r w:rsidR="00E67B04" w:rsidRPr="008A3740">
        <w:rPr>
          <w:rFonts w:ascii="Verdana" w:hAnsi="Verdana" w:cs="Arial"/>
          <w:sz w:val="20"/>
          <w:szCs w:val="20"/>
          <w:lang w:val="en-US"/>
        </w:rPr>
        <w:t>aw</w:t>
      </w:r>
      <w:r w:rsidRPr="008A3740">
        <w:rPr>
          <w:rFonts w:ascii="Verdana" w:hAnsi="Verdana" w:cs="Arial"/>
          <w:sz w:val="20"/>
          <w:szCs w:val="20"/>
          <w:lang w:val="en-US"/>
        </w:rPr>
        <w:t xml:space="preserve"> established that </w:t>
      </w:r>
      <w:r w:rsidRPr="008A3740">
        <w:rPr>
          <w:rFonts w:ascii="Verdana" w:hAnsi="Verdana" w:cs="Arial"/>
          <w:i/>
          <w:sz w:val="20"/>
          <w:szCs w:val="20"/>
          <w:lang w:val="en-US"/>
        </w:rPr>
        <w:t>“</w:t>
      </w:r>
      <w:r w:rsidR="00B37CCB" w:rsidRPr="008A3740">
        <w:rPr>
          <w:rFonts w:ascii="Verdana" w:hAnsi="Verdana" w:cs="Arial"/>
          <w:sz w:val="20"/>
          <w:szCs w:val="20"/>
          <w:lang w:val="en-US"/>
        </w:rPr>
        <w:t>[t]he</w:t>
      </w:r>
      <w:r w:rsidRPr="008A3740">
        <w:rPr>
          <w:rFonts w:ascii="Verdana" w:hAnsi="Verdana" w:cs="Arial"/>
          <w:sz w:val="20"/>
          <w:szCs w:val="20"/>
          <w:lang w:val="en-US"/>
        </w:rPr>
        <w:t xml:space="preserve"> </w:t>
      </w:r>
      <w:r w:rsidR="00B37CCB" w:rsidRPr="008A3740">
        <w:rPr>
          <w:rFonts w:ascii="Verdana" w:hAnsi="Verdana" w:cs="Arial"/>
          <w:sz w:val="20"/>
          <w:szCs w:val="20"/>
          <w:lang w:val="en-US"/>
        </w:rPr>
        <w:t>recognition, declaration, qu</w:t>
      </w:r>
      <w:r w:rsidRPr="008A3740">
        <w:rPr>
          <w:rFonts w:ascii="Verdana" w:hAnsi="Verdana" w:cs="Arial"/>
          <w:sz w:val="20"/>
          <w:szCs w:val="20"/>
          <w:lang w:val="en-US"/>
        </w:rPr>
        <w:t xml:space="preserve">alification and payment </w:t>
      </w:r>
      <w:r w:rsidR="00B37CCB" w:rsidRPr="008A3740">
        <w:rPr>
          <w:rFonts w:ascii="Verdana" w:hAnsi="Verdana" w:cs="Arial"/>
          <w:sz w:val="20"/>
          <w:szCs w:val="20"/>
          <w:lang w:val="en-US"/>
        </w:rPr>
        <w:t xml:space="preserve">of </w:t>
      </w:r>
      <w:r w:rsidRPr="008A3740">
        <w:rPr>
          <w:rFonts w:ascii="Verdana" w:hAnsi="Verdana" w:cs="Arial"/>
          <w:sz w:val="20"/>
          <w:szCs w:val="20"/>
          <w:lang w:val="en-US"/>
        </w:rPr>
        <w:t xml:space="preserve">pensions </w:t>
      </w:r>
      <w:r w:rsidR="00B37CCB" w:rsidRPr="008A3740">
        <w:rPr>
          <w:rFonts w:ascii="Verdana" w:hAnsi="Verdana" w:cs="Arial"/>
          <w:sz w:val="20"/>
          <w:szCs w:val="20"/>
          <w:lang w:val="en-US"/>
        </w:rPr>
        <w:t xml:space="preserve">originating from an </w:t>
      </w:r>
      <w:r w:rsidRPr="008A3740">
        <w:rPr>
          <w:rFonts w:ascii="Verdana" w:hAnsi="Verdana" w:cs="Arial"/>
          <w:sz w:val="20"/>
          <w:szCs w:val="20"/>
          <w:lang w:val="en-US"/>
        </w:rPr>
        <w:t xml:space="preserve">entity </w:t>
      </w:r>
      <w:r w:rsidR="00B37CCB" w:rsidRPr="008A3740">
        <w:rPr>
          <w:rFonts w:ascii="Verdana" w:hAnsi="Verdana" w:cs="Arial"/>
          <w:sz w:val="20"/>
          <w:szCs w:val="20"/>
          <w:lang w:val="en-US"/>
        </w:rPr>
        <w:t xml:space="preserve">that has been </w:t>
      </w:r>
      <w:r w:rsidRPr="008A3740">
        <w:rPr>
          <w:rFonts w:ascii="Verdana" w:hAnsi="Verdana" w:cs="Arial"/>
          <w:sz w:val="20"/>
          <w:szCs w:val="20"/>
          <w:lang w:val="en-US"/>
        </w:rPr>
        <w:t xml:space="preserve">privatized, liquidated, deactivated and/or dissolved, </w:t>
      </w:r>
      <w:r w:rsidR="00E67B04" w:rsidRPr="008A3740">
        <w:rPr>
          <w:rFonts w:ascii="Verdana" w:hAnsi="Verdana" w:cs="Arial"/>
          <w:sz w:val="20"/>
          <w:szCs w:val="20"/>
          <w:lang w:val="en-US"/>
        </w:rPr>
        <w:t xml:space="preserve">shall </w:t>
      </w:r>
      <w:r w:rsidR="00B37CCB" w:rsidRPr="008A3740">
        <w:rPr>
          <w:rFonts w:ascii="Verdana" w:hAnsi="Verdana" w:cs="Arial"/>
          <w:sz w:val="20"/>
          <w:szCs w:val="20"/>
          <w:lang w:val="en-US"/>
        </w:rPr>
        <w:t xml:space="preserve">be under the responsibility </w:t>
      </w:r>
      <w:r w:rsidR="00E67B04" w:rsidRPr="008A3740">
        <w:rPr>
          <w:rFonts w:ascii="Verdana" w:hAnsi="Verdana" w:cs="Arial"/>
          <w:sz w:val="20"/>
          <w:szCs w:val="20"/>
          <w:lang w:val="en-US"/>
        </w:rPr>
        <w:t xml:space="preserve">of the Ministry of </w:t>
      </w:r>
      <w:r w:rsidRPr="008A3740">
        <w:rPr>
          <w:rFonts w:ascii="Verdana" w:hAnsi="Verdana" w:cs="Arial"/>
          <w:sz w:val="20"/>
          <w:szCs w:val="20"/>
          <w:lang w:val="en-US"/>
        </w:rPr>
        <w:t>Economy and Finance, which is authorized to delegate those functions to the Pension Standardization Office.”</w:t>
      </w:r>
      <w:r w:rsidRPr="008A3740">
        <w:rPr>
          <w:rStyle w:val="Refdenotaalpie"/>
          <w:rFonts w:cs="Arial"/>
          <w:szCs w:val="20"/>
          <w:lang w:val="en-US"/>
        </w:rPr>
        <w:footnoteReference w:id="126"/>
      </w:r>
    </w:p>
    <w:p w14:paraId="3C1E268C" w14:textId="77777777" w:rsidR="008E6A56" w:rsidRPr="008A3740" w:rsidRDefault="008E6A56" w:rsidP="008E6A56">
      <w:pPr>
        <w:pStyle w:val="Prrafodelista"/>
        <w:ind w:left="0"/>
        <w:rPr>
          <w:rFonts w:ascii="Verdana" w:hAnsi="Verdana" w:cs="Arial"/>
          <w:sz w:val="20"/>
          <w:szCs w:val="20"/>
          <w:lang w:val="en-US"/>
        </w:rPr>
      </w:pPr>
    </w:p>
    <w:p w14:paraId="6BB998CE"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On November 17, 20</w:t>
      </w:r>
      <w:r w:rsidR="00E67B04" w:rsidRPr="008A3740">
        <w:rPr>
          <w:rFonts w:ascii="Verdana" w:hAnsi="Verdana" w:cs="Arial"/>
          <w:sz w:val="20"/>
          <w:szCs w:val="20"/>
          <w:lang w:val="en-US"/>
        </w:rPr>
        <w:t>04, Law No. 28389 was promulgated,</w:t>
      </w:r>
      <w:r w:rsidRPr="008A3740">
        <w:rPr>
          <w:rStyle w:val="Refdenotaalpie"/>
          <w:rFonts w:cs="Arial"/>
          <w:szCs w:val="20"/>
          <w:lang w:val="en-US"/>
        </w:rPr>
        <w:footnoteReference w:id="127"/>
      </w:r>
      <w:r w:rsidRPr="008A3740">
        <w:rPr>
          <w:rFonts w:ascii="Verdana" w:hAnsi="Verdana" w:cs="Arial"/>
          <w:sz w:val="20"/>
          <w:szCs w:val="20"/>
          <w:lang w:val="en-US"/>
        </w:rPr>
        <w:t xml:space="preserve">Article 3 </w:t>
      </w:r>
      <w:r w:rsidR="00E67B04" w:rsidRPr="008A3740">
        <w:rPr>
          <w:rFonts w:ascii="Verdana" w:hAnsi="Verdana" w:cs="Arial"/>
          <w:sz w:val="20"/>
          <w:szCs w:val="20"/>
          <w:lang w:val="en-US"/>
        </w:rPr>
        <w:t xml:space="preserve">of which </w:t>
      </w:r>
      <w:r w:rsidRPr="008A3740">
        <w:rPr>
          <w:rFonts w:ascii="Verdana" w:hAnsi="Verdana" w:cs="Arial"/>
          <w:sz w:val="20"/>
          <w:szCs w:val="20"/>
          <w:lang w:val="en-US"/>
        </w:rPr>
        <w:t>modified the First Final and Transitory Provision o</w:t>
      </w:r>
      <w:r w:rsidR="00E67B04" w:rsidRPr="008A3740">
        <w:rPr>
          <w:rFonts w:ascii="Verdana" w:hAnsi="Verdana" w:cs="Arial"/>
          <w:sz w:val="20"/>
          <w:szCs w:val="20"/>
          <w:lang w:val="en-US"/>
        </w:rPr>
        <w:t xml:space="preserve">f the Constitution of 1993, </w:t>
      </w:r>
      <w:r w:rsidR="00E5227C" w:rsidRPr="008A3740">
        <w:rPr>
          <w:rFonts w:ascii="Verdana" w:hAnsi="Verdana" w:cs="Arial"/>
          <w:sz w:val="20"/>
          <w:szCs w:val="20"/>
          <w:lang w:val="en-US"/>
        </w:rPr>
        <w:t xml:space="preserve">finally </w:t>
      </w:r>
      <w:r w:rsidRPr="008A3740">
        <w:rPr>
          <w:rFonts w:ascii="Verdana" w:hAnsi="Verdana" w:cs="Arial"/>
          <w:sz w:val="20"/>
          <w:szCs w:val="20"/>
          <w:lang w:val="en-US"/>
        </w:rPr>
        <w:t>declar</w:t>
      </w:r>
      <w:r w:rsidR="00E67B04" w:rsidRPr="008A3740">
        <w:rPr>
          <w:rFonts w:ascii="Verdana" w:hAnsi="Verdana" w:cs="Arial"/>
          <w:sz w:val="20"/>
          <w:szCs w:val="20"/>
          <w:lang w:val="en-US"/>
        </w:rPr>
        <w:t xml:space="preserve">ing </w:t>
      </w:r>
      <w:r w:rsidRPr="008A3740">
        <w:rPr>
          <w:rFonts w:ascii="Verdana" w:hAnsi="Verdana" w:cs="Arial"/>
          <w:sz w:val="20"/>
          <w:szCs w:val="20"/>
          <w:lang w:val="en-US"/>
        </w:rPr>
        <w:t xml:space="preserve">closed the pension scheme of Decree Law No. 20530. The reform prohibited </w:t>
      </w:r>
      <w:r w:rsidR="00B37CCB" w:rsidRPr="008A3740">
        <w:rPr>
          <w:rFonts w:ascii="Verdana" w:hAnsi="Verdana" w:cs="Arial"/>
          <w:sz w:val="20"/>
          <w:szCs w:val="20"/>
          <w:lang w:val="en-US"/>
        </w:rPr>
        <w:t xml:space="preserve">the </w:t>
      </w:r>
      <w:r w:rsidR="00E67B04" w:rsidRPr="008A3740">
        <w:rPr>
          <w:rFonts w:ascii="Verdana" w:hAnsi="Verdana" w:cs="Arial"/>
          <w:sz w:val="20"/>
          <w:szCs w:val="20"/>
          <w:lang w:val="en-US"/>
        </w:rPr>
        <w:t xml:space="preserve">inclusion or re-inclusion </w:t>
      </w:r>
      <w:r w:rsidR="00B37CCB" w:rsidRPr="008A3740">
        <w:rPr>
          <w:rFonts w:ascii="Verdana" w:hAnsi="Verdana" w:cs="Arial"/>
          <w:sz w:val="20"/>
          <w:szCs w:val="20"/>
          <w:lang w:val="en-US"/>
        </w:rPr>
        <w:t xml:space="preserve">of new workers and </w:t>
      </w:r>
      <w:r w:rsidR="00E67B04" w:rsidRPr="008A3740">
        <w:rPr>
          <w:rFonts w:ascii="Verdana" w:hAnsi="Verdana" w:cs="Arial"/>
          <w:sz w:val="20"/>
          <w:szCs w:val="20"/>
          <w:lang w:val="en-US"/>
        </w:rPr>
        <w:t xml:space="preserve">required </w:t>
      </w:r>
      <w:r w:rsidR="00B37CCB" w:rsidRPr="008A3740">
        <w:rPr>
          <w:rFonts w:ascii="Verdana" w:hAnsi="Verdana" w:cs="Arial"/>
          <w:sz w:val="20"/>
          <w:szCs w:val="20"/>
          <w:lang w:val="en-US"/>
        </w:rPr>
        <w:t>those</w:t>
      </w:r>
      <w:r w:rsidRPr="008A3740">
        <w:rPr>
          <w:rFonts w:ascii="Verdana" w:hAnsi="Verdana" w:cs="Arial"/>
          <w:sz w:val="20"/>
          <w:szCs w:val="20"/>
          <w:lang w:val="en-US"/>
        </w:rPr>
        <w:t xml:space="preserve"> </w:t>
      </w:r>
      <w:r w:rsidR="0079129E" w:rsidRPr="008A3740">
        <w:rPr>
          <w:rFonts w:ascii="Verdana" w:hAnsi="Verdana" w:cs="Arial"/>
          <w:sz w:val="20"/>
          <w:szCs w:val="20"/>
          <w:lang w:val="en-US"/>
        </w:rPr>
        <w:t xml:space="preserve">who </w:t>
      </w:r>
      <w:r w:rsidRPr="008A3740">
        <w:rPr>
          <w:rFonts w:ascii="Verdana" w:hAnsi="Verdana" w:cs="Arial"/>
          <w:sz w:val="20"/>
          <w:szCs w:val="20"/>
          <w:lang w:val="en-US"/>
        </w:rPr>
        <w:t>had not yet met the requirements</w:t>
      </w:r>
      <w:r w:rsidR="00E67B04" w:rsidRPr="008A3740">
        <w:rPr>
          <w:rFonts w:ascii="Verdana" w:hAnsi="Verdana" w:cs="Arial"/>
          <w:sz w:val="20"/>
          <w:szCs w:val="20"/>
          <w:lang w:val="en-US"/>
        </w:rPr>
        <w:t xml:space="preserve"> to choose between </w:t>
      </w:r>
      <w:r w:rsidRPr="008A3740">
        <w:rPr>
          <w:rFonts w:ascii="Verdana" w:hAnsi="Verdana" w:cs="Arial"/>
          <w:sz w:val="20"/>
          <w:szCs w:val="20"/>
          <w:lang w:val="en-US"/>
        </w:rPr>
        <w:t xml:space="preserve">the National Pensions System or a Private System. </w:t>
      </w:r>
      <w:r w:rsidR="00E67B04" w:rsidRPr="008A3740">
        <w:rPr>
          <w:rFonts w:ascii="Verdana" w:hAnsi="Verdana" w:cs="Arial"/>
          <w:sz w:val="20"/>
          <w:szCs w:val="20"/>
          <w:lang w:val="en-US"/>
        </w:rPr>
        <w:t xml:space="preserve">That same </w:t>
      </w:r>
      <w:r w:rsidR="00085FB9" w:rsidRPr="008A3740">
        <w:rPr>
          <w:rFonts w:ascii="Verdana" w:hAnsi="Verdana" w:cs="Arial"/>
          <w:sz w:val="20"/>
          <w:szCs w:val="20"/>
          <w:lang w:val="en-US"/>
        </w:rPr>
        <w:t>a</w:t>
      </w:r>
      <w:r w:rsidRPr="008A3740">
        <w:rPr>
          <w:rFonts w:ascii="Verdana" w:hAnsi="Verdana" w:cs="Arial"/>
          <w:sz w:val="20"/>
          <w:szCs w:val="20"/>
          <w:lang w:val="en-US"/>
        </w:rPr>
        <w:t xml:space="preserve">rticle </w:t>
      </w:r>
      <w:r w:rsidR="00E67B04" w:rsidRPr="008A3740">
        <w:rPr>
          <w:rFonts w:ascii="Verdana" w:hAnsi="Verdana" w:cs="Arial"/>
          <w:sz w:val="20"/>
          <w:szCs w:val="20"/>
          <w:lang w:val="en-US"/>
        </w:rPr>
        <w:t xml:space="preserve">was applicable </w:t>
      </w:r>
      <w:r w:rsidRPr="008A3740">
        <w:rPr>
          <w:rFonts w:ascii="Verdana" w:hAnsi="Verdana" w:cs="Arial"/>
          <w:sz w:val="20"/>
          <w:szCs w:val="20"/>
          <w:lang w:val="en-US"/>
        </w:rPr>
        <w:t>immediate</w:t>
      </w:r>
      <w:r w:rsidR="00E67B04" w:rsidRPr="008A3740">
        <w:rPr>
          <w:rFonts w:ascii="Verdana" w:hAnsi="Verdana" w:cs="Arial"/>
          <w:sz w:val="20"/>
          <w:szCs w:val="20"/>
          <w:lang w:val="en-US"/>
        </w:rPr>
        <w:t>ly</w:t>
      </w:r>
      <w:r w:rsidRPr="008A3740">
        <w:rPr>
          <w:rFonts w:ascii="Verdana" w:hAnsi="Verdana" w:cs="Arial"/>
          <w:sz w:val="20"/>
          <w:szCs w:val="20"/>
          <w:lang w:val="en-US"/>
        </w:rPr>
        <w:t xml:space="preserve"> to workers and pensioners </w:t>
      </w:r>
      <w:r w:rsidR="00E5227C" w:rsidRPr="008A3740">
        <w:rPr>
          <w:rFonts w:ascii="Verdana" w:hAnsi="Verdana" w:cs="Arial"/>
          <w:sz w:val="20"/>
          <w:szCs w:val="20"/>
          <w:lang w:val="en-US"/>
        </w:rPr>
        <w:t xml:space="preserve">under </w:t>
      </w:r>
      <w:r w:rsidR="00E67B04" w:rsidRPr="008A3740">
        <w:rPr>
          <w:rFonts w:ascii="Verdana" w:hAnsi="Verdana" w:cs="Arial"/>
          <w:sz w:val="20"/>
          <w:szCs w:val="20"/>
          <w:lang w:val="en-US"/>
        </w:rPr>
        <w:t xml:space="preserve">the </w:t>
      </w:r>
      <w:r w:rsidR="00E5227C" w:rsidRPr="008A3740">
        <w:rPr>
          <w:rFonts w:ascii="Verdana" w:hAnsi="Verdana" w:cs="Arial"/>
          <w:sz w:val="20"/>
          <w:szCs w:val="20"/>
          <w:lang w:val="en-US"/>
        </w:rPr>
        <w:t xml:space="preserve">State pension schemes </w:t>
      </w:r>
      <w:r w:rsidRPr="008A3740">
        <w:rPr>
          <w:rFonts w:ascii="Verdana" w:hAnsi="Verdana" w:cs="Arial"/>
          <w:sz w:val="20"/>
          <w:szCs w:val="20"/>
          <w:lang w:val="en-US"/>
        </w:rPr>
        <w:t xml:space="preserve">and prohibited the </w:t>
      </w:r>
      <w:r w:rsidR="00E5227C" w:rsidRPr="008A3740">
        <w:rPr>
          <w:rFonts w:ascii="Verdana" w:hAnsi="Verdana" w:cs="Arial"/>
          <w:sz w:val="20"/>
          <w:szCs w:val="20"/>
          <w:lang w:val="en-US"/>
        </w:rPr>
        <w:t>equalization</w:t>
      </w:r>
      <w:r w:rsidRPr="008A3740">
        <w:rPr>
          <w:rFonts w:ascii="Verdana" w:hAnsi="Verdana" w:cs="Arial"/>
          <w:sz w:val="20"/>
          <w:szCs w:val="20"/>
          <w:lang w:val="en-US"/>
        </w:rPr>
        <w:t xml:space="preserve"> </w:t>
      </w:r>
      <w:r w:rsidR="001A363F" w:rsidRPr="008A3740">
        <w:rPr>
          <w:rFonts w:ascii="Verdana" w:hAnsi="Verdana" w:cs="Arial"/>
          <w:sz w:val="20"/>
          <w:szCs w:val="20"/>
          <w:lang w:val="en-US"/>
        </w:rPr>
        <w:t>of pensions.</w:t>
      </w:r>
      <w:r w:rsidRPr="008A3740">
        <w:rPr>
          <w:rStyle w:val="Refdenotaalpie"/>
          <w:rFonts w:cs="Arial"/>
          <w:szCs w:val="20"/>
          <w:lang w:val="en-US"/>
        </w:rPr>
        <w:footnoteReference w:id="128"/>
      </w:r>
      <w:r w:rsidRPr="008A3740">
        <w:rPr>
          <w:rFonts w:ascii="Verdana" w:hAnsi="Verdana" w:cs="Arial"/>
          <w:sz w:val="20"/>
          <w:szCs w:val="20"/>
          <w:lang w:val="en-US"/>
        </w:rPr>
        <w:t xml:space="preserve"> </w:t>
      </w:r>
    </w:p>
    <w:p w14:paraId="4A280FC5" w14:textId="77777777" w:rsidR="008E6A56" w:rsidRPr="008A3740" w:rsidRDefault="008E6A56" w:rsidP="008E6A56">
      <w:pPr>
        <w:pStyle w:val="Prrafodelista"/>
        <w:ind w:left="0"/>
        <w:rPr>
          <w:rFonts w:ascii="Verdana" w:hAnsi="Verdana" w:cs="Arial"/>
          <w:sz w:val="20"/>
          <w:szCs w:val="20"/>
          <w:lang w:val="en-US"/>
        </w:rPr>
      </w:pPr>
    </w:p>
    <w:p w14:paraId="7DF1D8FF" w14:textId="77777777" w:rsidR="008E6A56" w:rsidRPr="008A3740" w:rsidRDefault="008E6A56" w:rsidP="00D17A65">
      <w:pPr>
        <w:numPr>
          <w:ilvl w:val="0"/>
          <w:numId w:val="3"/>
        </w:numPr>
        <w:tabs>
          <w:tab w:val="left" w:pos="567"/>
          <w:tab w:val="num" w:pos="12305"/>
        </w:tabs>
        <w:ind w:left="0" w:firstLine="0"/>
        <w:rPr>
          <w:rFonts w:ascii="Verdana" w:hAnsi="Verdana" w:cs="Arial"/>
          <w:sz w:val="20"/>
          <w:szCs w:val="20"/>
          <w:lang w:val="en-US"/>
        </w:rPr>
      </w:pPr>
      <w:r w:rsidRPr="008A3740">
        <w:rPr>
          <w:rFonts w:ascii="Verdana" w:hAnsi="Verdana" w:cs="Arial"/>
          <w:sz w:val="20"/>
          <w:szCs w:val="20"/>
          <w:lang w:val="en-US"/>
        </w:rPr>
        <w:t>On December 30, 2004, Law No. 28449</w:t>
      </w:r>
      <w:r w:rsidR="00513719" w:rsidRPr="008A3740">
        <w:rPr>
          <w:rFonts w:ascii="Verdana" w:hAnsi="Verdana" w:cs="Arial"/>
          <w:sz w:val="20"/>
          <w:szCs w:val="20"/>
          <w:lang w:val="en-US"/>
        </w:rPr>
        <w:t xml:space="preserve"> was </w:t>
      </w:r>
      <w:r w:rsidR="00E67B04" w:rsidRPr="008A3740">
        <w:rPr>
          <w:rFonts w:ascii="Verdana" w:hAnsi="Verdana" w:cs="Arial"/>
          <w:sz w:val="20"/>
          <w:szCs w:val="20"/>
          <w:lang w:val="en-US"/>
        </w:rPr>
        <w:t>issued</w:t>
      </w:r>
      <w:r w:rsidRPr="008A3740">
        <w:rPr>
          <w:rFonts w:ascii="Verdana" w:hAnsi="Verdana" w:cs="Arial"/>
          <w:sz w:val="20"/>
          <w:szCs w:val="20"/>
          <w:lang w:val="en-US"/>
        </w:rPr>
        <w:t xml:space="preserve">, establishing the new rules of the </w:t>
      </w:r>
      <w:r w:rsidR="00192930" w:rsidRPr="008A3740">
        <w:rPr>
          <w:rFonts w:ascii="Verdana" w:hAnsi="Verdana" w:cs="Arial"/>
          <w:sz w:val="20"/>
          <w:szCs w:val="20"/>
          <w:lang w:val="en-US"/>
        </w:rPr>
        <w:t>pension s</w:t>
      </w:r>
      <w:r w:rsidR="00B61D25" w:rsidRPr="008A3740">
        <w:rPr>
          <w:rFonts w:ascii="Verdana" w:hAnsi="Verdana" w:cs="Arial"/>
          <w:sz w:val="20"/>
          <w:szCs w:val="20"/>
          <w:lang w:val="en-US"/>
        </w:rPr>
        <w:t xml:space="preserve">cheme </w:t>
      </w:r>
      <w:r w:rsidR="00D9046C" w:rsidRPr="008A3740">
        <w:rPr>
          <w:rFonts w:ascii="Verdana" w:hAnsi="Verdana" w:cs="Arial"/>
          <w:sz w:val="20"/>
          <w:szCs w:val="20"/>
          <w:lang w:val="en-US"/>
        </w:rPr>
        <w:t xml:space="preserve">governed by </w:t>
      </w:r>
      <w:r w:rsidRPr="008A3740">
        <w:rPr>
          <w:rFonts w:ascii="Verdana" w:hAnsi="Verdana" w:cs="Arial"/>
          <w:sz w:val="20"/>
          <w:szCs w:val="20"/>
          <w:lang w:val="en-US"/>
        </w:rPr>
        <w:t xml:space="preserve">Decree Law No. 20530, Article 4 of which expressly prohibited the </w:t>
      </w:r>
      <w:r w:rsidR="00D9046C" w:rsidRPr="008A3740">
        <w:rPr>
          <w:rFonts w:ascii="Verdana" w:hAnsi="Verdana" w:cs="Arial"/>
          <w:sz w:val="20"/>
          <w:szCs w:val="20"/>
          <w:lang w:val="en-US"/>
        </w:rPr>
        <w:t xml:space="preserve">equalization </w:t>
      </w:r>
      <w:r w:rsidR="00513719" w:rsidRPr="008A3740">
        <w:rPr>
          <w:rFonts w:ascii="Verdana" w:hAnsi="Verdana" w:cs="Arial"/>
          <w:sz w:val="20"/>
          <w:szCs w:val="20"/>
          <w:lang w:val="en-US"/>
        </w:rPr>
        <w:t xml:space="preserve">of </w:t>
      </w:r>
      <w:r w:rsidRPr="008A3740">
        <w:rPr>
          <w:rFonts w:ascii="Verdana" w:hAnsi="Verdana" w:cs="Arial"/>
          <w:sz w:val="20"/>
          <w:szCs w:val="20"/>
          <w:lang w:val="en-US"/>
        </w:rPr>
        <w:t xml:space="preserve">pensions with the </w:t>
      </w:r>
      <w:r w:rsidR="00513719" w:rsidRPr="008A3740">
        <w:rPr>
          <w:rFonts w:ascii="Verdana" w:hAnsi="Verdana" w:cs="Arial"/>
          <w:sz w:val="20"/>
          <w:szCs w:val="20"/>
          <w:lang w:val="en-US"/>
        </w:rPr>
        <w:t xml:space="preserve">wages </w:t>
      </w:r>
      <w:r w:rsidRPr="008A3740">
        <w:rPr>
          <w:rFonts w:ascii="Verdana" w:hAnsi="Verdana" w:cs="Arial"/>
          <w:sz w:val="20"/>
          <w:szCs w:val="20"/>
          <w:lang w:val="en-US"/>
        </w:rPr>
        <w:t xml:space="preserve">and </w:t>
      </w:r>
      <w:r w:rsidR="00D9046C" w:rsidRPr="008A3740">
        <w:rPr>
          <w:rFonts w:ascii="Verdana" w:hAnsi="Verdana" w:cs="Arial"/>
          <w:sz w:val="20"/>
          <w:szCs w:val="20"/>
          <w:lang w:val="en-US"/>
        </w:rPr>
        <w:t xml:space="preserve">benefits received by </w:t>
      </w:r>
      <w:r w:rsidR="00BF6762" w:rsidRPr="008A3740">
        <w:rPr>
          <w:rFonts w:ascii="Verdana" w:hAnsi="Verdana" w:cs="Arial"/>
          <w:sz w:val="20"/>
          <w:szCs w:val="20"/>
          <w:lang w:val="en-US"/>
        </w:rPr>
        <w:t xml:space="preserve">active </w:t>
      </w:r>
      <w:r w:rsidRPr="008A3740">
        <w:rPr>
          <w:rFonts w:ascii="Verdana" w:hAnsi="Verdana" w:cs="Arial"/>
          <w:sz w:val="20"/>
          <w:szCs w:val="20"/>
          <w:lang w:val="en-US"/>
        </w:rPr>
        <w:t>public servants.</w:t>
      </w:r>
      <w:r w:rsidRPr="008A3740">
        <w:rPr>
          <w:rStyle w:val="Refdenotaalpie"/>
          <w:rFonts w:cs="Arial"/>
          <w:szCs w:val="20"/>
          <w:lang w:val="en-US"/>
        </w:rPr>
        <w:footnoteReference w:id="129"/>
      </w:r>
      <w:r w:rsidRPr="008A3740">
        <w:rPr>
          <w:rFonts w:ascii="Verdana" w:hAnsi="Verdana" w:cs="Arial"/>
          <w:sz w:val="20"/>
          <w:szCs w:val="20"/>
          <w:lang w:val="en-US"/>
        </w:rPr>
        <w:t xml:space="preserve"> Article 10 reiterated that the Ministry of the Economy and Finance would be the government entity responsible for administering the pension scheme of Decree Law No. 20530.</w:t>
      </w:r>
      <w:r w:rsidRPr="008A3740">
        <w:rPr>
          <w:rStyle w:val="Refdenotaalpie"/>
          <w:rFonts w:cs="Arial"/>
          <w:szCs w:val="20"/>
          <w:lang w:val="en-US"/>
        </w:rPr>
        <w:footnoteReference w:id="130"/>
      </w:r>
      <w:r w:rsidRPr="008A3740">
        <w:rPr>
          <w:rFonts w:ascii="Verdana" w:hAnsi="Verdana" w:cs="Arial"/>
          <w:b/>
          <w:sz w:val="20"/>
          <w:szCs w:val="20"/>
          <w:lang w:val="en-US"/>
        </w:rPr>
        <w:t xml:space="preserve"> </w:t>
      </w:r>
      <w:r w:rsidRPr="008A3740">
        <w:rPr>
          <w:rFonts w:ascii="Verdana" w:hAnsi="Verdana" w:cs="Arial"/>
          <w:sz w:val="20"/>
          <w:szCs w:val="20"/>
          <w:lang w:val="en-US"/>
        </w:rPr>
        <w:t>This pension reform was declared constitutional by the Constitutional Court in 2005.</w:t>
      </w:r>
    </w:p>
    <w:p w14:paraId="421EA613" w14:textId="77777777" w:rsidR="008E6A56" w:rsidRPr="008A3740" w:rsidRDefault="008E6A56" w:rsidP="008E6A56">
      <w:pPr>
        <w:pStyle w:val="Prrafodelista"/>
        <w:tabs>
          <w:tab w:val="left" w:pos="0"/>
        </w:tabs>
        <w:ind w:left="0"/>
        <w:rPr>
          <w:rFonts w:ascii="Verdana" w:hAnsi="Verdana" w:cs="Arial"/>
          <w:sz w:val="20"/>
          <w:szCs w:val="20"/>
          <w:lang w:val="en-US"/>
        </w:rPr>
      </w:pPr>
    </w:p>
    <w:p w14:paraId="2CD5EF0F" w14:textId="77777777" w:rsidR="008E6A56" w:rsidRPr="008A3740" w:rsidRDefault="008E6A56" w:rsidP="008E6A56">
      <w:pPr>
        <w:pStyle w:val="Ttulo"/>
        <w:rPr>
          <w:lang w:val="en-US"/>
        </w:rPr>
      </w:pPr>
      <w:bookmarkStart w:id="79" w:name="_Toc514172626"/>
      <w:bookmarkStart w:id="80" w:name="_Toc532545803"/>
      <w:bookmarkStart w:id="81" w:name="_Toc5009876"/>
      <w:bookmarkStart w:id="82" w:name="_Toc495658693"/>
      <w:bookmarkStart w:id="83" w:name="_Toc459158147"/>
      <w:bookmarkStart w:id="84" w:name="_Toc449460763"/>
      <w:bookmarkStart w:id="85" w:name="_Toc375517149"/>
      <w:bookmarkStart w:id="86" w:name="_Toc514172661"/>
      <w:r w:rsidRPr="008A3740">
        <w:rPr>
          <w:lang w:val="en-US"/>
        </w:rPr>
        <w:t>vIi</w:t>
      </w:r>
      <w:r w:rsidRPr="008A3740">
        <w:rPr>
          <w:lang w:val="en-US"/>
        </w:rPr>
        <w:br/>
        <w:t>MERITS</w:t>
      </w:r>
      <w:bookmarkEnd w:id="79"/>
      <w:bookmarkEnd w:id="80"/>
      <w:bookmarkEnd w:id="81"/>
    </w:p>
    <w:p w14:paraId="2640E938" w14:textId="77777777" w:rsidR="008E6A56" w:rsidRPr="008A3740" w:rsidRDefault="008E6A56" w:rsidP="008E6A56">
      <w:pPr>
        <w:rPr>
          <w:rFonts w:cs="Verdana"/>
          <w:bCs/>
          <w:caps/>
          <w:snapToGrid w:val="0"/>
          <w:sz w:val="20"/>
          <w:szCs w:val="20"/>
          <w:lang w:val="en-US"/>
        </w:rPr>
      </w:pPr>
    </w:p>
    <w:p w14:paraId="233FC9DC" w14:textId="77777777" w:rsidR="008E6A56" w:rsidRPr="008A3740" w:rsidRDefault="008E6A56" w:rsidP="00D17A65">
      <w:pPr>
        <w:numPr>
          <w:ilvl w:val="0"/>
          <w:numId w:val="3"/>
        </w:numPr>
        <w:tabs>
          <w:tab w:val="left" w:pos="567"/>
        </w:tabs>
        <w:ind w:left="0" w:firstLine="0"/>
        <w:rPr>
          <w:rFonts w:ascii="Verdana" w:hAnsi="Verdana"/>
          <w:sz w:val="20"/>
          <w:szCs w:val="20"/>
          <w:lang w:val="en-US"/>
        </w:rPr>
      </w:pPr>
      <w:r w:rsidRPr="008A3740">
        <w:rPr>
          <w:rFonts w:ascii="Verdana" w:hAnsi="Verdana"/>
          <w:sz w:val="20"/>
          <w:szCs w:val="20"/>
          <w:lang w:val="en-US"/>
        </w:rPr>
        <w:lastRenderedPageBreak/>
        <w:t xml:space="preserve">In this chapter, the Court will examine the merits of the case. </w:t>
      </w:r>
      <w:r w:rsidRPr="008A3740">
        <w:rPr>
          <w:rFonts w:ascii="Verdana" w:hAnsi="Verdana"/>
          <w:kern w:val="2"/>
          <w:sz w:val="20"/>
          <w:szCs w:val="20"/>
          <w:lang w:val="en-US" w:eastAsia="en-US"/>
        </w:rPr>
        <w:t xml:space="preserve">The Court </w:t>
      </w:r>
      <w:r w:rsidR="00B61D25" w:rsidRPr="008A3740">
        <w:rPr>
          <w:rFonts w:ascii="Verdana" w:hAnsi="Verdana"/>
          <w:kern w:val="2"/>
          <w:sz w:val="20"/>
          <w:szCs w:val="20"/>
          <w:lang w:val="en-US" w:eastAsia="en-US"/>
        </w:rPr>
        <w:t xml:space="preserve">will </w:t>
      </w:r>
      <w:r w:rsidRPr="008A3740">
        <w:rPr>
          <w:rFonts w:ascii="Verdana" w:hAnsi="Verdana"/>
          <w:kern w:val="2"/>
          <w:sz w:val="20"/>
          <w:szCs w:val="20"/>
          <w:lang w:val="en-US" w:eastAsia="en-US"/>
        </w:rPr>
        <w:t xml:space="preserve">analyze the alleged international responsibility of the State based on its obligations under the American Convention in the case of a </w:t>
      </w:r>
      <w:r w:rsidR="00B61D25" w:rsidRPr="008A3740">
        <w:rPr>
          <w:rFonts w:ascii="Verdana" w:hAnsi="Verdana"/>
          <w:kern w:val="2"/>
          <w:sz w:val="20"/>
          <w:szCs w:val="20"/>
          <w:lang w:val="en-US" w:eastAsia="en-US"/>
        </w:rPr>
        <w:t>pensioner who retired</w:t>
      </w:r>
      <w:r w:rsidR="00513719" w:rsidRPr="008A3740">
        <w:rPr>
          <w:rFonts w:ascii="Verdana" w:hAnsi="Verdana"/>
          <w:kern w:val="2"/>
          <w:sz w:val="20"/>
          <w:szCs w:val="20"/>
          <w:lang w:val="en-US" w:eastAsia="en-US"/>
        </w:rPr>
        <w:t xml:space="preserve"> </w:t>
      </w:r>
      <w:r w:rsidRPr="008A3740">
        <w:rPr>
          <w:rFonts w:ascii="Verdana" w:hAnsi="Verdana"/>
          <w:kern w:val="2"/>
          <w:sz w:val="20"/>
          <w:szCs w:val="20"/>
          <w:lang w:val="en-US" w:eastAsia="en-US"/>
        </w:rPr>
        <w:t xml:space="preserve">under </w:t>
      </w:r>
      <w:r w:rsidR="001A363F" w:rsidRPr="008A3740">
        <w:rPr>
          <w:rFonts w:ascii="Verdana" w:hAnsi="Verdana"/>
          <w:kern w:val="2"/>
          <w:sz w:val="20"/>
          <w:szCs w:val="20"/>
          <w:lang w:val="en-US" w:eastAsia="en-US"/>
        </w:rPr>
        <w:t xml:space="preserve">the </w:t>
      </w:r>
      <w:r w:rsidRPr="008A3740">
        <w:rPr>
          <w:rFonts w:ascii="Verdana" w:hAnsi="Verdana"/>
          <w:kern w:val="2"/>
          <w:sz w:val="20"/>
          <w:szCs w:val="20"/>
          <w:lang w:val="en-US" w:eastAsia="en-US"/>
        </w:rPr>
        <w:t>Decree Law No. 20530</w:t>
      </w:r>
      <w:r w:rsidR="001A363F" w:rsidRPr="008A3740">
        <w:rPr>
          <w:rFonts w:ascii="Verdana" w:hAnsi="Verdana"/>
          <w:kern w:val="2"/>
          <w:sz w:val="20"/>
          <w:szCs w:val="20"/>
          <w:lang w:val="en-US" w:eastAsia="en-US"/>
        </w:rPr>
        <w:t xml:space="preserve"> system</w:t>
      </w:r>
      <w:r w:rsidRPr="008A3740">
        <w:rPr>
          <w:rFonts w:ascii="Verdana" w:hAnsi="Verdana"/>
          <w:kern w:val="2"/>
          <w:sz w:val="20"/>
          <w:szCs w:val="20"/>
          <w:lang w:val="en-US" w:eastAsia="en-US"/>
        </w:rPr>
        <w:t xml:space="preserve">, </w:t>
      </w:r>
      <w:r w:rsidR="000B4FC1" w:rsidRPr="008A3740">
        <w:rPr>
          <w:rFonts w:ascii="Verdana" w:hAnsi="Verdana"/>
          <w:kern w:val="2"/>
          <w:sz w:val="20"/>
          <w:szCs w:val="20"/>
          <w:lang w:val="en-US" w:eastAsia="en-US"/>
        </w:rPr>
        <w:t xml:space="preserve">and </w:t>
      </w:r>
      <w:r w:rsidRPr="008A3740">
        <w:rPr>
          <w:rFonts w:ascii="Verdana" w:hAnsi="Verdana"/>
          <w:kern w:val="2"/>
          <w:sz w:val="20"/>
          <w:szCs w:val="20"/>
          <w:lang w:val="en-US" w:eastAsia="en-US"/>
        </w:rPr>
        <w:t xml:space="preserve">who </w:t>
      </w:r>
      <w:r w:rsidR="00B61D25" w:rsidRPr="008A3740">
        <w:rPr>
          <w:rFonts w:ascii="Verdana" w:hAnsi="Verdana"/>
          <w:kern w:val="2"/>
          <w:sz w:val="20"/>
          <w:szCs w:val="20"/>
          <w:lang w:val="en-US" w:eastAsia="en-US"/>
        </w:rPr>
        <w:t>stopped receiving</w:t>
      </w:r>
      <w:r w:rsidRPr="008A3740">
        <w:rPr>
          <w:rFonts w:ascii="Verdana" w:hAnsi="Verdana"/>
          <w:kern w:val="2"/>
          <w:sz w:val="20"/>
          <w:szCs w:val="20"/>
          <w:lang w:val="en-US" w:eastAsia="en-US"/>
        </w:rPr>
        <w:t xml:space="preserve"> his pension </w:t>
      </w:r>
      <w:r w:rsidR="00B61D25" w:rsidRPr="008A3740">
        <w:rPr>
          <w:rFonts w:ascii="Verdana" w:hAnsi="Verdana"/>
          <w:kern w:val="2"/>
          <w:sz w:val="20"/>
          <w:szCs w:val="20"/>
          <w:lang w:val="en-US" w:eastAsia="en-US"/>
        </w:rPr>
        <w:t xml:space="preserve">as of </w:t>
      </w:r>
      <w:r w:rsidRPr="008A3740">
        <w:rPr>
          <w:rFonts w:ascii="Verdana" w:hAnsi="Verdana"/>
          <w:kern w:val="2"/>
          <w:sz w:val="20"/>
          <w:szCs w:val="20"/>
          <w:lang w:val="en-US" w:eastAsia="en-US"/>
        </w:rPr>
        <w:t xml:space="preserve">February 1991 </w:t>
      </w:r>
      <w:r w:rsidR="00B61D25" w:rsidRPr="008A3740">
        <w:rPr>
          <w:rFonts w:ascii="Verdana" w:hAnsi="Verdana"/>
          <w:kern w:val="2"/>
          <w:sz w:val="20"/>
          <w:szCs w:val="20"/>
          <w:lang w:val="en-US" w:eastAsia="en-US"/>
        </w:rPr>
        <w:t xml:space="preserve">from </w:t>
      </w:r>
      <w:r w:rsidRPr="008A3740">
        <w:rPr>
          <w:rFonts w:ascii="Verdana" w:hAnsi="Verdana"/>
          <w:kern w:val="2"/>
          <w:sz w:val="20"/>
          <w:szCs w:val="20"/>
          <w:lang w:val="en-US" w:eastAsia="en-US"/>
        </w:rPr>
        <w:t xml:space="preserve">a State-owned company that was subsequently privatized, despite having several judicial </w:t>
      </w:r>
      <w:r w:rsidR="00B61D25" w:rsidRPr="008A3740">
        <w:rPr>
          <w:rFonts w:ascii="Verdana" w:hAnsi="Verdana"/>
          <w:kern w:val="2"/>
          <w:sz w:val="20"/>
          <w:szCs w:val="20"/>
          <w:lang w:val="en-US" w:eastAsia="en-US"/>
        </w:rPr>
        <w:t xml:space="preserve">rulings </w:t>
      </w:r>
      <w:r w:rsidRPr="008A3740">
        <w:rPr>
          <w:rFonts w:ascii="Verdana" w:hAnsi="Verdana"/>
          <w:kern w:val="2"/>
          <w:sz w:val="20"/>
          <w:szCs w:val="20"/>
          <w:lang w:val="en-US" w:eastAsia="en-US"/>
        </w:rPr>
        <w:t>issued</w:t>
      </w:r>
      <w:r w:rsidR="00B61D25" w:rsidRPr="008A3740">
        <w:rPr>
          <w:rFonts w:ascii="Verdana" w:hAnsi="Verdana"/>
          <w:kern w:val="2"/>
          <w:sz w:val="20"/>
          <w:szCs w:val="20"/>
          <w:lang w:val="en-US" w:eastAsia="en-US"/>
        </w:rPr>
        <w:t xml:space="preserve"> in his favor, which ordered the restoration of his pension payments</w:t>
      </w:r>
      <w:r w:rsidRPr="008A3740">
        <w:rPr>
          <w:rFonts w:ascii="Verdana" w:hAnsi="Verdana"/>
          <w:kern w:val="2"/>
          <w:sz w:val="20"/>
          <w:szCs w:val="20"/>
          <w:lang w:val="en-US" w:eastAsia="en-US"/>
        </w:rPr>
        <w:t xml:space="preserve">. According to </w:t>
      </w:r>
      <w:r w:rsidRPr="008A3740">
        <w:rPr>
          <w:rFonts w:ascii="Verdana" w:hAnsi="Verdana"/>
          <w:sz w:val="20"/>
          <w:szCs w:val="20"/>
          <w:lang w:val="en-US"/>
        </w:rPr>
        <w:t xml:space="preserve">the arguments presented, the international responsibility of Peru </w:t>
      </w:r>
      <w:r w:rsidR="00856A74" w:rsidRPr="008A3740">
        <w:rPr>
          <w:rFonts w:ascii="Verdana" w:hAnsi="Verdana"/>
          <w:sz w:val="20"/>
          <w:szCs w:val="20"/>
          <w:lang w:val="en-US"/>
        </w:rPr>
        <w:t xml:space="preserve">arises from </w:t>
      </w:r>
      <w:r w:rsidR="00BF6762" w:rsidRPr="008A3740">
        <w:rPr>
          <w:rFonts w:ascii="Verdana" w:hAnsi="Verdana"/>
          <w:sz w:val="20"/>
          <w:szCs w:val="20"/>
          <w:lang w:val="en-US"/>
        </w:rPr>
        <w:t xml:space="preserve">its failure to comply with </w:t>
      </w:r>
      <w:r w:rsidRPr="008A3740">
        <w:rPr>
          <w:rFonts w:ascii="Verdana" w:hAnsi="Verdana"/>
          <w:sz w:val="20"/>
          <w:szCs w:val="20"/>
          <w:lang w:val="en-US"/>
        </w:rPr>
        <w:t xml:space="preserve">domestic judgments and </w:t>
      </w:r>
      <w:r w:rsidR="00B61D25" w:rsidRPr="008A3740">
        <w:rPr>
          <w:rFonts w:ascii="Verdana" w:hAnsi="Verdana"/>
          <w:sz w:val="20"/>
          <w:szCs w:val="20"/>
          <w:lang w:val="en-US"/>
        </w:rPr>
        <w:t xml:space="preserve">its </w:t>
      </w:r>
      <w:r w:rsidR="00BF6762" w:rsidRPr="008A3740">
        <w:rPr>
          <w:rFonts w:ascii="Verdana" w:hAnsi="Verdana"/>
          <w:sz w:val="20"/>
          <w:szCs w:val="20"/>
          <w:lang w:val="en-US"/>
        </w:rPr>
        <w:t xml:space="preserve">failure to </w:t>
      </w:r>
      <w:r w:rsidRPr="008A3740">
        <w:rPr>
          <w:rFonts w:ascii="Verdana" w:hAnsi="Verdana"/>
          <w:sz w:val="20"/>
          <w:szCs w:val="20"/>
          <w:lang w:val="en-US"/>
        </w:rPr>
        <w:t>execut</w:t>
      </w:r>
      <w:r w:rsidR="00BF6762" w:rsidRPr="008A3740">
        <w:rPr>
          <w:rFonts w:ascii="Verdana" w:hAnsi="Verdana"/>
          <w:sz w:val="20"/>
          <w:szCs w:val="20"/>
          <w:lang w:val="en-US"/>
        </w:rPr>
        <w:t xml:space="preserve">e these </w:t>
      </w:r>
      <w:r w:rsidR="000B4FC1" w:rsidRPr="008A3740">
        <w:rPr>
          <w:rFonts w:ascii="Verdana" w:hAnsi="Verdana"/>
          <w:sz w:val="20"/>
          <w:szCs w:val="20"/>
          <w:lang w:val="en-US"/>
        </w:rPr>
        <w:t>to date</w:t>
      </w:r>
      <w:r w:rsidRPr="008A3740">
        <w:rPr>
          <w:rFonts w:ascii="Verdana" w:hAnsi="Verdana"/>
          <w:sz w:val="20"/>
          <w:szCs w:val="20"/>
          <w:lang w:val="en-US"/>
        </w:rPr>
        <w:t>, as well as for the violation of the right to social security derived from Arti</w:t>
      </w:r>
      <w:r w:rsidR="00B61D25" w:rsidRPr="008A3740">
        <w:rPr>
          <w:rFonts w:ascii="Verdana" w:hAnsi="Verdana"/>
          <w:sz w:val="20"/>
          <w:szCs w:val="20"/>
          <w:lang w:val="en-US"/>
        </w:rPr>
        <w:t xml:space="preserve">cle 26 of the Convention and </w:t>
      </w:r>
      <w:r w:rsidRPr="008A3740">
        <w:rPr>
          <w:rFonts w:ascii="Verdana" w:hAnsi="Verdana"/>
          <w:sz w:val="20"/>
          <w:szCs w:val="20"/>
          <w:lang w:val="en-US"/>
        </w:rPr>
        <w:t>the right to property.</w:t>
      </w:r>
    </w:p>
    <w:p w14:paraId="612FBF75" w14:textId="77777777" w:rsidR="008E6A56" w:rsidRPr="008A3740" w:rsidRDefault="008E6A56" w:rsidP="008E6A56">
      <w:pPr>
        <w:tabs>
          <w:tab w:val="left" w:pos="567"/>
        </w:tabs>
        <w:rPr>
          <w:rFonts w:ascii="Verdana" w:hAnsi="Verdana"/>
          <w:sz w:val="20"/>
          <w:szCs w:val="20"/>
          <w:lang w:val="en-US"/>
        </w:rPr>
      </w:pPr>
    </w:p>
    <w:p w14:paraId="7FD0D0BA" w14:textId="77777777" w:rsidR="008E6A56" w:rsidRPr="008A3740" w:rsidRDefault="008E6A56" w:rsidP="00D17A65">
      <w:pPr>
        <w:numPr>
          <w:ilvl w:val="0"/>
          <w:numId w:val="3"/>
        </w:numPr>
        <w:tabs>
          <w:tab w:val="left" w:pos="567"/>
        </w:tabs>
        <w:ind w:left="0" w:firstLine="0"/>
        <w:rPr>
          <w:rFonts w:ascii="Verdana" w:hAnsi="Verdana" w:cs="Verdana"/>
          <w:bCs/>
          <w:caps/>
          <w:snapToGrid w:val="0"/>
          <w:sz w:val="20"/>
          <w:szCs w:val="20"/>
          <w:lang w:val="en-US"/>
        </w:rPr>
      </w:pPr>
      <w:r w:rsidRPr="008A3740">
        <w:rPr>
          <w:rFonts w:ascii="Verdana" w:hAnsi="Verdana"/>
          <w:sz w:val="20"/>
          <w:szCs w:val="20"/>
          <w:lang w:val="en-US"/>
        </w:rPr>
        <w:t>Th</w:t>
      </w:r>
      <w:r w:rsidR="000B4FC1" w:rsidRPr="008A3740">
        <w:rPr>
          <w:rFonts w:ascii="Verdana" w:hAnsi="Verdana"/>
          <w:sz w:val="20"/>
          <w:szCs w:val="20"/>
          <w:lang w:val="en-US"/>
        </w:rPr>
        <w:t>us</w:t>
      </w:r>
      <w:r w:rsidRPr="008A3740">
        <w:rPr>
          <w:rFonts w:ascii="Verdana" w:hAnsi="Verdana"/>
          <w:sz w:val="20"/>
          <w:szCs w:val="20"/>
          <w:lang w:val="en-US"/>
        </w:rPr>
        <w:t xml:space="preserve">, in order to examine the arguments presented, the Court will </w:t>
      </w:r>
      <w:r w:rsidR="000B4FC1" w:rsidRPr="008A3740">
        <w:rPr>
          <w:rFonts w:ascii="Verdana" w:hAnsi="Verdana"/>
          <w:sz w:val="20"/>
          <w:szCs w:val="20"/>
          <w:lang w:val="en-US"/>
        </w:rPr>
        <w:t xml:space="preserve">first </w:t>
      </w:r>
      <w:r w:rsidRPr="008A3740">
        <w:rPr>
          <w:rFonts w:ascii="Verdana" w:hAnsi="Verdana"/>
          <w:sz w:val="20"/>
          <w:szCs w:val="20"/>
          <w:lang w:val="en-US"/>
        </w:rPr>
        <w:t>analyze all th</w:t>
      </w:r>
      <w:r w:rsidR="000B4FC1" w:rsidRPr="008A3740">
        <w:rPr>
          <w:rFonts w:ascii="Verdana" w:hAnsi="Verdana"/>
          <w:sz w:val="20"/>
          <w:szCs w:val="20"/>
          <w:lang w:val="en-US"/>
        </w:rPr>
        <w:t>os</w:t>
      </w:r>
      <w:r w:rsidRPr="008A3740">
        <w:rPr>
          <w:rFonts w:ascii="Verdana" w:hAnsi="Verdana"/>
          <w:sz w:val="20"/>
          <w:szCs w:val="20"/>
          <w:lang w:val="en-US"/>
        </w:rPr>
        <w:t>e related to effective judicial protection, non-compliance with domestic</w:t>
      </w:r>
      <w:r w:rsidR="000B4FC1" w:rsidRPr="008A3740">
        <w:rPr>
          <w:rFonts w:ascii="Verdana" w:hAnsi="Verdana"/>
          <w:sz w:val="20"/>
          <w:szCs w:val="20"/>
          <w:lang w:val="en-US"/>
        </w:rPr>
        <w:t xml:space="preserve"> rulings and failure to execute such rulings</w:t>
      </w:r>
      <w:r w:rsidRPr="008A3740">
        <w:rPr>
          <w:rFonts w:ascii="Verdana" w:hAnsi="Verdana"/>
          <w:sz w:val="20"/>
          <w:szCs w:val="20"/>
          <w:lang w:val="en-US"/>
        </w:rPr>
        <w:t xml:space="preserve">, in circumstances </w:t>
      </w:r>
      <w:r w:rsidR="000B4FC1" w:rsidRPr="008A3740">
        <w:rPr>
          <w:rFonts w:ascii="Verdana" w:hAnsi="Verdana"/>
          <w:sz w:val="20"/>
          <w:szCs w:val="20"/>
          <w:lang w:val="en-US"/>
        </w:rPr>
        <w:t>wherein</w:t>
      </w:r>
      <w:r w:rsidRPr="008A3740">
        <w:rPr>
          <w:rFonts w:ascii="Verdana" w:hAnsi="Verdana"/>
          <w:sz w:val="20"/>
          <w:szCs w:val="20"/>
          <w:lang w:val="en-US"/>
        </w:rPr>
        <w:t xml:space="preserve"> the</w:t>
      </w:r>
      <w:r w:rsidR="000B4FC1" w:rsidRPr="008A3740">
        <w:rPr>
          <w:rFonts w:ascii="Verdana" w:hAnsi="Verdana"/>
          <w:sz w:val="20"/>
          <w:szCs w:val="20"/>
          <w:lang w:val="en-US"/>
        </w:rPr>
        <w:t xml:space="preserve"> State entity that was</w:t>
      </w:r>
      <w:r w:rsidRPr="008A3740">
        <w:rPr>
          <w:rFonts w:ascii="Verdana" w:hAnsi="Verdana"/>
          <w:sz w:val="20"/>
          <w:szCs w:val="20"/>
          <w:lang w:val="en-US"/>
        </w:rPr>
        <w:t xml:space="preserve"> initially r</w:t>
      </w:r>
      <w:r w:rsidR="000B4FC1" w:rsidRPr="008A3740">
        <w:rPr>
          <w:rFonts w:ascii="Verdana" w:hAnsi="Verdana"/>
          <w:sz w:val="20"/>
          <w:szCs w:val="20"/>
          <w:lang w:val="en-US"/>
        </w:rPr>
        <w:t xml:space="preserve">esponsible for pension payments was subsequently privatized. The Court will </w:t>
      </w:r>
      <w:r w:rsidRPr="008A3740">
        <w:rPr>
          <w:rFonts w:ascii="Verdana" w:hAnsi="Verdana"/>
          <w:sz w:val="20"/>
          <w:szCs w:val="20"/>
          <w:lang w:val="en-US"/>
        </w:rPr>
        <w:t xml:space="preserve">then </w:t>
      </w:r>
      <w:r w:rsidR="00085FB9" w:rsidRPr="008A3740">
        <w:rPr>
          <w:rFonts w:ascii="Verdana" w:hAnsi="Verdana"/>
          <w:sz w:val="20"/>
          <w:szCs w:val="20"/>
          <w:lang w:val="en-US"/>
        </w:rPr>
        <w:t xml:space="preserve">consider </w:t>
      </w:r>
      <w:r w:rsidRPr="008A3740">
        <w:rPr>
          <w:rFonts w:ascii="Verdana" w:hAnsi="Verdana"/>
          <w:sz w:val="20"/>
          <w:szCs w:val="20"/>
          <w:lang w:val="en-US"/>
        </w:rPr>
        <w:t xml:space="preserve">the </w:t>
      </w:r>
      <w:r w:rsidR="000B4FC1" w:rsidRPr="008A3740">
        <w:rPr>
          <w:rFonts w:ascii="Verdana" w:hAnsi="Verdana"/>
          <w:sz w:val="20"/>
          <w:szCs w:val="20"/>
          <w:lang w:val="en-US"/>
        </w:rPr>
        <w:t xml:space="preserve">issue of </w:t>
      </w:r>
      <w:r w:rsidR="005E5FED" w:rsidRPr="008A3740">
        <w:rPr>
          <w:rFonts w:ascii="Verdana" w:hAnsi="Verdana"/>
          <w:sz w:val="20"/>
          <w:szCs w:val="20"/>
          <w:lang w:val="en-US"/>
        </w:rPr>
        <w:t>reasonable time</w:t>
      </w:r>
      <w:r w:rsidR="000B4FC1" w:rsidRPr="008A3740">
        <w:rPr>
          <w:rFonts w:ascii="Verdana" w:hAnsi="Verdana"/>
          <w:sz w:val="20"/>
          <w:szCs w:val="20"/>
          <w:lang w:val="en-US"/>
        </w:rPr>
        <w:t xml:space="preserve"> in the process of </w:t>
      </w:r>
      <w:r w:rsidRPr="008A3740">
        <w:rPr>
          <w:rFonts w:ascii="Verdana" w:hAnsi="Verdana"/>
          <w:sz w:val="20"/>
          <w:szCs w:val="20"/>
          <w:lang w:val="en-US"/>
        </w:rPr>
        <w:t>executi</w:t>
      </w:r>
      <w:r w:rsidR="000B4FC1" w:rsidRPr="008A3740">
        <w:rPr>
          <w:rFonts w:ascii="Verdana" w:hAnsi="Verdana"/>
          <w:sz w:val="20"/>
          <w:szCs w:val="20"/>
          <w:lang w:val="en-US"/>
        </w:rPr>
        <w:t xml:space="preserve">ng the </w:t>
      </w:r>
      <w:r w:rsidRPr="008A3740">
        <w:rPr>
          <w:rFonts w:ascii="Verdana" w:hAnsi="Verdana"/>
          <w:sz w:val="20"/>
          <w:szCs w:val="20"/>
          <w:lang w:val="en-US"/>
        </w:rPr>
        <w:t>judgments, the alleged violation of the right to social security</w:t>
      </w:r>
      <w:r w:rsidR="00B935CF" w:rsidRPr="008A3740">
        <w:rPr>
          <w:rFonts w:ascii="Verdana" w:hAnsi="Verdana"/>
          <w:sz w:val="20"/>
          <w:szCs w:val="20"/>
          <w:lang w:val="en-US"/>
        </w:rPr>
        <w:t>,</w:t>
      </w:r>
      <w:r w:rsidRPr="008A3740">
        <w:rPr>
          <w:rFonts w:ascii="Verdana" w:hAnsi="Verdana"/>
          <w:sz w:val="20"/>
          <w:szCs w:val="20"/>
          <w:lang w:val="en-US"/>
        </w:rPr>
        <w:t xml:space="preserve"> pursuant to Article 26, and </w:t>
      </w:r>
      <w:r w:rsidR="000B4FC1" w:rsidRPr="008A3740">
        <w:rPr>
          <w:rFonts w:ascii="Verdana" w:hAnsi="Verdana"/>
          <w:sz w:val="20"/>
          <w:szCs w:val="20"/>
          <w:lang w:val="en-US"/>
        </w:rPr>
        <w:t xml:space="preserve">will </w:t>
      </w:r>
      <w:r w:rsidRPr="008A3740">
        <w:rPr>
          <w:rFonts w:ascii="Verdana" w:hAnsi="Verdana"/>
          <w:sz w:val="20"/>
          <w:szCs w:val="20"/>
          <w:lang w:val="en-US"/>
        </w:rPr>
        <w:t xml:space="preserve">finally </w:t>
      </w:r>
      <w:r w:rsidR="00B935CF" w:rsidRPr="008A3740">
        <w:rPr>
          <w:rFonts w:ascii="Verdana" w:hAnsi="Verdana"/>
          <w:sz w:val="20"/>
          <w:szCs w:val="20"/>
          <w:lang w:val="en-US"/>
        </w:rPr>
        <w:t xml:space="preserve">consider </w:t>
      </w:r>
      <w:r w:rsidRPr="008A3740">
        <w:rPr>
          <w:rFonts w:ascii="Verdana" w:hAnsi="Verdana"/>
          <w:sz w:val="20"/>
          <w:szCs w:val="20"/>
          <w:lang w:val="en-US"/>
        </w:rPr>
        <w:t xml:space="preserve">the arguments regarding the violation of </w:t>
      </w:r>
      <w:r w:rsidR="000B4FC1" w:rsidRPr="008A3740">
        <w:rPr>
          <w:rFonts w:ascii="Verdana" w:hAnsi="Verdana"/>
          <w:sz w:val="20"/>
          <w:szCs w:val="20"/>
          <w:lang w:val="en-US"/>
        </w:rPr>
        <w:t>Mr. Oscar Muelle Flores’ right to property</w:t>
      </w:r>
      <w:r w:rsidRPr="008A3740">
        <w:rPr>
          <w:rFonts w:ascii="Verdana" w:hAnsi="Verdana"/>
          <w:sz w:val="20"/>
          <w:szCs w:val="20"/>
          <w:lang w:val="en-US"/>
        </w:rPr>
        <w:t xml:space="preserve">. </w:t>
      </w:r>
    </w:p>
    <w:p w14:paraId="08E47EFD" w14:textId="77777777" w:rsidR="008E6A56" w:rsidRPr="008A3740" w:rsidRDefault="008E6A56" w:rsidP="008E6A56">
      <w:pPr>
        <w:pStyle w:val="Prrafodelista"/>
        <w:rPr>
          <w:rFonts w:ascii="Verdana" w:hAnsi="Verdana" w:cs="Verdana"/>
          <w:bCs/>
          <w:caps/>
          <w:snapToGrid w:val="0"/>
          <w:sz w:val="20"/>
          <w:szCs w:val="20"/>
          <w:lang w:val="en-US"/>
        </w:rPr>
      </w:pPr>
    </w:p>
    <w:p w14:paraId="40E85680" w14:textId="77777777" w:rsidR="008E6A56" w:rsidRPr="008A3740" w:rsidRDefault="008E6A56" w:rsidP="008E6A56">
      <w:pPr>
        <w:tabs>
          <w:tab w:val="left" w:pos="567"/>
        </w:tabs>
        <w:rPr>
          <w:rFonts w:ascii="Verdana" w:hAnsi="Verdana" w:cs="Verdana"/>
          <w:bCs/>
          <w:caps/>
          <w:snapToGrid w:val="0"/>
          <w:sz w:val="20"/>
          <w:szCs w:val="20"/>
          <w:lang w:val="en-US"/>
        </w:rPr>
      </w:pPr>
    </w:p>
    <w:p w14:paraId="2C4B34E2" w14:textId="77777777" w:rsidR="008E6A56" w:rsidRPr="008A3740" w:rsidRDefault="008E6A56" w:rsidP="008E6A56">
      <w:pPr>
        <w:pStyle w:val="Ttulo"/>
        <w:rPr>
          <w:rFonts w:cs="Arial"/>
          <w:kern w:val="2"/>
          <w:lang w:val="en-US" w:eastAsia="en-US"/>
        </w:rPr>
      </w:pPr>
      <w:bookmarkStart w:id="87" w:name="_Toc438113890"/>
      <w:bookmarkStart w:id="88" w:name="_Toc495658671"/>
      <w:bookmarkStart w:id="89" w:name="_Toc514172627"/>
      <w:bookmarkStart w:id="90" w:name="_Toc532545804"/>
      <w:bookmarkStart w:id="91" w:name="_Toc5009877"/>
      <w:r w:rsidRPr="008A3740">
        <w:rPr>
          <w:rFonts w:cs="Arial"/>
          <w:kern w:val="2"/>
          <w:lang w:val="en-US" w:eastAsia="en-US"/>
        </w:rPr>
        <w:t>VII</w:t>
      </w:r>
      <w:r w:rsidRPr="008A3740">
        <w:rPr>
          <w:rFonts w:cs="Arial"/>
          <w:kern w:val="2"/>
          <w:lang w:val="en-US" w:eastAsia="en-US"/>
        </w:rPr>
        <w:br/>
        <w:t>rights to</w:t>
      </w:r>
      <w:r w:rsidRPr="008A3740">
        <w:rPr>
          <w:lang w:val="en-US"/>
        </w:rPr>
        <w:t xml:space="preserve"> JUDICIAL GUARANTEES</w:t>
      </w:r>
      <w:r w:rsidRPr="008A3740">
        <w:rPr>
          <w:vertAlign w:val="superscript"/>
          <w:lang w:val="en-US"/>
        </w:rPr>
        <w:footnoteReference w:id="131"/>
      </w:r>
      <w:r w:rsidRPr="008A3740">
        <w:rPr>
          <w:lang w:val="en-US"/>
        </w:rPr>
        <w:t>, JUDICIAL PROTECTION</w:t>
      </w:r>
      <w:r w:rsidRPr="008A3740">
        <w:rPr>
          <w:vertAlign w:val="superscript"/>
          <w:lang w:val="en-US"/>
        </w:rPr>
        <w:footnoteReference w:id="132"/>
      </w:r>
      <w:r w:rsidRPr="008A3740">
        <w:rPr>
          <w:lang w:val="en-US"/>
        </w:rPr>
        <w:t>, social security</w:t>
      </w:r>
      <w:r w:rsidRPr="008A3740">
        <w:rPr>
          <w:rStyle w:val="Refdenotaalpie"/>
          <w:lang w:val="en-US"/>
        </w:rPr>
        <w:footnoteReference w:id="133"/>
      </w:r>
      <w:r w:rsidRPr="008A3740">
        <w:rPr>
          <w:lang w:val="en-US"/>
        </w:rPr>
        <w:t>, PERSONAL INTEGRITY</w:t>
      </w:r>
      <w:r w:rsidRPr="008A3740">
        <w:rPr>
          <w:rStyle w:val="Refdenotaalpie"/>
          <w:lang w:val="en-US"/>
        </w:rPr>
        <w:footnoteReference w:id="134"/>
      </w:r>
      <w:r w:rsidRPr="008A3740">
        <w:rPr>
          <w:lang w:val="en-US"/>
        </w:rPr>
        <w:t>, DIGNITY</w:t>
      </w:r>
      <w:r w:rsidRPr="008A3740">
        <w:rPr>
          <w:rStyle w:val="Refdenotaalpie"/>
          <w:lang w:val="en-US"/>
        </w:rPr>
        <w:footnoteReference w:id="135"/>
      </w:r>
      <w:r w:rsidR="009E3080" w:rsidRPr="008A3740">
        <w:rPr>
          <w:lang w:val="en-US"/>
        </w:rPr>
        <w:t xml:space="preserve">, </w:t>
      </w:r>
      <w:r w:rsidRPr="008A3740">
        <w:rPr>
          <w:lang w:val="en-US"/>
        </w:rPr>
        <w:t>property</w:t>
      </w:r>
      <w:r w:rsidRPr="008A3740">
        <w:rPr>
          <w:rStyle w:val="Refdenotaalpie"/>
          <w:lang w:val="en-US"/>
        </w:rPr>
        <w:footnoteReference w:id="136"/>
      </w:r>
      <w:r w:rsidRPr="008A3740">
        <w:rPr>
          <w:lang w:val="en-US"/>
        </w:rPr>
        <w:t xml:space="preserve">, and </w:t>
      </w:r>
      <w:r w:rsidR="00B935CF" w:rsidRPr="008A3740">
        <w:rPr>
          <w:lang w:val="en-US"/>
        </w:rPr>
        <w:t xml:space="preserve">THE </w:t>
      </w:r>
      <w:r w:rsidR="00331A1C" w:rsidRPr="008A3740">
        <w:rPr>
          <w:lang w:val="en-US"/>
        </w:rPr>
        <w:t>OBLIGATION TO ADOPT DOMESTIC LEGAL EFFECTS</w:t>
      </w:r>
      <w:r w:rsidRPr="008A3740">
        <w:rPr>
          <w:lang w:val="en-US"/>
        </w:rPr>
        <w:t>,</w:t>
      </w:r>
      <w:r w:rsidRPr="008A3740">
        <w:rPr>
          <w:rStyle w:val="Refdenotaalpie"/>
          <w:lang w:val="en-US"/>
        </w:rPr>
        <w:footnoteReference w:id="137"/>
      </w:r>
      <w:r w:rsidRPr="008A3740">
        <w:rPr>
          <w:lang w:val="en-US"/>
        </w:rPr>
        <w:t xml:space="preserve"> in RELATION TO THE OBLIGATIONS TO RESPECT and GUARANTEE RIGHTS </w:t>
      </w:r>
      <w:bookmarkEnd w:id="87"/>
      <w:bookmarkEnd w:id="88"/>
      <w:bookmarkEnd w:id="89"/>
      <w:r w:rsidRPr="008A3740">
        <w:rPr>
          <w:lang w:val="en-US"/>
        </w:rPr>
        <w:t>(Articles 8(1),</w:t>
      </w:r>
      <w:r w:rsidR="003568C7" w:rsidRPr="008A3740">
        <w:rPr>
          <w:lang w:val="en-US"/>
        </w:rPr>
        <w:t xml:space="preserve"> 25(1), 25(</w:t>
      </w:r>
      <w:r w:rsidRPr="008A3740">
        <w:rPr>
          <w:lang w:val="en-US"/>
        </w:rPr>
        <w:t>2</w:t>
      </w:r>
      <w:r w:rsidR="003568C7" w:rsidRPr="008A3740">
        <w:rPr>
          <w:lang w:val="en-US"/>
        </w:rPr>
        <w:t>)(</w:t>
      </w:r>
      <w:r w:rsidRPr="008A3740">
        <w:rPr>
          <w:lang w:val="en-US"/>
        </w:rPr>
        <w:t>C), 26, 5, 11(1), 21, 1(1) and 2 of the American Convention)</w:t>
      </w:r>
      <w:bookmarkEnd w:id="90"/>
      <w:bookmarkEnd w:id="91"/>
    </w:p>
    <w:p w14:paraId="5C388769" w14:textId="77777777" w:rsidR="008E6A56" w:rsidRPr="008A3740" w:rsidRDefault="008E6A56" w:rsidP="008E6A56">
      <w:pPr>
        <w:rPr>
          <w:sz w:val="20"/>
          <w:szCs w:val="20"/>
          <w:lang w:val="en-US"/>
        </w:rPr>
      </w:pPr>
    </w:p>
    <w:p w14:paraId="7FAFA1A8" w14:textId="77777777" w:rsidR="008E6A56" w:rsidRPr="008A3740" w:rsidRDefault="00B935CF" w:rsidP="00D17A65">
      <w:pPr>
        <w:numPr>
          <w:ilvl w:val="0"/>
          <w:numId w:val="3"/>
        </w:numPr>
        <w:tabs>
          <w:tab w:val="left" w:pos="567"/>
          <w:tab w:val="num" w:pos="12305"/>
        </w:tabs>
        <w:ind w:left="0" w:firstLine="0"/>
        <w:rPr>
          <w:rFonts w:ascii="Verdana" w:eastAsia="Batang" w:hAnsi="Verdana" w:cs="Arial"/>
          <w:b/>
          <w:iCs/>
          <w:sz w:val="20"/>
          <w:szCs w:val="20"/>
          <w:lang w:val="en-US"/>
        </w:rPr>
      </w:pPr>
      <w:r w:rsidRPr="008A3740">
        <w:rPr>
          <w:rFonts w:ascii="Verdana" w:hAnsi="Verdana"/>
          <w:sz w:val="20"/>
          <w:szCs w:val="20"/>
          <w:lang w:val="en-US"/>
        </w:rPr>
        <w:lastRenderedPageBreak/>
        <w:t xml:space="preserve">The Court emphasizes that in </w:t>
      </w:r>
      <w:r w:rsidR="008E6A56" w:rsidRPr="008A3740">
        <w:rPr>
          <w:rFonts w:ascii="Verdana" w:hAnsi="Verdana"/>
          <w:sz w:val="20"/>
          <w:szCs w:val="20"/>
          <w:lang w:val="en-US"/>
        </w:rPr>
        <w:t xml:space="preserve">the cases of </w:t>
      </w:r>
      <w:r w:rsidR="008E6A56" w:rsidRPr="008A3740">
        <w:rPr>
          <w:rFonts w:ascii="Verdana" w:hAnsi="Verdana"/>
          <w:i/>
          <w:sz w:val="20"/>
          <w:szCs w:val="20"/>
          <w:lang w:val="en-US"/>
        </w:rPr>
        <w:t xml:space="preserve">“Five Pensioners” v. Peru and Acevedo Buendía </w:t>
      </w:r>
      <w:r w:rsidRPr="008A3740">
        <w:rPr>
          <w:rFonts w:ascii="Verdana" w:hAnsi="Verdana"/>
          <w:i/>
          <w:sz w:val="20"/>
          <w:szCs w:val="20"/>
          <w:lang w:val="en-US"/>
        </w:rPr>
        <w:t xml:space="preserve">et al. </w:t>
      </w:r>
      <w:r w:rsidR="008E6A56" w:rsidRPr="008A3740">
        <w:rPr>
          <w:rFonts w:ascii="Verdana" w:hAnsi="Verdana"/>
          <w:i/>
          <w:sz w:val="20"/>
          <w:szCs w:val="20"/>
          <w:lang w:val="en-US"/>
        </w:rPr>
        <w:t>(“Discharged and Retired Employees of the Comptroller’s Office”) v. Peru,</w:t>
      </w:r>
      <w:r w:rsidR="008E6A56" w:rsidRPr="008A3740">
        <w:rPr>
          <w:rFonts w:ascii="Verdana" w:hAnsi="Verdana"/>
          <w:sz w:val="20"/>
          <w:szCs w:val="20"/>
          <w:lang w:val="en-US"/>
        </w:rPr>
        <w:t xml:space="preserve"> also related to pension </w:t>
      </w:r>
      <w:r w:rsidRPr="008A3740">
        <w:rPr>
          <w:rFonts w:ascii="Verdana" w:hAnsi="Verdana"/>
          <w:sz w:val="20"/>
          <w:szCs w:val="20"/>
          <w:lang w:val="en-US"/>
        </w:rPr>
        <w:t>matters</w:t>
      </w:r>
      <w:r w:rsidR="008E6A56" w:rsidRPr="008A3740">
        <w:rPr>
          <w:rFonts w:ascii="Verdana" w:hAnsi="Verdana"/>
          <w:sz w:val="20"/>
          <w:szCs w:val="20"/>
          <w:lang w:val="en-US"/>
        </w:rPr>
        <w:t xml:space="preserve">, </w:t>
      </w:r>
      <w:r w:rsidRPr="008A3740">
        <w:rPr>
          <w:rFonts w:ascii="Verdana" w:hAnsi="Verdana"/>
          <w:sz w:val="20"/>
          <w:szCs w:val="20"/>
          <w:lang w:val="en-US"/>
        </w:rPr>
        <w:t xml:space="preserve">the Court </w:t>
      </w:r>
      <w:r w:rsidR="008E6A56" w:rsidRPr="008A3740">
        <w:rPr>
          <w:rFonts w:ascii="Verdana" w:hAnsi="Verdana"/>
          <w:sz w:val="20"/>
          <w:szCs w:val="20"/>
          <w:lang w:val="en-US"/>
        </w:rPr>
        <w:t xml:space="preserve">had already established that the </w:t>
      </w:r>
      <w:r w:rsidRPr="008A3740">
        <w:rPr>
          <w:rFonts w:ascii="Verdana" w:hAnsi="Verdana"/>
          <w:sz w:val="20"/>
          <w:szCs w:val="20"/>
          <w:lang w:val="en-US"/>
        </w:rPr>
        <w:t xml:space="preserve">failure by the State to comply with </w:t>
      </w:r>
      <w:r w:rsidR="008E6A56" w:rsidRPr="008A3740">
        <w:rPr>
          <w:rFonts w:ascii="Verdana" w:hAnsi="Verdana"/>
          <w:sz w:val="20"/>
          <w:szCs w:val="20"/>
          <w:lang w:val="en-US"/>
        </w:rPr>
        <w:t xml:space="preserve">judicial decisions </w:t>
      </w:r>
      <w:r w:rsidRPr="008A3740">
        <w:rPr>
          <w:rFonts w:ascii="Verdana" w:hAnsi="Verdana"/>
          <w:sz w:val="20"/>
          <w:szCs w:val="20"/>
          <w:lang w:val="en-US"/>
        </w:rPr>
        <w:t xml:space="preserve">ordering </w:t>
      </w:r>
      <w:r w:rsidR="008E6A56" w:rsidRPr="008A3740">
        <w:rPr>
          <w:rFonts w:ascii="Verdana" w:hAnsi="Verdana"/>
          <w:sz w:val="20"/>
          <w:szCs w:val="20"/>
          <w:lang w:val="en-US"/>
        </w:rPr>
        <w:t xml:space="preserve">the payment of pensions, as well as failure to execute these, violates the right to judicial protection (Articles 25(1) and 25(2)(c) and the right to property (Article 21). Therefore, it is the </w:t>
      </w:r>
      <w:r w:rsidRPr="008A3740">
        <w:rPr>
          <w:rFonts w:ascii="Verdana" w:hAnsi="Verdana"/>
          <w:sz w:val="20"/>
          <w:szCs w:val="20"/>
          <w:lang w:val="en-US"/>
        </w:rPr>
        <w:t>task of this Court to analyze whether,</w:t>
      </w:r>
      <w:r w:rsidR="00085FB9" w:rsidRPr="008A3740">
        <w:rPr>
          <w:rFonts w:ascii="Verdana" w:hAnsi="Verdana"/>
          <w:sz w:val="20"/>
          <w:szCs w:val="20"/>
          <w:lang w:val="en-US"/>
        </w:rPr>
        <w:t xml:space="preserve"> based on the facts of this</w:t>
      </w:r>
      <w:r w:rsidR="008E6A56" w:rsidRPr="008A3740">
        <w:rPr>
          <w:rFonts w:ascii="Verdana" w:hAnsi="Verdana"/>
          <w:sz w:val="20"/>
          <w:szCs w:val="20"/>
          <w:lang w:val="en-US"/>
        </w:rPr>
        <w:t xml:space="preserve"> specific case and the arguments of the parties and the Commission, Peru violated th</w:t>
      </w:r>
      <w:r w:rsidRPr="008A3740">
        <w:rPr>
          <w:rFonts w:ascii="Verdana" w:hAnsi="Verdana"/>
          <w:sz w:val="20"/>
          <w:szCs w:val="20"/>
          <w:lang w:val="en-US"/>
        </w:rPr>
        <w:t>os</w:t>
      </w:r>
      <w:r w:rsidR="008E6A56" w:rsidRPr="008A3740">
        <w:rPr>
          <w:rFonts w:ascii="Verdana" w:hAnsi="Verdana"/>
          <w:sz w:val="20"/>
          <w:szCs w:val="20"/>
          <w:lang w:val="en-US"/>
        </w:rPr>
        <w:t xml:space="preserve">e rights. </w:t>
      </w:r>
      <w:r w:rsidRPr="008A3740">
        <w:rPr>
          <w:rFonts w:ascii="Verdana" w:hAnsi="Verdana"/>
          <w:sz w:val="20"/>
          <w:szCs w:val="20"/>
          <w:lang w:val="en-US"/>
        </w:rPr>
        <w:t>However, t</w:t>
      </w:r>
      <w:r w:rsidR="008E6A56" w:rsidRPr="008A3740">
        <w:rPr>
          <w:rFonts w:ascii="Verdana" w:hAnsi="Verdana"/>
          <w:sz w:val="20"/>
          <w:szCs w:val="20"/>
          <w:lang w:val="en-US"/>
        </w:rPr>
        <w:t xml:space="preserve">he case </w:t>
      </w:r>
      <w:r w:rsidRPr="008A3740">
        <w:rPr>
          <w:rFonts w:ascii="Verdana" w:hAnsi="Verdana"/>
          <w:sz w:val="20"/>
          <w:szCs w:val="20"/>
          <w:lang w:val="en-US"/>
        </w:rPr>
        <w:t xml:space="preserve">at hand </w:t>
      </w:r>
      <w:r w:rsidR="008E6A56" w:rsidRPr="008A3740">
        <w:rPr>
          <w:rFonts w:ascii="Verdana" w:hAnsi="Verdana"/>
          <w:sz w:val="20"/>
          <w:szCs w:val="20"/>
          <w:lang w:val="en-US"/>
        </w:rPr>
        <w:t xml:space="preserve">has some </w:t>
      </w:r>
      <w:r w:rsidRPr="008A3740">
        <w:rPr>
          <w:rFonts w:ascii="Verdana" w:hAnsi="Verdana"/>
          <w:sz w:val="20"/>
          <w:szCs w:val="20"/>
          <w:lang w:val="en-US"/>
        </w:rPr>
        <w:t>p</w:t>
      </w:r>
      <w:r w:rsidR="00DD5E6B" w:rsidRPr="008A3740">
        <w:rPr>
          <w:rFonts w:ascii="Verdana" w:hAnsi="Verdana"/>
          <w:sz w:val="20"/>
          <w:szCs w:val="20"/>
          <w:lang w:val="en-US"/>
        </w:rPr>
        <w:t xml:space="preserve">articular features </w:t>
      </w:r>
      <w:r w:rsidR="008E6A56" w:rsidRPr="008A3740">
        <w:rPr>
          <w:rFonts w:ascii="Verdana" w:hAnsi="Verdana"/>
          <w:sz w:val="20"/>
          <w:szCs w:val="20"/>
          <w:lang w:val="en-US"/>
        </w:rPr>
        <w:t xml:space="preserve">that differentiate it from those decided previously by this Court, since the execution of the judicial rulings issued in the </w:t>
      </w:r>
      <w:r w:rsidR="008E6A56" w:rsidRPr="008A3740">
        <w:rPr>
          <w:rFonts w:ascii="Verdana" w:hAnsi="Verdana"/>
          <w:i/>
          <w:sz w:val="20"/>
          <w:szCs w:val="20"/>
          <w:lang w:val="en-US"/>
        </w:rPr>
        <w:t>amparo</w:t>
      </w:r>
      <w:r w:rsidR="008E6A56" w:rsidRPr="008A3740">
        <w:rPr>
          <w:rFonts w:ascii="Verdana" w:hAnsi="Verdana"/>
          <w:sz w:val="20"/>
          <w:szCs w:val="20"/>
          <w:lang w:val="en-US"/>
        </w:rPr>
        <w:t xml:space="preserve"> proceedings </w:t>
      </w:r>
      <w:r w:rsidRPr="008A3740">
        <w:rPr>
          <w:rFonts w:ascii="Verdana" w:hAnsi="Verdana"/>
          <w:sz w:val="20"/>
          <w:szCs w:val="20"/>
          <w:lang w:val="en-US"/>
        </w:rPr>
        <w:t xml:space="preserve">was </w:t>
      </w:r>
      <w:r w:rsidR="006E5711" w:rsidRPr="008A3740">
        <w:rPr>
          <w:rFonts w:ascii="Verdana" w:hAnsi="Verdana"/>
          <w:sz w:val="20"/>
          <w:szCs w:val="20"/>
          <w:lang w:val="en-US"/>
        </w:rPr>
        <w:t xml:space="preserve">further </w:t>
      </w:r>
      <w:r w:rsidR="008E6A56" w:rsidRPr="008A3740">
        <w:rPr>
          <w:rFonts w:ascii="Verdana" w:hAnsi="Verdana"/>
          <w:sz w:val="20"/>
          <w:szCs w:val="20"/>
          <w:lang w:val="en-US"/>
        </w:rPr>
        <w:t>complicated by the privatiza</w:t>
      </w:r>
      <w:r w:rsidRPr="008A3740">
        <w:rPr>
          <w:rFonts w:ascii="Verdana" w:hAnsi="Verdana"/>
          <w:sz w:val="20"/>
          <w:szCs w:val="20"/>
          <w:lang w:val="en-US"/>
        </w:rPr>
        <w:t>tion of the State-owned company that was</w:t>
      </w:r>
      <w:r w:rsidR="008E6A56" w:rsidRPr="008A3740">
        <w:rPr>
          <w:rFonts w:ascii="Verdana" w:hAnsi="Verdana"/>
          <w:sz w:val="20"/>
          <w:szCs w:val="20"/>
          <w:lang w:val="en-US"/>
        </w:rPr>
        <w:t xml:space="preserve"> originally responsible for </w:t>
      </w:r>
      <w:r w:rsidR="00721022" w:rsidRPr="008A3740">
        <w:rPr>
          <w:rFonts w:ascii="Verdana" w:hAnsi="Verdana"/>
          <w:sz w:val="20"/>
          <w:szCs w:val="20"/>
          <w:lang w:val="en-US"/>
        </w:rPr>
        <w:t xml:space="preserve">paying </w:t>
      </w:r>
      <w:r w:rsidR="008E6A56" w:rsidRPr="008A3740">
        <w:rPr>
          <w:rFonts w:ascii="Verdana" w:hAnsi="Verdana"/>
          <w:sz w:val="20"/>
          <w:szCs w:val="20"/>
          <w:lang w:val="en-US"/>
        </w:rPr>
        <w:t xml:space="preserve">Mr. Muelle Flores’ pension. </w:t>
      </w:r>
      <w:r w:rsidR="006E5711" w:rsidRPr="008A3740">
        <w:rPr>
          <w:rFonts w:ascii="Verdana" w:hAnsi="Verdana"/>
          <w:sz w:val="20"/>
          <w:szCs w:val="20"/>
          <w:lang w:val="en-US"/>
        </w:rPr>
        <w:t>T</w:t>
      </w:r>
      <w:r w:rsidR="008E6A56" w:rsidRPr="008A3740">
        <w:rPr>
          <w:rFonts w:ascii="Verdana" w:hAnsi="Verdana"/>
          <w:sz w:val="20"/>
          <w:szCs w:val="20"/>
          <w:lang w:val="en-US"/>
        </w:rPr>
        <w:t xml:space="preserve">he Court will </w:t>
      </w:r>
      <w:r w:rsidR="006E5711" w:rsidRPr="008A3740">
        <w:rPr>
          <w:rFonts w:ascii="Verdana" w:hAnsi="Verdana"/>
          <w:sz w:val="20"/>
          <w:szCs w:val="20"/>
          <w:lang w:val="en-US"/>
        </w:rPr>
        <w:t xml:space="preserve">also </w:t>
      </w:r>
      <w:r w:rsidR="00085FB9" w:rsidRPr="008A3740">
        <w:rPr>
          <w:rFonts w:ascii="Verdana" w:hAnsi="Verdana"/>
          <w:sz w:val="20"/>
          <w:szCs w:val="20"/>
          <w:lang w:val="en-US"/>
        </w:rPr>
        <w:t xml:space="preserve">consider </w:t>
      </w:r>
      <w:r w:rsidR="006E5711" w:rsidRPr="008A3740">
        <w:rPr>
          <w:rFonts w:ascii="Verdana" w:hAnsi="Verdana"/>
          <w:sz w:val="20"/>
          <w:szCs w:val="20"/>
          <w:lang w:val="en-US"/>
        </w:rPr>
        <w:t>whether</w:t>
      </w:r>
      <w:r w:rsidR="008E6A56" w:rsidRPr="008A3740">
        <w:rPr>
          <w:rFonts w:ascii="Verdana" w:hAnsi="Verdana"/>
          <w:sz w:val="20"/>
          <w:szCs w:val="20"/>
          <w:lang w:val="en-US"/>
        </w:rPr>
        <w:t xml:space="preserve"> there was an autonomous violation of the right to social security (right to </w:t>
      </w:r>
      <w:r w:rsidR="00DD5E6B" w:rsidRPr="008A3740">
        <w:rPr>
          <w:rFonts w:ascii="Verdana" w:hAnsi="Verdana"/>
          <w:sz w:val="20"/>
          <w:szCs w:val="20"/>
          <w:lang w:val="en-US"/>
        </w:rPr>
        <w:t xml:space="preserve">a </w:t>
      </w:r>
      <w:r w:rsidR="008E6A56" w:rsidRPr="008A3740">
        <w:rPr>
          <w:rFonts w:ascii="Verdana" w:hAnsi="Verdana"/>
          <w:sz w:val="20"/>
          <w:szCs w:val="20"/>
          <w:lang w:val="en-US"/>
        </w:rPr>
        <w:t>pension)</w:t>
      </w:r>
      <w:r w:rsidR="00DD5E6B" w:rsidRPr="008A3740">
        <w:rPr>
          <w:rFonts w:ascii="Verdana" w:hAnsi="Verdana"/>
          <w:sz w:val="20"/>
          <w:szCs w:val="20"/>
          <w:lang w:val="en-US"/>
        </w:rPr>
        <w:t>, as alleged by the representatives,</w:t>
      </w:r>
      <w:r w:rsidR="008E6A56" w:rsidRPr="008A3740">
        <w:rPr>
          <w:rFonts w:ascii="Verdana" w:hAnsi="Verdana"/>
          <w:sz w:val="20"/>
          <w:szCs w:val="20"/>
          <w:lang w:val="en-US"/>
        </w:rPr>
        <w:t xml:space="preserve"> </w:t>
      </w:r>
      <w:r w:rsidR="008E6A56" w:rsidRPr="008A3740">
        <w:rPr>
          <w:rFonts w:ascii="Verdana" w:eastAsia="Batang" w:hAnsi="Verdana" w:cs="Arial"/>
          <w:iCs/>
          <w:sz w:val="20"/>
          <w:szCs w:val="20"/>
          <w:lang w:val="en-US"/>
        </w:rPr>
        <w:t>based on the interpretation of Article 26 the Convention.</w:t>
      </w:r>
    </w:p>
    <w:p w14:paraId="0FD9940F" w14:textId="77777777" w:rsidR="008E6A56" w:rsidRPr="008A3740" w:rsidRDefault="008E6A56" w:rsidP="008E6A56">
      <w:pPr>
        <w:rPr>
          <w:rFonts w:ascii="Verdana" w:hAnsi="Verdana"/>
          <w:spacing w:val="-2"/>
          <w:sz w:val="20"/>
          <w:szCs w:val="20"/>
          <w:lang w:val="en-US"/>
        </w:rPr>
      </w:pPr>
    </w:p>
    <w:p w14:paraId="2911B7D3" w14:textId="77777777" w:rsidR="008E6A56" w:rsidRPr="008A3740" w:rsidRDefault="006E5711" w:rsidP="00D17A65">
      <w:pPr>
        <w:widowControl/>
        <w:numPr>
          <w:ilvl w:val="0"/>
          <w:numId w:val="3"/>
        </w:numPr>
        <w:tabs>
          <w:tab w:val="left" w:pos="567"/>
          <w:tab w:val="left" w:pos="720"/>
        </w:tabs>
        <w:adjustRightInd/>
        <w:ind w:left="0" w:firstLine="0"/>
        <w:textAlignment w:val="auto"/>
        <w:rPr>
          <w:rFonts w:ascii="Verdana" w:hAnsi="Verdana"/>
          <w:sz w:val="20"/>
          <w:szCs w:val="20"/>
          <w:lang w:val="en-US"/>
        </w:rPr>
      </w:pPr>
      <w:r w:rsidRPr="008A3740">
        <w:rPr>
          <w:rFonts w:ascii="Verdana" w:hAnsi="Verdana"/>
          <w:spacing w:val="-2"/>
          <w:sz w:val="20"/>
          <w:szCs w:val="20"/>
          <w:lang w:val="en-US"/>
        </w:rPr>
        <w:t>Thus</w:t>
      </w:r>
      <w:r w:rsidR="008E6A56" w:rsidRPr="008A3740">
        <w:rPr>
          <w:rFonts w:ascii="Verdana" w:hAnsi="Verdana"/>
          <w:spacing w:val="-2"/>
          <w:sz w:val="20"/>
          <w:szCs w:val="20"/>
          <w:lang w:val="en-US"/>
        </w:rPr>
        <w:t>, the dispute in this case c</w:t>
      </w:r>
      <w:r w:rsidR="00DD5E6B" w:rsidRPr="008A3740">
        <w:rPr>
          <w:rFonts w:ascii="Verdana" w:hAnsi="Verdana"/>
          <w:spacing w:val="-2"/>
          <w:sz w:val="20"/>
          <w:szCs w:val="20"/>
          <w:lang w:val="en-US"/>
        </w:rPr>
        <w:t>oncerns</w:t>
      </w:r>
      <w:r w:rsidR="008E6A56" w:rsidRPr="008A3740">
        <w:rPr>
          <w:rFonts w:ascii="Verdana" w:hAnsi="Verdana"/>
          <w:spacing w:val="-2"/>
          <w:sz w:val="20"/>
          <w:szCs w:val="20"/>
          <w:lang w:val="en-US"/>
        </w:rPr>
        <w:t xml:space="preserve"> the presumed failure to comply with the </w:t>
      </w:r>
      <w:r w:rsidR="008E6A56" w:rsidRPr="008A3740">
        <w:rPr>
          <w:rFonts w:ascii="Verdana" w:hAnsi="Verdana"/>
          <w:i/>
          <w:spacing w:val="-2"/>
          <w:sz w:val="20"/>
          <w:szCs w:val="20"/>
          <w:lang w:val="en-US"/>
        </w:rPr>
        <w:t>amparo</w:t>
      </w:r>
      <w:r w:rsidR="008E6A56" w:rsidRPr="008A3740">
        <w:rPr>
          <w:rFonts w:ascii="Verdana" w:hAnsi="Verdana"/>
          <w:spacing w:val="-2"/>
          <w:sz w:val="20"/>
          <w:szCs w:val="20"/>
          <w:lang w:val="en-US"/>
        </w:rPr>
        <w:t xml:space="preserve"> judgments that recognized Mr. Muelle Flores’ right to receive a pension under the pension scheme of Decree Law No. 20530, </w:t>
      </w:r>
      <w:r w:rsidR="00DD5E6B" w:rsidRPr="008A3740">
        <w:rPr>
          <w:rFonts w:ascii="Verdana" w:hAnsi="Verdana"/>
          <w:spacing w:val="-2"/>
          <w:sz w:val="20"/>
          <w:szCs w:val="20"/>
          <w:lang w:val="en-US"/>
        </w:rPr>
        <w:t xml:space="preserve">together with </w:t>
      </w:r>
      <w:r w:rsidR="008E6A56" w:rsidRPr="008A3740">
        <w:rPr>
          <w:rFonts w:ascii="Verdana" w:hAnsi="Verdana"/>
          <w:spacing w:val="-2"/>
          <w:sz w:val="20"/>
          <w:szCs w:val="20"/>
          <w:lang w:val="en-US"/>
        </w:rPr>
        <w:t xml:space="preserve">the alleged failure to adopt coercive measures to ensure its </w:t>
      </w:r>
      <w:r w:rsidR="00DD5E6B" w:rsidRPr="008A3740">
        <w:rPr>
          <w:rFonts w:ascii="Verdana" w:hAnsi="Verdana"/>
          <w:spacing w:val="-2"/>
          <w:sz w:val="20"/>
          <w:szCs w:val="20"/>
          <w:lang w:val="en-US"/>
        </w:rPr>
        <w:t xml:space="preserve">implementation, </w:t>
      </w:r>
      <w:r w:rsidR="008E6A56" w:rsidRPr="008A3740">
        <w:rPr>
          <w:rFonts w:ascii="Verdana" w:hAnsi="Verdana"/>
          <w:spacing w:val="-2"/>
          <w:sz w:val="20"/>
          <w:szCs w:val="20"/>
          <w:lang w:val="en-US"/>
        </w:rPr>
        <w:t>and the impact th</w:t>
      </w:r>
      <w:r w:rsidR="00350A13" w:rsidRPr="008A3740">
        <w:rPr>
          <w:rFonts w:ascii="Verdana" w:hAnsi="Verdana"/>
          <w:spacing w:val="-2"/>
          <w:sz w:val="20"/>
          <w:szCs w:val="20"/>
          <w:lang w:val="en-US"/>
        </w:rPr>
        <w:t xml:space="preserve">at this had </w:t>
      </w:r>
      <w:r w:rsidR="008E6A56" w:rsidRPr="008A3740">
        <w:rPr>
          <w:rFonts w:ascii="Verdana" w:hAnsi="Verdana"/>
          <w:spacing w:val="-2"/>
          <w:sz w:val="20"/>
          <w:szCs w:val="20"/>
          <w:lang w:val="en-US"/>
        </w:rPr>
        <w:t xml:space="preserve">on the </w:t>
      </w:r>
      <w:r w:rsidR="00DD5E6B" w:rsidRPr="008A3740">
        <w:rPr>
          <w:rFonts w:ascii="Verdana" w:hAnsi="Verdana"/>
          <w:spacing w:val="-2"/>
          <w:sz w:val="20"/>
          <w:szCs w:val="20"/>
          <w:lang w:val="en-US"/>
        </w:rPr>
        <w:t xml:space="preserve">victim’s </w:t>
      </w:r>
      <w:r w:rsidR="008E6A56" w:rsidRPr="008A3740">
        <w:rPr>
          <w:rFonts w:ascii="Verdana" w:hAnsi="Verdana"/>
          <w:spacing w:val="-2"/>
          <w:sz w:val="20"/>
          <w:szCs w:val="20"/>
          <w:lang w:val="en-US"/>
        </w:rPr>
        <w:t xml:space="preserve">right to social security and right to property. Therefore, the Court </w:t>
      </w:r>
      <w:r w:rsidR="00DD5E6B" w:rsidRPr="008A3740">
        <w:rPr>
          <w:rFonts w:ascii="Verdana" w:hAnsi="Verdana"/>
          <w:spacing w:val="-2"/>
          <w:sz w:val="20"/>
          <w:szCs w:val="20"/>
          <w:lang w:val="en-US"/>
        </w:rPr>
        <w:t xml:space="preserve">deems </w:t>
      </w:r>
      <w:r w:rsidR="008E6A56" w:rsidRPr="008A3740">
        <w:rPr>
          <w:rFonts w:ascii="Verdana" w:hAnsi="Verdana"/>
          <w:spacing w:val="-2"/>
          <w:sz w:val="20"/>
          <w:szCs w:val="20"/>
          <w:lang w:val="en-US"/>
        </w:rPr>
        <w:t xml:space="preserve">it important to emphasize that it is not appropriate to determine the responsibility of the privatized </w:t>
      </w:r>
      <w:r w:rsidR="00DD5E6B" w:rsidRPr="008A3740">
        <w:rPr>
          <w:rFonts w:ascii="Verdana" w:hAnsi="Verdana"/>
          <w:spacing w:val="-2"/>
          <w:sz w:val="20"/>
          <w:szCs w:val="20"/>
          <w:lang w:val="en-US"/>
        </w:rPr>
        <w:t xml:space="preserve">company </w:t>
      </w:r>
      <w:r w:rsidR="008E6A56" w:rsidRPr="008A3740">
        <w:rPr>
          <w:rFonts w:ascii="Verdana" w:hAnsi="Verdana"/>
          <w:spacing w:val="-2"/>
          <w:sz w:val="20"/>
          <w:szCs w:val="20"/>
          <w:lang w:val="en-US"/>
        </w:rPr>
        <w:t>in relation to the pensioner, but rather the</w:t>
      </w:r>
      <w:r w:rsidR="00DD5E6B" w:rsidRPr="008A3740">
        <w:rPr>
          <w:rFonts w:ascii="Verdana" w:hAnsi="Verdana"/>
          <w:spacing w:val="-2"/>
          <w:sz w:val="20"/>
          <w:szCs w:val="20"/>
          <w:lang w:val="en-US"/>
        </w:rPr>
        <w:t xml:space="preserve"> State’s failure to comply with</w:t>
      </w:r>
      <w:r w:rsidR="008E6A56" w:rsidRPr="008A3740">
        <w:rPr>
          <w:rFonts w:ascii="Verdana" w:hAnsi="Verdana"/>
          <w:spacing w:val="-2"/>
          <w:sz w:val="20"/>
          <w:szCs w:val="20"/>
          <w:lang w:val="en-US"/>
        </w:rPr>
        <w:t xml:space="preserve"> </w:t>
      </w:r>
      <w:r w:rsidR="008E6A56" w:rsidRPr="008A3740">
        <w:rPr>
          <w:rFonts w:ascii="Verdana" w:hAnsi="Verdana"/>
          <w:i/>
          <w:spacing w:val="-2"/>
          <w:sz w:val="20"/>
          <w:szCs w:val="20"/>
          <w:lang w:val="en-US"/>
        </w:rPr>
        <w:t>res judicata</w:t>
      </w:r>
      <w:r w:rsidR="008E6A56" w:rsidRPr="008A3740">
        <w:rPr>
          <w:rFonts w:ascii="Verdana" w:hAnsi="Verdana"/>
          <w:spacing w:val="-2"/>
          <w:sz w:val="20"/>
          <w:szCs w:val="20"/>
          <w:lang w:val="en-US"/>
        </w:rPr>
        <w:t xml:space="preserve"> decisions issued in favor of Mr. Muelle Flores at the domestic level, for </w:t>
      </w:r>
      <w:r w:rsidR="00350A13" w:rsidRPr="008A3740">
        <w:rPr>
          <w:rFonts w:ascii="Verdana" w:hAnsi="Verdana"/>
          <w:spacing w:val="-2"/>
          <w:sz w:val="20"/>
          <w:szCs w:val="20"/>
          <w:lang w:val="en-US"/>
        </w:rPr>
        <w:t xml:space="preserve">its </w:t>
      </w:r>
      <w:r w:rsidR="008E6A56" w:rsidRPr="008A3740">
        <w:rPr>
          <w:rFonts w:ascii="Verdana" w:hAnsi="Verdana"/>
          <w:spacing w:val="-2"/>
          <w:sz w:val="20"/>
          <w:szCs w:val="20"/>
          <w:lang w:val="en-US"/>
        </w:rPr>
        <w:t xml:space="preserve">failure to execute those decisions within a reasonable </w:t>
      </w:r>
      <w:r w:rsidR="00DD5E6B" w:rsidRPr="008A3740">
        <w:rPr>
          <w:rFonts w:ascii="Verdana" w:hAnsi="Verdana"/>
          <w:spacing w:val="-2"/>
          <w:sz w:val="20"/>
          <w:szCs w:val="20"/>
          <w:lang w:val="en-US"/>
        </w:rPr>
        <w:t>time</w:t>
      </w:r>
      <w:r w:rsidR="008E6A56" w:rsidRPr="008A3740">
        <w:rPr>
          <w:rFonts w:ascii="Verdana" w:hAnsi="Verdana"/>
          <w:spacing w:val="-2"/>
          <w:sz w:val="20"/>
          <w:szCs w:val="20"/>
          <w:lang w:val="en-US"/>
        </w:rPr>
        <w:t xml:space="preserve">, </w:t>
      </w:r>
      <w:r w:rsidR="00DD5E6B" w:rsidRPr="008A3740">
        <w:rPr>
          <w:rFonts w:ascii="Verdana" w:hAnsi="Verdana"/>
          <w:spacing w:val="-2"/>
          <w:sz w:val="20"/>
          <w:szCs w:val="20"/>
          <w:lang w:val="en-US"/>
        </w:rPr>
        <w:t>and the effect</w:t>
      </w:r>
      <w:r w:rsidR="008E6A56" w:rsidRPr="008A3740">
        <w:rPr>
          <w:rFonts w:ascii="Verdana" w:hAnsi="Verdana"/>
          <w:spacing w:val="-2"/>
          <w:sz w:val="20"/>
          <w:szCs w:val="20"/>
          <w:lang w:val="en-US"/>
        </w:rPr>
        <w:t xml:space="preserve"> on </w:t>
      </w:r>
      <w:r w:rsidR="00DD5E6B" w:rsidRPr="008A3740">
        <w:rPr>
          <w:rFonts w:ascii="Verdana" w:hAnsi="Verdana"/>
          <w:spacing w:val="-2"/>
          <w:sz w:val="20"/>
          <w:szCs w:val="20"/>
          <w:lang w:val="en-US"/>
        </w:rPr>
        <w:t xml:space="preserve">pension rights </w:t>
      </w:r>
      <w:r w:rsidR="00350A13" w:rsidRPr="008A3740">
        <w:rPr>
          <w:rFonts w:ascii="Verdana" w:hAnsi="Verdana"/>
          <w:spacing w:val="-2"/>
          <w:sz w:val="20"/>
          <w:szCs w:val="20"/>
          <w:lang w:val="en-US"/>
        </w:rPr>
        <w:t xml:space="preserve">caused </w:t>
      </w:r>
      <w:r w:rsidR="008E6A56" w:rsidRPr="008A3740">
        <w:rPr>
          <w:rFonts w:ascii="Verdana" w:hAnsi="Verdana"/>
          <w:spacing w:val="-2"/>
          <w:sz w:val="20"/>
          <w:szCs w:val="20"/>
          <w:lang w:val="en-US"/>
        </w:rPr>
        <w:t>by the privatization of the State comp</w:t>
      </w:r>
      <w:r w:rsidR="00DD5E6B" w:rsidRPr="008A3740">
        <w:rPr>
          <w:rFonts w:ascii="Verdana" w:hAnsi="Verdana"/>
          <w:spacing w:val="-2"/>
          <w:sz w:val="20"/>
          <w:szCs w:val="20"/>
          <w:lang w:val="en-US"/>
        </w:rPr>
        <w:t xml:space="preserve">any Tintaya S.A., as well as </w:t>
      </w:r>
      <w:r w:rsidR="008E6A56" w:rsidRPr="008A3740">
        <w:rPr>
          <w:rFonts w:ascii="Verdana" w:hAnsi="Verdana"/>
          <w:spacing w:val="-2"/>
          <w:sz w:val="20"/>
          <w:szCs w:val="20"/>
          <w:lang w:val="en-US"/>
        </w:rPr>
        <w:t xml:space="preserve">the </w:t>
      </w:r>
      <w:r w:rsidR="00DD5E6B" w:rsidRPr="008A3740">
        <w:rPr>
          <w:rFonts w:ascii="Verdana" w:hAnsi="Verdana"/>
          <w:spacing w:val="-2"/>
          <w:sz w:val="20"/>
          <w:szCs w:val="20"/>
          <w:lang w:val="en-US"/>
        </w:rPr>
        <w:t xml:space="preserve">alleged </w:t>
      </w:r>
      <w:r w:rsidR="008E6A56" w:rsidRPr="008A3740">
        <w:rPr>
          <w:rFonts w:ascii="Verdana" w:hAnsi="Verdana"/>
          <w:spacing w:val="-2"/>
          <w:sz w:val="20"/>
          <w:szCs w:val="20"/>
          <w:lang w:val="en-US"/>
        </w:rPr>
        <w:t xml:space="preserve">consequences </w:t>
      </w:r>
      <w:r w:rsidR="00DD5E6B" w:rsidRPr="008A3740">
        <w:rPr>
          <w:rFonts w:ascii="Verdana" w:hAnsi="Verdana"/>
          <w:spacing w:val="-2"/>
          <w:sz w:val="20"/>
          <w:szCs w:val="20"/>
          <w:lang w:val="en-US"/>
        </w:rPr>
        <w:t xml:space="preserve">of all these matters </w:t>
      </w:r>
      <w:r w:rsidR="008E6A56" w:rsidRPr="008A3740">
        <w:rPr>
          <w:rFonts w:ascii="Verdana" w:hAnsi="Verdana"/>
          <w:spacing w:val="-2"/>
          <w:sz w:val="20"/>
          <w:szCs w:val="20"/>
          <w:lang w:val="en-US"/>
        </w:rPr>
        <w:t xml:space="preserve">on his right to property. Accordingly, in this section the Court will analyze: a) the right to effective judicial protection in the execution of judgments and privatization of companies; b) </w:t>
      </w:r>
      <w:r w:rsidR="005E5FED" w:rsidRPr="008A3740">
        <w:rPr>
          <w:rFonts w:ascii="Verdana" w:hAnsi="Verdana"/>
          <w:spacing w:val="-2"/>
          <w:sz w:val="20"/>
          <w:szCs w:val="20"/>
          <w:lang w:val="en-US"/>
        </w:rPr>
        <w:t>reasonable time</w:t>
      </w:r>
      <w:r w:rsidR="008E6A56" w:rsidRPr="008A3740">
        <w:rPr>
          <w:rFonts w:ascii="Verdana" w:hAnsi="Verdana"/>
          <w:spacing w:val="-2"/>
          <w:sz w:val="20"/>
          <w:szCs w:val="20"/>
          <w:lang w:val="en-US"/>
        </w:rPr>
        <w:t>; c) the right to social securi</w:t>
      </w:r>
      <w:r w:rsidR="009E3080" w:rsidRPr="008A3740">
        <w:rPr>
          <w:rFonts w:ascii="Verdana" w:hAnsi="Verdana"/>
          <w:spacing w:val="-2"/>
          <w:sz w:val="20"/>
          <w:szCs w:val="20"/>
          <w:lang w:val="en-US"/>
        </w:rPr>
        <w:t xml:space="preserve">ty, and d) the right to </w:t>
      </w:r>
      <w:r w:rsidR="008E6A56" w:rsidRPr="008A3740">
        <w:rPr>
          <w:rFonts w:ascii="Verdana" w:hAnsi="Verdana"/>
          <w:spacing w:val="-2"/>
          <w:sz w:val="20"/>
          <w:szCs w:val="20"/>
          <w:lang w:val="en-US"/>
        </w:rPr>
        <w:t>property.</w:t>
      </w:r>
    </w:p>
    <w:p w14:paraId="27C5F238" w14:textId="77777777" w:rsidR="008E6A56" w:rsidRPr="008A3740" w:rsidRDefault="008E6A56" w:rsidP="008E6A56">
      <w:pPr>
        <w:rPr>
          <w:rFonts w:ascii="Verdana" w:hAnsi="Verdana"/>
          <w:sz w:val="20"/>
          <w:szCs w:val="20"/>
          <w:lang w:val="en-US"/>
        </w:rPr>
      </w:pPr>
    </w:p>
    <w:p w14:paraId="6FEA1CA4" w14:textId="77777777" w:rsidR="008E6A56" w:rsidRPr="008A3740" w:rsidRDefault="008E6A56" w:rsidP="00D17A65">
      <w:pPr>
        <w:pStyle w:val="Ttulo2"/>
        <w:numPr>
          <w:ilvl w:val="0"/>
          <w:numId w:val="13"/>
        </w:numPr>
        <w:rPr>
          <w:lang w:val="en-US"/>
        </w:rPr>
      </w:pPr>
      <w:bookmarkStart w:id="92" w:name="_Toc532545805"/>
      <w:bookmarkStart w:id="93" w:name="_Toc5009878"/>
      <w:r w:rsidRPr="008A3740">
        <w:rPr>
          <w:lang w:val="en-US"/>
        </w:rPr>
        <w:t>Right to effective judicial protection in the execution of judgments and privatization of companies</w:t>
      </w:r>
      <w:bookmarkEnd w:id="92"/>
      <w:bookmarkEnd w:id="93"/>
      <w:r w:rsidRPr="008A3740">
        <w:rPr>
          <w:lang w:val="en-US"/>
        </w:rPr>
        <w:t xml:space="preserve"> </w:t>
      </w:r>
    </w:p>
    <w:p w14:paraId="0359B8AB" w14:textId="77777777" w:rsidR="008E6A56" w:rsidRPr="008A3740" w:rsidRDefault="008E6A56" w:rsidP="008E6A56">
      <w:pPr>
        <w:pStyle w:val="Ttulo3"/>
        <w:rPr>
          <w:lang w:val="en-US"/>
        </w:rPr>
      </w:pPr>
      <w:bookmarkStart w:id="94" w:name="_Toc5009879"/>
      <w:bookmarkStart w:id="95" w:name="_Toc532545806"/>
      <w:r w:rsidRPr="008A3740">
        <w:rPr>
          <w:lang w:val="en-US"/>
        </w:rPr>
        <w:t>A.1 Arguments of the parties and of the Commission</w:t>
      </w:r>
      <w:bookmarkEnd w:id="94"/>
      <w:r w:rsidRPr="008A3740">
        <w:rPr>
          <w:lang w:val="en-US"/>
        </w:rPr>
        <w:t xml:space="preserve"> </w:t>
      </w:r>
      <w:bookmarkEnd w:id="95"/>
    </w:p>
    <w:p w14:paraId="240E199E" w14:textId="77777777" w:rsidR="008E6A56" w:rsidRPr="008A3740" w:rsidRDefault="008E6A56" w:rsidP="008E6A56">
      <w:pPr>
        <w:rPr>
          <w:rFonts w:ascii="Verdana" w:hAnsi="Verdana"/>
          <w:sz w:val="20"/>
          <w:szCs w:val="20"/>
          <w:lang w:val="en-US"/>
        </w:rPr>
      </w:pPr>
    </w:p>
    <w:p w14:paraId="4BF97D4B" w14:textId="77777777" w:rsidR="008E6A56" w:rsidRPr="008A3740" w:rsidRDefault="008E6A56"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 xml:space="preserve">The </w:t>
      </w:r>
      <w:r w:rsidRPr="008A3740">
        <w:rPr>
          <w:rFonts w:ascii="Verdana" w:eastAsia="Times" w:hAnsi="Verdana"/>
          <w:b/>
          <w:i/>
          <w:sz w:val="20"/>
          <w:szCs w:val="20"/>
          <w:lang w:val="en-US"/>
        </w:rPr>
        <w:t>Commission</w:t>
      </w:r>
      <w:r w:rsidRPr="008A3740">
        <w:rPr>
          <w:rFonts w:ascii="Verdana" w:eastAsia="Times" w:hAnsi="Verdana"/>
          <w:sz w:val="20"/>
          <w:szCs w:val="20"/>
          <w:lang w:val="en-US"/>
        </w:rPr>
        <w:t xml:space="preserve"> alleged that two </w:t>
      </w:r>
      <w:r w:rsidRPr="008A3740">
        <w:rPr>
          <w:rFonts w:ascii="Verdana" w:eastAsia="Times" w:hAnsi="Verdana"/>
          <w:i/>
          <w:sz w:val="20"/>
          <w:szCs w:val="20"/>
          <w:lang w:val="en-US"/>
        </w:rPr>
        <w:t>amparo</w:t>
      </w:r>
      <w:r w:rsidRPr="008A3740">
        <w:rPr>
          <w:rFonts w:ascii="Verdana" w:eastAsia="Times" w:hAnsi="Verdana"/>
          <w:sz w:val="20"/>
          <w:szCs w:val="20"/>
          <w:lang w:val="en-US"/>
        </w:rPr>
        <w:t xml:space="preserve"> judgments </w:t>
      </w:r>
      <w:r w:rsidR="00350A13" w:rsidRPr="008A3740">
        <w:rPr>
          <w:rFonts w:ascii="Verdana" w:eastAsia="Times" w:hAnsi="Verdana"/>
          <w:sz w:val="20"/>
          <w:szCs w:val="20"/>
          <w:lang w:val="en-US"/>
        </w:rPr>
        <w:t xml:space="preserve">delivered </w:t>
      </w:r>
      <w:r w:rsidRPr="008A3740">
        <w:rPr>
          <w:rFonts w:ascii="Verdana" w:eastAsia="Times" w:hAnsi="Verdana"/>
          <w:sz w:val="20"/>
          <w:szCs w:val="20"/>
          <w:lang w:val="en-US"/>
        </w:rPr>
        <w:t xml:space="preserve">in 1993 and 1999 ordered that Mr. Muelle Flores be reinstated in the pension scheme </w:t>
      </w:r>
      <w:r w:rsidR="00350A13" w:rsidRPr="008A3740">
        <w:rPr>
          <w:rFonts w:ascii="Verdana" w:eastAsia="Times" w:hAnsi="Verdana"/>
          <w:sz w:val="20"/>
          <w:szCs w:val="20"/>
          <w:lang w:val="en-US"/>
        </w:rPr>
        <w:t xml:space="preserve">governed by </w:t>
      </w:r>
      <w:r w:rsidRPr="008A3740">
        <w:rPr>
          <w:rFonts w:ascii="Verdana" w:eastAsia="Times" w:hAnsi="Verdana"/>
          <w:sz w:val="20"/>
          <w:szCs w:val="20"/>
          <w:lang w:val="en-US"/>
        </w:rPr>
        <w:t>Decree Law No. 20530, and th</w:t>
      </w:r>
      <w:r w:rsidR="002734FB" w:rsidRPr="008A3740">
        <w:rPr>
          <w:rFonts w:ascii="Verdana" w:eastAsia="Times" w:hAnsi="Verdana"/>
          <w:sz w:val="20"/>
          <w:szCs w:val="20"/>
          <w:lang w:val="en-US"/>
        </w:rPr>
        <w:t xml:space="preserve">at </w:t>
      </w:r>
      <w:r w:rsidR="00350A13" w:rsidRPr="008A3740">
        <w:rPr>
          <w:rFonts w:ascii="Verdana" w:eastAsia="Times" w:hAnsi="Verdana"/>
          <w:sz w:val="20"/>
          <w:szCs w:val="20"/>
          <w:lang w:val="en-US"/>
        </w:rPr>
        <w:t>his pension be paid</w:t>
      </w:r>
      <w:r w:rsidRPr="008A3740">
        <w:rPr>
          <w:rFonts w:ascii="Verdana" w:eastAsia="Times" w:hAnsi="Verdana"/>
          <w:sz w:val="20"/>
          <w:szCs w:val="20"/>
          <w:lang w:val="en-US"/>
        </w:rPr>
        <w:t>.</w:t>
      </w:r>
      <w:r w:rsidRPr="008A3740">
        <w:rPr>
          <w:rFonts w:ascii="Verdana" w:eastAsia="Times" w:hAnsi="Verdana"/>
          <w:b/>
          <w:sz w:val="20"/>
          <w:szCs w:val="20"/>
          <w:lang w:val="en-US"/>
        </w:rPr>
        <w:t xml:space="preserve"> </w:t>
      </w:r>
      <w:r w:rsidR="00350A13" w:rsidRPr="008A3740">
        <w:rPr>
          <w:rFonts w:ascii="Verdana" w:eastAsia="Times" w:hAnsi="Verdana"/>
          <w:sz w:val="20"/>
          <w:szCs w:val="20"/>
          <w:lang w:val="en-US"/>
        </w:rPr>
        <w:t>Also</w:t>
      </w:r>
      <w:r w:rsidRPr="008A3740">
        <w:rPr>
          <w:rFonts w:ascii="Verdana" w:eastAsia="Times" w:hAnsi="Verdana"/>
          <w:sz w:val="20"/>
          <w:szCs w:val="20"/>
          <w:lang w:val="en-US"/>
        </w:rPr>
        <w:t>,</w:t>
      </w:r>
      <w:r w:rsidRPr="008A3740">
        <w:rPr>
          <w:rFonts w:ascii="Verdana" w:eastAsia="Times" w:hAnsi="Verdana"/>
          <w:b/>
          <w:sz w:val="20"/>
          <w:szCs w:val="20"/>
          <w:lang w:val="en-US"/>
        </w:rPr>
        <w:t xml:space="preserve"> </w:t>
      </w:r>
      <w:r w:rsidRPr="008A3740">
        <w:rPr>
          <w:rFonts w:ascii="Verdana" w:eastAsia="Times" w:hAnsi="Verdana"/>
          <w:sz w:val="20"/>
          <w:szCs w:val="20"/>
          <w:lang w:val="en-US"/>
        </w:rPr>
        <w:t>in the</w:t>
      </w:r>
      <w:r w:rsidRPr="008A3740">
        <w:rPr>
          <w:rFonts w:ascii="Verdana" w:eastAsia="Times" w:hAnsi="Verdana"/>
          <w:b/>
          <w:sz w:val="20"/>
          <w:szCs w:val="20"/>
          <w:lang w:val="en-US"/>
        </w:rPr>
        <w:t xml:space="preserve"> </w:t>
      </w:r>
      <w:r w:rsidRPr="008A3740">
        <w:rPr>
          <w:rFonts w:ascii="Verdana" w:eastAsia="Times" w:hAnsi="Verdana"/>
          <w:sz w:val="20"/>
          <w:szCs w:val="20"/>
          <w:lang w:val="en-US"/>
        </w:rPr>
        <w:t xml:space="preserve">lawsuit filed by the company, </w:t>
      </w:r>
      <w:r w:rsidR="00BF6762" w:rsidRPr="008A3740">
        <w:rPr>
          <w:rFonts w:ascii="Verdana" w:eastAsia="Times" w:hAnsi="Verdana"/>
          <w:sz w:val="20"/>
          <w:szCs w:val="20"/>
          <w:lang w:val="en-US"/>
        </w:rPr>
        <w:t xml:space="preserve">the court ruled that </w:t>
      </w:r>
      <w:r w:rsidRPr="008A3740">
        <w:rPr>
          <w:rFonts w:ascii="Verdana" w:eastAsia="Times" w:hAnsi="Verdana"/>
          <w:sz w:val="20"/>
          <w:szCs w:val="20"/>
          <w:lang w:val="en-US"/>
        </w:rPr>
        <w:t>Mr. Muelle Flores</w:t>
      </w:r>
      <w:r w:rsidR="00504396" w:rsidRPr="008A3740">
        <w:rPr>
          <w:rFonts w:ascii="Verdana" w:eastAsia="Times" w:hAnsi="Verdana"/>
          <w:sz w:val="20"/>
          <w:szCs w:val="20"/>
          <w:lang w:val="en-US"/>
        </w:rPr>
        <w:t>’</w:t>
      </w:r>
      <w:r w:rsidRPr="008A3740">
        <w:rPr>
          <w:rFonts w:ascii="Verdana" w:eastAsia="Times" w:hAnsi="Verdana"/>
          <w:sz w:val="20"/>
          <w:szCs w:val="20"/>
          <w:lang w:val="en-US"/>
        </w:rPr>
        <w:t xml:space="preserve"> </w:t>
      </w:r>
      <w:r w:rsidR="00504396" w:rsidRPr="008A3740">
        <w:rPr>
          <w:rFonts w:ascii="Verdana" w:eastAsia="Times" w:hAnsi="Verdana"/>
          <w:sz w:val="20"/>
          <w:szCs w:val="20"/>
          <w:lang w:val="en-US"/>
        </w:rPr>
        <w:t>inclusion in that system</w:t>
      </w:r>
      <w:r w:rsidR="00BF6762" w:rsidRPr="008A3740">
        <w:rPr>
          <w:rFonts w:ascii="Verdana" w:eastAsia="Times" w:hAnsi="Verdana"/>
          <w:sz w:val="20"/>
          <w:szCs w:val="20"/>
          <w:lang w:val="en-US"/>
        </w:rPr>
        <w:t xml:space="preserve"> was lawful</w:t>
      </w:r>
      <w:r w:rsidRPr="008A3740">
        <w:rPr>
          <w:rFonts w:ascii="Verdana" w:eastAsia="Times" w:hAnsi="Verdana"/>
          <w:sz w:val="20"/>
          <w:szCs w:val="20"/>
          <w:lang w:val="en-US"/>
        </w:rPr>
        <w:t>.</w:t>
      </w:r>
      <w:r w:rsidRPr="008A3740">
        <w:rPr>
          <w:rFonts w:ascii="Verdana" w:eastAsia="Times" w:hAnsi="Verdana"/>
          <w:b/>
          <w:sz w:val="20"/>
          <w:szCs w:val="20"/>
          <w:lang w:val="en-US"/>
        </w:rPr>
        <w:t xml:space="preserve"> </w:t>
      </w:r>
      <w:r w:rsidRPr="008A3740">
        <w:rPr>
          <w:rFonts w:ascii="Verdana" w:eastAsia="Times" w:hAnsi="Verdana"/>
          <w:sz w:val="20"/>
          <w:szCs w:val="20"/>
          <w:lang w:val="en-US"/>
        </w:rPr>
        <w:t>Despite this,</w:t>
      </w:r>
      <w:r w:rsidRPr="008A3740">
        <w:rPr>
          <w:rFonts w:ascii="Verdana" w:eastAsia="Times" w:hAnsi="Verdana"/>
          <w:b/>
          <w:sz w:val="20"/>
          <w:szCs w:val="20"/>
          <w:lang w:val="en-US"/>
        </w:rPr>
        <w:t xml:space="preserve"> </w:t>
      </w:r>
      <w:r w:rsidRPr="008A3740">
        <w:rPr>
          <w:rFonts w:ascii="Verdana" w:eastAsia="Times" w:hAnsi="Verdana"/>
          <w:sz w:val="20"/>
          <w:szCs w:val="20"/>
          <w:lang w:val="en-US"/>
        </w:rPr>
        <w:t>the Commission indicated that th</w:t>
      </w:r>
      <w:r w:rsidR="002734FB" w:rsidRPr="008A3740">
        <w:rPr>
          <w:rFonts w:ascii="Verdana" w:eastAsia="Times" w:hAnsi="Verdana"/>
          <w:sz w:val="20"/>
          <w:szCs w:val="20"/>
          <w:lang w:val="en-US"/>
        </w:rPr>
        <w:t>os</w:t>
      </w:r>
      <w:r w:rsidRPr="008A3740">
        <w:rPr>
          <w:rFonts w:ascii="Verdana" w:eastAsia="Times" w:hAnsi="Verdana"/>
          <w:sz w:val="20"/>
          <w:szCs w:val="20"/>
          <w:lang w:val="en-US"/>
        </w:rPr>
        <w:t xml:space="preserve">e </w:t>
      </w:r>
      <w:r w:rsidR="00350A13" w:rsidRPr="008A3740">
        <w:rPr>
          <w:rFonts w:ascii="Verdana" w:eastAsia="Times" w:hAnsi="Verdana"/>
          <w:sz w:val="20"/>
          <w:szCs w:val="20"/>
          <w:lang w:val="en-US"/>
        </w:rPr>
        <w:t xml:space="preserve">judicial </w:t>
      </w:r>
      <w:r w:rsidRPr="008A3740">
        <w:rPr>
          <w:rFonts w:ascii="Verdana" w:eastAsia="Times" w:hAnsi="Verdana"/>
          <w:sz w:val="20"/>
          <w:szCs w:val="20"/>
          <w:lang w:val="en-US"/>
        </w:rPr>
        <w:t xml:space="preserve">decisions were not executed and that “none of the judicial authorities hearing the execution of judgment proceedings established any coercive mechanism to ensure that Mr. Muelle’s recognized right would actually be exercised,” beyond the orders to execute the measure, adopted on four occasions, which were also not implemented. </w:t>
      </w:r>
    </w:p>
    <w:p w14:paraId="3D48773E" w14:textId="77777777" w:rsidR="008E6A56" w:rsidRPr="008A3740" w:rsidRDefault="008E6A56" w:rsidP="008E6A56">
      <w:pPr>
        <w:tabs>
          <w:tab w:val="left" w:pos="567"/>
          <w:tab w:val="left" w:pos="720"/>
        </w:tabs>
        <w:rPr>
          <w:rFonts w:ascii="Verdana" w:eastAsia="Times" w:hAnsi="Verdana"/>
          <w:b/>
          <w:sz w:val="20"/>
          <w:szCs w:val="20"/>
          <w:lang w:val="en-US"/>
        </w:rPr>
      </w:pPr>
    </w:p>
    <w:p w14:paraId="20136CED" w14:textId="77777777" w:rsidR="008E6A56" w:rsidRPr="008A3740" w:rsidRDefault="00350A13"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 xml:space="preserve">The Commission further </w:t>
      </w:r>
      <w:r w:rsidR="008E6A56" w:rsidRPr="008A3740">
        <w:rPr>
          <w:rFonts w:ascii="Verdana" w:eastAsia="Times" w:hAnsi="Verdana"/>
          <w:sz w:val="20"/>
          <w:szCs w:val="20"/>
          <w:lang w:val="en-US"/>
        </w:rPr>
        <w:t>a</w:t>
      </w:r>
      <w:r w:rsidRPr="008A3740">
        <w:rPr>
          <w:rFonts w:ascii="Verdana" w:eastAsia="Times" w:hAnsi="Verdana"/>
          <w:sz w:val="20"/>
          <w:szCs w:val="20"/>
          <w:lang w:val="en-US"/>
        </w:rPr>
        <w:t xml:space="preserve">lleged </w:t>
      </w:r>
      <w:r w:rsidR="008E6A56" w:rsidRPr="008A3740">
        <w:rPr>
          <w:rFonts w:ascii="Verdana" w:eastAsia="Times" w:hAnsi="Verdana"/>
          <w:sz w:val="20"/>
          <w:szCs w:val="20"/>
          <w:lang w:val="en-US"/>
        </w:rPr>
        <w:t xml:space="preserve">that the public company initially </w:t>
      </w:r>
      <w:r w:rsidR="000E0D7D" w:rsidRPr="008A3740">
        <w:rPr>
          <w:rFonts w:ascii="Verdana" w:eastAsia="Times" w:hAnsi="Verdana"/>
          <w:sz w:val="20"/>
          <w:szCs w:val="20"/>
          <w:lang w:val="en-US"/>
        </w:rPr>
        <w:t>failed to comply with the j</w:t>
      </w:r>
      <w:r w:rsidR="008E6A56" w:rsidRPr="008A3740">
        <w:rPr>
          <w:rFonts w:ascii="Verdana" w:eastAsia="Times" w:hAnsi="Verdana"/>
          <w:sz w:val="20"/>
          <w:szCs w:val="20"/>
          <w:lang w:val="en-US"/>
        </w:rPr>
        <w:t xml:space="preserve">udgment of February 2, 1993, </w:t>
      </w:r>
      <w:r w:rsidRPr="008A3740">
        <w:rPr>
          <w:rFonts w:ascii="Verdana" w:eastAsia="Times" w:hAnsi="Verdana"/>
          <w:sz w:val="20"/>
          <w:szCs w:val="20"/>
          <w:lang w:val="en-US"/>
        </w:rPr>
        <w:t xml:space="preserve">which was </w:t>
      </w:r>
      <w:r w:rsidR="008E6A56" w:rsidRPr="008A3740">
        <w:rPr>
          <w:rFonts w:ascii="Verdana" w:eastAsia="Times" w:hAnsi="Verdana"/>
          <w:sz w:val="20"/>
          <w:szCs w:val="20"/>
          <w:lang w:val="en-US"/>
        </w:rPr>
        <w:t>favorable to Mr. Muelle Flores, prior to privatization. One of the arguments adduced by the company for not complying with that judgment was that the company had been privatized after the ruling had been issued, this be</w:t>
      </w:r>
      <w:r w:rsidRPr="008A3740">
        <w:rPr>
          <w:rFonts w:ascii="Verdana" w:eastAsia="Times" w:hAnsi="Verdana"/>
          <w:sz w:val="20"/>
          <w:szCs w:val="20"/>
          <w:lang w:val="en-US"/>
        </w:rPr>
        <w:t xml:space="preserve">ing </w:t>
      </w:r>
      <w:r w:rsidR="008E6A56" w:rsidRPr="008A3740">
        <w:rPr>
          <w:rFonts w:ascii="Verdana" w:eastAsia="Times" w:hAnsi="Verdana"/>
          <w:sz w:val="20"/>
          <w:szCs w:val="20"/>
          <w:lang w:val="en-US"/>
        </w:rPr>
        <w:t xml:space="preserve">one of the obstacles that impeded </w:t>
      </w:r>
      <w:r w:rsidRPr="008A3740">
        <w:rPr>
          <w:rFonts w:ascii="Verdana" w:eastAsia="Times" w:hAnsi="Verdana"/>
          <w:sz w:val="20"/>
          <w:szCs w:val="20"/>
          <w:lang w:val="en-US"/>
        </w:rPr>
        <w:t xml:space="preserve">- </w:t>
      </w:r>
      <w:r w:rsidR="008E6A56" w:rsidRPr="008A3740">
        <w:rPr>
          <w:rFonts w:ascii="Verdana" w:eastAsia="Times" w:hAnsi="Verdana"/>
          <w:sz w:val="20"/>
          <w:szCs w:val="20"/>
          <w:lang w:val="en-US"/>
        </w:rPr>
        <w:t>and continue</w:t>
      </w:r>
      <w:r w:rsidRPr="008A3740">
        <w:rPr>
          <w:rFonts w:ascii="Verdana" w:eastAsia="Times" w:hAnsi="Verdana"/>
          <w:sz w:val="20"/>
          <w:szCs w:val="20"/>
          <w:lang w:val="en-US"/>
        </w:rPr>
        <w:t>s</w:t>
      </w:r>
      <w:r w:rsidR="008E6A56" w:rsidRPr="008A3740">
        <w:rPr>
          <w:rFonts w:ascii="Verdana" w:eastAsia="Times" w:hAnsi="Verdana"/>
          <w:sz w:val="20"/>
          <w:szCs w:val="20"/>
          <w:lang w:val="en-US"/>
        </w:rPr>
        <w:t xml:space="preserve"> to impede </w:t>
      </w:r>
      <w:r w:rsidRPr="008A3740">
        <w:rPr>
          <w:rFonts w:ascii="Verdana" w:eastAsia="Times" w:hAnsi="Verdana"/>
          <w:sz w:val="20"/>
          <w:szCs w:val="20"/>
          <w:lang w:val="en-US"/>
        </w:rPr>
        <w:t xml:space="preserve">- </w:t>
      </w:r>
      <w:r w:rsidR="008E6A56" w:rsidRPr="008A3740">
        <w:rPr>
          <w:rFonts w:ascii="Verdana" w:eastAsia="Times" w:hAnsi="Verdana"/>
          <w:sz w:val="20"/>
          <w:szCs w:val="20"/>
          <w:lang w:val="en-US"/>
        </w:rPr>
        <w:t>effective compliance with the judgment and its execution. The Commission stressed that “the right to effective judicial protection imposed an obligation on the State to ensu</w:t>
      </w:r>
      <w:r w:rsidRPr="008A3740">
        <w:rPr>
          <w:rFonts w:ascii="Verdana" w:eastAsia="Times" w:hAnsi="Verdana"/>
          <w:sz w:val="20"/>
          <w:szCs w:val="20"/>
          <w:lang w:val="en-US"/>
        </w:rPr>
        <w:t>re that the privatization of the</w:t>
      </w:r>
      <w:r w:rsidR="008E6A56" w:rsidRPr="008A3740">
        <w:rPr>
          <w:rFonts w:ascii="Verdana" w:eastAsia="Times" w:hAnsi="Verdana"/>
          <w:sz w:val="20"/>
          <w:szCs w:val="20"/>
          <w:lang w:val="en-US"/>
        </w:rPr>
        <w:t xml:space="preserve"> State company did </w:t>
      </w:r>
      <w:r w:rsidR="003568C7" w:rsidRPr="008A3740">
        <w:rPr>
          <w:rFonts w:ascii="Verdana" w:eastAsia="Times" w:hAnsi="Verdana"/>
          <w:sz w:val="20"/>
          <w:szCs w:val="20"/>
          <w:lang w:val="en-US"/>
        </w:rPr>
        <w:t>not undermine</w:t>
      </w:r>
      <w:r w:rsidR="001F14EF" w:rsidRPr="008A3740">
        <w:rPr>
          <w:rFonts w:ascii="Verdana" w:eastAsia="Times" w:hAnsi="Verdana"/>
          <w:sz w:val="20"/>
          <w:szCs w:val="20"/>
          <w:lang w:val="en-US"/>
        </w:rPr>
        <w:t xml:space="preserve"> </w:t>
      </w:r>
      <w:r w:rsidR="002734FB" w:rsidRPr="008A3740">
        <w:rPr>
          <w:rFonts w:ascii="Verdana" w:eastAsia="Times" w:hAnsi="Verdana"/>
          <w:sz w:val="20"/>
          <w:szCs w:val="20"/>
          <w:lang w:val="en-US"/>
        </w:rPr>
        <w:t>Mr. Muelle Flores’ right to his pension o</w:t>
      </w:r>
      <w:r w:rsidR="008E6A56" w:rsidRPr="008A3740">
        <w:rPr>
          <w:rFonts w:ascii="Verdana" w:eastAsia="Times" w:hAnsi="Verdana"/>
          <w:sz w:val="20"/>
          <w:szCs w:val="20"/>
          <w:lang w:val="en-US"/>
        </w:rPr>
        <w:t>n the terms recognized judicially,” and stressed that States must apply safeguard</w:t>
      </w:r>
      <w:r w:rsidR="00BF6762" w:rsidRPr="008A3740">
        <w:rPr>
          <w:rFonts w:ascii="Verdana" w:eastAsia="Times" w:hAnsi="Verdana"/>
          <w:sz w:val="20"/>
          <w:szCs w:val="20"/>
          <w:lang w:val="en-US"/>
        </w:rPr>
        <w:t>s</w:t>
      </w:r>
      <w:r w:rsidR="008E6A56" w:rsidRPr="008A3740">
        <w:rPr>
          <w:rFonts w:ascii="Verdana" w:eastAsia="Times" w:hAnsi="Verdana"/>
          <w:sz w:val="20"/>
          <w:szCs w:val="20"/>
          <w:lang w:val="en-US"/>
        </w:rPr>
        <w:t xml:space="preserve"> to ensure </w:t>
      </w:r>
      <w:r w:rsidR="00BF6762" w:rsidRPr="008A3740">
        <w:rPr>
          <w:rFonts w:ascii="Verdana" w:eastAsia="Times" w:hAnsi="Verdana"/>
          <w:sz w:val="20"/>
          <w:szCs w:val="20"/>
          <w:lang w:val="en-US"/>
        </w:rPr>
        <w:t xml:space="preserve">that the privatization of </w:t>
      </w:r>
      <w:r w:rsidR="008E6A56" w:rsidRPr="008A3740">
        <w:rPr>
          <w:rFonts w:ascii="Verdana" w:eastAsia="Times" w:hAnsi="Verdana"/>
          <w:sz w:val="20"/>
          <w:szCs w:val="20"/>
          <w:lang w:val="en-US"/>
        </w:rPr>
        <w:t>State companies does not undermine the rights of workers, something that did not occur in this case.</w:t>
      </w:r>
      <w:r w:rsidR="008E6A56" w:rsidRPr="008A3740">
        <w:rPr>
          <w:rFonts w:ascii="Verdana" w:eastAsia="Times" w:hAnsi="Verdana"/>
          <w:b/>
          <w:sz w:val="20"/>
          <w:szCs w:val="20"/>
          <w:lang w:val="en-US"/>
        </w:rPr>
        <w:t xml:space="preserve"> </w:t>
      </w:r>
      <w:r w:rsidR="00BF6762" w:rsidRPr="008A3740">
        <w:rPr>
          <w:rFonts w:ascii="Verdana" w:eastAsia="Times" w:hAnsi="Verdana"/>
          <w:sz w:val="20"/>
          <w:szCs w:val="20"/>
          <w:lang w:val="en-US"/>
        </w:rPr>
        <w:t>It emphasized</w:t>
      </w:r>
      <w:r w:rsidR="00BF6762" w:rsidRPr="008A3740">
        <w:rPr>
          <w:rFonts w:ascii="Verdana" w:eastAsia="Times" w:hAnsi="Verdana"/>
          <w:b/>
          <w:sz w:val="20"/>
          <w:szCs w:val="20"/>
          <w:lang w:val="en-US"/>
        </w:rPr>
        <w:t xml:space="preserve"> </w:t>
      </w:r>
      <w:r w:rsidR="008E6A56" w:rsidRPr="008A3740">
        <w:rPr>
          <w:rFonts w:ascii="Verdana" w:eastAsia="Times" w:hAnsi="Verdana"/>
          <w:sz w:val="20"/>
          <w:szCs w:val="20"/>
          <w:lang w:val="en-US"/>
        </w:rPr>
        <w:t xml:space="preserve">that although the State had </w:t>
      </w:r>
      <w:r w:rsidR="00BF6762" w:rsidRPr="008A3740">
        <w:rPr>
          <w:rFonts w:ascii="Verdana" w:eastAsia="Times" w:hAnsi="Verdana"/>
          <w:sz w:val="20"/>
          <w:szCs w:val="20"/>
          <w:lang w:val="en-US"/>
        </w:rPr>
        <w:t>mentioned a “supposed regulation o</w:t>
      </w:r>
      <w:r w:rsidR="008E6A56" w:rsidRPr="008A3740">
        <w:rPr>
          <w:rFonts w:ascii="Verdana" w:eastAsia="Times" w:hAnsi="Verdana"/>
          <w:sz w:val="20"/>
          <w:szCs w:val="20"/>
          <w:lang w:val="en-US"/>
        </w:rPr>
        <w:t xml:space="preserve">n the matter,” this was </w:t>
      </w:r>
      <w:r w:rsidRPr="008A3740">
        <w:rPr>
          <w:rFonts w:ascii="Verdana" w:eastAsia="Times" w:hAnsi="Verdana"/>
          <w:sz w:val="20"/>
          <w:szCs w:val="20"/>
          <w:lang w:val="en-US"/>
        </w:rPr>
        <w:t xml:space="preserve">issued </w:t>
      </w:r>
      <w:r w:rsidR="002734FB" w:rsidRPr="008A3740">
        <w:rPr>
          <w:rFonts w:ascii="Verdana" w:eastAsia="Times" w:hAnsi="Verdana"/>
          <w:sz w:val="20"/>
          <w:szCs w:val="20"/>
          <w:lang w:val="en-US"/>
        </w:rPr>
        <w:t xml:space="preserve">after </w:t>
      </w:r>
      <w:r w:rsidR="002B65F1" w:rsidRPr="008A3740">
        <w:rPr>
          <w:rFonts w:ascii="Verdana" w:eastAsia="Times" w:hAnsi="Verdana"/>
          <w:sz w:val="20"/>
          <w:szCs w:val="20"/>
          <w:lang w:val="en-US"/>
        </w:rPr>
        <w:t>the privatization</w:t>
      </w:r>
      <w:r w:rsidR="002734FB" w:rsidRPr="008A3740">
        <w:rPr>
          <w:rFonts w:ascii="Verdana" w:eastAsia="Times" w:hAnsi="Verdana"/>
          <w:sz w:val="20"/>
          <w:szCs w:val="20"/>
          <w:lang w:val="en-US"/>
        </w:rPr>
        <w:t xml:space="preserve"> process</w:t>
      </w:r>
      <w:r w:rsidR="002B65F1" w:rsidRPr="008A3740">
        <w:rPr>
          <w:rFonts w:ascii="Verdana" w:eastAsia="Times" w:hAnsi="Verdana"/>
          <w:sz w:val="20"/>
          <w:szCs w:val="20"/>
          <w:lang w:val="en-US"/>
        </w:rPr>
        <w:t>. It added that</w:t>
      </w:r>
      <w:r w:rsidR="008E6A56" w:rsidRPr="008A3740">
        <w:rPr>
          <w:rFonts w:ascii="Verdana" w:eastAsia="Times" w:hAnsi="Verdana"/>
          <w:sz w:val="20"/>
          <w:szCs w:val="20"/>
          <w:lang w:val="en-US"/>
        </w:rPr>
        <w:t xml:space="preserve"> the inefficacy demonstrated by the Judiciary to date to </w:t>
      </w:r>
      <w:r w:rsidRPr="008A3740">
        <w:rPr>
          <w:rFonts w:ascii="Verdana" w:eastAsia="Times" w:hAnsi="Verdana"/>
          <w:sz w:val="20"/>
          <w:szCs w:val="20"/>
          <w:lang w:val="en-US"/>
        </w:rPr>
        <w:t xml:space="preserve">ensure implementation of </w:t>
      </w:r>
      <w:r w:rsidR="008E6A56" w:rsidRPr="008A3740">
        <w:rPr>
          <w:rFonts w:ascii="Verdana" w:eastAsia="Times" w:hAnsi="Verdana"/>
          <w:sz w:val="20"/>
          <w:szCs w:val="20"/>
          <w:lang w:val="en-US"/>
        </w:rPr>
        <w:t xml:space="preserve">its rulings in the context of that </w:t>
      </w:r>
      <w:r w:rsidR="008E6A56" w:rsidRPr="008A3740">
        <w:rPr>
          <w:rFonts w:ascii="Verdana" w:eastAsia="Times" w:hAnsi="Verdana"/>
          <w:sz w:val="20"/>
          <w:szCs w:val="20"/>
          <w:lang w:val="en-US"/>
        </w:rPr>
        <w:lastRenderedPageBreak/>
        <w:t>privatization, highlights the fact that this regulation did not satisfy the purposes for which it was created.</w:t>
      </w:r>
      <w:r w:rsidR="008E6A56" w:rsidRPr="008A3740">
        <w:rPr>
          <w:rFonts w:ascii="Verdana" w:eastAsia="Times" w:hAnsi="Verdana"/>
          <w:b/>
          <w:sz w:val="20"/>
          <w:szCs w:val="20"/>
          <w:lang w:val="en-US"/>
        </w:rPr>
        <w:t xml:space="preserve"> </w:t>
      </w:r>
    </w:p>
    <w:p w14:paraId="24468D0D" w14:textId="77777777" w:rsidR="008E6A56" w:rsidRPr="008A3740" w:rsidRDefault="008E6A56" w:rsidP="008E6A56">
      <w:pPr>
        <w:tabs>
          <w:tab w:val="left" w:pos="567"/>
          <w:tab w:val="left" w:pos="720"/>
        </w:tabs>
        <w:rPr>
          <w:rFonts w:ascii="Verdana" w:eastAsia="Times" w:hAnsi="Verdana"/>
          <w:b/>
          <w:sz w:val="20"/>
          <w:szCs w:val="20"/>
          <w:lang w:val="en-US"/>
        </w:rPr>
      </w:pPr>
    </w:p>
    <w:p w14:paraId="419DF41B" w14:textId="77777777" w:rsidR="008E6A56" w:rsidRPr="008A3740" w:rsidRDefault="00BF6762"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 xml:space="preserve">The Commission stressed </w:t>
      </w:r>
      <w:r w:rsidR="008E6A56" w:rsidRPr="008A3740">
        <w:rPr>
          <w:rFonts w:ascii="Verdana" w:eastAsia="Times" w:hAnsi="Verdana"/>
          <w:sz w:val="20"/>
          <w:szCs w:val="20"/>
          <w:lang w:val="en-US"/>
        </w:rPr>
        <w:t>that</w:t>
      </w:r>
      <w:r w:rsidRPr="008A3740">
        <w:rPr>
          <w:rFonts w:ascii="Verdana" w:eastAsia="Times" w:hAnsi="Verdana"/>
          <w:sz w:val="20"/>
          <w:szCs w:val="20"/>
          <w:lang w:val="en-US"/>
        </w:rPr>
        <w:t>,</w:t>
      </w:r>
      <w:r w:rsidR="008E6A56" w:rsidRPr="008A3740">
        <w:rPr>
          <w:rFonts w:ascii="Verdana" w:eastAsia="Times" w:hAnsi="Verdana"/>
          <w:sz w:val="20"/>
          <w:szCs w:val="20"/>
          <w:lang w:val="en-US"/>
        </w:rPr>
        <w:t xml:space="preserve"> nearly 24 years </w:t>
      </w:r>
      <w:r w:rsidRPr="008A3740">
        <w:rPr>
          <w:rFonts w:ascii="Verdana" w:eastAsia="Times" w:hAnsi="Verdana"/>
          <w:sz w:val="20"/>
          <w:szCs w:val="20"/>
          <w:lang w:val="en-US"/>
        </w:rPr>
        <w:t xml:space="preserve">after </w:t>
      </w:r>
      <w:r w:rsidR="008E6A56" w:rsidRPr="008A3740">
        <w:rPr>
          <w:rFonts w:ascii="Verdana" w:eastAsia="Times" w:hAnsi="Verdana"/>
          <w:sz w:val="20"/>
          <w:szCs w:val="20"/>
          <w:lang w:val="en-US"/>
        </w:rPr>
        <w:t xml:space="preserve">the first judicial ruling </w:t>
      </w:r>
      <w:r w:rsidR="002734FB" w:rsidRPr="008A3740">
        <w:rPr>
          <w:rFonts w:ascii="Verdana" w:eastAsia="Times" w:hAnsi="Verdana"/>
          <w:sz w:val="20"/>
          <w:szCs w:val="20"/>
          <w:lang w:val="en-US"/>
        </w:rPr>
        <w:t xml:space="preserve">was issued </w:t>
      </w:r>
      <w:r w:rsidR="008E6A56" w:rsidRPr="008A3740">
        <w:rPr>
          <w:rFonts w:ascii="Verdana" w:eastAsia="Times" w:hAnsi="Verdana"/>
          <w:sz w:val="20"/>
          <w:szCs w:val="20"/>
          <w:lang w:val="en-US"/>
        </w:rPr>
        <w:t>in Mr. Muelle</w:t>
      </w:r>
      <w:r w:rsidRPr="008A3740">
        <w:rPr>
          <w:rFonts w:ascii="Verdana" w:eastAsia="Times" w:hAnsi="Verdana"/>
          <w:sz w:val="20"/>
          <w:szCs w:val="20"/>
          <w:lang w:val="en-US"/>
        </w:rPr>
        <w:t xml:space="preserve">’s favor, </w:t>
      </w:r>
      <w:r w:rsidR="008E6A56" w:rsidRPr="008A3740">
        <w:rPr>
          <w:rFonts w:ascii="Verdana" w:eastAsia="Times" w:hAnsi="Verdana"/>
          <w:sz w:val="20"/>
          <w:szCs w:val="20"/>
          <w:lang w:val="en-US"/>
        </w:rPr>
        <w:t xml:space="preserve">the State continues to violate his right </w:t>
      </w:r>
      <w:r w:rsidRPr="008A3740">
        <w:rPr>
          <w:rFonts w:ascii="Verdana" w:eastAsia="Times" w:hAnsi="Verdana"/>
          <w:sz w:val="20"/>
          <w:szCs w:val="20"/>
          <w:lang w:val="en-US"/>
        </w:rPr>
        <w:t xml:space="preserve">to </w:t>
      </w:r>
      <w:r w:rsidR="008E6A56" w:rsidRPr="008A3740">
        <w:rPr>
          <w:rFonts w:ascii="Verdana" w:eastAsia="Times" w:hAnsi="Verdana"/>
          <w:sz w:val="20"/>
          <w:szCs w:val="20"/>
          <w:lang w:val="en-US"/>
        </w:rPr>
        <w:t xml:space="preserve">effective judicial protection, </w:t>
      </w:r>
      <w:r w:rsidR="006C1F8B" w:rsidRPr="008A3740">
        <w:rPr>
          <w:rFonts w:ascii="Verdana" w:eastAsia="Times" w:hAnsi="Verdana"/>
          <w:sz w:val="20"/>
          <w:szCs w:val="20"/>
          <w:lang w:val="en-US"/>
        </w:rPr>
        <w:t xml:space="preserve">given that the </w:t>
      </w:r>
      <w:r w:rsidR="008E6A56" w:rsidRPr="008A3740">
        <w:rPr>
          <w:rFonts w:ascii="Verdana" w:eastAsia="Times" w:hAnsi="Verdana"/>
          <w:sz w:val="20"/>
          <w:szCs w:val="20"/>
          <w:lang w:val="en-US"/>
        </w:rPr>
        <w:t>execution</w:t>
      </w:r>
      <w:r w:rsidRPr="008A3740">
        <w:rPr>
          <w:rFonts w:ascii="Verdana" w:eastAsia="Times" w:hAnsi="Verdana"/>
          <w:sz w:val="20"/>
          <w:szCs w:val="20"/>
          <w:lang w:val="en-US"/>
        </w:rPr>
        <w:t xml:space="preserve"> process</w:t>
      </w:r>
      <w:r w:rsidR="008E6A56" w:rsidRPr="008A3740">
        <w:rPr>
          <w:rFonts w:ascii="Verdana" w:eastAsia="Times" w:hAnsi="Verdana"/>
          <w:sz w:val="20"/>
          <w:szCs w:val="20"/>
          <w:lang w:val="en-US"/>
        </w:rPr>
        <w:t xml:space="preserve">, by not fulfilling its essential purpose, </w:t>
      </w:r>
      <w:r w:rsidR="006C1F8B" w:rsidRPr="008A3740">
        <w:rPr>
          <w:rFonts w:ascii="Verdana" w:eastAsia="Times" w:hAnsi="Verdana"/>
          <w:sz w:val="20"/>
          <w:szCs w:val="20"/>
          <w:lang w:val="en-US"/>
        </w:rPr>
        <w:t xml:space="preserve">turned out to be </w:t>
      </w:r>
      <w:r w:rsidR="008E6A56" w:rsidRPr="008A3740">
        <w:rPr>
          <w:rFonts w:ascii="Verdana" w:eastAsia="Times" w:hAnsi="Verdana"/>
          <w:sz w:val="20"/>
          <w:szCs w:val="20"/>
          <w:lang w:val="en-US"/>
        </w:rPr>
        <w:t xml:space="preserve">ineffective. </w:t>
      </w:r>
      <w:r w:rsidR="006C1F8B" w:rsidRPr="008A3740">
        <w:rPr>
          <w:rFonts w:ascii="Verdana" w:eastAsia="Times" w:hAnsi="Verdana"/>
          <w:sz w:val="20"/>
          <w:szCs w:val="20"/>
          <w:lang w:val="en-US"/>
        </w:rPr>
        <w:t>It c</w:t>
      </w:r>
      <w:r w:rsidR="008E6A56" w:rsidRPr="008A3740">
        <w:rPr>
          <w:rFonts w:ascii="Verdana" w:eastAsia="Times" w:hAnsi="Verdana"/>
          <w:sz w:val="20"/>
          <w:szCs w:val="20"/>
          <w:lang w:val="en-US"/>
        </w:rPr>
        <w:t>onsidered that although the State refer</w:t>
      </w:r>
      <w:r w:rsidRPr="008A3740">
        <w:rPr>
          <w:rFonts w:ascii="Verdana" w:eastAsia="Times" w:hAnsi="Verdana"/>
          <w:sz w:val="20"/>
          <w:szCs w:val="20"/>
          <w:lang w:val="en-US"/>
        </w:rPr>
        <w:t>r</w:t>
      </w:r>
      <w:r w:rsidR="008E6A56" w:rsidRPr="008A3740">
        <w:rPr>
          <w:rFonts w:ascii="Verdana" w:eastAsia="Times" w:hAnsi="Verdana"/>
          <w:sz w:val="20"/>
          <w:szCs w:val="20"/>
          <w:lang w:val="en-US"/>
        </w:rPr>
        <w:t xml:space="preserve">ed to some payments </w:t>
      </w:r>
      <w:r w:rsidR="006C1F8B" w:rsidRPr="008A3740">
        <w:rPr>
          <w:rFonts w:ascii="Verdana" w:eastAsia="Times" w:hAnsi="Verdana"/>
          <w:sz w:val="20"/>
          <w:szCs w:val="20"/>
          <w:lang w:val="en-US"/>
        </w:rPr>
        <w:t xml:space="preserve">made </w:t>
      </w:r>
      <w:r w:rsidR="008E6A56" w:rsidRPr="008A3740">
        <w:rPr>
          <w:rFonts w:ascii="Verdana" w:eastAsia="Times" w:hAnsi="Verdana"/>
          <w:sz w:val="20"/>
          <w:szCs w:val="20"/>
          <w:lang w:val="en-US"/>
        </w:rPr>
        <w:t>in the 1990s and until 2000, these were partial</w:t>
      </w:r>
      <w:r w:rsidR="002B65F1" w:rsidRPr="008A3740">
        <w:rPr>
          <w:rFonts w:ascii="Verdana" w:eastAsia="Times" w:hAnsi="Verdana"/>
          <w:sz w:val="20"/>
          <w:szCs w:val="20"/>
          <w:lang w:val="en-US"/>
        </w:rPr>
        <w:t>;</w:t>
      </w:r>
      <w:r w:rsidR="008E6A56" w:rsidRPr="008A3740">
        <w:rPr>
          <w:rFonts w:ascii="Verdana" w:eastAsia="Times" w:hAnsi="Verdana"/>
          <w:sz w:val="20"/>
          <w:szCs w:val="20"/>
          <w:lang w:val="en-US"/>
        </w:rPr>
        <w:t xml:space="preserve"> </w:t>
      </w:r>
      <w:r w:rsidR="002B65F1" w:rsidRPr="008A3740">
        <w:rPr>
          <w:rFonts w:ascii="Verdana" w:eastAsia="Times" w:hAnsi="Verdana"/>
          <w:sz w:val="20"/>
          <w:szCs w:val="20"/>
          <w:lang w:val="en-US"/>
        </w:rPr>
        <w:t xml:space="preserve">moreover, </w:t>
      </w:r>
      <w:r w:rsidR="008E6A56" w:rsidRPr="008A3740">
        <w:rPr>
          <w:rFonts w:ascii="Verdana" w:eastAsia="Times" w:hAnsi="Verdana"/>
          <w:sz w:val="20"/>
          <w:szCs w:val="20"/>
          <w:lang w:val="en-US"/>
        </w:rPr>
        <w:t>th</w:t>
      </w:r>
      <w:r w:rsidR="006C1F8B" w:rsidRPr="008A3740">
        <w:rPr>
          <w:rFonts w:ascii="Verdana" w:eastAsia="Times" w:hAnsi="Verdana"/>
          <w:sz w:val="20"/>
          <w:szCs w:val="20"/>
          <w:lang w:val="en-US"/>
        </w:rPr>
        <w:t xml:space="preserve">e State had not </w:t>
      </w:r>
      <w:r w:rsidR="000E0D7D" w:rsidRPr="008A3740">
        <w:rPr>
          <w:rFonts w:ascii="Verdana" w:eastAsia="Times" w:hAnsi="Verdana"/>
          <w:sz w:val="20"/>
          <w:szCs w:val="20"/>
          <w:lang w:val="en-US"/>
        </w:rPr>
        <w:t xml:space="preserve">demonstrated </w:t>
      </w:r>
      <w:r w:rsidR="008E6A56" w:rsidRPr="008A3740">
        <w:rPr>
          <w:rFonts w:ascii="Verdana" w:eastAsia="Times" w:hAnsi="Verdana"/>
          <w:sz w:val="20"/>
          <w:szCs w:val="20"/>
          <w:lang w:val="en-US"/>
        </w:rPr>
        <w:t xml:space="preserve">that </w:t>
      </w:r>
      <w:r w:rsidR="006C1F8B" w:rsidRPr="008A3740">
        <w:rPr>
          <w:rFonts w:ascii="Verdana" w:eastAsia="Times" w:hAnsi="Verdana"/>
          <w:sz w:val="20"/>
          <w:szCs w:val="20"/>
          <w:lang w:val="en-US"/>
        </w:rPr>
        <w:t xml:space="preserve">these </w:t>
      </w:r>
      <w:r w:rsidR="002B65F1" w:rsidRPr="008A3740">
        <w:rPr>
          <w:rFonts w:ascii="Verdana" w:eastAsia="Times" w:hAnsi="Verdana"/>
          <w:sz w:val="20"/>
          <w:szCs w:val="20"/>
          <w:lang w:val="en-US"/>
        </w:rPr>
        <w:t xml:space="preserve">payments </w:t>
      </w:r>
      <w:r w:rsidR="008E6A56" w:rsidRPr="008A3740">
        <w:rPr>
          <w:rFonts w:ascii="Verdana" w:eastAsia="Times" w:hAnsi="Verdana"/>
          <w:sz w:val="20"/>
          <w:szCs w:val="20"/>
          <w:lang w:val="en-US"/>
        </w:rPr>
        <w:t xml:space="preserve">complied with the </w:t>
      </w:r>
      <w:r w:rsidR="002B65F1" w:rsidRPr="008A3740">
        <w:rPr>
          <w:rFonts w:ascii="Verdana" w:eastAsia="Times" w:hAnsi="Verdana"/>
          <w:sz w:val="20"/>
          <w:szCs w:val="20"/>
          <w:lang w:val="en-US"/>
        </w:rPr>
        <w:t xml:space="preserve">equalization and </w:t>
      </w:r>
      <w:r w:rsidR="008E6A56" w:rsidRPr="008A3740">
        <w:rPr>
          <w:rFonts w:ascii="Verdana" w:eastAsia="Times" w:hAnsi="Verdana"/>
          <w:sz w:val="20"/>
          <w:szCs w:val="20"/>
          <w:lang w:val="en-US"/>
        </w:rPr>
        <w:t xml:space="preserve">calculation </w:t>
      </w:r>
      <w:r w:rsidR="002B65F1" w:rsidRPr="008A3740">
        <w:rPr>
          <w:rFonts w:ascii="Verdana" w:eastAsia="Times" w:hAnsi="Verdana"/>
          <w:sz w:val="20"/>
          <w:szCs w:val="20"/>
          <w:lang w:val="en-US"/>
        </w:rPr>
        <w:t xml:space="preserve">process </w:t>
      </w:r>
      <w:r w:rsidR="002734FB" w:rsidRPr="008A3740">
        <w:rPr>
          <w:rFonts w:ascii="Verdana" w:eastAsia="Times" w:hAnsi="Verdana"/>
          <w:sz w:val="20"/>
          <w:szCs w:val="20"/>
          <w:lang w:val="en-US"/>
        </w:rPr>
        <w:t xml:space="preserve">ordered </w:t>
      </w:r>
      <w:r w:rsidR="008E6A56" w:rsidRPr="008A3740">
        <w:rPr>
          <w:rFonts w:ascii="Verdana" w:eastAsia="Times" w:hAnsi="Verdana"/>
          <w:sz w:val="20"/>
          <w:szCs w:val="20"/>
          <w:lang w:val="en-US"/>
        </w:rPr>
        <w:t>in the judgment favorable to Mr. Muelle Flores.</w:t>
      </w:r>
    </w:p>
    <w:p w14:paraId="63AA751E" w14:textId="77777777" w:rsidR="008E6A56" w:rsidRPr="008A3740" w:rsidRDefault="008E6A56" w:rsidP="008E6A56">
      <w:pPr>
        <w:tabs>
          <w:tab w:val="left" w:pos="567"/>
          <w:tab w:val="left" w:pos="720"/>
        </w:tabs>
        <w:rPr>
          <w:rFonts w:ascii="Verdana" w:eastAsia="Times" w:hAnsi="Verdana"/>
          <w:b/>
          <w:sz w:val="20"/>
          <w:szCs w:val="20"/>
          <w:lang w:val="en-US"/>
        </w:rPr>
      </w:pPr>
    </w:p>
    <w:p w14:paraId="1D5BDA6A" w14:textId="77777777" w:rsidR="008E6A56" w:rsidRPr="008A3740" w:rsidRDefault="008E6A56"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 xml:space="preserve">The Commission concluded that the State was responsible for </w:t>
      </w:r>
      <w:r w:rsidR="002B65F1" w:rsidRPr="008A3740">
        <w:rPr>
          <w:rFonts w:ascii="Verdana" w:eastAsia="Times" w:hAnsi="Verdana"/>
          <w:sz w:val="20"/>
          <w:szCs w:val="20"/>
          <w:lang w:val="en-US"/>
        </w:rPr>
        <w:t xml:space="preserve">failing to establish </w:t>
      </w:r>
      <w:r w:rsidRPr="008A3740">
        <w:rPr>
          <w:rFonts w:ascii="Verdana" w:eastAsia="Times" w:hAnsi="Verdana"/>
          <w:sz w:val="20"/>
          <w:szCs w:val="20"/>
          <w:lang w:val="en-US"/>
        </w:rPr>
        <w:t>a</w:t>
      </w:r>
      <w:r w:rsidR="00F77C3A" w:rsidRPr="008A3740">
        <w:rPr>
          <w:rFonts w:ascii="Verdana" w:eastAsia="Times" w:hAnsi="Verdana"/>
          <w:sz w:val="20"/>
          <w:szCs w:val="20"/>
          <w:lang w:val="en-US"/>
        </w:rPr>
        <w:t>n adequate regulatory framework;</w:t>
      </w:r>
      <w:r w:rsidRPr="008A3740">
        <w:rPr>
          <w:rFonts w:ascii="Verdana" w:eastAsia="Times" w:hAnsi="Verdana"/>
          <w:sz w:val="20"/>
          <w:szCs w:val="20"/>
          <w:lang w:val="en-US"/>
        </w:rPr>
        <w:t xml:space="preserve"> </w:t>
      </w:r>
      <w:r w:rsidR="002B65F1" w:rsidRPr="008A3740">
        <w:rPr>
          <w:rFonts w:ascii="Verdana" w:eastAsia="Times" w:hAnsi="Verdana"/>
          <w:sz w:val="20"/>
          <w:szCs w:val="20"/>
          <w:lang w:val="en-US"/>
        </w:rPr>
        <w:t xml:space="preserve">for the State entity’s initial failure to comply with </w:t>
      </w:r>
      <w:r w:rsidRPr="008A3740">
        <w:rPr>
          <w:rFonts w:ascii="Verdana" w:eastAsia="Times" w:hAnsi="Verdana"/>
          <w:sz w:val="20"/>
          <w:szCs w:val="20"/>
          <w:lang w:val="en-US"/>
        </w:rPr>
        <w:t>the judgment</w:t>
      </w:r>
      <w:r w:rsidR="00F77C3A" w:rsidRPr="008A3740">
        <w:rPr>
          <w:rFonts w:ascii="Verdana" w:eastAsia="Times" w:hAnsi="Verdana"/>
          <w:sz w:val="20"/>
          <w:szCs w:val="20"/>
          <w:lang w:val="en-US"/>
        </w:rPr>
        <w:t xml:space="preserve"> favorable to Mr. Muelle Flores;</w:t>
      </w:r>
      <w:r w:rsidRPr="008A3740">
        <w:rPr>
          <w:rFonts w:ascii="Verdana" w:eastAsia="Times" w:hAnsi="Verdana"/>
          <w:sz w:val="20"/>
          <w:szCs w:val="20"/>
          <w:lang w:val="en-US"/>
        </w:rPr>
        <w:t xml:space="preserve"> </w:t>
      </w:r>
      <w:r w:rsidR="002B65F1" w:rsidRPr="008A3740">
        <w:rPr>
          <w:rFonts w:ascii="Verdana" w:eastAsia="Times" w:hAnsi="Verdana"/>
          <w:sz w:val="20"/>
          <w:szCs w:val="20"/>
          <w:lang w:val="en-US"/>
        </w:rPr>
        <w:t xml:space="preserve">for </w:t>
      </w:r>
      <w:r w:rsidRPr="008A3740">
        <w:rPr>
          <w:rFonts w:ascii="Verdana" w:eastAsia="Times" w:hAnsi="Verdana"/>
          <w:sz w:val="20"/>
          <w:szCs w:val="20"/>
          <w:lang w:val="en-US"/>
        </w:rPr>
        <w:t xml:space="preserve">the inefficacy of the Judiciary to </w:t>
      </w:r>
      <w:r w:rsidR="00F77C3A" w:rsidRPr="008A3740">
        <w:rPr>
          <w:rFonts w:ascii="Verdana" w:eastAsia="Times" w:hAnsi="Verdana"/>
          <w:sz w:val="20"/>
          <w:szCs w:val="20"/>
          <w:lang w:val="en-US"/>
        </w:rPr>
        <w:t>ensure such compliance;</w:t>
      </w:r>
      <w:r w:rsidRPr="008A3740">
        <w:rPr>
          <w:rFonts w:ascii="Verdana" w:eastAsia="Times" w:hAnsi="Verdana"/>
          <w:sz w:val="20"/>
          <w:szCs w:val="20"/>
          <w:lang w:val="en-US"/>
        </w:rPr>
        <w:t xml:space="preserve"> </w:t>
      </w:r>
      <w:r w:rsidR="002B65F1" w:rsidRPr="008A3740">
        <w:rPr>
          <w:rFonts w:ascii="Verdana" w:eastAsia="Times" w:hAnsi="Verdana"/>
          <w:sz w:val="20"/>
          <w:szCs w:val="20"/>
          <w:lang w:val="en-US"/>
        </w:rPr>
        <w:t xml:space="preserve">for </w:t>
      </w:r>
      <w:r w:rsidR="006C1F8B" w:rsidRPr="008A3740">
        <w:rPr>
          <w:rFonts w:ascii="Verdana" w:eastAsia="Times" w:hAnsi="Verdana"/>
          <w:sz w:val="20"/>
          <w:szCs w:val="20"/>
          <w:lang w:val="en-US"/>
        </w:rPr>
        <w:t xml:space="preserve">creating obstacles </w:t>
      </w:r>
      <w:r w:rsidR="00593143" w:rsidRPr="008A3740">
        <w:rPr>
          <w:rFonts w:ascii="Verdana" w:eastAsia="Times" w:hAnsi="Verdana"/>
          <w:sz w:val="20"/>
          <w:szCs w:val="20"/>
          <w:lang w:val="en-US"/>
        </w:rPr>
        <w:t xml:space="preserve">by means of </w:t>
      </w:r>
      <w:r w:rsidRPr="008A3740">
        <w:rPr>
          <w:rFonts w:ascii="Verdana" w:eastAsia="Times" w:hAnsi="Verdana"/>
          <w:sz w:val="20"/>
          <w:szCs w:val="20"/>
          <w:lang w:val="en-US"/>
        </w:rPr>
        <w:t xml:space="preserve">a privatization </w:t>
      </w:r>
      <w:r w:rsidR="006C1F8B" w:rsidRPr="008A3740">
        <w:rPr>
          <w:rFonts w:ascii="Verdana" w:eastAsia="Times" w:hAnsi="Verdana"/>
          <w:sz w:val="20"/>
          <w:szCs w:val="20"/>
          <w:lang w:val="en-US"/>
        </w:rPr>
        <w:t xml:space="preserve">process </w:t>
      </w:r>
      <w:r w:rsidRPr="008A3740">
        <w:rPr>
          <w:rFonts w:ascii="Verdana" w:eastAsia="Times" w:hAnsi="Verdana"/>
          <w:sz w:val="20"/>
          <w:szCs w:val="20"/>
          <w:lang w:val="en-US"/>
        </w:rPr>
        <w:t xml:space="preserve">that did </w:t>
      </w:r>
      <w:r w:rsidR="00593143" w:rsidRPr="008A3740">
        <w:rPr>
          <w:rFonts w:ascii="Verdana" w:eastAsia="Times" w:hAnsi="Verdana"/>
          <w:sz w:val="20"/>
          <w:szCs w:val="20"/>
          <w:lang w:val="en-US"/>
        </w:rPr>
        <w:t>not provide minimal</w:t>
      </w:r>
      <w:r w:rsidR="00F77C3A" w:rsidRPr="008A3740">
        <w:rPr>
          <w:rFonts w:ascii="Verdana" w:eastAsia="Times" w:hAnsi="Verdana"/>
          <w:sz w:val="20"/>
          <w:szCs w:val="20"/>
          <w:lang w:val="en-US"/>
        </w:rPr>
        <w:t xml:space="preserve"> safeguards;</w:t>
      </w:r>
      <w:r w:rsidRPr="008A3740">
        <w:rPr>
          <w:rFonts w:ascii="Verdana" w:eastAsia="Times" w:hAnsi="Verdana"/>
          <w:sz w:val="20"/>
          <w:szCs w:val="20"/>
          <w:lang w:val="en-US"/>
        </w:rPr>
        <w:t xml:space="preserve"> and </w:t>
      </w:r>
      <w:r w:rsidR="00593143" w:rsidRPr="008A3740">
        <w:rPr>
          <w:rFonts w:ascii="Verdana" w:eastAsia="Times" w:hAnsi="Verdana"/>
          <w:sz w:val="20"/>
          <w:szCs w:val="20"/>
          <w:lang w:val="en-US"/>
        </w:rPr>
        <w:t xml:space="preserve">for the Judiciary’s subsequent </w:t>
      </w:r>
      <w:r w:rsidRPr="008A3740">
        <w:rPr>
          <w:rFonts w:ascii="Verdana" w:eastAsia="Times" w:hAnsi="Verdana"/>
          <w:sz w:val="20"/>
          <w:szCs w:val="20"/>
          <w:lang w:val="en-US"/>
        </w:rPr>
        <w:t xml:space="preserve">inefficacy </w:t>
      </w:r>
      <w:r w:rsidR="00593143" w:rsidRPr="008A3740">
        <w:rPr>
          <w:rFonts w:ascii="Verdana" w:eastAsia="Times" w:hAnsi="Verdana"/>
          <w:sz w:val="20"/>
          <w:szCs w:val="20"/>
          <w:lang w:val="en-US"/>
        </w:rPr>
        <w:t xml:space="preserve">in settling </w:t>
      </w:r>
      <w:r w:rsidRPr="008A3740">
        <w:rPr>
          <w:rFonts w:ascii="Verdana" w:eastAsia="Times" w:hAnsi="Verdana"/>
          <w:sz w:val="20"/>
          <w:szCs w:val="20"/>
          <w:lang w:val="en-US"/>
        </w:rPr>
        <w:t xml:space="preserve">the dispute regarding who was responsible for making the </w:t>
      </w:r>
      <w:r w:rsidR="00593143" w:rsidRPr="008A3740">
        <w:rPr>
          <w:rFonts w:ascii="Verdana" w:eastAsia="Times" w:hAnsi="Verdana"/>
          <w:sz w:val="20"/>
          <w:szCs w:val="20"/>
          <w:lang w:val="en-US"/>
        </w:rPr>
        <w:t xml:space="preserve">pension </w:t>
      </w:r>
      <w:r w:rsidRPr="008A3740">
        <w:rPr>
          <w:rFonts w:ascii="Verdana" w:eastAsia="Times" w:hAnsi="Verdana"/>
          <w:sz w:val="20"/>
          <w:szCs w:val="20"/>
          <w:lang w:val="en-US"/>
        </w:rPr>
        <w:t xml:space="preserve">payments. </w:t>
      </w:r>
      <w:r w:rsidR="006C1F8B" w:rsidRPr="008A3740">
        <w:rPr>
          <w:rFonts w:ascii="Verdana" w:eastAsia="Times" w:hAnsi="Verdana"/>
          <w:sz w:val="20"/>
          <w:szCs w:val="20"/>
          <w:lang w:val="en-US"/>
        </w:rPr>
        <w:t>Accordingly</w:t>
      </w:r>
      <w:r w:rsidRPr="008A3740">
        <w:rPr>
          <w:rFonts w:ascii="Verdana" w:eastAsia="Times" w:hAnsi="Verdana"/>
          <w:sz w:val="20"/>
          <w:szCs w:val="20"/>
          <w:lang w:val="en-US"/>
        </w:rPr>
        <w:t xml:space="preserve">, </w:t>
      </w:r>
      <w:r w:rsidR="006C1F8B" w:rsidRPr="008A3740">
        <w:rPr>
          <w:rFonts w:ascii="Verdana" w:eastAsia="Times" w:hAnsi="Verdana"/>
          <w:sz w:val="20"/>
          <w:szCs w:val="20"/>
          <w:lang w:val="en-US"/>
        </w:rPr>
        <w:t xml:space="preserve">it </w:t>
      </w:r>
      <w:r w:rsidRPr="008A3740">
        <w:rPr>
          <w:rFonts w:ascii="Verdana" w:eastAsia="Times" w:hAnsi="Verdana"/>
          <w:sz w:val="20"/>
          <w:szCs w:val="20"/>
          <w:lang w:val="en-US"/>
        </w:rPr>
        <w:t xml:space="preserve">concluded that the Peruvian State was responsible for the violation of the rights </w:t>
      </w:r>
      <w:r w:rsidR="00593143" w:rsidRPr="008A3740">
        <w:rPr>
          <w:rFonts w:ascii="Verdana" w:eastAsia="Times" w:hAnsi="Verdana"/>
          <w:sz w:val="20"/>
          <w:szCs w:val="20"/>
          <w:lang w:val="en-US"/>
        </w:rPr>
        <w:t xml:space="preserve">recognized </w:t>
      </w:r>
      <w:r w:rsidRPr="008A3740">
        <w:rPr>
          <w:rFonts w:ascii="Verdana" w:eastAsia="Times" w:hAnsi="Verdana"/>
          <w:sz w:val="20"/>
          <w:szCs w:val="20"/>
          <w:lang w:val="en-US"/>
        </w:rPr>
        <w:t xml:space="preserve">in Articles 25(1) and </w:t>
      </w:r>
      <w:r w:rsidR="00726507" w:rsidRPr="008A3740">
        <w:rPr>
          <w:rFonts w:ascii="Verdana" w:eastAsia="Times" w:hAnsi="Verdana"/>
          <w:sz w:val="20"/>
          <w:szCs w:val="20"/>
          <w:lang w:val="en-US"/>
        </w:rPr>
        <w:t>25</w:t>
      </w:r>
      <w:r w:rsidR="003568C7" w:rsidRPr="008A3740">
        <w:rPr>
          <w:rFonts w:ascii="Verdana" w:eastAsia="Times" w:hAnsi="Verdana"/>
          <w:sz w:val="20"/>
          <w:szCs w:val="20"/>
          <w:lang w:val="en-US"/>
        </w:rPr>
        <w:t>(2) (c)</w:t>
      </w:r>
      <w:r w:rsidRPr="008A3740">
        <w:rPr>
          <w:rFonts w:ascii="Verdana" w:eastAsia="Times" w:hAnsi="Verdana"/>
          <w:sz w:val="20"/>
          <w:szCs w:val="20"/>
          <w:lang w:val="en-US"/>
        </w:rPr>
        <w:t xml:space="preserve"> of the American Convention in relation to the obligations established in Article 1(1) thereof</w:t>
      </w:r>
      <w:r w:rsidR="00593143" w:rsidRPr="008A3740">
        <w:rPr>
          <w:rFonts w:ascii="Verdana" w:eastAsia="Times" w:hAnsi="Verdana"/>
          <w:sz w:val="20"/>
          <w:szCs w:val="20"/>
          <w:lang w:val="en-US"/>
        </w:rPr>
        <w:t>,</w:t>
      </w:r>
      <w:r w:rsidRPr="008A3740">
        <w:rPr>
          <w:rFonts w:ascii="Verdana" w:eastAsia="Times" w:hAnsi="Verdana"/>
          <w:sz w:val="20"/>
          <w:szCs w:val="20"/>
          <w:lang w:val="en-US"/>
        </w:rPr>
        <w:t xml:space="preserve"> to the detriment of Mr. Muelle Flores. Finally, </w:t>
      </w:r>
      <w:r w:rsidR="006C1F8B" w:rsidRPr="008A3740">
        <w:rPr>
          <w:rFonts w:ascii="Verdana" w:eastAsia="Times" w:hAnsi="Verdana"/>
          <w:sz w:val="20"/>
          <w:szCs w:val="20"/>
          <w:lang w:val="en-US"/>
        </w:rPr>
        <w:t xml:space="preserve">it pointed out </w:t>
      </w:r>
      <w:r w:rsidRPr="008A3740">
        <w:rPr>
          <w:rFonts w:ascii="Verdana" w:eastAsia="Times" w:hAnsi="Verdana"/>
          <w:sz w:val="20"/>
          <w:szCs w:val="20"/>
          <w:lang w:val="en-US"/>
        </w:rPr>
        <w:t xml:space="preserve">that the State </w:t>
      </w:r>
      <w:r w:rsidR="006C1F8B" w:rsidRPr="008A3740">
        <w:rPr>
          <w:rFonts w:ascii="Verdana" w:eastAsia="Times" w:hAnsi="Verdana"/>
          <w:sz w:val="20"/>
          <w:szCs w:val="20"/>
          <w:lang w:val="en-US"/>
        </w:rPr>
        <w:t>did not adopt</w:t>
      </w:r>
      <w:r w:rsidRPr="008A3740">
        <w:rPr>
          <w:rFonts w:ascii="Verdana" w:eastAsia="Times" w:hAnsi="Verdana"/>
          <w:sz w:val="20"/>
          <w:szCs w:val="20"/>
          <w:lang w:val="en-US"/>
        </w:rPr>
        <w:t xml:space="preserve"> the general measures necessary to remedy Mr. Muelle Flores</w:t>
      </w:r>
      <w:r w:rsidR="00DA774D" w:rsidRPr="008A3740">
        <w:rPr>
          <w:rFonts w:ascii="Verdana" w:eastAsia="Times" w:hAnsi="Verdana"/>
          <w:sz w:val="20"/>
          <w:szCs w:val="20"/>
          <w:lang w:val="en-US"/>
        </w:rPr>
        <w:t>’ situation</w:t>
      </w:r>
      <w:r w:rsidRPr="008A3740">
        <w:rPr>
          <w:rFonts w:ascii="Verdana" w:eastAsia="Times" w:hAnsi="Verdana"/>
          <w:sz w:val="20"/>
          <w:szCs w:val="20"/>
          <w:lang w:val="en-US"/>
        </w:rPr>
        <w:t xml:space="preserve">, and therefore, </w:t>
      </w:r>
      <w:r w:rsidR="00593143" w:rsidRPr="008A3740">
        <w:rPr>
          <w:rFonts w:ascii="Verdana" w:eastAsia="Times" w:hAnsi="Verdana"/>
          <w:sz w:val="20"/>
          <w:szCs w:val="20"/>
          <w:lang w:val="en-US"/>
        </w:rPr>
        <w:t xml:space="preserve">it </w:t>
      </w:r>
      <w:r w:rsidRPr="008A3740">
        <w:rPr>
          <w:rFonts w:ascii="Verdana" w:eastAsia="Times" w:hAnsi="Verdana"/>
          <w:sz w:val="20"/>
          <w:szCs w:val="20"/>
          <w:lang w:val="en-US"/>
        </w:rPr>
        <w:t xml:space="preserve">was also responsible for the violation of Article 2 of the American Convention. </w:t>
      </w:r>
    </w:p>
    <w:p w14:paraId="67D6D82A" w14:textId="77777777" w:rsidR="008E6A56" w:rsidRPr="008A3740" w:rsidRDefault="008E6A56" w:rsidP="008E6A56">
      <w:pPr>
        <w:pStyle w:val="Prrafodelista"/>
        <w:ind w:left="0"/>
        <w:rPr>
          <w:rFonts w:ascii="Verdana" w:eastAsia="Times" w:hAnsi="Verdana"/>
          <w:b/>
          <w:sz w:val="20"/>
          <w:szCs w:val="20"/>
          <w:lang w:val="en-US"/>
        </w:rPr>
      </w:pPr>
    </w:p>
    <w:p w14:paraId="382FC449" w14:textId="77777777" w:rsidR="008E6A56" w:rsidRPr="008A3740" w:rsidRDefault="008E6A56"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 xml:space="preserve">The </w:t>
      </w:r>
      <w:r w:rsidRPr="008A3740">
        <w:rPr>
          <w:rFonts w:ascii="Verdana" w:eastAsia="Times" w:hAnsi="Verdana"/>
          <w:b/>
          <w:i/>
          <w:sz w:val="20"/>
          <w:szCs w:val="20"/>
          <w:lang w:val="en-US"/>
        </w:rPr>
        <w:t xml:space="preserve">representatives </w:t>
      </w:r>
      <w:r w:rsidR="00CB12D1" w:rsidRPr="008A3740">
        <w:rPr>
          <w:rFonts w:ascii="Verdana" w:eastAsia="Times" w:hAnsi="Verdana"/>
          <w:sz w:val="20"/>
          <w:szCs w:val="20"/>
          <w:lang w:val="en-US"/>
        </w:rPr>
        <w:t xml:space="preserve">pointed out </w:t>
      </w:r>
      <w:r w:rsidRPr="008A3740">
        <w:rPr>
          <w:rFonts w:ascii="Verdana" w:eastAsia="Times" w:hAnsi="Verdana"/>
          <w:sz w:val="20"/>
          <w:szCs w:val="20"/>
          <w:lang w:val="en-US"/>
        </w:rPr>
        <w:t>that</w:t>
      </w:r>
      <w:r w:rsidR="00CB12D1" w:rsidRPr="008A3740">
        <w:rPr>
          <w:rFonts w:ascii="Verdana" w:eastAsia="Times" w:hAnsi="Verdana"/>
          <w:sz w:val="20"/>
          <w:szCs w:val="20"/>
          <w:lang w:val="en-US"/>
        </w:rPr>
        <w:t xml:space="preserve"> Mr. Muelle’s pension payments were suspended</w:t>
      </w:r>
      <w:r w:rsidRPr="008A3740">
        <w:rPr>
          <w:rFonts w:ascii="Verdana" w:eastAsia="Times" w:hAnsi="Verdana"/>
          <w:sz w:val="20"/>
          <w:szCs w:val="20"/>
          <w:lang w:val="en-US"/>
        </w:rPr>
        <w:t xml:space="preserve"> </w:t>
      </w:r>
      <w:r w:rsidR="00DA774D" w:rsidRPr="008A3740">
        <w:rPr>
          <w:rFonts w:ascii="Verdana" w:eastAsia="Times" w:hAnsi="Verdana"/>
          <w:sz w:val="20"/>
          <w:szCs w:val="20"/>
          <w:lang w:val="en-US"/>
        </w:rPr>
        <w:t xml:space="preserve">through </w:t>
      </w:r>
      <w:r w:rsidRPr="008A3740">
        <w:rPr>
          <w:rFonts w:ascii="Verdana" w:eastAsia="Times" w:hAnsi="Verdana"/>
          <w:sz w:val="20"/>
          <w:szCs w:val="20"/>
          <w:lang w:val="en-US"/>
        </w:rPr>
        <w:t>a unilateral, arbitrary and</w:t>
      </w:r>
      <w:r w:rsidR="00CB12D1" w:rsidRPr="008A3740">
        <w:rPr>
          <w:rFonts w:ascii="Verdana" w:eastAsia="Times" w:hAnsi="Verdana"/>
          <w:sz w:val="20"/>
          <w:szCs w:val="20"/>
          <w:lang w:val="en-US"/>
        </w:rPr>
        <w:t xml:space="preserve"> untimely decision </w:t>
      </w:r>
      <w:r w:rsidR="00DA774D" w:rsidRPr="008A3740">
        <w:rPr>
          <w:rFonts w:ascii="Verdana" w:eastAsia="Times" w:hAnsi="Verdana"/>
          <w:sz w:val="20"/>
          <w:szCs w:val="20"/>
          <w:lang w:val="en-US"/>
        </w:rPr>
        <w:t xml:space="preserve">taken </w:t>
      </w:r>
      <w:r w:rsidR="00CB12D1" w:rsidRPr="008A3740">
        <w:rPr>
          <w:rFonts w:ascii="Verdana" w:eastAsia="Times" w:hAnsi="Verdana"/>
          <w:sz w:val="20"/>
          <w:szCs w:val="20"/>
          <w:lang w:val="en-US"/>
        </w:rPr>
        <w:t xml:space="preserve">by the State-owned </w:t>
      </w:r>
      <w:r w:rsidRPr="008A3740">
        <w:rPr>
          <w:rFonts w:ascii="Verdana" w:eastAsia="Times" w:hAnsi="Verdana"/>
          <w:sz w:val="20"/>
          <w:szCs w:val="20"/>
          <w:lang w:val="en-US"/>
        </w:rPr>
        <w:t xml:space="preserve">company, without any prior administrative procedure, </w:t>
      </w:r>
      <w:r w:rsidR="00CB12D1" w:rsidRPr="008A3740">
        <w:rPr>
          <w:rFonts w:ascii="Verdana" w:eastAsia="Times" w:hAnsi="Verdana"/>
          <w:sz w:val="20"/>
          <w:szCs w:val="20"/>
          <w:lang w:val="en-US"/>
        </w:rPr>
        <w:t xml:space="preserve">breaching </w:t>
      </w:r>
      <w:r w:rsidR="00DA774D" w:rsidRPr="008A3740">
        <w:rPr>
          <w:rFonts w:ascii="Verdana" w:eastAsia="Times" w:hAnsi="Verdana"/>
          <w:sz w:val="20"/>
          <w:szCs w:val="20"/>
          <w:lang w:val="en-US"/>
        </w:rPr>
        <w:t xml:space="preserve">the victim’s </w:t>
      </w:r>
      <w:r w:rsidRPr="008A3740">
        <w:rPr>
          <w:rFonts w:ascii="Verdana" w:eastAsia="Times" w:hAnsi="Verdana"/>
          <w:sz w:val="20"/>
          <w:szCs w:val="20"/>
          <w:lang w:val="en-US"/>
        </w:rPr>
        <w:t xml:space="preserve">acquired rights and </w:t>
      </w:r>
      <w:r w:rsidR="006C1F8B" w:rsidRPr="008A3740">
        <w:rPr>
          <w:rFonts w:ascii="Verdana" w:eastAsia="Times" w:hAnsi="Verdana"/>
          <w:sz w:val="20"/>
          <w:szCs w:val="20"/>
          <w:lang w:val="en-US"/>
        </w:rPr>
        <w:t xml:space="preserve">his </w:t>
      </w:r>
      <w:r w:rsidRPr="008A3740">
        <w:rPr>
          <w:rFonts w:ascii="Verdana" w:eastAsia="Times" w:hAnsi="Verdana"/>
          <w:sz w:val="20"/>
          <w:szCs w:val="20"/>
          <w:lang w:val="en-US"/>
        </w:rPr>
        <w:t xml:space="preserve">right to due process. </w:t>
      </w:r>
      <w:r w:rsidR="001A363F" w:rsidRPr="008A3740">
        <w:rPr>
          <w:rFonts w:ascii="Verdana" w:eastAsia="Times" w:hAnsi="Verdana"/>
          <w:sz w:val="20"/>
          <w:szCs w:val="20"/>
          <w:lang w:val="en-US"/>
        </w:rPr>
        <w:t>Accordingly</w:t>
      </w:r>
      <w:r w:rsidRPr="008A3740">
        <w:rPr>
          <w:rFonts w:ascii="Verdana" w:eastAsia="Times" w:hAnsi="Verdana"/>
          <w:sz w:val="20"/>
          <w:szCs w:val="20"/>
          <w:lang w:val="en-US"/>
        </w:rPr>
        <w:t xml:space="preserve">, </w:t>
      </w:r>
      <w:r w:rsidR="00CB12D1" w:rsidRPr="008A3740">
        <w:rPr>
          <w:rFonts w:ascii="Verdana" w:eastAsia="Times" w:hAnsi="Verdana"/>
          <w:sz w:val="20"/>
          <w:szCs w:val="20"/>
          <w:lang w:val="en-US"/>
        </w:rPr>
        <w:t xml:space="preserve">they </w:t>
      </w:r>
      <w:r w:rsidRPr="008A3740">
        <w:rPr>
          <w:rFonts w:ascii="Verdana" w:eastAsia="Times" w:hAnsi="Verdana"/>
          <w:sz w:val="20"/>
          <w:szCs w:val="20"/>
          <w:lang w:val="en-US"/>
        </w:rPr>
        <w:t xml:space="preserve">concluded that the State violated Article 8(1) and 25(1) of the American Convention. </w:t>
      </w:r>
      <w:r w:rsidR="00CB12D1" w:rsidRPr="008A3740">
        <w:rPr>
          <w:rFonts w:ascii="Verdana" w:eastAsia="Times" w:hAnsi="Verdana"/>
          <w:sz w:val="20"/>
          <w:szCs w:val="20"/>
          <w:lang w:val="en-US"/>
        </w:rPr>
        <w:t>T</w:t>
      </w:r>
      <w:r w:rsidRPr="008A3740">
        <w:rPr>
          <w:rFonts w:ascii="Verdana" w:eastAsia="Times" w:hAnsi="Verdana"/>
          <w:sz w:val="20"/>
          <w:szCs w:val="20"/>
          <w:lang w:val="en-US"/>
        </w:rPr>
        <w:t>he representatives</w:t>
      </w:r>
      <w:r w:rsidR="000E0D7D" w:rsidRPr="008A3740">
        <w:rPr>
          <w:rFonts w:ascii="Verdana" w:eastAsia="Times" w:hAnsi="Verdana"/>
          <w:sz w:val="20"/>
          <w:szCs w:val="20"/>
          <w:lang w:val="en-US"/>
        </w:rPr>
        <w:t xml:space="preserve"> </w:t>
      </w:r>
      <w:r w:rsidR="00351CF7" w:rsidRPr="008A3740">
        <w:rPr>
          <w:rFonts w:ascii="Verdana" w:eastAsia="Times" w:hAnsi="Verdana"/>
          <w:sz w:val="20"/>
          <w:szCs w:val="20"/>
          <w:lang w:val="en-US"/>
        </w:rPr>
        <w:t xml:space="preserve">also </w:t>
      </w:r>
      <w:r w:rsidR="006C1F8B" w:rsidRPr="008A3740">
        <w:rPr>
          <w:rFonts w:ascii="Verdana" w:eastAsia="Times" w:hAnsi="Verdana"/>
          <w:sz w:val="20"/>
          <w:szCs w:val="20"/>
          <w:lang w:val="en-US"/>
        </w:rPr>
        <w:t xml:space="preserve">argued </w:t>
      </w:r>
      <w:r w:rsidR="000E0D7D" w:rsidRPr="008A3740">
        <w:rPr>
          <w:rFonts w:ascii="Verdana" w:eastAsia="Times" w:hAnsi="Verdana"/>
          <w:sz w:val="20"/>
          <w:szCs w:val="20"/>
          <w:lang w:val="en-US"/>
        </w:rPr>
        <w:t xml:space="preserve">that the State </w:t>
      </w:r>
      <w:r w:rsidR="00351CF7" w:rsidRPr="008A3740">
        <w:rPr>
          <w:rFonts w:ascii="Verdana" w:eastAsia="Times" w:hAnsi="Verdana"/>
          <w:sz w:val="20"/>
          <w:szCs w:val="20"/>
          <w:lang w:val="en-US"/>
        </w:rPr>
        <w:t xml:space="preserve">had </w:t>
      </w:r>
      <w:r w:rsidR="000E0D7D" w:rsidRPr="008A3740">
        <w:rPr>
          <w:rFonts w:ascii="Verdana" w:eastAsia="Times" w:hAnsi="Verdana"/>
          <w:sz w:val="20"/>
          <w:szCs w:val="20"/>
          <w:lang w:val="en-US"/>
        </w:rPr>
        <w:t>manif</w:t>
      </w:r>
      <w:r w:rsidRPr="008A3740">
        <w:rPr>
          <w:rFonts w:ascii="Verdana" w:eastAsia="Times" w:hAnsi="Verdana"/>
          <w:sz w:val="20"/>
          <w:szCs w:val="20"/>
          <w:lang w:val="en-US"/>
        </w:rPr>
        <w:t>estly failed in its obligation to provi</w:t>
      </w:r>
      <w:r w:rsidR="00BB623B" w:rsidRPr="008A3740">
        <w:rPr>
          <w:rFonts w:ascii="Verdana" w:eastAsia="Times" w:hAnsi="Verdana"/>
          <w:sz w:val="20"/>
          <w:szCs w:val="20"/>
          <w:lang w:val="en-US"/>
        </w:rPr>
        <w:t>de an effective judicial remedy, given that although</w:t>
      </w:r>
      <w:r w:rsidRPr="008A3740">
        <w:rPr>
          <w:rFonts w:ascii="Verdana" w:eastAsia="Times" w:hAnsi="Verdana"/>
          <w:b/>
          <w:sz w:val="20"/>
          <w:szCs w:val="20"/>
          <w:lang w:val="en-US"/>
        </w:rPr>
        <w:t xml:space="preserve"> </w:t>
      </w:r>
      <w:r w:rsidRPr="008A3740">
        <w:rPr>
          <w:rFonts w:ascii="Verdana" w:eastAsia="Times" w:hAnsi="Verdana"/>
          <w:sz w:val="20"/>
          <w:szCs w:val="20"/>
          <w:lang w:val="en-US"/>
        </w:rPr>
        <w:t xml:space="preserve">the judgments </w:t>
      </w:r>
      <w:r w:rsidR="00726507" w:rsidRPr="008A3740">
        <w:rPr>
          <w:rFonts w:ascii="Verdana" w:eastAsia="Times" w:hAnsi="Verdana"/>
          <w:sz w:val="20"/>
          <w:szCs w:val="20"/>
          <w:lang w:val="en-US"/>
        </w:rPr>
        <w:t xml:space="preserve">in favor of </w:t>
      </w:r>
      <w:r w:rsidRPr="008A3740">
        <w:rPr>
          <w:rFonts w:ascii="Verdana" w:eastAsia="Times" w:hAnsi="Verdana"/>
          <w:sz w:val="20"/>
          <w:szCs w:val="20"/>
          <w:lang w:val="en-US"/>
        </w:rPr>
        <w:t xml:space="preserve">Mr. Muelle Flores </w:t>
      </w:r>
      <w:r w:rsidR="000E0D7D" w:rsidRPr="008A3740">
        <w:rPr>
          <w:rFonts w:ascii="Verdana" w:eastAsia="Times" w:hAnsi="Verdana"/>
          <w:sz w:val="20"/>
          <w:szCs w:val="20"/>
          <w:lang w:val="en-US"/>
        </w:rPr>
        <w:t xml:space="preserve">had the </w:t>
      </w:r>
      <w:r w:rsidR="00BB623B" w:rsidRPr="008A3740">
        <w:rPr>
          <w:rFonts w:ascii="Verdana" w:eastAsia="Times" w:hAnsi="Verdana"/>
          <w:sz w:val="20"/>
          <w:szCs w:val="20"/>
          <w:lang w:val="en-US"/>
        </w:rPr>
        <w:t xml:space="preserve">authority </w:t>
      </w:r>
      <w:r w:rsidR="000E0D7D" w:rsidRPr="008A3740">
        <w:rPr>
          <w:rFonts w:ascii="Verdana" w:eastAsia="Times" w:hAnsi="Verdana"/>
          <w:sz w:val="20"/>
          <w:szCs w:val="20"/>
          <w:lang w:val="en-US"/>
        </w:rPr>
        <w:t xml:space="preserve">of </w:t>
      </w:r>
      <w:r w:rsidRPr="008A3740">
        <w:rPr>
          <w:rFonts w:ascii="Verdana" w:eastAsia="Times" w:hAnsi="Verdana"/>
          <w:i/>
          <w:sz w:val="20"/>
          <w:szCs w:val="20"/>
          <w:lang w:val="en-US"/>
        </w:rPr>
        <w:t>res judicata</w:t>
      </w:r>
      <w:r w:rsidRPr="008A3740">
        <w:rPr>
          <w:rFonts w:ascii="Verdana" w:eastAsia="Times" w:hAnsi="Verdana"/>
          <w:sz w:val="20"/>
          <w:szCs w:val="20"/>
          <w:lang w:val="en-US"/>
        </w:rPr>
        <w:t>, the State did not act o</w:t>
      </w:r>
      <w:r w:rsidR="006C1F8B" w:rsidRPr="008A3740">
        <w:rPr>
          <w:rFonts w:ascii="Verdana" w:eastAsia="Times" w:hAnsi="Verdana"/>
          <w:sz w:val="20"/>
          <w:szCs w:val="20"/>
          <w:lang w:val="en-US"/>
        </w:rPr>
        <w:t>r fulfill its</w:t>
      </w:r>
      <w:r w:rsidRPr="008A3740">
        <w:rPr>
          <w:rFonts w:ascii="Verdana" w:eastAsia="Times" w:hAnsi="Verdana"/>
          <w:sz w:val="20"/>
          <w:szCs w:val="20"/>
          <w:lang w:val="en-US"/>
        </w:rPr>
        <w:t xml:space="preserve"> obligation </w:t>
      </w:r>
      <w:r w:rsidR="006C1F8B" w:rsidRPr="008A3740">
        <w:rPr>
          <w:rFonts w:ascii="Verdana" w:eastAsia="Times" w:hAnsi="Verdana"/>
          <w:sz w:val="20"/>
          <w:szCs w:val="20"/>
          <w:lang w:val="en-US"/>
        </w:rPr>
        <w:t xml:space="preserve">to employ all </w:t>
      </w:r>
      <w:r w:rsidRPr="008A3740">
        <w:rPr>
          <w:rFonts w:ascii="Verdana" w:eastAsia="Times" w:hAnsi="Verdana"/>
          <w:sz w:val="20"/>
          <w:szCs w:val="20"/>
          <w:lang w:val="en-US"/>
        </w:rPr>
        <w:t xml:space="preserve">necessary </w:t>
      </w:r>
      <w:r w:rsidR="006C1F8B" w:rsidRPr="008A3740">
        <w:rPr>
          <w:rFonts w:ascii="Verdana" w:eastAsia="Times" w:hAnsi="Verdana"/>
          <w:sz w:val="20"/>
          <w:szCs w:val="20"/>
          <w:lang w:val="en-US"/>
        </w:rPr>
        <w:t xml:space="preserve">means to ensure </w:t>
      </w:r>
      <w:r w:rsidR="00BB623B" w:rsidRPr="008A3740">
        <w:rPr>
          <w:rFonts w:ascii="Verdana" w:eastAsia="Times" w:hAnsi="Verdana"/>
          <w:sz w:val="20"/>
          <w:szCs w:val="20"/>
          <w:lang w:val="en-US"/>
        </w:rPr>
        <w:t xml:space="preserve">their </w:t>
      </w:r>
      <w:r w:rsidR="00351CF7" w:rsidRPr="008A3740">
        <w:rPr>
          <w:rFonts w:ascii="Verdana" w:eastAsia="Times" w:hAnsi="Verdana"/>
          <w:sz w:val="20"/>
          <w:szCs w:val="20"/>
          <w:lang w:val="en-US"/>
        </w:rPr>
        <w:t>implementation</w:t>
      </w:r>
      <w:r w:rsidRPr="008A3740">
        <w:rPr>
          <w:rFonts w:ascii="Verdana" w:eastAsia="Times" w:hAnsi="Verdana"/>
          <w:b/>
          <w:sz w:val="20"/>
          <w:szCs w:val="20"/>
          <w:lang w:val="en-US"/>
        </w:rPr>
        <w:t xml:space="preserve">. </w:t>
      </w:r>
    </w:p>
    <w:p w14:paraId="1B89F61E" w14:textId="77777777" w:rsidR="008E6A56" w:rsidRPr="008A3740" w:rsidRDefault="008E6A56" w:rsidP="008E6A56">
      <w:pPr>
        <w:pStyle w:val="Textoindependiente"/>
        <w:widowControl/>
        <w:adjustRightInd/>
        <w:spacing w:after="0" w:line="240" w:lineRule="auto"/>
        <w:textAlignment w:val="auto"/>
        <w:rPr>
          <w:rFonts w:eastAsia="Times"/>
          <w:b/>
          <w:sz w:val="20"/>
          <w:szCs w:val="20"/>
          <w:lang w:val="en-US"/>
        </w:rPr>
      </w:pPr>
    </w:p>
    <w:p w14:paraId="16B3AF53" w14:textId="77777777" w:rsidR="008E6A56" w:rsidRPr="008A3740" w:rsidRDefault="006C1F8B"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Furthermore</w:t>
      </w:r>
      <w:r w:rsidR="008E6A56"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they argued </w:t>
      </w:r>
      <w:r w:rsidR="008E6A56" w:rsidRPr="008A3740">
        <w:rPr>
          <w:rFonts w:ascii="Verdana" w:eastAsia="Times" w:hAnsi="Verdana"/>
          <w:sz w:val="20"/>
          <w:szCs w:val="20"/>
          <w:lang w:val="en-US"/>
        </w:rPr>
        <w:t xml:space="preserve">that the State not only failed to comply with the domestic judgments, but </w:t>
      </w:r>
      <w:r w:rsidRPr="008A3740">
        <w:rPr>
          <w:rFonts w:ascii="Verdana" w:eastAsia="Times" w:hAnsi="Verdana"/>
          <w:sz w:val="20"/>
          <w:szCs w:val="20"/>
          <w:lang w:val="en-US"/>
        </w:rPr>
        <w:t xml:space="preserve">also failed to </w:t>
      </w:r>
      <w:r w:rsidR="008E6A56" w:rsidRPr="008A3740">
        <w:rPr>
          <w:rFonts w:ascii="Verdana" w:eastAsia="Times" w:hAnsi="Verdana"/>
          <w:sz w:val="20"/>
          <w:szCs w:val="20"/>
          <w:lang w:val="en-US"/>
        </w:rPr>
        <w:t xml:space="preserve">provide a judicial remedy to </w:t>
      </w:r>
      <w:r w:rsidRPr="008A3740">
        <w:rPr>
          <w:rFonts w:ascii="Verdana" w:eastAsia="Times" w:hAnsi="Verdana"/>
          <w:sz w:val="20"/>
          <w:szCs w:val="20"/>
          <w:lang w:val="en-US"/>
        </w:rPr>
        <w:t xml:space="preserve">ensure the </w:t>
      </w:r>
      <w:r w:rsidR="008E6A56" w:rsidRPr="008A3740">
        <w:rPr>
          <w:rFonts w:ascii="Verdana" w:eastAsia="Times" w:hAnsi="Verdana"/>
          <w:sz w:val="20"/>
          <w:szCs w:val="20"/>
          <w:lang w:val="en-US"/>
        </w:rPr>
        <w:t>execution of those decisions.</w:t>
      </w:r>
    </w:p>
    <w:p w14:paraId="0659AF24" w14:textId="77777777" w:rsidR="008E6A56" w:rsidRPr="008A3740" w:rsidRDefault="008E6A56" w:rsidP="008E6A56">
      <w:pPr>
        <w:tabs>
          <w:tab w:val="left" w:pos="567"/>
          <w:tab w:val="left" w:pos="720"/>
        </w:tabs>
        <w:rPr>
          <w:rFonts w:ascii="Verdana" w:eastAsia="Times" w:hAnsi="Verdana"/>
          <w:b/>
          <w:sz w:val="20"/>
          <w:szCs w:val="20"/>
          <w:lang w:val="en-US"/>
        </w:rPr>
      </w:pPr>
    </w:p>
    <w:p w14:paraId="39A09D18" w14:textId="77777777" w:rsidR="008E6A56" w:rsidRPr="008A3740" w:rsidRDefault="008E6A56" w:rsidP="00D17A65">
      <w:pPr>
        <w:numPr>
          <w:ilvl w:val="0"/>
          <w:numId w:val="3"/>
        </w:numPr>
        <w:tabs>
          <w:tab w:val="left" w:pos="567"/>
          <w:tab w:val="left" w:pos="720"/>
        </w:tabs>
        <w:ind w:left="0" w:firstLine="0"/>
        <w:rPr>
          <w:rFonts w:ascii="Verdana" w:eastAsia="Times" w:hAnsi="Verdana"/>
          <w:b/>
          <w:sz w:val="20"/>
          <w:szCs w:val="20"/>
          <w:lang w:val="en-US"/>
        </w:rPr>
      </w:pPr>
      <w:r w:rsidRPr="008A3740">
        <w:rPr>
          <w:rFonts w:ascii="Verdana" w:eastAsia="Times" w:hAnsi="Verdana"/>
          <w:sz w:val="20"/>
          <w:szCs w:val="20"/>
          <w:lang w:val="en-US"/>
        </w:rPr>
        <w:t>The representatives pointed out th</w:t>
      </w:r>
      <w:r w:rsidR="006C1F8B" w:rsidRPr="008A3740">
        <w:rPr>
          <w:rFonts w:ascii="Verdana" w:eastAsia="Times" w:hAnsi="Verdana"/>
          <w:sz w:val="20"/>
          <w:szCs w:val="20"/>
          <w:lang w:val="en-US"/>
        </w:rPr>
        <w:t xml:space="preserve">at, after the privatization of </w:t>
      </w:r>
      <w:r w:rsidRPr="008A3740">
        <w:rPr>
          <w:rFonts w:ascii="Verdana" w:eastAsia="Times" w:hAnsi="Verdana"/>
          <w:sz w:val="20"/>
          <w:szCs w:val="20"/>
          <w:lang w:val="en-US"/>
        </w:rPr>
        <w:t>the company</w:t>
      </w:r>
      <w:r w:rsidR="00351CF7" w:rsidRPr="008A3740">
        <w:rPr>
          <w:rFonts w:ascii="Verdana" w:eastAsia="Times" w:hAnsi="Verdana"/>
          <w:sz w:val="20"/>
          <w:szCs w:val="20"/>
          <w:lang w:val="en-US"/>
        </w:rPr>
        <w:t>,</w:t>
      </w:r>
      <w:r w:rsidRPr="008A3740">
        <w:rPr>
          <w:rFonts w:ascii="Verdana" w:eastAsia="Times" w:hAnsi="Verdana"/>
          <w:sz w:val="20"/>
          <w:szCs w:val="20"/>
          <w:lang w:val="en-US"/>
        </w:rPr>
        <w:t xml:space="preserve"> it was not </w:t>
      </w:r>
      <w:r w:rsidR="00351CF7" w:rsidRPr="008A3740">
        <w:rPr>
          <w:rFonts w:ascii="Verdana" w:eastAsia="Times" w:hAnsi="Verdana"/>
          <w:sz w:val="20"/>
          <w:szCs w:val="20"/>
          <w:lang w:val="en-US"/>
        </w:rPr>
        <w:t xml:space="preserve">made clear </w:t>
      </w:r>
      <w:r w:rsidRPr="008A3740">
        <w:rPr>
          <w:rFonts w:ascii="Verdana" w:eastAsia="Times" w:hAnsi="Verdana"/>
          <w:sz w:val="20"/>
          <w:szCs w:val="20"/>
          <w:lang w:val="en-US"/>
        </w:rPr>
        <w:t xml:space="preserve">who would be </w:t>
      </w:r>
      <w:r w:rsidR="00351CF7" w:rsidRPr="008A3740">
        <w:rPr>
          <w:rFonts w:ascii="Verdana" w:eastAsia="Times" w:hAnsi="Verdana"/>
          <w:sz w:val="20"/>
          <w:szCs w:val="20"/>
          <w:lang w:val="en-US"/>
        </w:rPr>
        <w:t xml:space="preserve">responsible for </w:t>
      </w:r>
      <w:r w:rsidRPr="008A3740">
        <w:rPr>
          <w:rFonts w:ascii="Verdana" w:eastAsia="Times" w:hAnsi="Verdana"/>
          <w:sz w:val="20"/>
          <w:szCs w:val="20"/>
          <w:lang w:val="en-US"/>
        </w:rPr>
        <w:t>paying Mr. Muelle’s pension</w:t>
      </w:r>
      <w:r w:rsidR="00BB623B" w:rsidRPr="008A3740">
        <w:rPr>
          <w:rFonts w:ascii="Verdana" w:eastAsia="Times" w:hAnsi="Verdana"/>
          <w:sz w:val="20"/>
          <w:szCs w:val="20"/>
          <w:lang w:val="en-US"/>
        </w:rPr>
        <w:t xml:space="preserve">. This matter was not </w:t>
      </w:r>
      <w:r w:rsidRPr="008A3740">
        <w:rPr>
          <w:rFonts w:ascii="Verdana" w:eastAsia="Times" w:hAnsi="Verdana"/>
          <w:sz w:val="20"/>
          <w:szCs w:val="20"/>
          <w:lang w:val="en-US"/>
        </w:rPr>
        <w:t>settled during the execution</w:t>
      </w:r>
      <w:r w:rsidR="006C1F8B" w:rsidRPr="008A3740">
        <w:rPr>
          <w:rFonts w:ascii="Verdana" w:eastAsia="Times" w:hAnsi="Verdana"/>
          <w:sz w:val="20"/>
          <w:szCs w:val="20"/>
          <w:lang w:val="en-US"/>
        </w:rPr>
        <w:t xml:space="preserve"> process</w:t>
      </w:r>
      <w:r w:rsidRPr="008A3740">
        <w:rPr>
          <w:rFonts w:ascii="Verdana" w:eastAsia="Times" w:hAnsi="Verdana"/>
          <w:sz w:val="20"/>
          <w:szCs w:val="20"/>
          <w:lang w:val="en-US"/>
        </w:rPr>
        <w:t>, since both the privatized</w:t>
      </w:r>
      <w:r w:rsidR="006C1F8B" w:rsidRPr="008A3740">
        <w:rPr>
          <w:rFonts w:ascii="Verdana" w:eastAsia="Times" w:hAnsi="Verdana"/>
          <w:sz w:val="20"/>
          <w:szCs w:val="20"/>
          <w:lang w:val="en-US"/>
        </w:rPr>
        <w:t xml:space="preserve"> company</w:t>
      </w:r>
      <w:r w:rsidRPr="008A3740">
        <w:rPr>
          <w:rFonts w:ascii="Verdana" w:eastAsia="Times" w:hAnsi="Verdana"/>
          <w:sz w:val="20"/>
          <w:szCs w:val="20"/>
          <w:lang w:val="en-US"/>
        </w:rPr>
        <w:t xml:space="preserve"> </w:t>
      </w:r>
      <w:r w:rsidR="006C1F8B" w:rsidRPr="008A3740">
        <w:rPr>
          <w:rFonts w:ascii="Verdana" w:eastAsia="Times" w:hAnsi="Verdana"/>
          <w:sz w:val="20"/>
          <w:szCs w:val="20"/>
          <w:lang w:val="en-US"/>
        </w:rPr>
        <w:t xml:space="preserve">and </w:t>
      </w:r>
      <w:r w:rsidRPr="008A3740">
        <w:rPr>
          <w:rFonts w:ascii="Verdana" w:eastAsia="Times" w:hAnsi="Verdana"/>
          <w:sz w:val="20"/>
          <w:szCs w:val="20"/>
          <w:lang w:val="en-US"/>
        </w:rPr>
        <w:t>the</w:t>
      </w:r>
      <w:r w:rsidR="006C1F8B" w:rsidRPr="008A3740">
        <w:rPr>
          <w:rFonts w:ascii="Verdana" w:eastAsia="Times" w:hAnsi="Verdana"/>
          <w:sz w:val="20"/>
          <w:szCs w:val="20"/>
          <w:lang w:val="en-US"/>
        </w:rPr>
        <w:t xml:space="preserve"> OEP</w:t>
      </w:r>
      <w:r w:rsidRPr="008A3740">
        <w:rPr>
          <w:rFonts w:ascii="Verdana" w:eastAsia="Times" w:hAnsi="Verdana"/>
          <w:sz w:val="20"/>
          <w:szCs w:val="20"/>
          <w:lang w:val="en-US"/>
        </w:rPr>
        <w:t xml:space="preserve"> </w:t>
      </w:r>
      <w:r w:rsidR="006C1F8B" w:rsidRPr="008A3740">
        <w:rPr>
          <w:rFonts w:ascii="Verdana" w:eastAsia="Times" w:hAnsi="Verdana"/>
          <w:sz w:val="20"/>
          <w:szCs w:val="20"/>
          <w:lang w:val="en-US"/>
        </w:rPr>
        <w:t xml:space="preserve">(hereinafter “State Pension </w:t>
      </w:r>
      <w:r w:rsidR="00351CF7" w:rsidRPr="008A3740">
        <w:rPr>
          <w:rFonts w:ascii="Verdana" w:eastAsia="Times" w:hAnsi="Verdana"/>
          <w:sz w:val="20"/>
          <w:szCs w:val="20"/>
          <w:lang w:val="en-US"/>
        </w:rPr>
        <w:t>Body</w:t>
      </w:r>
      <w:r w:rsidRPr="008A3740">
        <w:rPr>
          <w:rFonts w:ascii="Verdana" w:eastAsia="Times" w:hAnsi="Verdana"/>
          <w:sz w:val="20"/>
          <w:szCs w:val="20"/>
          <w:lang w:val="en-US"/>
        </w:rPr>
        <w:t xml:space="preserve">”) </w:t>
      </w:r>
      <w:r w:rsidR="00BB623B" w:rsidRPr="008A3740">
        <w:rPr>
          <w:rFonts w:ascii="Verdana" w:eastAsia="Times" w:hAnsi="Verdana"/>
          <w:sz w:val="20"/>
          <w:szCs w:val="20"/>
          <w:lang w:val="en-US"/>
        </w:rPr>
        <w:t xml:space="preserve">excused themselves from </w:t>
      </w:r>
      <w:r w:rsidRPr="008A3740">
        <w:rPr>
          <w:rFonts w:ascii="Verdana" w:eastAsia="Times" w:hAnsi="Verdana"/>
          <w:sz w:val="20"/>
          <w:szCs w:val="20"/>
          <w:lang w:val="en-US"/>
        </w:rPr>
        <w:t xml:space="preserve">the duty to implement the judgment, </w:t>
      </w:r>
      <w:r w:rsidR="00351CF7" w:rsidRPr="008A3740">
        <w:rPr>
          <w:rFonts w:ascii="Verdana" w:eastAsia="Times" w:hAnsi="Verdana"/>
          <w:sz w:val="20"/>
          <w:szCs w:val="20"/>
          <w:lang w:val="en-US"/>
        </w:rPr>
        <w:t xml:space="preserve">since in </w:t>
      </w:r>
      <w:r w:rsidR="00BB623B" w:rsidRPr="008A3740">
        <w:rPr>
          <w:rFonts w:ascii="Verdana" w:eastAsia="Times" w:hAnsi="Verdana"/>
          <w:sz w:val="20"/>
          <w:szCs w:val="20"/>
          <w:lang w:val="en-US"/>
        </w:rPr>
        <w:t xml:space="preserve">their view, neither </w:t>
      </w:r>
      <w:r w:rsidR="00351CF7" w:rsidRPr="008A3740">
        <w:rPr>
          <w:rFonts w:ascii="Verdana" w:eastAsia="Times" w:hAnsi="Verdana"/>
          <w:sz w:val="20"/>
          <w:szCs w:val="20"/>
          <w:lang w:val="en-US"/>
        </w:rPr>
        <w:t xml:space="preserve">one </w:t>
      </w:r>
      <w:r w:rsidR="00BB623B" w:rsidRPr="008A3740">
        <w:rPr>
          <w:rFonts w:ascii="Verdana" w:eastAsia="Times" w:hAnsi="Verdana"/>
          <w:sz w:val="20"/>
          <w:szCs w:val="20"/>
          <w:lang w:val="en-US"/>
        </w:rPr>
        <w:t xml:space="preserve">was </w:t>
      </w:r>
      <w:r w:rsidR="006C1F8B" w:rsidRPr="008A3740">
        <w:rPr>
          <w:rFonts w:ascii="Verdana" w:eastAsia="Times" w:hAnsi="Verdana"/>
          <w:sz w:val="20"/>
          <w:szCs w:val="20"/>
          <w:lang w:val="en-US"/>
        </w:rPr>
        <w:t>responsible for paying</w:t>
      </w:r>
      <w:r w:rsidR="00351CF7" w:rsidRPr="008A3740">
        <w:rPr>
          <w:rFonts w:ascii="Verdana" w:eastAsia="Times" w:hAnsi="Verdana"/>
          <w:sz w:val="20"/>
          <w:szCs w:val="20"/>
          <w:lang w:val="en-US"/>
        </w:rPr>
        <w:t xml:space="preserve"> </w:t>
      </w:r>
      <w:r w:rsidRPr="008A3740">
        <w:rPr>
          <w:rFonts w:ascii="Verdana" w:eastAsia="Times" w:hAnsi="Verdana"/>
          <w:sz w:val="20"/>
          <w:szCs w:val="20"/>
          <w:lang w:val="en-US"/>
        </w:rPr>
        <w:t>the pension</w:t>
      </w:r>
      <w:r w:rsidRPr="008A3740">
        <w:rPr>
          <w:rFonts w:ascii="Verdana" w:eastAsia="Times" w:hAnsi="Verdana"/>
          <w:b/>
          <w:sz w:val="20"/>
          <w:szCs w:val="20"/>
          <w:lang w:val="en-US"/>
        </w:rPr>
        <w:t>.</w:t>
      </w:r>
      <w:r w:rsidRPr="008A3740">
        <w:rPr>
          <w:rFonts w:ascii="Verdana" w:eastAsia="Times" w:hAnsi="Verdana"/>
          <w:sz w:val="20"/>
          <w:szCs w:val="20"/>
          <w:lang w:val="en-US"/>
        </w:rPr>
        <w:t xml:space="preserve"> </w:t>
      </w:r>
    </w:p>
    <w:p w14:paraId="61B77137" w14:textId="77777777" w:rsidR="008E6A56" w:rsidRPr="008A3740" w:rsidRDefault="008E6A56" w:rsidP="008E6A56">
      <w:pPr>
        <w:pStyle w:val="Textoindependiente"/>
        <w:widowControl/>
        <w:spacing w:after="0" w:line="240" w:lineRule="auto"/>
        <w:rPr>
          <w:rFonts w:eastAsia="Times"/>
          <w:b/>
          <w:sz w:val="20"/>
          <w:szCs w:val="20"/>
          <w:lang w:val="en-US"/>
        </w:rPr>
      </w:pPr>
    </w:p>
    <w:p w14:paraId="557F4078"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eastAsia="Times" w:hAnsi="Verdana"/>
          <w:sz w:val="20"/>
          <w:szCs w:val="20"/>
          <w:lang w:val="en-US"/>
        </w:rPr>
        <w:t>The representatives argued that the State’s non-compliance</w:t>
      </w:r>
      <w:r w:rsidR="00ED5F84" w:rsidRPr="008A3740">
        <w:rPr>
          <w:rFonts w:ascii="Verdana" w:eastAsia="Times" w:hAnsi="Verdana"/>
          <w:sz w:val="20"/>
          <w:szCs w:val="20"/>
          <w:lang w:val="en-US"/>
        </w:rPr>
        <w:t xml:space="preserve"> still continues today, </w:t>
      </w:r>
      <w:r w:rsidR="00351CF7" w:rsidRPr="008A3740">
        <w:rPr>
          <w:rFonts w:ascii="Verdana" w:eastAsia="Times" w:hAnsi="Verdana"/>
          <w:sz w:val="20"/>
          <w:szCs w:val="20"/>
          <w:lang w:val="en-US"/>
        </w:rPr>
        <w:t xml:space="preserve">given that </w:t>
      </w:r>
      <w:r w:rsidR="00ED5F84" w:rsidRPr="008A3740">
        <w:rPr>
          <w:rFonts w:ascii="Verdana" w:eastAsia="Times" w:hAnsi="Verdana"/>
          <w:sz w:val="20"/>
          <w:szCs w:val="20"/>
          <w:lang w:val="en-US"/>
        </w:rPr>
        <w:t>the presumed victim has</w:t>
      </w:r>
      <w:r w:rsidRPr="008A3740">
        <w:rPr>
          <w:rFonts w:ascii="Verdana" w:eastAsia="Times" w:hAnsi="Verdana"/>
          <w:sz w:val="20"/>
          <w:szCs w:val="20"/>
          <w:lang w:val="en-US"/>
        </w:rPr>
        <w:t xml:space="preserve"> not received his </w:t>
      </w:r>
      <w:r w:rsidR="00351CF7" w:rsidRPr="008A3740">
        <w:rPr>
          <w:rFonts w:ascii="Verdana" w:eastAsia="Times" w:hAnsi="Verdana"/>
          <w:sz w:val="20"/>
          <w:szCs w:val="20"/>
          <w:lang w:val="en-US"/>
        </w:rPr>
        <w:t xml:space="preserve">equalized </w:t>
      </w:r>
      <w:r w:rsidRPr="008A3740">
        <w:rPr>
          <w:rFonts w:ascii="Verdana" w:eastAsia="Times" w:hAnsi="Verdana"/>
          <w:sz w:val="20"/>
          <w:szCs w:val="20"/>
          <w:lang w:val="en-US"/>
        </w:rPr>
        <w:t>retirement pension</w:t>
      </w:r>
      <w:r w:rsidR="00ED5F84" w:rsidRPr="008A3740">
        <w:rPr>
          <w:rFonts w:ascii="Verdana" w:eastAsia="Times" w:hAnsi="Verdana"/>
          <w:sz w:val="20"/>
          <w:szCs w:val="20"/>
          <w:lang w:val="en-US"/>
        </w:rPr>
        <w:t xml:space="preserve"> since February of 1991, nor has</w:t>
      </w:r>
      <w:r w:rsidRPr="008A3740">
        <w:rPr>
          <w:rFonts w:ascii="Verdana" w:eastAsia="Times" w:hAnsi="Verdana"/>
          <w:sz w:val="20"/>
          <w:szCs w:val="20"/>
          <w:lang w:val="en-US"/>
        </w:rPr>
        <w:t xml:space="preserve"> he been </w:t>
      </w:r>
      <w:r w:rsidR="00351CF7" w:rsidRPr="008A3740">
        <w:rPr>
          <w:rFonts w:ascii="Verdana" w:eastAsia="Times" w:hAnsi="Verdana"/>
          <w:sz w:val="20"/>
          <w:szCs w:val="20"/>
          <w:lang w:val="en-US"/>
        </w:rPr>
        <w:t xml:space="preserve">granted </w:t>
      </w:r>
      <w:r w:rsidRPr="008A3740">
        <w:rPr>
          <w:rFonts w:ascii="Verdana" w:eastAsia="Times" w:hAnsi="Verdana"/>
          <w:sz w:val="20"/>
          <w:szCs w:val="20"/>
          <w:lang w:val="en-US"/>
        </w:rPr>
        <w:t>the corresponding health coverage</w:t>
      </w:r>
      <w:r w:rsidRPr="008A3740">
        <w:rPr>
          <w:rFonts w:ascii="Verdana" w:eastAsia="Times" w:hAnsi="Verdana"/>
          <w:b/>
          <w:sz w:val="20"/>
          <w:szCs w:val="20"/>
          <w:lang w:val="en-US"/>
        </w:rPr>
        <w:t xml:space="preserve">. </w:t>
      </w:r>
      <w:r w:rsidRPr="008A3740">
        <w:rPr>
          <w:rFonts w:ascii="Verdana" w:eastAsia="Times" w:hAnsi="Verdana"/>
          <w:sz w:val="20"/>
          <w:szCs w:val="20"/>
          <w:lang w:val="en-US"/>
        </w:rPr>
        <w:t xml:space="preserve">They considered that </w:t>
      </w:r>
      <w:r w:rsidR="00ED5F84" w:rsidRPr="008A3740">
        <w:rPr>
          <w:rFonts w:ascii="Verdana" w:eastAsia="Times" w:hAnsi="Verdana"/>
          <w:sz w:val="20"/>
          <w:szCs w:val="20"/>
          <w:lang w:val="en-US"/>
        </w:rPr>
        <w:t xml:space="preserve">the partial </w:t>
      </w:r>
      <w:r w:rsidRPr="008A3740">
        <w:rPr>
          <w:rFonts w:ascii="Verdana" w:eastAsia="Times" w:hAnsi="Verdana"/>
          <w:sz w:val="20"/>
          <w:szCs w:val="20"/>
          <w:lang w:val="en-US"/>
        </w:rPr>
        <w:t>pension</w:t>
      </w:r>
      <w:r w:rsidR="00ED5F84" w:rsidRPr="008A3740">
        <w:rPr>
          <w:rFonts w:ascii="Verdana" w:eastAsia="Times" w:hAnsi="Verdana"/>
          <w:sz w:val="20"/>
          <w:szCs w:val="20"/>
          <w:lang w:val="en-US"/>
        </w:rPr>
        <w:t xml:space="preserve"> payment</w:t>
      </w:r>
      <w:r w:rsidRPr="008A3740">
        <w:rPr>
          <w:rFonts w:ascii="Verdana" w:eastAsia="Times" w:hAnsi="Verdana"/>
          <w:sz w:val="20"/>
          <w:szCs w:val="20"/>
          <w:lang w:val="en-US"/>
        </w:rPr>
        <w:t xml:space="preserve">s made from 1999 to 2001 did not correspond </w:t>
      </w:r>
      <w:r w:rsidR="00ED5F84" w:rsidRPr="008A3740">
        <w:rPr>
          <w:rFonts w:ascii="Verdana" w:eastAsia="Times" w:hAnsi="Verdana"/>
          <w:sz w:val="20"/>
          <w:szCs w:val="20"/>
          <w:lang w:val="en-US"/>
        </w:rPr>
        <w:t xml:space="preserve">to </w:t>
      </w:r>
      <w:r w:rsidRPr="008A3740">
        <w:rPr>
          <w:rFonts w:ascii="Verdana" w:eastAsia="Times" w:hAnsi="Verdana"/>
          <w:sz w:val="20"/>
          <w:szCs w:val="20"/>
          <w:lang w:val="en-US"/>
        </w:rPr>
        <w:t xml:space="preserve">the </w:t>
      </w:r>
      <w:r w:rsidR="003568C7" w:rsidRPr="008A3740">
        <w:rPr>
          <w:rFonts w:ascii="Verdana" w:eastAsia="Times" w:hAnsi="Verdana"/>
          <w:sz w:val="20"/>
          <w:szCs w:val="20"/>
          <w:lang w:val="en-US"/>
        </w:rPr>
        <w:t xml:space="preserve">equalized </w:t>
      </w:r>
      <w:r w:rsidRPr="008A3740">
        <w:rPr>
          <w:rFonts w:ascii="Verdana" w:eastAsia="Times" w:hAnsi="Verdana"/>
          <w:sz w:val="20"/>
          <w:szCs w:val="20"/>
          <w:lang w:val="en-US"/>
        </w:rPr>
        <w:t xml:space="preserve">amount that he should </w:t>
      </w:r>
      <w:r w:rsidR="00ED5F84" w:rsidRPr="008A3740">
        <w:rPr>
          <w:rFonts w:ascii="Verdana" w:eastAsia="Times" w:hAnsi="Verdana"/>
          <w:sz w:val="20"/>
          <w:szCs w:val="20"/>
          <w:lang w:val="en-US"/>
        </w:rPr>
        <w:t xml:space="preserve">have </w:t>
      </w:r>
      <w:r w:rsidRPr="008A3740">
        <w:rPr>
          <w:rFonts w:ascii="Verdana" w:eastAsia="Times" w:hAnsi="Verdana"/>
          <w:sz w:val="20"/>
          <w:szCs w:val="20"/>
          <w:lang w:val="en-US"/>
        </w:rPr>
        <w:t>receive</w:t>
      </w:r>
      <w:r w:rsidR="00ED5F84" w:rsidRPr="008A3740">
        <w:rPr>
          <w:rFonts w:ascii="Verdana" w:eastAsia="Times" w:hAnsi="Verdana"/>
          <w:sz w:val="20"/>
          <w:szCs w:val="20"/>
          <w:lang w:val="en-US"/>
        </w:rPr>
        <w:t>d</w:t>
      </w:r>
      <w:r w:rsidRPr="008A3740">
        <w:rPr>
          <w:rFonts w:ascii="Verdana" w:eastAsia="Times" w:hAnsi="Verdana"/>
          <w:sz w:val="20"/>
          <w:szCs w:val="20"/>
          <w:lang w:val="en-US"/>
        </w:rPr>
        <w:t xml:space="preserve">, </w:t>
      </w:r>
      <w:r w:rsidR="00ED5F84" w:rsidRPr="008A3740">
        <w:rPr>
          <w:rFonts w:ascii="Verdana" w:eastAsia="Times" w:hAnsi="Verdana"/>
          <w:sz w:val="20"/>
          <w:szCs w:val="20"/>
          <w:lang w:val="en-US"/>
        </w:rPr>
        <w:t xml:space="preserve">pursuant to </w:t>
      </w:r>
      <w:r w:rsidRPr="008A3740">
        <w:rPr>
          <w:rFonts w:ascii="Verdana" w:eastAsia="Times" w:hAnsi="Verdana"/>
          <w:sz w:val="20"/>
          <w:szCs w:val="20"/>
          <w:lang w:val="en-US"/>
        </w:rPr>
        <w:t xml:space="preserve">the judgments </w:t>
      </w:r>
      <w:r w:rsidR="00ED5F84" w:rsidRPr="008A3740">
        <w:rPr>
          <w:rFonts w:ascii="Verdana" w:eastAsia="Times" w:hAnsi="Verdana"/>
          <w:sz w:val="20"/>
          <w:szCs w:val="20"/>
          <w:lang w:val="en-US"/>
        </w:rPr>
        <w:t>issued by the</w:t>
      </w:r>
      <w:r w:rsidRPr="008A3740">
        <w:rPr>
          <w:rFonts w:ascii="Verdana" w:eastAsia="Times" w:hAnsi="Verdana"/>
          <w:sz w:val="20"/>
          <w:szCs w:val="20"/>
          <w:lang w:val="en-US"/>
        </w:rPr>
        <w:t xml:space="preserve"> domestic </w:t>
      </w:r>
      <w:r w:rsidR="00ED5F84" w:rsidRPr="008A3740">
        <w:rPr>
          <w:rFonts w:ascii="Verdana" w:eastAsia="Times" w:hAnsi="Verdana"/>
          <w:sz w:val="20"/>
          <w:szCs w:val="20"/>
          <w:lang w:val="en-US"/>
        </w:rPr>
        <w:t>courts</w:t>
      </w:r>
      <w:r w:rsidRPr="008A3740">
        <w:rPr>
          <w:rFonts w:ascii="Verdana" w:eastAsia="Times" w:hAnsi="Verdana"/>
          <w:sz w:val="20"/>
          <w:szCs w:val="20"/>
          <w:lang w:val="en-US"/>
        </w:rPr>
        <w:t xml:space="preserve">, and that despite this, the ONP refused to </w:t>
      </w:r>
      <w:r w:rsidR="00ED5F84" w:rsidRPr="008A3740">
        <w:rPr>
          <w:rFonts w:ascii="Verdana" w:eastAsia="Times" w:hAnsi="Verdana"/>
          <w:sz w:val="20"/>
          <w:szCs w:val="20"/>
          <w:lang w:val="en-US"/>
        </w:rPr>
        <w:t>calculate</w:t>
      </w:r>
      <w:r w:rsidRPr="008A3740">
        <w:rPr>
          <w:rFonts w:ascii="Verdana" w:eastAsia="Times" w:hAnsi="Verdana"/>
          <w:sz w:val="20"/>
          <w:szCs w:val="20"/>
          <w:lang w:val="en-US"/>
        </w:rPr>
        <w:t xml:space="preserve"> the payment</w:t>
      </w:r>
      <w:r w:rsidR="00ED5F84" w:rsidRPr="008A3740">
        <w:rPr>
          <w:rFonts w:ascii="Verdana" w:eastAsia="Times" w:hAnsi="Verdana"/>
          <w:sz w:val="20"/>
          <w:szCs w:val="20"/>
          <w:lang w:val="en-US"/>
        </w:rPr>
        <w:t xml:space="preserve"> due</w:t>
      </w:r>
      <w:r w:rsidRPr="008A3740">
        <w:rPr>
          <w:rFonts w:ascii="Verdana" w:eastAsia="Times" w:hAnsi="Verdana"/>
          <w:sz w:val="20"/>
          <w:szCs w:val="20"/>
          <w:lang w:val="en-US"/>
        </w:rPr>
        <w:t>, even though it was required to do</w:t>
      </w:r>
      <w:r w:rsidR="00F365D1" w:rsidRPr="008A3740">
        <w:rPr>
          <w:rFonts w:ascii="Verdana" w:eastAsia="Times" w:hAnsi="Verdana"/>
          <w:sz w:val="20"/>
          <w:szCs w:val="20"/>
          <w:lang w:val="en-US"/>
        </w:rPr>
        <w:t xml:space="preserve"> so, based on the legislation at that</w:t>
      </w:r>
      <w:r w:rsidRPr="008A3740">
        <w:rPr>
          <w:rFonts w:ascii="Verdana" w:eastAsia="Times" w:hAnsi="Verdana"/>
          <w:sz w:val="20"/>
          <w:szCs w:val="20"/>
          <w:lang w:val="en-US"/>
        </w:rPr>
        <w:t xml:space="preserve"> time.</w:t>
      </w:r>
      <w:r w:rsidRPr="008A3740">
        <w:rPr>
          <w:rFonts w:ascii="Verdana" w:eastAsia="Times" w:hAnsi="Verdana"/>
          <w:b/>
          <w:sz w:val="20"/>
          <w:szCs w:val="20"/>
          <w:lang w:val="en-US"/>
        </w:rPr>
        <w:t xml:space="preserve"> </w:t>
      </w:r>
      <w:r w:rsidR="00F365D1" w:rsidRPr="008A3740">
        <w:rPr>
          <w:rFonts w:ascii="Verdana" w:eastAsia="Times" w:hAnsi="Verdana"/>
          <w:sz w:val="20"/>
          <w:szCs w:val="20"/>
          <w:lang w:val="en-US"/>
        </w:rPr>
        <w:t>Accordingly</w:t>
      </w:r>
      <w:r w:rsidRPr="008A3740">
        <w:rPr>
          <w:rFonts w:ascii="Verdana" w:eastAsia="Times" w:hAnsi="Verdana"/>
          <w:sz w:val="20"/>
          <w:szCs w:val="20"/>
          <w:lang w:val="en-US"/>
        </w:rPr>
        <w:t xml:space="preserve">, the representatives concluded that the State of Peru was responsible for the violation of the rights established in Articles 25(1) and </w:t>
      </w:r>
      <w:r w:rsidR="003568C7" w:rsidRPr="008A3740">
        <w:rPr>
          <w:rFonts w:ascii="Verdana" w:eastAsia="Times" w:hAnsi="Verdana"/>
          <w:sz w:val="20"/>
          <w:szCs w:val="20"/>
          <w:lang w:val="en-US"/>
        </w:rPr>
        <w:t>25(2) (c)</w:t>
      </w:r>
      <w:r w:rsidRPr="008A3740">
        <w:rPr>
          <w:rFonts w:ascii="Verdana" w:eastAsia="Times" w:hAnsi="Verdana"/>
          <w:sz w:val="20"/>
          <w:szCs w:val="20"/>
          <w:lang w:val="en-US"/>
        </w:rPr>
        <w:t xml:space="preserve"> of the American Convention in relation to the obligations established in Article 1(1) thereof</w:t>
      </w:r>
      <w:r w:rsidR="00F365D1" w:rsidRPr="008A3740">
        <w:rPr>
          <w:rFonts w:ascii="Verdana" w:eastAsia="Times" w:hAnsi="Verdana"/>
          <w:sz w:val="20"/>
          <w:szCs w:val="20"/>
          <w:lang w:val="en-US"/>
        </w:rPr>
        <w:t>,</w:t>
      </w:r>
      <w:r w:rsidRPr="008A3740">
        <w:rPr>
          <w:rFonts w:ascii="Verdana" w:eastAsia="Times" w:hAnsi="Verdana"/>
          <w:sz w:val="20"/>
          <w:szCs w:val="20"/>
          <w:lang w:val="en-US"/>
        </w:rPr>
        <w:t xml:space="preserve"> to the detriment of Mr. Muelle Flores.</w:t>
      </w:r>
    </w:p>
    <w:p w14:paraId="0DD90E3E" w14:textId="77777777" w:rsidR="008E6A56" w:rsidRPr="008A3740" w:rsidRDefault="008E6A56" w:rsidP="008E6A56">
      <w:pPr>
        <w:widowControl/>
        <w:tabs>
          <w:tab w:val="left" w:pos="567"/>
          <w:tab w:val="left" w:pos="720"/>
        </w:tabs>
        <w:adjustRightInd/>
        <w:textAlignment w:val="auto"/>
        <w:rPr>
          <w:rFonts w:ascii="Verdana" w:eastAsia="Times" w:hAnsi="Verdana"/>
          <w:sz w:val="20"/>
          <w:szCs w:val="20"/>
          <w:lang w:val="en-US"/>
        </w:rPr>
      </w:pPr>
    </w:p>
    <w:p w14:paraId="5B042169"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eastAsia="Times" w:hAnsi="Verdana"/>
          <w:sz w:val="20"/>
          <w:szCs w:val="20"/>
          <w:lang w:val="en-US"/>
        </w:rPr>
        <w:t xml:space="preserve">The representatives </w:t>
      </w:r>
      <w:r w:rsidR="00965899" w:rsidRPr="008A3740">
        <w:rPr>
          <w:rFonts w:ascii="Verdana" w:eastAsia="Times" w:hAnsi="Verdana"/>
          <w:sz w:val="20"/>
          <w:szCs w:val="20"/>
          <w:lang w:val="en-US"/>
        </w:rPr>
        <w:t xml:space="preserve">also </w:t>
      </w:r>
      <w:r w:rsidRPr="008A3740">
        <w:rPr>
          <w:rFonts w:ascii="Verdana" w:eastAsia="Times" w:hAnsi="Verdana"/>
          <w:sz w:val="20"/>
          <w:szCs w:val="20"/>
          <w:lang w:val="en-US"/>
        </w:rPr>
        <w:t>concluded that the Peruvian State was responsible for the violation of Article 2 of the Convention for fail</w:t>
      </w:r>
      <w:r w:rsidR="00965899" w:rsidRPr="008A3740">
        <w:rPr>
          <w:rFonts w:ascii="Verdana" w:eastAsia="Times" w:hAnsi="Verdana"/>
          <w:sz w:val="20"/>
          <w:szCs w:val="20"/>
          <w:lang w:val="en-US"/>
        </w:rPr>
        <w:t>ing to adopt, for</w:t>
      </w:r>
      <w:r w:rsidRPr="008A3740">
        <w:rPr>
          <w:rFonts w:ascii="Verdana" w:eastAsia="Times" w:hAnsi="Verdana"/>
          <w:sz w:val="20"/>
          <w:szCs w:val="20"/>
          <w:lang w:val="en-US"/>
        </w:rPr>
        <w:t xml:space="preserve"> a long period of time, the set of measures needed to ensure full compliance with the judgments of its judicial bodies. </w:t>
      </w:r>
    </w:p>
    <w:p w14:paraId="48829E86" w14:textId="77777777" w:rsidR="008E6A56" w:rsidRPr="008A3740" w:rsidRDefault="008E6A56" w:rsidP="008E6A56">
      <w:pPr>
        <w:pStyle w:val="Prrafodelista"/>
        <w:ind w:left="0"/>
        <w:rPr>
          <w:rFonts w:ascii="Verdana" w:eastAsia="Times" w:hAnsi="Verdana"/>
          <w:sz w:val="20"/>
          <w:szCs w:val="20"/>
          <w:lang w:val="en-US"/>
        </w:rPr>
      </w:pPr>
    </w:p>
    <w:p w14:paraId="56084B4D"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eastAsia="Times" w:hAnsi="Verdana"/>
          <w:sz w:val="20"/>
          <w:szCs w:val="20"/>
          <w:lang w:val="en-US"/>
        </w:rPr>
        <w:t xml:space="preserve">The </w:t>
      </w:r>
      <w:r w:rsidRPr="008A3740">
        <w:rPr>
          <w:rFonts w:ascii="Verdana" w:eastAsia="Times" w:hAnsi="Verdana"/>
          <w:b/>
          <w:i/>
          <w:sz w:val="20"/>
          <w:szCs w:val="20"/>
          <w:lang w:val="en-US"/>
        </w:rPr>
        <w:t xml:space="preserve">State </w:t>
      </w:r>
      <w:r w:rsidR="000D387B" w:rsidRPr="008A3740">
        <w:rPr>
          <w:rFonts w:ascii="Verdana" w:eastAsia="Times" w:hAnsi="Verdana"/>
          <w:sz w:val="20"/>
          <w:szCs w:val="20"/>
          <w:lang w:val="en-US"/>
        </w:rPr>
        <w:t xml:space="preserve">pointed out </w:t>
      </w:r>
      <w:r w:rsidR="008A3125" w:rsidRPr="008A3740">
        <w:rPr>
          <w:rFonts w:ascii="Verdana" w:eastAsia="Times" w:hAnsi="Verdana"/>
          <w:sz w:val="20"/>
          <w:szCs w:val="20"/>
          <w:lang w:val="en-US"/>
        </w:rPr>
        <w:t>that, “</w:t>
      </w:r>
      <w:r w:rsidR="00F77C3A" w:rsidRPr="008A3740">
        <w:rPr>
          <w:rFonts w:ascii="Verdana" w:eastAsia="Times" w:hAnsi="Verdana"/>
          <w:sz w:val="20"/>
          <w:szCs w:val="20"/>
          <w:lang w:val="en-US"/>
        </w:rPr>
        <w:t>a</w:t>
      </w:r>
      <w:r w:rsidR="00CD437A" w:rsidRPr="008A3740">
        <w:rPr>
          <w:rFonts w:ascii="Verdana" w:eastAsia="Times" w:hAnsi="Verdana"/>
          <w:sz w:val="20"/>
          <w:szCs w:val="20"/>
          <w:lang w:val="en-US"/>
        </w:rPr>
        <w:t>lthough</w:t>
      </w:r>
      <w:r w:rsidR="001F14EF" w:rsidRPr="008A3740">
        <w:rPr>
          <w:rFonts w:ascii="Verdana" w:eastAsia="Times" w:hAnsi="Verdana"/>
          <w:sz w:val="20"/>
          <w:szCs w:val="20"/>
          <w:lang w:val="en-US"/>
        </w:rPr>
        <w:t xml:space="preserve"> </w:t>
      </w:r>
      <w:r w:rsidRPr="008A3740">
        <w:rPr>
          <w:rFonts w:ascii="Verdana" w:eastAsia="Times" w:hAnsi="Verdana"/>
          <w:sz w:val="20"/>
          <w:szCs w:val="20"/>
          <w:lang w:val="en-US"/>
        </w:rPr>
        <w:t>no specific coercive measures were adopted</w:t>
      </w:r>
      <w:r w:rsidR="000D387B" w:rsidRPr="008A3740">
        <w:rPr>
          <w:rFonts w:ascii="Verdana" w:eastAsia="Times" w:hAnsi="Verdana"/>
          <w:sz w:val="20"/>
          <w:szCs w:val="20"/>
          <w:lang w:val="en-US"/>
        </w:rPr>
        <w:t xml:space="preserve"> in this case</w:t>
      </w:r>
      <w:r w:rsidRPr="008A3740">
        <w:rPr>
          <w:rFonts w:ascii="Verdana" w:eastAsia="Times" w:hAnsi="Verdana"/>
          <w:sz w:val="20"/>
          <w:szCs w:val="20"/>
          <w:lang w:val="en-US"/>
        </w:rPr>
        <w:t>” to ensure compliance with the ruling during the execution</w:t>
      </w:r>
      <w:r w:rsidR="00726507" w:rsidRPr="008A3740">
        <w:rPr>
          <w:rFonts w:ascii="Verdana" w:eastAsia="Times" w:hAnsi="Verdana"/>
          <w:sz w:val="20"/>
          <w:szCs w:val="20"/>
          <w:lang w:val="en-US"/>
        </w:rPr>
        <w:t xml:space="preserve"> process</w:t>
      </w:r>
      <w:r w:rsidRPr="008A3740">
        <w:rPr>
          <w:rFonts w:ascii="Verdana" w:eastAsia="Times" w:hAnsi="Verdana"/>
          <w:sz w:val="20"/>
          <w:szCs w:val="20"/>
          <w:lang w:val="en-US"/>
        </w:rPr>
        <w:t xml:space="preserve"> “</w:t>
      </w:r>
      <w:r w:rsidR="000D387B" w:rsidRPr="008A3740">
        <w:rPr>
          <w:rFonts w:ascii="Verdana" w:eastAsia="Times" w:hAnsi="Verdana"/>
          <w:sz w:val="20"/>
          <w:szCs w:val="20"/>
          <w:lang w:val="en-US"/>
        </w:rPr>
        <w:t>the judicial body</w:t>
      </w:r>
      <w:r w:rsidR="008A3125" w:rsidRPr="008A3740">
        <w:rPr>
          <w:rFonts w:ascii="Verdana" w:eastAsia="Times" w:hAnsi="Verdana"/>
          <w:sz w:val="20"/>
          <w:szCs w:val="20"/>
          <w:lang w:val="en-US"/>
        </w:rPr>
        <w:t xml:space="preserve"> </w:t>
      </w:r>
      <w:r w:rsidR="000D387B" w:rsidRPr="008A3740">
        <w:rPr>
          <w:rFonts w:ascii="Verdana" w:eastAsia="Times" w:hAnsi="Verdana"/>
          <w:i/>
          <w:sz w:val="20"/>
          <w:szCs w:val="20"/>
          <w:lang w:val="en-US"/>
        </w:rPr>
        <w:t>did</w:t>
      </w:r>
      <w:r w:rsidR="000D387B" w:rsidRPr="008A3740">
        <w:rPr>
          <w:rFonts w:ascii="Verdana" w:eastAsia="Times" w:hAnsi="Verdana"/>
          <w:b/>
          <w:sz w:val="20"/>
          <w:szCs w:val="20"/>
          <w:lang w:val="en-US"/>
        </w:rPr>
        <w:t xml:space="preserve"> </w:t>
      </w:r>
      <w:r w:rsidR="000D387B" w:rsidRPr="008A3740">
        <w:rPr>
          <w:rFonts w:ascii="Verdana" w:eastAsia="Times" w:hAnsi="Verdana"/>
          <w:sz w:val="20"/>
          <w:szCs w:val="20"/>
          <w:lang w:val="en-US"/>
        </w:rPr>
        <w:t xml:space="preserve">require </w:t>
      </w:r>
      <w:r w:rsidRPr="008A3740">
        <w:rPr>
          <w:rFonts w:ascii="Verdana" w:eastAsia="Times" w:hAnsi="Verdana"/>
          <w:sz w:val="20"/>
          <w:szCs w:val="20"/>
          <w:lang w:val="en-US"/>
        </w:rPr>
        <w:t xml:space="preserve">the company </w:t>
      </w:r>
      <w:r w:rsidR="000D387B" w:rsidRPr="008A3740">
        <w:rPr>
          <w:rFonts w:ascii="Verdana" w:eastAsia="Times" w:hAnsi="Verdana"/>
          <w:sz w:val="20"/>
          <w:szCs w:val="20"/>
          <w:lang w:val="en-US"/>
        </w:rPr>
        <w:t>to</w:t>
      </w:r>
      <w:r w:rsidR="00F20412" w:rsidRPr="008A3740">
        <w:rPr>
          <w:rFonts w:ascii="Verdana" w:eastAsia="Times" w:hAnsi="Verdana"/>
          <w:sz w:val="20"/>
          <w:szCs w:val="20"/>
          <w:lang w:val="en-US"/>
        </w:rPr>
        <w:t xml:space="preserve"> comply with the </w:t>
      </w:r>
      <w:r w:rsidRPr="008A3740">
        <w:rPr>
          <w:rFonts w:ascii="Verdana" w:eastAsia="Times" w:hAnsi="Verdana"/>
          <w:sz w:val="20"/>
          <w:szCs w:val="20"/>
          <w:lang w:val="en-US"/>
        </w:rPr>
        <w:t>judicial</w:t>
      </w:r>
      <w:r w:rsidR="00F20412" w:rsidRPr="008A3740">
        <w:rPr>
          <w:rFonts w:ascii="Verdana" w:eastAsia="Times" w:hAnsi="Verdana"/>
          <w:sz w:val="20"/>
          <w:szCs w:val="20"/>
          <w:lang w:val="en-US"/>
        </w:rPr>
        <w:t xml:space="preserve"> ruling.”</w:t>
      </w:r>
      <w:r w:rsidRPr="008A3740">
        <w:rPr>
          <w:rFonts w:ascii="Verdana" w:eastAsia="Times" w:hAnsi="Verdana"/>
          <w:sz w:val="20"/>
          <w:szCs w:val="20"/>
          <w:lang w:val="en-US"/>
        </w:rPr>
        <w:t xml:space="preserve"> Likewise, the State indicated that </w:t>
      </w:r>
      <w:r w:rsidR="003568C7" w:rsidRPr="008A3740">
        <w:rPr>
          <w:rFonts w:ascii="Verdana" w:eastAsia="Times" w:hAnsi="Verdana"/>
          <w:sz w:val="20"/>
          <w:szCs w:val="20"/>
          <w:lang w:val="en-US"/>
        </w:rPr>
        <w:t xml:space="preserve">there were regulations </w:t>
      </w:r>
      <w:r w:rsidR="00F40F62" w:rsidRPr="008A3740">
        <w:rPr>
          <w:rFonts w:ascii="Verdana" w:eastAsia="Times" w:hAnsi="Verdana"/>
          <w:sz w:val="20"/>
          <w:szCs w:val="20"/>
          <w:lang w:val="en-US"/>
        </w:rPr>
        <w:t xml:space="preserve">in effect </w:t>
      </w:r>
      <w:r w:rsidR="003568C7" w:rsidRPr="008A3740">
        <w:rPr>
          <w:rFonts w:ascii="Verdana" w:eastAsia="Times" w:hAnsi="Verdana"/>
          <w:sz w:val="20"/>
          <w:szCs w:val="20"/>
          <w:lang w:val="en-US"/>
        </w:rPr>
        <w:t xml:space="preserve">governing </w:t>
      </w:r>
      <w:r w:rsidRPr="008A3740">
        <w:rPr>
          <w:rFonts w:ascii="Verdana" w:eastAsia="Times" w:hAnsi="Verdana"/>
          <w:sz w:val="20"/>
          <w:szCs w:val="20"/>
          <w:lang w:val="en-US"/>
        </w:rPr>
        <w:t xml:space="preserve">coercive measures </w:t>
      </w:r>
      <w:r w:rsidR="008A3125" w:rsidRPr="008A3740">
        <w:rPr>
          <w:rFonts w:ascii="Verdana" w:eastAsia="Times" w:hAnsi="Verdana"/>
          <w:sz w:val="20"/>
          <w:szCs w:val="20"/>
          <w:lang w:val="en-US"/>
        </w:rPr>
        <w:t xml:space="preserve">for </w:t>
      </w:r>
      <w:r w:rsidRPr="008A3740">
        <w:rPr>
          <w:rFonts w:ascii="Verdana" w:eastAsia="Times" w:hAnsi="Verdana"/>
          <w:sz w:val="20"/>
          <w:szCs w:val="20"/>
          <w:lang w:val="en-US"/>
        </w:rPr>
        <w:t>jurisdictional</w:t>
      </w:r>
      <w:r w:rsidR="008A3125" w:rsidRPr="008A3740">
        <w:rPr>
          <w:rFonts w:ascii="Verdana" w:eastAsia="Times" w:hAnsi="Verdana"/>
          <w:sz w:val="20"/>
          <w:szCs w:val="20"/>
          <w:lang w:val="en-US"/>
        </w:rPr>
        <w:t xml:space="preserve"> organs</w:t>
      </w:r>
      <w:r w:rsidRPr="008A3740">
        <w:rPr>
          <w:rFonts w:ascii="Verdana" w:eastAsia="Times" w:hAnsi="Verdana"/>
          <w:sz w:val="20"/>
          <w:szCs w:val="20"/>
          <w:lang w:val="en-US"/>
        </w:rPr>
        <w:t xml:space="preserve">, and </w:t>
      </w:r>
      <w:r w:rsidR="003568C7" w:rsidRPr="008A3740">
        <w:rPr>
          <w:rFonts w:ascii="Verdana" w:eastAsia="Times" w:hAnsi="Verdana"/>
          <w:sz w:val="20"/>
          <w:szCs w:val="20"/>
          <w:lang w:val="en-US"/>
        </w:rPr>
        <w:t xml:space="preserve">emphasized that the execution of </w:t>
      </w:r>
      <w:r w:rsidRPr="008A3740">
        <w:rPr>
          <w:rFonts w:ascii="Verdana" w:eastAsia="Times" w:hAnsi="Verdana"/>
          <w:sz w:val="20"/>
          <w:szCs w:val="20"/>
          <w:lang w:val="en-US"/>
        </w:rPr>
        <w:t xml:space="preserve">judgments and judicial </w:t>
      </w:r>
      <w:r w:rsidR="00F40F62" w:rsidRPr="008A3740">
        <w:rPr>
          <w:rFonts w:ascii="Verdana" w:eastAsia="Times" w:hAnsi="Verdana"/>
          <w:sz w:val="20"/>
          <w:szCs w:val="20"/>
          <w:lang w:val="en-US"/>
        </w:rPr>
        <w:t xml:space="preserve">rulings </w:t>
      </w:r>
      <w:r w:rsidRPr="008A3740">
        <w:rPr>
          <w:rFonts w:ascii="Verdana" w:eastAsia="Times" w:hAnsi="Verdana"/>
          <w:sz w:val="20"/>
          <w:szCs w:val="20"/>
          <w:lang w:val="en-US"/>
        </w:rPr>
        <w:t xml:space="preserve">formed part of the fundamental right to effective judicial protection, enshrined in the Peruvian Constitution. </w:t>
      </w:r>
      <w:r w:rsidR="0046025F" w:rsidRPr="008A3740">
        <w:rPr>
          <w:rFonts w:ascii="Verdana" w:eastAsia="Times" w:hAnsi="Verdana"/>
          <w:sz w:val="20"/>
          <w:szCs w:val="20"/>
          <w:lang w:val="en-US"/>
        </w:rPr>
        <w:t>To this end</w:t>
      </w:r>
      <w:r w:rsidRPr="008A3740">
        <w:rPr>
          <w:rFonts w:ascii="Verdana" w:eastAsia="Times" w:hAnsi="Verdana"/>
          <w:sz w:val="20"/>
          <w:szCs w:val="20"/>
          <w:lang w:val="en-US"/>
        </w:rPr>
        <w:t xml:space="preserve">, the State indicated that </w:t>
      </w:r>
      <w:r w:rsidR="00F77C3A" w:rsidRPr="008A3740">
        <w:rPr>
          <w:rFonts w:ascii="Verdana" w:eastAsia="Times" w:hAnsi="Verdana"/>
          <w:sz w:val="20"/>
          <w:szCs w:val="20"/>
          <w:lang w:val="en-US"/>
        </w:rPr>
        <w:t xml:space="preserve">the </w:t>
      </w:r>
      <w:r w:rsidR="00F20412" w:rsidRPr="008A3740">
        <w:rPr>
          <w:rFonts w:ascii="Verdana" w:eastAsia="Times" w:hAnsi="Verdana"/>
          <w:sz w:val="20"/>
          <w:szCs w:val="20"/>
          <w:lang w:val="en-US"/>
        </w:rPr>
        <w:t xml:space="preserve">Organic </w:t>
      </w:r>
      <w:r w:rsidRPr="008A3740">
        <w:rPr>
          <w:rFonts w:ascii="Verdana" w:eastAsia="Times" w:hAnsi="Verdana"/>
          <w:sz w:val="20"/>
          <w:szCs w:val="20"/>
          <w:lang w:val="en-US"/>
        </w:rPr>
        <w:t xml:space="preserve">Law of the </w:t>
      </w:r>
      <w:r w:rsidR="000E0D7D" w:rsidRPr="008A3740">
        <w:rPr>
          <w:rFonts w:ascii="Verdana" w:eastAsia="Times" w:hAnsi="Verdana"/>
          <w:sz w:val="20"/>
          <w:szCs w:val="20"/>
          <w:lang w:val="en-US"/>
        </w:rPr>
        <w:t>Judiciary</w:t>
      </w:r>
      <w:r w:rsidRPr="008A3740">
        <w:rPr>
          <w:rFonts w:ascii="Verdana" w:eastAsia="Times" w:hAnsi="Verdana"/>
          <w:sz w:val="20"/>
          <w:szCs w:val="20"/>
          <w:lang w:val="en-US"/>
        </w:rPr>
        <w:t>, the Code of Constitutional Procedure and the Code of Civil Procedure, established the obligation of  “</w:t>
      </w:r>
      <w:r w:rsidR="00726507" w:rsidRPr="008A3740">
        <w:rPr>
          <w:rFonts w:ascii="Verdana" w:eastAsia="Times" w:hAnsi="Verdana"/>
          <w:sz w:val="20"/>
          <w:szCs w:val="20"/>
          <w:lang w:val="en-US"/>
        </w:rPr>
        <w:t xml:space="preserve">every individual </w:t>
      </w:r>
      <w:r w:rsidRPr="008A3740">
        <w:rPr>
          <w:rFonts w:ascii="Verdana" w:eastAsia="Times" w:hAnsi="Verdana"/>
          <w:sz w:val="20"/>
          <w:szCs w:val="20"/>
          <w:lang w:val="en-US"/>
        </w:rPr>
        <w:t xml:space="preserve">and authority” </w:t>
      </w:r>
      <w:r w:rsidR="0046025F" w:rsidRPr="008A3740">
        <w:rPr>
          <w:rFonts w:ascii="Verdana" w:eastAsia="Times" w:hAnsi="Verdana"/>
          <w:sz w:val="20"/>
          <w:szCs w:val="20"/>
          <w:lang w:val="en-US"/>
        </w:rPr>
        <w:t xml:space="preserve">to abide by and comply with </w:t>
      </w:r>
      <w:r w:rsidRPr="008A3740">
        <w:rPr>
          <w:rFonts w:ascii="Verdana" w:eastAsia="Times" w:hAnsi="Verdana"/>
          <w:sz w:val="20"/>
          <w:szCs w:val="20"/>
          <w:lang w:val="en-US"/>
        </w:rPr>
        <w:t xml:space="preserve">judicial decisions, “under civil, </w:t>
      </w:r>
      <w:r w:rsidR="0046025F" w:rsidRPr="008A3740">
        <w:rPr>
          <w:rFonts w:ascii="Verdana" w:eastAsia="Times" w:hAnsi="Verdana"/>
          <w:sz w:val="20"/>
          <w:szCs w:val="20"/>
          <w:lang w:val="en-US"/>
        </w:rPr>
        <w:t xml:space="preserve">criminal </w:t>
      </w:r>
      <w:r w:rsidRPr="008A3740">
        <w:rPr>
          <w:rFonts w:ascii="Verdana" w:eastAsia="Times" w:hAnsi="Verdana"/>
          <w:sz w:val="20"/>
          <w:szCs w:val="20"/>
          <w:lang w:val="en-US"/>
        </w:rPr>
        <w:t>or administrative</w:t>
      </w:r>
      <w:r w:rsidR="0046025F" w:rsidRPr="008A3740">
        <w:rPr>
          <w:rFonts w:ascii="Verdana" w:eastAsia="Times" w:hAnsi="Verdana"/>
          <w:sz w:val="20"/>
          <w:szCs w:val="20"/>
          <w:lang w:val="en-US"/>
        </w:rPr>
        <w:t xml:space="preserve"> responsibility</w:t>
      </w:r>
      <w:r w:rsidR="00F77C3A" w:rsidRPr="008A3740">
        <w:rPr>
          <w:rFonts w:ascii="Verdana" w:eastAsia="Times" w:hAnsi="Verdana"/>
          <w:sz w:val="20"/>
          <w:szCs w:val="20"/>
          <w:lang w:val="en-US"/>
        </w:rPr>
        <w:t>,”</w:t>
      </w:r>
      <w:r w:rsidRPr="008A3740">
        <w:rPr>
          <w:rFonts w:ascii="Verdana" w:eastAsia="Times" w:hAnsi="Verdana"/>
          <w:sz w:val="20"/>
          <w:szCs w:val="20"/>
          <w:lang w:val="en-US"/>
        </w:rPr>
        <w:t xml:space="preserve"> without delay in </w:t>
      </w:r>
      <w:r w:rsidR="0046025F" w:rsidRPr="008A3740">
        <w:rPr>
          <w:rFonts w:ascii="Verdana" w:eastAsia="Times" w:hAnsi="Verdana"/>
          <w:sz w:val="20"/>
          <w:szCs w:val="20"/>
          <w:lang w:val="en-US"/>
        </w:rPr>
        <w:t>their</w:t>
      </w:r>
      <w:r w:rsidR="00F20412"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execution. </w:t>
      </w:r>
      <w:r w:rsidR="008A3125" w:rsidRPr="008A3740">
        <w:rPr>
          <w:rFonts w:ascii="Verdana" w:eastAsia="Times" w:hAnsi="Verdana"/>
          <w:sz w:val="20"/>
          <w:szCs w:val="20"/>
          <w:lang w:val="en-US"/>
        </w:rPr>
        <w:t xml:space="preserve">It also emphasized </w:t>
      </w:r>
      <w:r w:rsidR="003568C7" w:rsidRPr="008A3740">
        <w:rPr>
          <w:rFonts w:ascii="Verdana" w:eastAsia="Times" w:hAnsi="Verdana"/>
          <w:sz w:val="20"/>
          <w:szCs w:val="20"/>
          <w:lang w:val="en-US"/>
        </w:rPr>
        <w:t xml:space="preserve">that </w:t>
      </w:r>
      <w:r w:rsidRPr="008A3740">
        <w:rPr>
          <w:rFonts w:ascii="Verdana" w:eastAsia="Times" w:hAnsi="Verdana"/>
          <w:sz w:val="20"/>
          <w:szCs w:val="20"/>
          <w:lang w:val="en-US"/>
        </w:rPr>
        <w:t xml:space="preserve">Administrative </w:t>
      </w:r>
      <w:r w:rsidR="003568C7" w:rsidRPr="008A3740">
        <w:rPr>
          <w:rFonts w:ascii="Verdana" w:eastAsia="Times" w:hAnsi="Verdana"/>
          <w:sz w:val="20"/>
          <w:szCs w:val="20"/>
          <w:lang w:val="en-US"/>
        </w:rPr>
        <w:t xml:space="preserve">Resolution </w:t>
      </w:r>
      <w:r w:rsidRPr="008A3740">
        <w:rPr>
          <w:rFonts w:ascii="Verdana" w:eastAsia="Times" w:hAnsi="Verdana"/>
          <w:sz w:val="20"/>
          <w:szCs w:val="20"/>
          <w:lang w:val="en-US"/>
        </w:rPr>
        <w:t xml:space="preserve">N° 149-2012-P-PJ of April 10, 2012, </w:t>
      </w:r>
      <w:r w:rsidR="00726507" w:rsidRPr="008A3740">
        <w:rPr>
          <w:rFonts w:ascii="Verdana" w:eastAsia="Times" w:hAnsi="Verdana"/>
          <w:sz w:val="20"/>
          <w:szCs w:val="20"/>
          <w:lang w:val="en-US"/>
        </w:rPr>
        <w:t>a</w:t>
      </w:r>
      <w:r w:rsidR="00E37E84" w:rsidRPr="008A3740">
        <w:rPr>
          <w:rFonts w:ascii="Verdana" w:eastAsia="Times" w:hAnsi="Verdana"/>
          <w:sz w:val="20"/>
          <w:szCs w:val="20"/>
          <w:lang w:val="en-US"/>
        </w:rPr>
        <w:t>n Official</w:t>
      </w:r>
      <w:r w:rsidR="00726507" w:rsidRPr="008A3740">
        <w:rPr>
          <w:rFonts w:ascii="Verdana" w:eastAsia="Times" w:hAnsi="Verdana"/>
          <w:sz w:val="20"/>
          <w:szCs w:val="20"/>
          <w:lang w:val="en-US"/>
        </w:rPr>
        <w:t xml:space="preserve"> </w:t>
      </w:r>
      <w:r w:rsidR="008B2109" w:rsidRPr="008A3740">
        <w:rPr>
          <w:rFonts w:ascii="Verdana" w:eastAsia="Times" w:hAnsi="Verdana"/>
          <w:sz w:val="20"/>
          <w:szCs w:val="20"/>
          <w:lang w:val="en-US"/>
        </w:rPr>
        <w:t xml:space="preserve">Circular of </w:t>
      </w:r>
      <w:r w:rsidR="003568C7" w:rsidRPr="008A3740">
        <w:rPr>
          <w:rFonts w:ascii="Verdana" w:eastAsia="Times" w:hAnsi="Verdana"/>
          <w:sz w:val="20"/>
          <w:szCs w:val="20"/>
          <w:lang w:val="en-US"/>
        </w:rPr>
        <w:t>March 2005 and Administrative Resolution</w:t>
      </w:r>
      <w:r w:rsidRPr="008A3740">
        <w:rPr>
          <w:rFonts w:ascii="Verdana" w:eastAsia="Times" w:hAnsi="Verdana"/>
          <w:sz w:val="20"/>
          <w:szCs w:val="20"/>
          <w:lang w:val="en-US"/>
        </w:rPr>
        <w:t xml:space="preserve"> N° 128-2008-CE-PJ of May 9, 2008</w:t>
      </w:r>
      <w:r w:rsidR="0046025F" w:rsidRPr="008A3740">
        <w:rPr>
          <w:rFonts w:ascii="Verdana" w:eastAsia="Times" w:hAnsi="Verdana"/>
          <w:sz w:val="20"/>
          <w:szCs w:val="20"/>
          <w:lang w:val="en-US"/>
        </w:rPr>
        <w:t>,</w:t>
      </w:r>
      <w:r w:rsidRPr="008A3740">
        <w:rPr>
          <w:rFonts w:ascii="Verdana" w:eastAsia="Times" w:hAnsi="Verdana"/>
          <w:sz w:val="20"/>
          <w:szCs w:val="20"/>
          <w:lang w:val="en-US"/>
        </w:rPr>
        <w:t xml:space="preserve"> issued by the Executive Council of the Judiciary</w:t>
      </w:r>
      <w:r w:rsidR="005A13EA" w:rsidRPr="008A3740">
        <w:rPr>
          <w:rFonts w:ascii="Verdana" w:eastAsia="Times" w:hAnsi="Verdana"/>
          <w:sz w:val="20"/>
          <w:szCs w:val="20"/>
          <w:lang w:val="en-US"/>
        </w:rPr>
        <w:t>, ordered that “all the country’</w:t>
      </w:r>
      <w:r w:rsidRPr="008A3740">
        <w:rPr>
          <w:rFonts w:ascii="Verdana" w:eastAsia="Times" w:hAnsi="Verdana"/>
          <w:sz w:val="20"/>
          <w:szCs w:val="20"/>
          <w:lang w:val="en-US"/>
        </w:rPr>
        <w:t xml:space="preserve">s </w:t>
      </w:r>
      <w:r w:rsidR="008B2109" w:rsidRPr="008A3740">
        <w:rPr>
          <w:rFonts w:ascii="Verdana" w:eastAsia="Times" w:hAnsi="Verdana"/>
          <w:sz w:val="20"/>
          <w:szCs w:val="20"/>
          <w:lang w:val="en-US"/>
        </w:rPr>
        <w:t xml:space="preserve">jurisdictional organs adopt appropriate </w:t>
      </w:r>
      <w:r w:rsidRPr="008A3740">
        <w:rPr>
          <w:rFonts w:ascii="Verdana" w:eastAsia="Times" w:hAnsi="Verdana"/>
          <w:sz w:val="20"/>
          <w:szCs w:val="20"/>
          <w:lang w:val="en-US"/>
        </w:rPr>
        <w:t xml:space="preserve">measures </w:t>
      </w:r>
      <w:r w:rsidR="005A13EA" w:rsidRPr="008A3740">
        <w:rPr>
          <w:rFonts w:ascii="Verdana" w:eastAsia="Times" w:hAnsi="Verdana"/>
          <w:sz w:val="20"/>
          <w:szCs w:val="20"/>
          <w:lang w:val="en-US"/>
        </w:rPr>
        <w:t>to execute</w:t>
      </w:r>
      <w:r w:rsidR="008B2109" w:rsidRPr="008A3740">
        <w:rPr>
          <w:rFonts w:ascii="Verdana" w:eastAsia="Times" w:hAnsi="Verdana"/>
          <w:sz w:val="20"/>
          <w:szCs w:val="20"/>
          <w:lang w:val="en-US"/>
        </w:rPr>
        <w:t>,</w:t>
      </w:r>
      <w:r w:rsidR="005A13EA" w:rsidRPr="008A3740">
        <w:rPr>
          <w:rFonts w:ascii="Verdana" w:eastAsia="Times" w:hAnsi="Verdana"/>
          <w:sz w:val="20"/>
          <w:szCs w:val="20"/>
          <w:lang w:val="en-US"/>
        </w:rPr>
        <w:t xml:space="preserve"> within a </w:t>
      </w:r>
      <w:r w:rsidR="005E5FED" w:rsidRPr="008A3740">
        <w:rPr>
          <w:rFonts w:ascii="Verdana" w:eastAsia="Times" w:hAnsi="Verdana"/>
          <w:sz w:val="20"/>
          <w:szCs w:val="20"/>
          <w:lang w:val="en-US"/>
        </w:rPr>
        <w:t>reasonable time</w:t>
      </w:r>
      <w:r w:rsidR="008B2109" w:rsidRPr="008A3740">
        <w:rPr>
          <w:rFonts w:ascii="Verdana" w:eastAsia="Times" w:hAnsi="Verdana"/>
          <w:sz w:val="20"/>
          <w:szCs w:val="20"/>
          <w:lang w:val="en-US"/>
        </w:rPr>
        <w:t>, the mon</w:t>
      </w:r>
      <w:r w:rsidR="0046025F" w:rsidRPr="008A3740">
        <w:rPr>
          <w:rFonts w:ascii="Verdana" w:eastAsia="Times" w:hAnsi="Verdana"/>
          <w:sz w:val="20"/>
          <w:szCs w:val="20"/>
          <w:lang w:val="en-US"/>
        </w:rPr>
        <w:t>e</w:t>
      </w:r>
      <w:r w:rsidR="00E37E84" w:rsidRPr="008A3740">
        <w:rPr>
          <w:rFonts w:ascii="Verdana" w:eastAsia="Times" w:hAnsi="Verdana"/>
          <w:sz w:val="20"/>
          <w:szCs w:val="20"/>
          <w:lang w:val="en-US"/>
        </w:rPr>
        <w:t>tar</w:t>
      </w:r>
      <w:r w:rsidR="0046025F" w:rsidRPr="008A3740">
        <w:rPr>
          <w:rFonts w:ascii="Verdana" w:eastAsia="Times" w:hAnsi="Verdana"/>
          <w:sz w:val="20"/>
          <w:szCs w:val="20"/>
          <w:lang w:val="en-US"/>
        </w:rPr>
        <w:t xml:space="preserve">y judgments issued against </w:t>
      </w:r>
      <w:r w:rsidRPr="008A3740">
        <w:rPr>
          <w:rFonts w:ascii="Verdana" w:eastAsia="Times" w:hAnsi="Verdana"/>
          <w:sz w:val="20"/>
          <w:szCs w:val="20"/>
          <w:lang w:val="en-US"/>
        </w:rPr>
        <w:t xml:space="preserve">State entities.” </w:t>
      </w:r>
    </w:p>
    <w:p w14:paraId="173DB3E6" w14:textId="77777777" w:rsidR="008E6A56" w:rsidRPr="008A3740" w:rsidRDefault="008E6A56" w:rsidP="008E6A56">
      <w:pPr>
        <w:widowControl/>
        <w:tabs>
          <w:tab w:val="left" w:pos="567"/>
          <w:tab w:val="left" w:pos="720"/>
        </w:tabs>
        <w:adjustRightInd/>
        <w:textAlignment w:val="auto"/>
        <w:rPr>
          <w:rFonts w:ascii="Verdana" w:eastAsia="Times" w:hAnsi="Verdana"/>
          <w:sz w:val="20"/>
          <w:szCs w:val="20"/>
          <w:lang w:val="en-US"/>
        </w:rPr>
      </w:pPr>
    </w:p>
    <w:p w14:paraId="352B39C0"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eastAsia="Times" w:hAnsi="Verdana"/>
          <w:sz w:val="20"/>
          <w:szCs w:val="20"/>
          <w:lang w:val="en-US"/>
        </w:rPr>
        <w:t xml:space="preserve">The State argued that the Second Civil </w:t>
      </w:r>
      <w:r w:rsidR="00811092" w:rsidRPr="008A3740">
        <w:rPr>
          <w:rFonts w:ascii="Verdana" w:eastAsia="Times" w:hAnsi="Verdana"/>
          <w:sz w:val="20"/>
          <w:szCs w:val="20"/>
          <w:lang w:val="en-US"/>
        </w:rPr>
        <w:t>Chamber</w:t>
      </w:r>
      <w:r w:rsidRPr="008A3740">
        <w:rPr>
          <w:rFonts w:ascii="Verdana" w:eastAsia="Times" w:hAnsi="Verdana"/>
          <w:sz w:val="20"/>
          <w:szCs w:val="20"/>
          <w:lang w:val="en-US"/>
        </w:rPr>
        <w:t xml:space="preserve"> of the Superior Court </w:t>
      </w:r>
      <w:r w:rsidR="00E37E84" w:rsidRPr="008A3740">
        <w:rPr>
          <w:rFonts w:ascii="Verdana" w:eastAsia="Times" w:hAnsi="Verdana"/>
          <w:sz w:val="20"/>
          <w:szCs w:val="20"/>
          <w:lang w:val="en-US"/>
        </w:rPr>
        <w:t xml:space="preserve">had </w:t>
      </w:r>
      <w:r w:rsidR="00F93D39" w:rsidRPr="008A3740">
        <w:rPr>
          <w:rFonts w:ascii="Verdana" w:eastAsia="Times" w:hAnsi="Verdana"/>
          <w:sz w:val="20"/>
          <w:szCs w:val="20"/>
          <w:lang w:val="en-US"/>
        </w:rPr>
        <w:t xml:space="preserve">ruled </w:t>
      </w:r>
      <w:r w:rsidRPr="008A3740">
        <w:rPr>
          <w:rFonts w:ascii="Verdana" w:eastAsia="Times" w:hAnsi="Verdana"/>
          <w:sz w:val="20"/>
          <w:szCs w:val="20"/>
          <w:lang w:val="en-US"/>
        </w:rPr>
        <w:t xml:space="preserve">that the company was not obliged to pay Mr. Muelle Flores’ pensions, </w:t>
      </w:r>
      <w:r w:rsidR="00F93D39" w:rsidRPr="008A3740">
        <w:rPr>
          <w:rFonts w:ascii="Verdana" w:eastAsia="Times" w:hAnsi="Verdana"/>
          <w:sz w:val="20"/>
          <w:szCs w:val="20"/>
          <w:lang w:val="en-US"/>
        </w:rPr>
        <w:t xml:space="preserve">and </w:t>
      </w:r>
      <w:r w:rsidR="00C138D8" w:rsidRPr="008A3740">
        <w:rPr>
          <w:rFonts w:ascii="Verdana" w:eastAsia="Times" w:hAnsi="Verdana"/>
          <w:sz w:val="20"/>
          <w:szCs w:val="20"/>
          <w:lang w:val="en-US"/>
        </w:rPr>
        <w:t xml:space="preserve">had </w:t>
      </w:r>
      <w:r w:rsidR="00F93D39" w:rsidRPr="008A3740">
        <w:rPr>
          <w:rFonts w:ascii="Verdana" w:eastAsia="Times" w:hAnsi="Verdana"/>
          <w:sz w:val="20"/>
          <w:szCs w:val="20"/>
          <w:lang w:val="en-US"/>
        </w:rPr>
        <w:t xml:space="preserve">therefore </w:t>
      </w:r>
      <w:r w:rsidR="001F14EF" w:rsidRPr="008A3740">
        <w:rPr>
          <w:rFonts w:ascii="Verdana" w:eastAsia="Times" w:hAnsi="Verdana"/>
          <w:sz w:val="20"/>
          <w:szCs w:val="20"/>
          <w:lang w:val="en-US"/>
        </w:rPr>
        <w:t xml:space="preserve">decided that the </w:t>
      </w:r>
      <w:r w:rsidR="001C79C8" w:rsidRPr="008A3740">
        <w:rPr>
          <w:rFonts w:ascii="Verdana" w:eastAsia="Times" w:hAnsi="Verdana"/>
          <w:sz w:val="20"/>
          <w:szCs w:val="20"/>
          <w:lang w:val="en-US"/>
        </w:rPr>
        <w:t>lower court should rule again on this matter</w:t>
      </w:r>
      <w:r w:rsidRPr="008A3740">
        <w:rPr>
          <w:rFonts w:ascii="Verdana" w:eastAsia="Times" w:hAnsi="Verdana"/>
          <w:sz w:val="20"/>
          <w:szCs w:val="20"/>
          <w:lang w:val="en-US"/>
        </w:rPr>
        <w:t xml:space="preserve">. In this </w:t>
      </w:r>
      <w:r w:rsidR="00E37E84" w:rsidRPr="008A3740">
        <w:rPr>
          <w:rFonts w:ascii="Verdana" w:eastAsia="Times" w:hAnsi="Verdana"/>
          <w:sz w:val="20"/>
          <w:szCs w:val="20"/>
          <w:lang w:val="en-US"/>
        </w:rPr>
        <w:t>regard</w:t>
      </w:r>
      <w:r w:rsidRPr="008A3740">
        <w:rPr>
          <w:rFonts w:ascii="Verdana" w:eastAsia="Times" w:hAnsi="Verdana"/>
          <w:sz w:val="20"/>
          <w:szCs w:val="20"/>
          <w:lang w:val="en-US"/>
        </w:rPr>
        <w:t xml:space="preserve">, the State </w:t>
      </w:r>
      <w:r w:rsidR="00E37E84" w:rsidRPr="008A3740">
        <w:rPr>
          <w:rFonts w:ascii="Verdana" w:eastAsia="Times" w:hAnsi="Verdana"/>
          <w:sz w:val="20"/>
          <w:szCs w:val="20"/>
          <w:lang w:val="en-US"/>
        </w:rPr>
        <w:t xml:space="preserve">considered that </w:t>
      </w:r>
      <w:r w:rsidR="005A13EA" w:rsidRPr="008A3740">
        <w:rPr>
          <w:rFonts w:ascii="Verdana" w:eastAsia="Times" w:hAnsi="Verdana"/>
          <w:sz w:val="20"/>
          <w:szCs w:val="20"/>
          <w:lang w:val="en-US"/>
        </w:rPr>
        <w:t>since</w:t>
      </w:r>
      <w:r w:rsidRPr="008A3740">
        <w:rPr>
          <w:rFonts w:ascii="Verdana" w:eastAsia="Times" w:hAnsi="Verdana"/>
          <w:sz w:val="20"/>
          <w:szCs w:val="20"/>
          <w:lang w:val="en-US"/>
        </w:rPr>
        <w:t xml:space="preserve"> </w:t>
      </w:r>
      <w:r w:rsidR="001C5ADF" w:rsidRPr="008A3740">
        <w:rPr>
          <w:rFonts w:ascii="Verdana" w:eastAsia="Times" w:hAnsi="Verdana"/>
          <w:sz w:val="20"/>
          <w:szCs w:val="20"/>
          <w:lang w:val="en-US"/>
        </w:rPr>
        <w:t xml:space="preserve">2002, </w:t>
      </w:r>
      <w:r w:rsidRPr="008A3740">
        <w:rPr>
          <w:rFonts w:ascii="Verdana" w:eastAsia="Times" w:hAnsi="Verdana"/>
          <w:sz w:val="20"/>
          <w:szCs w:val="20"/>
          <w:lang w:val="en-US"/>
        </w:rPr>
        <w:t xml:space="preserve">“the payment of pensions </w:t>
      </w:r>
      <w:r w:rsidR="00E37E84" w:rsidRPr="008A3740">
        <w:rPr>
          <w:rFonts w:ascii="Verdana" w:eastAsia="Times" w:hAnsi="Verdana"/>
          <w:sz w:val="20"/>
          <w:szCs w:val="20"/>
          <w:lang w:val="en-US"/>
        </w:rPr>
        <w:t xml:space="preserve">originating </w:t>
      </w:r>
      <w:r w:rsidR="001C5ADF" w:rsidRPr="008A3740">
        <w:rPr>
          <w:rFonts w:ascii="Verdana" w:eastAsia="Times" w:hAnsi="Verdana"/>
          <w:sz w:val="20"/>
          <w:szCs w:val="20"/>
          <w:lang w:val="en-US"/>
        </w:rPr>
        <w:t>from a privatized</w:t>
      </w:r>
      <w:r w:rsidR="00E37E84" w:rsidRPr="008A3740">
        <w:rPr>
          <w:rFonts w:ascii="Verdana" w:eastAsia="Times" w:hAnsi="Verdana"/>
          <w:sz w:val="20"/>
          <w:szCs w:val="20"/>
          <w:lang w:val="en-US"/>
        </w:rPr>
        <w:t xml:space="preserve"> entity [h</w:t>
      </w:r>
      <w:r w:rsidRPr="008A3740">
        <w:rPr>
          <w:rFonts w:ascii="Verdana" w:eastAsia="Times" w:hAnsi="Verdana"/>
          <w:sz w:val="20"/>
          <w:szCs w:val="20"/>
          <w:lang w:val="en-US"/>
        </w:rPr>
        <w:t>as</w:t>
      </w:r>
      <w:r w:rsidR="00E37E84" w:rsidRPr="008A3740">
        <w:rPr>
          <w:rFonts w:ascii="Verdana" w:eastAsia="Times" w:hAnsi="Verdana"/>
          <w:sz w:val="20"/>
          <w:szCs w:val="20"/>
          <w:lang w:val="en-US"/>
        </w:rPr>
        <w:t xml:space="preserve"> been</w:t>
      </w:r>
      <w:r w:rsidRPr="008A3740">
        <w:rPr>
          <w:rFonts w:ascii="Verdana" w:eastAsia="Times" w:hAnsi="Verdana"/>
          <w:sz w:val="20"/>
          <w:szCs w:val="20"/>
          <w:lang w:val="en-US"/>
        </w:rPr>
        <w:t xml:space="preserve">] </w:t>
      </w:r>
      <w:r w:rsidR="00E37E84" w:rsidRPr="008A3740">
        <w:rPr>
          <w:rFonts w:ascii="Verdana" w:eastAsia="Times" w:hAnsi="Verdana"/>
          <w:sz w:val="20"/>
          <w:szCs w:val="20"/>
          <w:lang w:val="en-US"/>
        </w:rPr>
        <w:t xml:space="preserve">the responsibility of </w:t>
      </w:r>
      <w:r w:rsidR="008B2109" w:rsidRPr="008A3740">
        <w:rPr>
          <w:rFonts w:ascii="Verdana" w:eastAsia="Times" w:hAnsi="Verdana"/>
          <w:sz w:val="20"/>
          <w:szCs w:val="20"/>
          <w:lang w:val="en-US"/>
        </w:rPr>
        <w:t xml:space="preserve">the [MEF]”, </w:t>
      </w:r>
      <w:r w:rsidR="00E37E84" w:rsidRPr="008A3740">
        <w:rPr>
          <w:rFonts w:ascii="Verdana" w:eastAsia="Times" w:hAnsi="Verdana"/>
          <w:sz w:val="20"/>
          <w:szCs w:val="20"/>
          <w:lang w:val="en-US"/>
        </w:rPr>
        <w:t xml:space="preserve">and </w:t>
      </w:r>
      <w:r w:rsidR="001C5ADF" w:rsidRPr="008A3740">
        <w:rPr>
          <w:rFonts w:ascii="Verdana" w:eastAsia="Times" w:hAnsi="Verdana"/>
          <w:sz w:val="20"/>
          <w:szCs w:val="20"/>
          <w:lang w:val="en-US"/>
        </w:rPr>
        <w:t xml:space="preserve">given that </w:t>
      </w:r>
      <w:r w:rsidR="00E37E84" w:rsidRPr="008A3740">
        <w:rPr>
          <w:rFonts w:ascii="Verdana" w:eastAsia="Times" w:hAnsi="Verdana"/>
          <w:sz w:val="20"/>
          <w:szCs w:val="20"/>
          <w:lang w:val="en-US"/>
        </w:rPr>
        <w:t>the private company was not obligated to pay [the pension]</w:t>
      </w:r>
      <w:r w:rsidRPr="008A3740">
        <w:rPr>
          <w:rFonts w:ascii="Verdana" w:eastAsia="Times" w:hAnsi="Verdana"/>
          <w:sz w:val="20"/>
          <w:szCs w:val="20"/>
          <w:lang w:val="en-US"/>
        </w:rPr>
        <w:t xml:space="preserve">, the coercive </w:t>
      </w:r>
      <w:r w:rsidR="000E0D7D" w:rsidRPr="008A3740">
        <w:rPr>
          <w:rFonts w:ascii="Verdana" w:eastAsia="Times" w:hAnsi="Verdana"/>
          <w:sz w:val="20"/>
          <w:szCs w:val="20"/>
          <w:lang w:val="en-US"/>
        </w:rPr>
        <w:t>me</w:t>
      </w:r>
      <w:r w:rsidR="001C5ADF" w:rsidRPr="008A3740">
        <w:rPr>
          <w:rFonts w:ascii="Verdana" w:eastAsia="Times" w:hAnsi="Verdana"/>
          <w:sz w:val="20"/>
          <w:szCs w:val="20"/>
          <w:lang w:val="en-US"/>
        </w:rPr>
        <w:t xml:space="preserve">asures </w:t>
      </w:r>
      <w:r w:rsidR="000E0D7D" w:rsidRPr="008A3740">
        <w:rPr>
          <w:rFonts w:ascii="Verdana" w:eastAsia="Times" w:hAnsi="Verdana"/>
          <w:sz w:val="20"/>
          <w:szCs w:val="20"/>
          <w:lang w:val="en-US"/>
        </w:rPr>
        <w:t xml:space="preserve">and </w:t>
      </w:r>
      <w:r w:rsidR="001C5ADF" w:rsidRPr="008A3740">
        <w:rPr>
          <w:rFonts w:ascii="Verdana" w:eastAsia="Times" w:hAnsi="Verdana"/>
          <w:sz w:val="20"/>
          <w:szCs w:val="20"/>
          <w:lang w:val="en-US"/>
        </w:rPr>
        <w:t xml:space="preserve">demands for </w:t>
      </w:r>
      <w:r w:rsidR="008B2109" w:rsidRPr="008A3740">
        <w:rPr>
          <w:rFonts w:ascii="Verdana" w:eastAsia="Times" w:hAnsi="Verdana"/>
          <w:sz w:val="20"/>
          <w:szCs w:val="20"/>
          <w:lang w:val="en-US"/>
        </w:rPr>
        <w:t xml:space="preserve">payment </w:t>
      </w:r>
      <w:r w:rsidR="000E0D7D" w:rsidRPr="008A3740">
        <w:rPr>
          <w:rFonts w:ascii="Verdana" w:eastAsia="Times" w:hAnsi="Verdana"/>
          <w:sz w:val="20"/>
          <w:szCs w:val="20"/>
          <w:lang w:val="en-US"/>
        </w:rPr>
        <w:t xml:space="preserve">should have been </w:t>
      </w:r>
      <w:r w:rsidR="001C5ADF" w:rsidRPr="008A3740">
        <w:rPr>
          <w:rFonts w:ascii="Verdana" w:eastAsia="Times" w:hAnsi="Verdana"/>
          <w:sz w:val="20"/>
          <w:szCs w:val="20"/>
          <w:lang w:val="en-US"/>
        </w:rPr>
        <w:t xml:space="preserve">directed to </w:t>
      </w:r>
      <w:r w:rsidRPr="008A3740">
        <w:rPr>
          <w:rFonts w:ascii="Verdana" w:eastAsia="Times" w:hAnsi="Verdana"/>
          <w:sz w:val="20"/>
          <w:szCs w:val="20"/>
          <w:lang w:val="en-US"/>
        </w:rPr>
        <w:t xml:space="preserve">the MEF. </w:t>
      </w:r>
      <w:r w:rsidR="001C5ADF" w:rsidRPr="008A3740">
        <w:rPr>
          <w:rFonts w:ascii="Verdana" w:eastAsia="Times" w:hAnsi="Verdana"/>
          <w:sz w:val="20"/>
          <w:szCs w:val="20"/>
          <w:lang w:val="en-US"/>
        </w:rPr>
        <w:t>Instead, during the domestic proceedings,</w:t>
      </w:r>
      <w:r w:rsidRPr="008A3740">
        <w:rPr>
          <w:rFonts w:ascii="Verdana" w:eastAsia="Times" w:hAnsi="Verdana"/>
          <w:sz w:val="20"/>
          <w:szCs w:val="20"/>
          <w:lang w:val="en-US"/>
        </w:rPr>
        <w:t xml:space="preserve"> Mr. Muelle Flores, despite </w:t>
      </w:r>
      <w:r w:rsidR="001C5ADF" w:rsidRPr="008A3740">
        <w:rPr>
          <w:rFonts w:ascii="Verdana" w:eastAsia="Times" w:hAnsi="Verdana"/>
          <w:sz w:val="20"/>
          <w:szCs w:val="20"/>
          <w:lang w:val="en-US"/>
        </w:rPr>
        <w:t xml:space="preserve">being aware </w:t>
      </w:r>
      <w:r w:rsidRPr="008A3740">
        <w:rPr>
          <w:rFonts w:ascii="Verdana" w:eastAsia="Times" w:hAnsi="Verdana"/>
          <w:sz w:val="20"/>
          <w:szCs w:val="20"/>
          <w:lang w:val="en-US"/>
        </w:rPr>
        <w:t>of th</w:t>
      </w:r>
      <w:r w:rsidR="001C5ADF" w:rsidRPr="008A3740">
        <w:rPr>
          <w:rFonts w:ascii="Verdana" w:eastAsia="Times" w:hAnsi="Verdana"/>
          <w:sz w:val="20"/>
          <w:szCs w:val="20"/>
          <w:lang w:val="en-US"/>
        </w:rPr>
        <w:t xml:space="preserve">is </w:t>
      </w:r>
      <w:r w:rsidRPr="008A3740">
        <w:rPr>
          <w:rFonts w:ascii="Verdana" w:eastAsia="Times" w:hAnsi="Verdana"/>
          <w:sz w:val="20"/>
          <w:szCs w:val="20"/>
          <w:lang w:val="en-US"/>
        </w:rPr>
        <w:t xml:space="preserve">situation, always maintained </w:t>
      </w:r>
      <w:r w:rsidR="001C5ADF" w:rsidRPr="008A3740">
        <w:rPr>
          <w:rFonts w:ascii="Verdana" w:eastAsia="Times" w:hAnsi="Verdana"/>
          <w:sz w:val="20"/>
          <w:szCs w:val="20"/>
          <w:lang w:val="en-US"/>
        </w:rPr>
        <w:t xml:space="preserve">his </w:t>
      </w:r>
      <w:r w:rsidRPr="008A3740">
        <w:rPr>
          <w:rFonts w:ascii="Verdana" w:eastAsia="Times" w:hAnsi="Verdana"/>
          <w:sz w:val="20"/>
          <w:szCs w:val="20"/>
          <w:lang w:val="en-US"/>
        </w:rPr>
        <w:t xml:space="preserve">position </w:t>
      </w:r>
      <w:r w:rsidR="008B2109" w:rsidRPr="008A3740">
        <w:rPr>
          <w:rFonts w:ascii="Verdana" w:eastAsia="Times" w:hAnsi="Verdana"/>
          <w:sz w:val="20"/>
          <w:szCs w:val="20"/>
          <w:lang w:val="en-US"/>
        </w:rPr>
        <w:t>of acting</w:t>
      </w:r>
      <w:r w:rsidR="00245C89" w:rsidRPr="008A3740">
        <w:rPr>
          <w:rFonts w:ascii="Verdana" w:eastAsia="Times" w:hAnsi="Verdana"/>
          <w:sz w:val="20"/>
          <w:szCs w:val="20"/>
          <w:lang w:val="en-US"/>
        </w:rPr>
        <w:t xml:space="preserve"> </w:t>
      </w:r>
      <w:r w:rsidRPr="008A3740">
        <w:rPr>
          <w:rFonts w:ascii="Verdana" w:eastAsia="Times" w:hAnsi="Verdana"/>
          <w:sz w:val="20"/>
          <w:szCs w:val="20"/>
          <w:lang w:val="en-US"/>
        </w:rPr>
        <w:t>against the private company, omit</w:t>
      </w:r>
      <w:r w:rsidR="000E0D7D" w:rsidRPr="008A3740">
        <w:rPr>
          <w:rFonts w:ascii="Verdana" w:eastAsia="Times" w:hAnsi="Verdana"/>
          <w:sz w:val="20"/>
          <w:szCs w:val="20"/>
          <w:lang w:val="en-US"/>
        </w:rPr>
        <w:t xml:space="preserve">ting to request </w:t>
      </w:r>
      <w:r w:rsidR="001C5ADF" w:rsidRPr="008A3740">
        <w:rPr>
          <w:rFonts w:ascii="Verdana" w:eastAsia="Times" w:hAnsi="Verdana"/>
          <w:sz w:val="20"/>
          <w:szCs w:val="20"/>
          <w:lang w:val="en-US"/>
        </w:rPr>
        <w:t>that a summons be issued to the</w:t>
      </w:r>
      <w:r w:rsidR="000E0D7D"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MEF, which was not </w:t>
      </w:r>
      <w:r w:rsidR="00245C89" w:rsidRPr="008A3740">
        <w:rPr>
          <w:rFonts w:ascii="Verdana" w:eastAsia="Times" w:hAnsi="Verdana"/>
          <w:sz w:val="20"/>
          <w:szCs w:val="20"/>
          <w:lang w:val="en-US"/>
        </w:rPr>
        <w:t xml:space="preserve">summoned </w:t>
      </w:r>
      <w:r w:rsidRPr="008A3740">
        <w:rPr>
          <w:rFonts w:ascii="Verdana" w:eastAsia="Times" w:hAnsi="Verdana"/>
          <w:sz w:val="20"/>
          <w:szCs w:val="20"/>
          <w:lang w:val="en-US"/>
        </w:rPr>
        <w:t xml:space="preserve">at any time. </w:t>
      </w:r>
      <w:r w:rsidR="00C138D8" w:rsidRPr="008A3740">
        <w:rPr>
          <w:rFonts w:ascii="Verdana" w:eastAsia="Times" w:hAnsi="Verdana"/>
          <w:sz w:val="20"/>
          <w:szCs w:val="20"/>
          <w:lang w:val="en-US"/>
        </w:rPr>
        <w:t>The State further</w:t>
      </w:r>
      <w:r w:rsidR="00FF266D" w:rsidRPr="008A3740">
        <w:rPr>
          <w:rFonts w:ascii="Verdana" w:eastAsia="Times" w:hAnsi="Verdana"/>
          <w:sz w:val="20"/>
          <w:szCs w:val="20"/>
          <w:lang w:val="en-US"/>
        </w:rPr>
        <w:t xml:space="preserve"> argued </w:t>
      </w:r>
      <w:r w:rsidRPr="008A3740">
        <w:rPr>
          <w:rFonts w:ascii="Verdana" w:eastAsia="Times" w:hAnsi="Verdana"/>
          <w:sz w:val="20"/>
          <w:szCs w:val="20"/>
          <w:lang w:val="en-US"/>
        </w:rPr>
        <w:t>that</w:t>
      </w:r>
      <w:r w:rsidR="00C138D8" w:rsidRPr="008A3740">
        <w:rPr>
          <w:rFonts w:ascii="Verdana" w:eastAsia="Times" w:hAnsi="Verdana"/>
          <w:sz w:val="20"/>
          <w:szCs w:val="20"/>
          <w:lang w:val="en-US"/>
        </w:rPr>
        <w:t>,</w:t>
      </w:r>
      <w:r w:rsidRPr="008A3740">
        <w:rPr>
          <w:rFonts w:ascii="Verdana" w:eastAsia="Times" w:hAnsi="Verdana"/>
          <w:sz w:val="20"/>
          <w:szCs w:val="20"/>
          <w:lang w:val="en-US"/>
        </w:rPr>
        <w:t xml:space="preserve"> </w:t>
      </w:r>
      <w:r w:rsidR="001C5ADF" w:rsidRPr="008A3740">
        <w:rPr>
          <w:rFonts w:ascii="Verdana" w:eastAsia="Times" w:hAnsi="Verdana"/>
          <w:sz w:val="20"/>
          <w:szCs w:val="20"/>
          <w:lang w:val="en-US"/>
        </w:rPr>
        <w:t xml:space="preserve">under </w:t>
      </w:r>
      <w:r w:rsidRPr="008A3740">
        <w:rPr>
          <w:rFonts w:ascii="Verdana" w:eastAsia="Times" w:hAnsi="Verdana"/>
          <w:sz w:val="20"/>
          <w:szCs w:val="20"/>
          <w:lang w:val="en-US"/>
        </w:rPr>
        <w:t xml:space="preserve">the </w:t>
      </w:r>
      <w:r w:rsidRPr="008A3740">
        <w:rPr>
          <w:rFonts w:ascii="Verdana" w:eastAsia="Times" w:hAnsi="Verdana"/>
          <w:i/>
          <w:sz w:val="20"/>
          <w:szCs w:val="20"/>
          <w:lang w:val="en-US"/>
        </w:rPr>
        <w:t>amparo</w:t>
      </w:r>
      <w:r w:rsidRPr="008A3740">
        <w:rPr>
          <w:rFonts w:ascii="Verdana" w:eastAsia="Times" w:hAnsi="Verdana"/>
          <w:sz w:val="20"/>
          <w:szCs w:val="20"/>
          <w:lang w:val="en-US"/>
        </w:rPr>
        <w:t xml:space="preserve"> </w:t>
      </w:r>
      <w:r w:rsidR="005C6B72" w:rsidRPr="008A3740">
        <w:rPr>
          <w:rFonts w:ascii="Verdana" w:eastAsia="Times" w:hAnsi="Verdana"/>
          <w:sz w:val="20"/>
          <w:szCs w:val="20"/>
          <w:lang w:val="en-US"/>
        </w:rPr>
        <w:t xml:space="preserve">laws </w:t>
      </w:r>
      <w:r w:rsidR="00245C89" w:rsidRPr="008A3740">
        <w:rPr>
          <w:rFonts w:ascii="Verdana" w:eastAsia="Times" w:hAnsi="Verdana"/>
          <w:sz w:val="20"/>
          <w:szCs w:val="20"/>
          <w:lang w:val="en-US"/>
        </w:rPr>
        <w:t xml:space="preserve">in </w:t>
      </w:r>
      <w:r w:rsidR="001C5ADF" w:rsidRPr="008A3740">
        <w:rPr>
          <w:rFonts w:ascii="Verdana" w:eastAsia="Times" w:hAnsi="Verdana"/>
          <w:sz w:val="20"/>
          <w:szCs w:val="20"/>
          <w:lang w:val="en-US"/>
        </w:rPr>
        <w:t xml:space="preserve">effect </w:t>
      </w:r>
      <w:r w:rsidR="00245C89" w:rsidRPr="008A3740">
        <w:rPr>
          <w:rFonts w:ascii="Verdana" w:eastAsia="Times" w:hAnsi="Verdana"/>
          <w:sz w:val="20"/>
          <w:szCs w:val="20"/>
          <w:lang w:val="en-US"/>
        </w:rPr>
        <w:t xml:space="preserve">at the time, </w:t>
      </w:r>
      <w:r w:rsidRPr="008A3740">
        <w:rPr>
          <w:rFonts w:ascii="Verdana" w:eastAsia="Times" w:hAnsi="Verdana"/>
          <w:sz w:val="20"/>
          <w:szCs w:val="20"/>
          <w:lang w:val="en-US"/>
        </w:rPr>
        <w:t>“</w:t>
      </w:r>
      <w:r w:rsidR="00C138D8" w:rsidRPr="008A3740">
        <w:rPr>
          <w:rFonts w:ascii="Verdana" w:eastAsia="Times" w:hAnsi="Verdana"/>
          <w:sz w:val="20"/>
          <w:szCs w:val="20"/>
          <w:lang w:val="en-US"/>
        </w:rPr>
        <w:t xml:space="preserve">the process of enforcing </w:t>
      </w:r>
      <w:r w:rsidRPr="008A3740">
        <w:rPr>
          <w:rFonts w:ascii="Verdana" w:eastAsia="Times" w:hAnsi="Verdana"/>
          <w:sz w:val="20"/>
          <w:szCs w:val="20"/>
          <w:lang w:val="en-US"/>
        </w:rPr>
        <w:t>judicial decisions w</w:t>
      </w:r>
      <w:r w:rsidR="00C138D8" w:rsidRPr="008A3740">
        <w:rPr>
          <w:rFonts w:ascii="Verdana" w:eastAsia="Times" w:hAnsi="Verdana"/>
          <w:sz w:val="20"/>
          <w:szCs w:val="20"/>
          <w:lang w:val="en-US"/>
        </w:rPr>
        <w:t xml:space="preserve">as carried out </w:t>
      </w:r>
      <w:r w:rsidRPr="008A3740">
        <w:rPr>
          <w:rFonts w:ascii="Verdana" w:eastAsia="Times" w:hAnsi="Verdana"/>
          <w:sz w:val="20"/>
          <w:szCs w:val="20"/>
          <w:lang w:val="en-US"/>
        </w:rPr>
        <w:t>at the request of the party,”</w:t>
      </w:r>
      <w:r w:rsidR="00C138D8" w:rsidRPr="008A3740">
        <w:rPr>
          <w:rFonts w:ascii="Verdana" w:eastAsia="Times" w:hAnsi="Verdana"/>
          <w:sz w:val="20"/>
          <w:szCs w:val="20"/>
          <w:lang w:val="en-US"/>
        </w:rPr>
        <w:t xml:space="preserve"> who </w:t>
      </w:r>
      <w:r w:rsidRPr="008A3740">
        <w:rPr>
          <w:rFonts w:ascii="Verdana" w:eastAsia="Times" w:hAnsi="Verdana"/>
          <w:sz w:val="20"/>
          <w:szCs w:val="20"/>
          <w:lang w:val="en-US"/>
        </w:rPr>
        <w:t>“</w:t>
      </w:r>
      <w:r w:rsidR="00C138D8" w:rsidRPr="008A3740">
        <w:rPr>
          <w:rFonts w:ascii="Verdana" w:eastAsia="Times" w:hAnsi="Verdana"/>
          <w:sz w:val="20"/>
          <w:szCs w:val="20"/>
          <w:lang w:val="en-US"/>
        </w:rPr>
        <w:t xml:space="preserve">claimed </w:t>
      </w:r>
      <w:r w:rsidRPr="008A3740">
        <w:rPr>
          <w:rFonts w:ascii="Verdana" w:eastAsia="Times" w:hAnsi="Verdana"/>
          <w:sz w:val="20"/>
          <w:szCs w:val="20"/>
          <w:lang w:val="en-US"/>
        </w:rPr>
        <w:t xml:space="preserve">interest and </w:t>
      </w:r>
      <w:r w:rsidR="00245C89" w:rsidRPr="008A3740">
        <w:rPr>
          <w:rFonts w:ascii="Verdana" w:eastAsia="Times" w:hAnsi="Verdana"/>
          <w:sz w:val="20"/>
          <w:szCs w:val="20"/>
          <w:lang w:val="en-US"/>
        </w:rPr>
        <w:t xml:space="preserve">legitimacy to </w:t>
      </w:r>
      <w:r w:rsidR="00C138D8" w:rsidRPr="008A3740">
        <w:rPr>
          <w:rFonts w:ascii="Verdana" w:eastAsia="Times" w:hAnsi="Verdana"/>
          <w:sz w:val="20"/>
          <w:szCs w:val="20"/>
          <w:lang w:val="en-US"/>
        </w:rPr>
        <w:t>act;</w:t>
      </w:r>
      <w:r w:rsidR="008B2109" w:rsidRPr="008A3740">
        <w:rPr>
          <w:rFonts w:ascii="Verdana" w:eastAsia="Times" w:hAnsi="Verdana"/>
          <w:sz w:val="20"/>
          <w:szCs w:val="20"/>
          <w:lang w:val="en-US"/>
        </w:rPr>
        <w:t>”</w:t>
      </w:r>
      <w:r w:rsidRPr="008A3740">
        <w:rPr>
          <w:rFonts w:ascii="Verdana" w:eastAsia="Times" w:hAnsi="Verdana"/>
          <w:sz w:val="20"/>
          <w:szCs w:val="20"/>
          <w:lang w:val="en-US"/>
        </w:rPr>
        <w:t xml:space="preserve"> </w:t>
      </w:r>
      <w:r w:rsidR="00C138D8" w:rsidRPr="008A3740">
        <w:rPr>
          <w:rFonts w:ascii="Verdana" w:eastAsia="Times" w:hAnsi="Verdana"/>
          <w:sz w:val="20"/>
          <w:szCs w:val="20"/>
          <w:lang w:val="en-US"/>
        </w:rPr>
        <w:t xml:space="preserve">therefore, </w:t>
      </w:r>
      <w:r w:rsidRPr="008A3740">
        <w:rPr>
          <w:rFonts w:ascii="Verdana" w:eastAsia="Times" w:hAnsi="Verdana"/>
          <w:sz w:val="20"/>
          <w:szCs w:val="20"/>
          <w:lang w:val="en-US"/>
        </w:rPr>
        <w:t xml:space="preserve">Mr. Muelle Flores, </w:t>
      </w:r>
      <w:r w:rsidR="000E0D7D" w:rsidRPr="008A3740">
        <w:rPr>
          <w:rFonts w:ascii="Verdana" w:eastAsia="Times" w:hAnsi="Verdana"/>
          <w:sz w:val="20"/>
          <w:szCs w:val="20"/>
          <w:lang w:val="en-US"/>
        </w:rPr>
        <w:t xml:space="preserve">being the </w:t>
      </w:r>
      <w:r w:rsidR="00C138D8" w:rsidRPr="008A3740">
        <w:rPr>
          <w:rFonts w:ascii="Verdana" w:eastAsia="Times" w:hAnsi="Verdana"/>
          <w:sz w:val="20"/>
          <w:szCs w:val="20"/>
          <w:lang w:val="en-US"/>
        </w:rPr>
        <w:t xml:space="preserve">right </w:t>
      </w:r>
      <w:r w:rsidR="000E0D7D" w:rsidRPr="008A3740">
        <w:rPr>
          <w:rFonts w:ascii="Verdana" w:eastAsia="Times" w:hAnsi="Verdana"/>
          <w:sz w:val="20"/>
          <w:szCs w:val="20"/>
          <w:lang w:val="en-US"/>
        </w:rPr>
        <w:t>holder</w:t>
      </w:r>
      <w:r w:rsidRPr="008A3740">
        <w:rPr>
          <w:rFonts w:ascii="Verdana" w:eastAsia="Times" w:hAnsi="Verdana"/>
          <w:sz w:val="20"/>
          <w:szCs w:val="20"/>
          <w:lang w:val="en-US"/>
        </w:rPr>
        <w:t xml:space="preserve">, </w:t>
      </w:r>
      <w:r w:rsidR="000E0D7D" w:rsidRPr="008A3740">
        <w:rPr>
          <w:rFonts w:ascii="Verdana" w:eastAsia="Times" w:hAnsi="Verdana"/>
          <w:sz w:val="20"/>
          <w:szCs w:val="20"/>
          <w:lang w:val="en-US"/>
        </w:rPr>
        <w:t xml:space="preserve">should </w:t>
      </w:r>
      <w:r w:rsidRPr="008A3740">
        <w:rPr>
          <w:rFonts w:ascii="Verdana" w:eastAsia="Times" w:hAnsi="Verdana"/>
          <w:sz w:val="20"/>
          <w:szCs w:val="20"/>
          <w:lang w:val="en-US"/>
        </w:rPr>
        <w:t xml:space="preserve">have requested </w:t>
      </w:r>
      <w:r w:rsidR="00C138D8" w:rsidRPr="008A3740">
        <w:rPr>
          <w:rFonts w:ascii="Verdana" w:eastAsia="Times" w:hAnsi="Verdana"/>
          <w:sz w:val="20"/>
          <w:szCs w:val="20"/>
          <w:lang w:val="en-US"/>
        </w:rPr>
        <w:t xml:space="preserve">the </w:t>
      </w:r>
      <w:r w:rsidRPr="008A3740">
        <w:rPr>
          <w:rFonts w:ascii="Verdana" w:eastAsia="Times" w:hAnsi="Verdana"/>
          <w:sz w:val="20"/>
          <w:szCs w:val="20"/>
          <w:lang w:val="en-US"/>
        </w:rPr>
        <w:t xml:space="preserve">formal </w:t>
      </w:r>
      <w:r w:rsidR="000E0D7D" w:rsidRPr="008A3740">
        <w:rPr>
          <w:rFonts w:ascii="Verdana" w:eastAsia="Times" w:hAnsi="Verdana"/>
          <w:sz w:val="20"/>
          <w:szCs w:val="20"/>
          <w:lang w:val="en-US"/>
        </w:rPr>
        <w:t xml:space="preserve">summons of </w:t>
      </w:r>
      <w:r w:rsidRPr="008A3740">
        <w:rPr>
          <w:rFonts w:ascii="Verdana" w:eastAsia="Times" w:hAnsi="Verdana"/>
          <w:sz w:val="20"/>
          <w:szCs w:val="20"/>
          <w:lang w:val="en-US"/>
        </w:rPr>
        <w:t xml:space="preserve">the MEF but did not do so, which “has not </w:t>
      </w:r>
      <w:r w:rsidR="00FF266D" w:rsidRPr="008A3740">
        <w:rPr>
          <w:rFonts w:ascii="Verdana" w:eastAsia="Times" w:hAnsi="Verdana"/>
          <w:sz w:val="20"/>
          <w:szCs w:val="20"/>
          <w:lang w:val="en-US"/>
        </w:rPr>
        <w:t xml:space="preserve">helped to clarify </w:t>
      </w:r>
      <w:r w:rsidRPr="008A3740">
        <w:rPr>
          <w:rFonts w:ascii="Verdana" w:eastAsia="Times" w:hAnsi="Verdana"/>
          <w:sz w:val="20"/>
          <w:szCs w:val="20"/>
          <w:lang w:val="en-US"/>
        </w:rPr>
        <w:t xml:space="preserve">the </w:t>
      </w:r>
      <w:r w:rsidR="00CF3569" w:rsidRPr="008A3740">
        <w:rPr>
          <w:rFonts w:ascii="Verdana" w:eastAsia="Times" w:hAnsi="Verdana"/>
          <w:sz w:val="20"/>
          <w:szCs w:val="20"/>
          <w:lang w:val="en-US"/>
        </w:rPr>
        <w:t xml:space="preserve">legal </w:t>
      </w:r>
      <w:r w:rsidR="000E0D7D" w:rsidRPr="008A3740">
        <w:rPr>
          <w:rFonts w:ascii="Verdana" w:eastAsia="Times" w:hAnsi="Verdana"/>
          <w:sz w:val="20"/>
          <w:szCs w:val="20"/>
          <w:lang w:val="en-US"/>
        </w:rPr>
        <w:t>problem</w:t>
      </w:r>
      <w:r w:rsidRPr="008A3740">
        <w:rPr>
          <w:rFonts w:ascii="Verdana" w:eastAsia="Times" w:hAnsi="Verdana"/>
          <w:sz w:val="20"/>
          <w:szCs w:val="20"/>
          <w:lang w:val="en-US"/>
        </w:rPr>
        <w:t xml:space="preserve">, [but on the contrary] has, in some way, </w:t>
      </w:r>
      <w:r w:rsidR="00C138D8" w:rsidRPr="008A3740">
        <w:rPr>
          <w:rFonts w:ascii="Verdana" w:eastAsia="Times" w:hAnsi="Verdana"/>
          <w:sz w:val="20"/>
          <w:szCs w:val="20"/>
          <w:lang w:val="en-US"/>
        </w:rPr>
        <w:t xml:space="preserve">led to </w:t>
      </w:r>
      <w:r w:rsidRPr="008A3740">
        <w:rPr>
          <w:rFonts w:ascii="Verdana" w:eastAsia="Times" w:hAnsi="Verdana"/>
          <w:sz w:val="20"/>
          <w:szCs w:val="20"/>
          <w:lang w:val="en-US"/>
        </w:rPr>
        <w:t xml:space="preserve">confusion </w:t>
      </w:r>
      <w:r w:rsidR="00C138D8" w:rsidRPr="008A3740">
        <w:rPr>
          <w:rFonts w:ascii="Verdana" w:eastAsia="Times" w:hAnsi="Verdana"/>
          <w:sz w:val="20"/>
          <w:szCs w:val="20"/>
          <w:lang w:val="en-US"/>
        </w:rPr>
        <w:t xml:space="preserve">in the judicial </w:t>
      </w:r>
      <w:r w:rsidRPr="008A3740">
        <w:rPr>
          <w:rFonts w:ascii="Verdana" w:eastAsia="Times" w:hAnsi="Verdana"/>
          <w:sz w:val="20"/>
          <w:szCs w:val="20"/>
          <w:lang w:val="en-US"/>
        </w:rPr>
        <w:t>authority</w:t>
      </w:r>
      <w:r w:rsidR="00C138D8" w:rsidRPr="008A3740">
        <w:rPr>
          <w:rFonts w:ascii="Verdana" w:eastAsia="Times" w:hAnsi="Verdana"/>
          <w:sz w:val="20"/>
          <w:szCs w:val="20"/>
          <w:lang w:val="en-US"/>
        </w:rPr>
        <w:t>.”</w:t>
      </w:r>
      <w:r w:rsidRPr="008A3740">
        <w:rPr>
          <w:rFonts w:ascii="Verdana" w:eastAsia="Times" w:hAnsi="Verdana"/>
          <w:b/>
          <w:sz w:val="20"/>
          <w:szCs w:val="20"/>
          <w:lang w:val="en-US"/>
        </w:rPr>
        <w:t xml:space="preserve"> </w:t>
      </w:r>
      <w:r w:rsidRPr="008A3740">
        <w:rPr>
          <w:rFonts w:ascii="Verdana" w:eastAsia="Times" w:hAnsi="Verdana"/>
          <w:sz w:val="20"/>
          <w:szCs w:val="20"/>
          <w:lang w:val="en-US"/>
        </w:rPr>
        <w:t xml:space="preserve">However, the State </w:t>
      </w:r>
      <w:r w:rsidR="00CF3569" w:rsidRPr="008A3740">
        <w:rPr>
          <w:rFonts w:ascii="Verdana" w:eastAsia="Times" w:hAnsi="Verdana"/>
          <w:sz w:val="20"/>
          <w:szCs w:val="20"/>
          <w:lang w:val="en-US"/>
        </w:rPr>
        <w:t xml:space="preserve">stressed </w:t>
      </w:r>
      <w:r w:rsidR="00245C89" w:rsidRPr="008A3740">
        <w:rPr>
          <w:rFonts w:ascii="Verdana" w:eastAsia="Times" w:hAnsi="Verdana"/>
          <w:sz w:val="20"/>
          <w:szCs w:val="20"/>
          <w:lang w:val="en-US"/>
        </w:rPr>
        <w:t xml:space="preserve">that it </w:t>
      </w:r>
      <w:r w:rsidR="00CF3569" w:rsidRPr="008A3740">
        <w:rPr>
          <w:rFonts w:ascii="Verdana" w:eastAsia="Times" w:hAnsi="Verdana"/>
          <w:sz w:val="20"/>
          <w:szCs w:val="20"/>
          <w:lang w:val="en-US"/>
        </w:rPr>
        <w:t xml:space="preserve">was not trying </w:t>
      </w:r>
      <w:r w:rsidR="00245C89" w:rsidRPr="008A3740">
        <w:rPr>
          <w:rFonts w:ascii="Verdana" w:eastAsia="Times" w:hAnsi="Verdana"/>
          <w:sz w:val="20"/>
          <w:szCs w:val="20"/>
          <w:lang w:val="en-US"/>
        </w:rPr>
        <w:t xml:space="preserve">to “elude </w:t>
      </w:r>
      <w:r w:rsidR="00CF3569" w:rsidRPr="008A3740">
        <w:rPr>
          <w:rFonts w:ascii="Verdana" w:eastAsia="Times" w:hAnsi="Verdana"/>
          <w:sz w:val="20"/>
          <w:szCs w:val="20"/>
          <w:lang w:val="en-US"/>
        </w:rPr>
        <w:t>[</w:t>
      </w:r>
      <w:r w:rsidR="00245C89" w:rsidRPr="008A3740">
        <w:rPr>
          <w:rFonts w:ascii="Verdana" w:eastAsia="Times" w:hAnsi="Verdana"/>
          <w:sz w:val="20"/>
          <w:szCs w:val="20"/>
          <w:lang w:val="en-US"/>
        </w:rPr>
        <w:t>its</w:t>
      </w:r>
      <w:r w:rsidR="00CF3569" w:rsidRPr="008A3740">
        <w:rPr>
          <w:rFonts w:ascii="Verdana" w:eastAsia="Times" w:hAnsi="Verdana"/>
          <w:sz w:val="20"/>
          <w:szCs w:val="20"/>
          <w:lang w:val="en-US"/>
        </w:rPr>
        <w:t>]</w:t>
      </w:r>
      <w:r w:rsidRPr="008A3740">
        <w:rPr>
          <w:rFonts w:ascii="Verdana" w:eastAsia="Times" w:hAnsi="Verdana"/>
          <w:sz w:val="20"/>
          <w:szCs w:val="20"/>
          <w:lang w:val="en-US"/>
        </w:rPr>
        <w:t xml:space="preserve"> obligation</w:t>
      </w:r>
      <w:r w:rsidR="00390280" w:rsidRPr="008A3740">
        <w:rPr>
          <w:rFonts w:ascii="Verdana" w:eastAsia="Times" w:hAnsi="Verdana"/>
          <w:sz w:val="20"/>
          <w:szCs w:val="20"/>
          <w:lang w:val="en-US"/>
        </w:rPr>
        <w:t>s</w:t>
      </w:r>
      <w:r w:rsidRPr="008A3740">
        <w:rPr>
          <w:rFonts w:ascii="Verdana" w:eastAsia="Times" w:hAnsi="Verdana"/>
          <w:sz w:val="20"/>
          <w:szCs w:val="20"/>
          <w:lang w:val="en-US"/>
        </w:rPr>
        <w:t xml:space="preserve"> </w:t>
      </w:r>
      <w:r w:rsidR="008B2109" w:rsidRPr="008A3740">
        <w:rPr>
          <w:rFonts w:ascii="Verdana" w:eastAsia="Times" w:hAnsi="Verdana"/>
          <w:sz w:val="20"/>
          <w:szCs w:val="20"/>
          <w:lang w:val="en-US"/>
        </w:rPr>
        <w:t xml:space="preserve">regarding </w:t>
      </w:r>
      <w:r w:rsidRPr="008A3740">
        <w:rPr>
          <w:rFonts w:ascii="Verdana" w:eastAsia="Times" w:hAnsi="Verdana"/>
          <w:sz w:val="20"/>
          <w:szCs w:val="20"/>
          <w:lang w:val="en-US"/>
        </w:rPr>
        <w:t>Mr. Oscar Muelle Flores</w:t>
      </w:r>
      <w:r w:rsidR="00245C89" w:rsidRPr="008A3740">
        <w:rPr>
          <w:rFonts w:ascii="Verdana" w:eastAsia="Times" w:hAnsi="Verdana"/>
          <w:sz w:val="20"/>
          <w:szCs w:val="20"/>
          <w:lang w:val="en-US"/>
        </w:rPr>
        <w:t>’ pension</w:t>
      </w:r>
      <w:r w:rsidR="00390280" w:rsidRPr="008A3740">
        <w:rPr>
          <w:rFonts w:ascii="Verdana" w:eastAsia="Times" w:hAnsi="Verdana"/>
          <w:sz w:val="20"/>
          <w:szCs w:val="20"/>
          <w:lang w:val="en-US"/>
        </w:rPr>
        <w:t>”</w:t>
      </w:r>
      <w:r w:rsidRPr="008A3740">
        <w:rPr>
          <w:rFonts w:ascii="Verdana" w:eastAsia="Times" w:hAnsi="Verdana"/>
          <w:sz w:val="20"/>
          <w:szCs w:val="20"/>
          <w:lang w:val="en-US"/>
        </w:rPr>
        <w:t xml:space="preserve"> </w:t>
      </w:r>
      <w:r w:rsidR="005C6B72" w:rsidRPr="008A3740">
        <w:rPr>
          <w:rFonts w:ascii="Verdana" w:eastAsia="Times" w:hAnsi="Verdana"/>
          <w:sz w:val="20"/>
          <w:szCs w:val="20"/>
          <w:lang w:val="en-US"/>
        </w:rPr>
        <w:t xml:space="preserve">and expressed its willingness </w:t>
      </w:r>
      <w:r w:rsidRPr="008A3740">
        <w:rPr>
          <w:rFonts w:ascii="Verdana" w:eastAsia="Times" w:hAnsi="Verdana"/>
          <w:sz w:val="20"/>
          <w:szCs w:val="20"/>
          <w:lang w:val="en-US"/>
        </w:rPr>
        <w:t xml:space="preserve">to comply with the </w:t>
      </w:r>
      <w:r w:rsidR="00CF3569" w:rsidRPr="008A3740">
        <w:rPr>
          <w:rFonts w:ascii="Verdana" w:eastAsia="Times" w:hAnsi="Verdana"/>
          <w:sz w:val="20"/>
          <w:szCs w:val="20"/>
          <w:lang w:val="en-US"/>
        </w:rPr>
        <w:t>C</w:t>
      </w:r>
      <w:r w:rsidR="008B2109" w:rsidRPr="008A3740">
        <w:rPr>
          <w:rFonts w:ascii="Verdana" w:eastAsia="Times" w:hAnsi="Verdana"/>
          <w:sz w:val="20"/>
          <w:szCs w:val="20"/>
          <w:lang w:val="en-US"/>
        </w:rPr>
        <w:t>ourt</w:t>
      </w:r>
      <w:r w:rsidR="00CF3569" w:rsidRPr="008A3740">
        <w:rPr>
          <w:rFonts w:ascii="Verdana" w:eastAsia="Times" w:hAnsi="Verdana"/>
          <w:sz w:val="20"/>
          <w:szCs w:val="20"/>
          <w:lang w:val="en-US"/>
        </w:rPr>
        <w:t>’s</w:t>
      </w:r>
      <w:r w:rsidR="00FF266D" w:rsidRPr="008A3740">
        <w:rPr>
          <w:rFonts w:ascii="Verdana" w:eastAsia="Times" w:hAnsi="Verdana"/>
          <w:sz w:val="20"/>
          <w:szCs w:val="20"/>
          <w:lang w:val="en-US"/>
        </w:rPr>
        <w:t xml:space="preserve"> </w:t>
      </w:r>
      <w:r w:rsidRPr="008A3740">
        <w:rPr>
          <w:rFonts w:ascii="Verdana" w:eastAsia="Times" w:hAnsi="Verdana"/>
          <w:sz w:val="20"/>
          <w:szCs w:val="20"/>
          <w:lang w:val="en-US"/>
        </w:rPr>
        <w:t>order</w:t>
      </w:r>
      <w:r w:rsidR="00390280" w:rsidRPr="008A3740">
        <w:rPr>
          <w:rFonts w:ascii="Verdana" w:eastAsia="Times" w:hAnsi="Verdana"/>
          <w:sz w:val="20"/>
          <w:szCs w:val="20"/>
          <w:lang w:val="en-US"/>
        </w:rPr>
        <w:t>. It</w:t>
      </w:r>
      <w:r w:rsidRPr="008A3740">
        <w:rPr>
          <w:rFonts w:ascii="Verdana" w:eastAsia="Times" w:hAnsi="Verdana"/>
          <w:sz w:val="20"/>
          <w:szCs w:val="20"/>
          <w:lang w:val="en-US"/>
        </w:rPr>
        <w:t xml:space="preserve"> </w:t>
      </w:r>
      <w:r w:rsidR="00390280" w:rsidRPr="008A3740">
        <w:rPr>
          <w:rFonts w:ascii="Verdana" w:eastAsia="Times" w:hAnsi="Verdana"/>
          <w:sz w:val="20"/>
          <w:szCs w:val="20"/>
          <w:lang w:val="en-US"/>
        </w:rPr>
        <w:t>indicated</w:t>
      </w:r>
      <w:r w:rsidR="00CF3569" w:rsidRPr="008A3740">
        <w:rPr>
          <w:rFonts w:ascii="Verdana" w:eastAsia="Times" w:hAnsi="Verdana"/>
          <w:sz w:val="20"/>
          <w:szCs w:val="20"/>
          <w:lang w:val="en-US"/>
        </w:rPr>
        <w:t xml:space="preserve"> </w:t>
      </w:r>
      <w:r w:rsidR="008B2109" w:rsidRPr="008A3740">
        <w:rPr>
          <w:rFonts w:ascii="Verdana" w:eastAsia="Times" w:hAnsi="Verdana"/>
          <w:sz w:val="20"/>
          <w:szCs w:val="20"/>
          <w:lang w:val="en-US"/>
        </w:rPr>
        <w:t xml:space="preserve">that its </w:t>
      </w:r>
      <w:r w:rsidR="00245C89" w:rsidRPr="008A3740">
        <w:rPr>
          <w:rFonts w:ascii="Verdana" w:eastAsia="Times" w:hAnsi="Verdana"/>
          <w:sz w:val="20"/>
          <w:szCs w:val="20"/>
          <w:lang w:val="en-US"/>
        </w:rPr>
        <w:t xml:space="preserve">legal </w:t>
      </w:r>
      <w:r w:rsidR="00CF3569" w:rsidRPr="008A3740">
        <w:rPr>
          <w:rFonts w:ascii="Verdana" w:eastAsia="Times" w:hAnsi="Verdana"/>
          <w:sz w:val="20"/>
          <w:szCs w:val="20"/>
          <w:lang w:val="en-US"/>
        </w:rPr>
        <w:t xml:space="preserve">counsel </w:t>
      </w:r>
      <w:r w:rsidR="00390280" w:rsidRPr="008A3740">
        <w:rPr>
          <w:rFonts w:ascii="Verdana" w:eastAsia="Times" w:hAnsi="Verdana"/>
          <w:sz w:val="20"/>
          <w:szCs w:val="20"/>
          <w:lang w:val="en-US"/>
        </w:rPr>
        <w:t xml:space="preserve">would try to </w:t>
      </w:r>
      <w:r w:rsidRPr="008A3740">
        <w:rPr>
          <w:rFonts w:ascii="Verdana" w:eastAsia="Times" w:hAnsi="Verdana"/>
          <w:sz w:val="20"/>
          <w:szCs w:val="20"/>
          <w:lang w:val="en-US"/>
        </w:rPr>
        <w:t>explain the complexities of the case</w:t>
      </w:r>
      <w:r w:rsidR="00390280" w:rsidRPr="008A3740">
        <w:rPr>
          <w:rFonts w:ascii="Verdana" w:eastAsia="Times" w:hAnsi="Verdana"/>
          <w:sz w:val="20"/>
          <w:szCs w:val="20"/>
          <w:lang w:val="en-US"/>
        </w:rPr>
        <w:t xml:space="preserve"> to the Court</w:t>
      </w:r>
      <w:r w:rsidRPr="008A3740">
        <w:rPr>
          <w:rFonts w:ascii="Verdana" w:eastAsia="Times" w:hAnsi="Verdana"/>
          <w:sz w:val="20"/>
          <w:szCs w:val="20"/>
          <w:lang w:val="en-US"/>
        </w:rPr>
        <w:t xml:space="preserve">, </w:t>
      </w:r>
      <w:r w:rsidR="008B2109" w:rsidRPr="008A3740">
        <w:rPr>
          <w:rFonts w:ascii="Verdana" w:eastAsia="Times" w:hAnsi="Verdana"/>
          <w:sz w:val="20"/>
          <w:szCs w:val="20"/>
          <w:lang w:val="en-US"/>
        </w:rPr>
        <w:t xml:space="preserve">which in some way have affected </w:t>
      </w:r>
      <w:r w:rsidRPr="008A3740">
        <w:rPr>
          <w:rFonts w:ascii="Verdana" w:eastAsia="Times" w:hAnsi="Verdana"/>
          <w:sz w:val="20"/>
          <w:szCs w:val="20"/>
          <w:lang w:val="en-US"/>
        </w:rPr>
        <w:t xml:space="preserve">the alleged </w:t>
      </w:r>
      <w:r w:rsidR="007032D0" w:rsidRPr="008A3740">
        <w:rPr>
          <w:rFonts w:ascii="Verdana" w:eastAsia="Times" w:hAnsi="Verdana"/>
          <w:sz w:val="20"/>
          <w:szCs w:val="20"/>
          <w:lang w:val="en-US"/>
        </w:rPr>
        <w:t xml:space="preserve">failure to execute the </w:t>
      </w:r>
      <w:r w:rsidRPr="008A3740">
        <w:rPr>
          <w:rFonts w:ascii="Verdana" w:eastAsia="Times" w:hAnsi="Verdana"/>
          <w:sz w:val="20"/>
          <w:szCs w:val="20"/>
          <w:lang w:val="en-US"/>
        </w:rPr>
        <w:t xml:space="preserve">judgment, </w:t>
      </w:r>
      <w:r w:rsidR="007032D0" w:rsidRPr="008A3740">
        <w:rPr>
          <w:rFonts w:ascii="Verdana" w:eastAsia="Times" w:hAnsi="Verdana"/>
          <w:sz w:val="20"/>
          <w:szCs w:val="20"/>
          <w:lang w:val="en-US"/>
        </w:rPr>
        <w:t>given that</w:t>
      </w:r>
      <w:r w:rsidRPr="008A3740">
        <w:rPr>
          <w:rFonts w:ascii="Verdana" w:eastAsia="Times" w:hAnsi="Verdana"/>
          <w:sz w:val="20"/>
          <w:szCs w:val="20"/>
          <w:lang w:val="en-US"/>
        </w:rPr>
        <w:t xml:space="preserve">, </w:t>
      </w:r>
      <w:r w:rsidR="007032D0" w:rsidRPr="008A3740">
        <w:rPr>
          <w:rFonts w:ascii="Verdana" w:eastAsia="Times" w:hAnsi="Verdana"/>
          <w:sz w:val="20"/>
          <w:szCs w:val="20"/>
          <w:lang w:val="en-US"/>
        </w:rPr>
        <w:t xml:space="preserve">as a </w:t>
      </w:r>
      <w:r w:rsidR="00390280" w:rsidRPr="008A3740">
        <w:rPr>
          <w:rFonts w:ascii="Verdana" w:eastAsia="Times" w:hAnsi="Verdana"/>
          <w:sz w:val="20"/>
          <w:szCs w:val="20"/>
          <w:lang w:val="en-US"/>
        </w:rPr>
        <w:t xml:space="preserve">result </w:t>
      </w:r>
      <w:r w:rsidRPr="008A3740">
        <w:rPr>
          <w:rFonts w:ascii="Verdana" w:eastAsia="Times" w:hAnsi="Verdana"/>
          <w:sz w:val="20"/>
          <w:szCs w:val="20"/>
          <w:lang w:val="en-US"/>
        </w:rPr>
        <w:t xml:space="preserve">of the judicial debate </w:t>
      </w:r>
      <w:r w:rsidR="00390280" w:rsidRPr="008A3740">
        <w:rPr>
          <w:rFonts w:ascii="Verdana" w:eastAsia="Times" w:hAnsi="Verdana"/>
          <w:sz w:val="20"/>
          <w:szCs w:val="20"/>
          <w:lang w:val="en-US"/>
        </w:rPr>
        <w:t xml:space="preserve">that is </w:t>
      </w:r>
      <w:r w:rsidRPr="008A3740">
        <w:rPr>
          <w:rFonts w:ascii="Verdana" w:eastAsia="Times" w:hAnsi="Verdana"/>
          <w:sz w:val="20"/>
          <w:szCs w:val="20"/>
          <w:lang w:val="en-US"/>
        </w:rPr>
        <w:t xml:space="preserve">still </w:t>
      </w:r>
      <w:r w:rsidR="00245C89" w:rsidRPr="008A3740">
        <w:rPr>
          <w:rFonts w:ascii="Verdana" w:eastAsia="Times" w:hAnsi="Verdana"/>
          <w:sz w:val="20"/>
          <w:szCs w:val="20"/>
          <w:lang w:val="en-US"/>
        </w:rPr>
        <w:t>under way</w:t>
      </w:r>
      <w:r w:rsidRPr="008A3740">
        <w:rPr>
          <w:rFonts w:ascii="Verdana" w:eastAsia="Times" w:hAnsi="Verdana"/>
          <w:sz w:val="20"/>
          <w:szCs w:val="20"/>
          <w:lang w:val="en-US"/>
        </w:rPr>
        <w:t>, it has not been determined who should e</w:t>
      </w:r>
      <w:r w:rsidR="00390280" w:rsidRPr="008A3740">
        <w:rPr>
          <w:rFonts w:ascii="Verdana" w:eastAsia="Times" w:hAnsi="Verdana"/>
          <w:sz w:val="20"/>
          <w:szCs w:val="20"/>
          <w:lang w:val="en-US"/>
        </w:rPr>
        <w:t xml:space="preserve">xecute </w:t>
      </w:r>
      <w:r w:rsidRPr="008A3740">
        <w:rPr>
          <w:rFonts w:ascii="Verdana" w:eastAsia="Times" w:hAnsi="Verdana"/>
          <w:sz w:val="20"/>
          <w:szCs w:val="20"/>
          <w:lang w:val="en-US"/>
        </w:rPr>
        <w:t xml:space="preserve">the </w:t>
      </w:r>
      <w:r w:rsidR="00390280" w:rsidRPr="008A3740">
        <w:rPr>
          <w:rFonts w:ascii="Verdana" w:eastAsia="Times" w:hAnsi="Verdana"/>
          <w:sz w:val="20"/>
          <w:szCs w:val="20"/>
          <w:lang w:val="en-US"/>
        </w:rPr>
        <w:t xml:space="preserve">decision </w:t>
      </w:r>
      <w:r w:rsidRPr="008A3740">
        <w:rPr>
          <w:rFonts w:ascii="Verdana" w:eastAsia="Times" w:hAnsi="Verdana"/>
          <w:sz w:val="20"/>
          <w:szCs w:val="20"/>
          <w:lang w:val="en-US"/>
        </w:rPr>
        <w:t>in favor of Mr. Muelle Flores.</w:t>
      </w:r>
    </w:p>
    <w:p w14:paraId="56534142" w14:textId="77777777" w:rsidR="008E6A56" w:rsidRPr="008A3740" w:rsidRDefault="008E6A56" w:rsidP="008E6A56">
      <w:pPr>
        <w:widowControl/>
        <w:tabs>
          <w:tab w:val="left" w:pos="567"/>
          <w:tab w:val="left" w:pos="720"/>
        </w:tabs>
        <w:adjustRightInd/>
        <w:textAlignment w:val="auto"/>
        <w:rPr>
          <w:rFonts w:ascii="Verdana" w:eastAsia="Times" w:hAnsi="Verdana"/>
          <w:sz w:val="20"/>
          <w:szCs w:val="20"/>
          <w:lang w:val="en-US"/>
        </w:rPr>
      </w:pPr>
    </w:p>
    <w:p w14:paraId="52FB57E4" w14:textId="77777777" w:rsidR="008E6A56" w:rsidRPr="008A3740" w:rsidRDefault="008B2109"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eastAsia="Times" w:hAnsi="Verdana"/>
          <w:sz w:val="20"/>
          <w:szCs w:val="20"/>
          <w:lang w:val="en-US"/>
        </w:rPr>
        <w:t>T</w:t>
      </w:r>
      <w:r w:rsidR="008E6A56" w:rsidRPr="008A3740">
        <w:rPr>
          <w:rFonts w:ascii="Verdana" w:eastAsia="Times" w:hAnsi="Verdana"/>
          <w:sz w:val="20"/>
          <w:szCs w:val="20"/>
          <w:lang w:val="en-US"/>
        </w:rPr>
        <w:t xml:space="preserve">he State </w:t>
      </w:r>
      <w:r w:rsidRPr="008A3740">
        <w:rPr>
          <w:rFonts w:ascii="Verdana" w:eastAsia="Times" w:hAnsi="Verdana"/>
          <w:sz w:val="20"/>
          <w:szCs w:val="20"/>
          <w:lang w:val="en-US"/>
        </w:rPr>
        <w:t xml:space="preserve">further </w:t>
      </w:r>
      <w:r w:rsidR="008E6A56" w:rsidRPr="008A3740">
        <w:rPr>
          <w:rFonts w:ascii="Verdana" w:eastAsia="Times" w:hAnsi="Verdana"/>
          <w:sz w:val="20"/>
          <w:szCs w:val="20"/>
          <w:lang w:val="en-US"/>
        </w:rPr>
        <w:t xml:space="preserve">argued that the </w:t>
      </w:r>
      <w:r w:rsidR="008E6A56" w:rsidRPr="008A3740">
        <w:rPr>
          <w:rFonts w:ascii="Verdana" w:hAnsi="Verdana"/>
          <w:sz w:val="20"/>
          <w:szCs w:val="20"/>
          <w:lang w:val="en-US"/>
        </w:rPr>
        <w:t xml:space="preserve">private company </w:t>
      </w:r>
      <w:r w:rsidR="007D1347" w:rsidRPr="008A3740">
        <w:rPr>
          <w:rFonts w:ascii="Verdana" w:hAnsi="Verdana"/>
          <w:sz w:val="20"/>
          <w:szCs w:val="20"/>
          <w:lang w:val="en-US"/>
        </w:rPr>
        <w:t xml:space="preserve">had </w:t>
      </w:r>
      <w:r w:rsidR="008E6A56" w:rsidRPr="008A3740">
        <w:rPr>
          <w:rFonts w:ascii="Verdana" w:hAnsi="Verdana"/>
          <w:sz w:val="20"/>
          <w:szCs w:val="20"/>
          <w:lang w:val="en-US"/>
        </w:rPr>
        <w:t>made partial payments to Mr.</w:t>
      </w:r>
      <w:r w:rsidR="008E6A56" w:rsidRPr="008A3740">
        <w:rPr>
          <w:rFonts w:ascii="Verdana" w:eastAsia="Times" w:hAnsi="Verdana"/>
          <w:sz w:val="20"/>
          <w:szCs w:val="20"/>
          <w:lang w:val="en-US"/>
        </w:rPr>
        <w:t xml:space="preserve"> </w:t>
      </w:r>
      <w:r w:rsidR="008E6A56" w:rsidRPr="008A3740">
        <w:rPr>
          <w:rFonts w:ascii="Verdana" w:hAnsi="Verdana"/>
          <w:sz w:val="20"/>
          <w:szCs w:val="20"/>
          <w:lang w:val="en-US"/>
        </w:rPr>
        <w:t xml:space="preserve">Muelle </w:t>
      </w:r>
      <w:r w:rsidRPr="008A3740">
        <w:rPr>
          <w:rFonts w:ascii="Verdana" w:hAnsi="Verdana"/>
          <w:sz w:val="20"/>
          <w:szCs w:val="20"/>
          <w:lang w:val="en-US"/>
        </w:rPr>
        <w:t xml:space="preserve">after </w:t>
      </w:r>
      <w:r w:rsidR="00FF266D" w:rsidRPr="008A3740">
        <w:rPr>
          <w:rFonts w:ascii="Verdana" w:hAnsi="Verdana"/>
          <w:sz w:val="20"/>
          <w:szCs w:val="20"/>
          <w:lang w:val="en-US"/>
        </w:rPr>
        <w:t xml:space="preserve">the Supreme Court ruling of </w:t>
      </w:r>
      <w:r w:rsidR="008E6A56" w:rsidRPr="008A3740">
        <w:rPr>
          <w:rFonts w:ascii="Verdana" w:hAnsi="Verdana"/>
          <w:sz w:val="20"/>
          <w:szCs w:val="20"/>
          <w:lang w:val="en-US"/>
        </w:rPr>
        <w:t xml:space="preserve">February 2, 1993. Those </w:t>
      </w:r>
      <w:r w:rsidR="008E6A56" w:rsidRPr="008A3740">
        <w:rPr>
          <w:rFonts w:ascii="Verdana" w:eastAsia="Times" w:hAnsi="Verdana"/>
          <w:sz w:val="20"/>
          <w:szCs w:val="20"/>
          <w:lang w:val="en-US"/>
        </w:rPr>
        <w:t xml:space="preserve">amounts corresponded </w:t>
      </w:r>
      <w:r w:rsidR="008E6A56" w:rsidRPr="008A3740">
        <w:rPr>
          <w:rFonts w:ascii="Verdana" w:hAnsi="Verdana"/>
          <w:sz w:val="20"/>
          <w:szCs w:val="20"/>
          <w:lang w:val="en-US"/>
        </w:rPr>
        <w:t xml:space="preserve">to the pension payments that </w:t>
      </w:r>
      <w:r w:rsidR="0032230F" w:rsidRPr="008A3740">
        <w:rPr>
          <w:rFonts w:ascii="Verdana" w:hAnsi="Verdana"/>
          <w:sz w:val="20"/>
          <w:szCs w:val="20"/>
          <w:lang w:val="en-US"/>
        </w:rPr>
        <w:t xml:space="preserve">he should have received </w:t>
      </w:r>
      <w:r w:rsidR="008E6A56" w:rsidRPr="008A3740">
        <w:rPr>
          <w:rFonts w:ascii="Verdana" w:hAnsi="Verdana"/>
          <w:sz w:val="20"/>
          <w:szCs w:val="20"/>
          <w:lang w:val="en-US"/>
        </w:rPr>
        <w:t xml:space="preserve">since 1991, </w:t>
      </w:r>
      <w:r w:rsidR="0032230F" w:rsidRPr="008A3740">
        <w:rPr>
          <w:rFonts w:ascii="Verdana" w:hAnsi="Verdana"/>
          <w:sz w:val="20"/>
          <w:szCs w:val="20"/>
          <w:lang w:val="en-US"/>
        </w:rPr>
        <w:t xml:space="preserve">that is, he </w:t>
      </w:r>
      <w:r w:rsidR="008E6A56" w:rsidRPr="008A3740">
        <w:rPr>
          <w:rFonts w:ascii="Verdana" w:hAnsi="Verdana"/>
          <w:sz w:val="20"/>
          <w:szCs w:val="20"/>
          <w:lang w:val="en-US"/>
        </w:rPr>
        <w:t xml:space="preserve">received the payments corresponding </w:t>
      </w:r>
      <w:r w:rsidR="007D1347" w:rsidRPr="008A3740">
        <w:rPr>
          <w:rFonts w:ascii="Verdana" w:hAnsi="Verdana"/>
          <w:sz w:val="20"/>
          <w:szCs w:val="20"/>
          <w:lang w:val="en-US"/>
        </w:rPr>
        <w:t>to the period from 1991 to 2001;</w:t>
      </w:r>
      <w:r w:rsidR="008E6A56" w:rsidRPr="008A3740">
        <w:rPr>
          <w:rFonts w:ascii="Verdana" w:hAnsi="Verdana"/>
          <w:sz w:val="20"/>
          <w:szCs w:val="20"/>
          <w:lang w:val="en-US"/>
        </w:rPr>
        <w:t xml:space="preserve"> </w:t>
      </w:r>
      <w:r w:rsidR="007D1347" w:rsidRPr="008A3740">
        <w:rPr>
          <w:rFonts w:ascii="Verdana" w:hAnsi="Verdana"/>
          <w:sz w:val="20"/>
          <w:szCs w:val="20"/>
          <w:lang w:val="en-US"/>
        </w:rPr>
        <w:t xml:space="preserve">thus, </w:t>
      </w:r>
      <w:r w:rsidR="00B53299" w:rsidRPr="008A3740">
        <w:rPr>
          <w:rFonts w:ascii="Verdana" w:hAnsi="Verdana"/>
          <w:sz w:val="20"/>
          <w:szCs w:val="20"/>
          <w:lang w:val="en-US"/>
        </w:rPr>
        <w:t xml:space="preserve">it could not </w:t>
      </w:r>
      <w:r w:rsidR="007D1347" w:rsidRPr="008A3740">
        <w:rPr>
          <w:rFonts w:ascii="Verdana" w:hAnsi="Verdana"/>
          <w:sz w:val="20"/>
          <w:szCs w:val="20"/>
          <w:lang w:val="en-US"/>
        </w:rPr>
        <w:t xml:space="preserve">be </w:t>
      </w:r>
      <w:r w:rsidR="0032230F" w:rsidRPr="008A3740">
        <w:rPr>
          <w:rFonts w:ascii="Verdana" w:hAnsi="Verdana"/>
          <w:sz w:val="20"/>
          <w:szCs w:val="20"/>
          <w:lang w:val="en-US"/>
        </w:rPr>
        <w:t xml:space="preserve">categorically </w:t>
      </w:r>
      <w:r w:rsidR="007D1347" w:rsidRPr="008A3740">
        <w:rPr>
          <w:rFonts w:ascii="Verdana" w:hAnsi="Verdana"/>
          <w:sz w:val="20"/>
          <w:szCs w:val="20"/>
          <w:lang w:val="en-US"/>
        </w:rPr>
        <w:t xml:space="preserve">stated </w:t>
      </w:r>
      <w:r w:rsidR="008E6A56" w:rsidRPr="008A3740">
        <w:rPr>
          <w:rFonts w:ascii="Verdana" w:hAnsi="Verdana"/>
          <w:sz w:val="20"/>
          <w:szCs w:val="20"/>
          <w:lang w:val="en-US"/>
        </w:rPr>
        <w:t xml:space="preserve">that the remedy was ineffective. </w:t>
      </w:r>
    </w:p>
    <w:p w14:paraId="0F67BAA5" w14:textId="77777777" w:rsidR="008E6A56" w:rsidRPr="008A3740" w:rsidRDefault="008E6A56" w:rsidP="008E6A56">
      <w:pPr>
        <w:widowControl/>
        <w:tabs>
          <w:tab w:val="left" w:pos="567"/>
          <w:tab w:val="left" w:pos="720"/>
        </w:tabs>
        <w:adjustRightInd/>
        <w:textAlignment w:val="auto"/>
        <w:rPr>
          <w:rFonts w:ascii="Verdana" w:eastAsia="Times" w:hAnsi="Verdana"/>
          <w:sz w:val="20"/>
          <w:szCs w:val="20"/>
          <w:lang w:val="en-US"/>
        </w:rPr>
      </w:pPr>
    </w:p>
    <w:p w14:paraId="1970063D" w14:textId="77777777" w:rsidR="008E6A56" w:rsidRPr="008A3740" w:rsidRDefault="00ED58EC"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eastAsia="Times" w:hAnsi="Verdana"/>
          <w:sz w:val="20"/>
          <w:szCs w:val="20"/>
          <w:lang w:val="en-US"/>
        </w:rPr>
        <w:t xml:space="preserve">As to </w:t>
      </w:r>
      <w:r w:rsidR="008E6A56" w:rsidRPr="008A3740">
        <w:rPr>
          <w:rFonts w:ascii="Verdana" w:eastAsia="Times" w:hAnsi="Verdana"/>
          <w:sz w:val="20"/>
          <w:szCs w:val="20"/>
          <w:lang w:val="en-US"/>
        </w:rPr>
        <w:t>the measures adopted by virtue of the privatization</w:t>
      </w:r>
      <w:r w:rsidRPr="008A3740">
        <w:rPr>
          <w:rFonts w:ascii="Verdana" w:eastAsia="Times" w:hAnsi="Verdana"/>
          <w:sz w:val="20"/>
          <w:szCs w:val="20"/>
          <w:lang w:val="en-US"/>
        </w:rPr>
        <w:t xml:space="preserve"> process</w:t>
      </w:r>
      <w:r w:rsidR="008E6A56" w:rsidRPr="008A3740">
        <w:rPr>
          <w:rFonts w:ascii="Verdana" w:eastAsia="Times" w:hAnsi="Verdana"/>
          <w:sz w:val="20"/>
          <w:szCs w:val="20"/>
          <w:lang w:val="en-US"/>
        </w:rPr>
        <w:t xml:space="preserve">, </w:t>
      </w:r>
      <w:r w:rsidR="00520BB1" w:rsidRPr="008A3740">
        <w:rPr>
          <w:rFonts w:ascii="Verdana" w:eastAsia="Times" w:hAnsi="Verdana"/>
          <w:sz w:val="20"/>
          <w:szCs w:val="20"/>
          <w:lang w:val="en-US"/>
        </w:rPr>
        <w:t xml:space="preserve">the State </w:t>
      </w:r>
      <w:r w:rsidRPr="008A3740">
        <w:rPr>
          <w:rFonts w:ascii="Verdana" w:eastAsia="Times" w:hAnsi="Verdana"/>
          <w:sz w:val="20"/>
          <w:szCs w:val="20"/>
          <w:lang w:val="en-US"/>
        </w:rPr>
        <w:t xml:space="preserve">affirmed </w:t>
      </w:r>
      <w:r w:rsidR="008E6A56" w:rsidRPr="008A3740">
        <w:rPr>
          <w:rFonts w:ascii="Verdana" w:eastAsia="Times" w:hAnsi="Verdana"/>
          <w:sz w:val="20"/>
          <w:szCs w:val="20"/>
          <w:lang w:val="en-US"/>
        </w:rPr>
        <w:t xml:space="preserve">that contrary to what was alleged by the </w:t>
      </w:r>
      <w:r w:rsidR="0032230F" w:rsidRPr="008A3740">
        <w:rPr>
          <w:rFonts w:ascii="Verdana" w:eastAsia="Times" w:hAnsi="Verdana"/>
          <w:sz w:val="20"/>
          <w:szCs w:val="20"/>
          <w:lang w:val="en-US"/>
        </w:rPr>
        <w:t>Court</w:t>
      </w:r>
      <w:r w:rsidR="008E6A56" w:rsidRPr="008A3740">
        <w:rPr>
          <w:rFonts w:ascii="Verdana" w:eastAsia="Times" w:hAnsi="Verdana"/>
          <w:sz w:val="20"/>
          <w:szCs w:val="20"/>
          <w:lang w:val="en-US"/>
        </w:rPr>
        <w:t xml:space="preserve">, it did </w:t>
      </w:r>
      <w:r w:rsidR="00520BB1" w:rsidRPr="008A3740">
        <w:rPr>
          <w:rFonts w:ascii="Verdana" w:eastAsia="Times" w:hAnsi="Verdana"/>
          <w:sz w:val="20"/>
          <w:szCs w:val="20"/>
          <w:lang w:val="en-US"/>
        </w:rPr>
        <w:t xml:space="preserve">indeed </w:t>
      </w:r>
      <w:r w:rsidR="008E6A56" w:rsidRPr="008A3740">
        <w:rPr>
          <w:rFonts w:ascii="Verdana" w:eastAsia="Times" w:hAnsi="Verdana"/>
          <w:sz w:val="20"/>
          <w:szCs w:val="20"/>
          <w:lang w:val="en-US"/>
        </w:rPr>
        <w:t xml:space="preserve">adopt measures to </w:t>
      </w:r>
      <w:r w:rsidR="008E6A56" w:rsidRPr="008A3740">
        <w:rPr>
          <w:rFonts w:ascii="Verdana" w:hAnsi="Verdana" w:cs="Arial"/>
          <w:sz w:val="20"/>
          <w:szCs w:val="20"/>
          <w:lang w:val="en-US"/>
        </w:rPr>
        <w:t xml:space="preserve">protect the pension rights of former employees of privatized companies enrolled in the pension scheme of Decree Law </w:t>
      </w:r>
      <w:r w:rsidR="008E6A56" w:rsidRPr="008A3740">
        <w:rPr>
          <w:rFonts w:ascii="Verdana" w:hAnsi="Verdana" w:cs="Arial"/>
          <w:bCs/>
          <w:sz w:val="20"/>
          <w:szCs w:val="20"/>
          <w:lang w:val="en-US"/>
        </w:rPr>
        <w:t>No.</w:t>
      </w:r>
      <w:r w:rsidR="008E6A56" w:rsidRPr="008A3740">
        <w:rPr>
          <w:rFonts w:ascii="Verdana" w:hAnsi="Verdana" w:cs="Arial"/>
          <w:b/>
          <w:bCs/>
          <w:sz w:val="20"/>
          <w:szCs w:val="20"/>
          <w:lang w:val="en-US"/>
        </w:rPr>
        <w:t xml:space="preserve"> </w:t>
      </w:r>
      <w:r w:rsidR="008E6A56" w:rsidRPr="008A3740">
        <w:rPr>
          <w:rFonts w:ascii="Verdana" w:hAnsi="Verdana" w:cs="Arial"/>
          <w:sz w:val="20"/>
          <w:szCs w:val="20"/>
          <w:lang w:val="en-US"/>
        </w:rPr>
        <w:t xml:space="preserve">20530. </w:t>
      </w:r>
      <w:r w:rsidR="00245C89" w:rsidRPr="008A3740">
        <w:rPr>
          <w:rFonts w:ascii="Verdana" w:hAnsi="Verdana" w:cs="Arial"/>
          <w:sz w:val="20"/>
          <w:szCs w:val="20"/>
          <w:lang w:val="en-US"/>
        </w:rPr>
        <w:t>In that regard,</w:t>
      </w:r>
      <w:r w:rsidR="008E6A56"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it </w:t>
      </w:r>
      <w:r w:rsidR="008E6A56" w:rsidRPr="008A3740">
        <w:rPr>
          <w:rFonts w:ascii="Verdana" w:eastAsia="Times" w:hAnsi="Verdana"/>
          <w:sz w:val="20"/>
          <w:szCs w:val="20"/>
          <w:lang w:val="en-US"/>
        </w:rPr>
        <w:t>indicated that from 2002</w:t>
      </w:r>
      <w:r w:rsidRPr="008A3740">
        <w:rPr>
          <w:rFonts w:ascii="Verdana" w:eastAsia="Times" w:hAnsi="Verdana"/>
          <w:sz w:val="20"/>
          <w:szCs w:val="20"/>
          <w:lang w:val="en-US"/>
        </w:rPr>
        <w:t xml:space="preserve">, by means of </w:t>
      </w:r>
      <w:r w:rsidR="008E6A56" w:rsidRPr="008A3740">
        <w:rPr>
          <w:rFonts w:ascii="Verdana" w:eastAsia="Times" w:hAnsi="Verdana"/>
          <w:sz w:val="20"/>
          <w:szCs w:val="20"/>
          <w:lang w:val="en-US"/>
        </w:rPr>
        <w:t>different regulations (Laws No.27719, No.28115 and No.28449),</w:t>
      </w:r>
      <w:r w:rsidR="008E6A56" w:rsidRPr="008A3740">
        <w:rPr>
          <w:rFonts w:ascii="Verdana" w:eastAsia="Times" w:hAnsi="Verdana"/>
          <w:b/>
          <w:sz w:val="20"/>
          <w:szCs w:val="20"/>
          <w:lang w:val="en-US"/>
        </w:rPr>
        <w:t xml:space="preserve"> </w:t>
      </w:r>
      <w:r w:rsidRPr="008A3740">
        <w:rPr>
          <w:rFonts w:ascii="Verdana" w:eastAsia="Times" w:hAnsi="Verdana"/>
          <w:sz w:val="20"/>
          <w:szCs w:val="20"/>
          <w:lang w:val="en-US"/>
        </w:rPr>
        <w:t>it was</w:t>
      </w:r>
      <w:r w:rsidRPr="008A3740">
        <w:rPr>
          <w:rFonts w:ascii="Verdana" w:eastAsia="Times" w:hAnsi="Verdana"/>
          <w:b/>
          <w:sz w:val="20"/>
          <w:szCs w:val="20"/>
          <w:lang w:val="en-US"/>
        </w:rPr>
        <w:t xml:space="preserve"> </w:t>
      </w:r>
      <w:r w:rsidR="005A4010" w:rsidRPr="008A3740">
        <w:rPr>
          <w:rFonts w:ascii="Verdana" w:eastAsia="Times" w:hAnsi="Verdana"/>
          <w:sz w:val="20"/>
          <w:szCs w:val="20"/>
          <w:lang w:val="en-US"/>
        </w:rPr>
        <w:t>determined</w:t>
      </w:r>
      <w:r w:rsidR="005A4010" w:rsidRPr="008A3740">
        <w:rPr>
          <w:rFonts w:ascii="Verdana" w:eastAsia="Times" w:hAnsi="Verdana"/>
          <w:b/>
          <w:sz w:val="20"/>
          <w:szCs w:val="20"/>
          <w:lang w:val="en-US"/>
        </w:rPr>
        <w:t xml:space="preserve"> </w:t>
      </w:r>
      <w:r w:rsidR="008E6A56" w:rsidRPr="008A3740">
        <w:rPr>
          <w:rFonts w:ascii="Verdana" w:eastAsia="Times" w:hAnsi="Verdana"/>
          <w:sz w:val="20"/>
          <w:szCs w:val="20"/>
          <w:lang w:val="en-US"/>
        </w:rPr>
        <w:t>that</w:t>
      </w:r>
      <w:r w:rsidR="005A4010" w:rsidRPr="008A3740">
        <w:rPr>
          <w:rFonts w:ascii="Verdana" w:eastAsia="Times" w:hAnsi="Verdana"/>
          <w:sz w:val="20"/>
          <w:szCs w:val="20"/>
          <w:lang w:val="en-US"/>
        </w:rPr>
        <w:t>,</w:t>
      </w:r>
      <w:r w:rsidR="008E6A56" w:rsidRPr="008A3740">
        <w:rPr>
          <w:rFonts w:ascii="Verdana" w:eastAsia="Times" w:hAnsi="Verdana"/>
          <w:sz w:val="20"/>
          <w:szCs w:val="20"/>
          <w:lang w:val="en-US"/>
        </w:rPr>
        <w:t xml:space="preserve"> in </w:t>
      </w:r>
      <w:r w:rsidRPr="008A3740">
        <w:rPr>
          <w:rFonts w:ascii="Verdana" w:eastAsia="Times" w:hAnsi="Verdana"/>
          <w:sz w:val="20"/>
          <w:szCs w:val="20"/>
          <w:lang w:val="en-US"/>
        </w:rPr>
        <w:t xml:space="preserve">the </w:t>
      </w:r>
      <w:r w:rsidR="005A4010" w:rsidRPr="008A3740">
        <w:rPr>
          <w:rFonts w:ascii="Verdana" w:eastAsia="Times" w:hAnsi="Verdana"/>
          <w:sz w:val="20"/>
          <w:szCs w:val="20"/>
          <w:lang w:val="en-US"/>
        </w:rPr>
        <w:t xml:space="preserve">case of </w:t>
      </w:r>
      <w:r w:rsidRPr="008A3740">
        <w:rPr>
          <w:rFonts w:ascii="Verdana" w:eastAsia="Times" w:hAnsi="Verdana"/>
          <w:sz w:val="20"/>
          <w:szCs w:val="20"/>
          <w:lang w:val="en-US"/>
        </w:rPr>
        <w:t>privatiz</w:t>
      </w:r>
      <w:r w:rsidR="005A4010" w:rsidRPr="008A3740">
        <w:rPr>
          <w:rFonts w:ascii="Verdana" w:eastAsia="Times" w:hAnsi="Verdana"/>
          <w:sz w:val="20"/>
          <w:szCs w:val="20"/>
          <w:lang w:val="en-US"/>
        </w:rPr>
        <w:t xml:space="preserve">ed </w:t>
      </w:r>
      <w:r w:rsidR="008E6A56" w:rsidRPr="008A3740">
        <w:rPr>
          <w:rFonts w:ascii="Verdana" w:eastAsia="Times" w:hAnsi="Verdana"/>
          <w:sz w:val="20"/>
          <w:szCs w:val="20"/>
          <w:lang w:val="en-US"/>
        </w:rPr>
        <w:t xml:space="preserve">State companies, </w:t>
      </w:r>
      <w:r w:rsidR="005A4010" w:rsidRPr="008A3740">
        <w:rPr>
          <w:rFonts w:ascii="Verdana" w:eastAsia="Times" w:hAnsi="Verdana"/>
          <w:sz w:val="20"/>
          <w:szCs w:val="20"/>
          <w:lang w:val="en-US"/>
        </w:rPr>
        <w:t xml:space="preserve">the entity that </w:t>
      </w:r>
      <w:r w:rsidR="00245C89" w:rsidRPr="008A3740">
        <w:rPr>
          <w:rFonts w:ascii="Verdana" w:eastAsia="Times" w:hAnsi="Verdana"/>
          <w:sz w:val="20"/>
          <w:szCs w:val="20"/>
          <w:lang w:val="en-US"/>
        </w:rPr>
        <w:t xml:space="preserve">should </w:t>
      </w:r>
      <w:r w:rsidR="005A4010" w:rsidRPr="008A3740">
        <w:rPr>
          <w:rFonts w:ascii="Verdana" w:eastAsia="Times" w:hAnsi="Verdana"/>
          <w:sz w:val="20"/>
          <w:szCs w:val="20"/>
          <w:lang w:val="en-US"/>
        </w:rPr>
        <w:t xml:space="preserve">take responsibility for paying the </w:t>
      </w:r>
      <w:r w:rsidR="008E6A56" w:rsidRPr="008A3740">
        <w:rPr>
          <w:rFonts w:ascii="Verdana" w:eastAsia="Times" w:hAnsi="Verdana"/>
          <w:sz w:val="20"/>
          <w:szCs w:val="20"/>
          <w:lang w:val="en-US"/>
        </w:rPr>
        <w:t xml:space="preserve">pensions </w:t>
      </w:r>
      <w:r w:rsidR="005A4010" w:rsidRPr="008A3740">
        <w:rPr>
          <w:rFonts w:ascii="Verdana" w:eastAsia="Times" w:hAnsi="Verdana"/>
          <w:sz w:val="20"/>
          <w:szCs w:val="20"/>
          <w:lang w:val="en-US"/>
        </w:rPr>
        <w:t xml:space="preserve">of </w:t>
      </w:r>
      <w:r w:rsidR="00245C89" w:rsidRPr="008A3740">
        <w:rPr>
          <w:rFonts w:ascii="Verdana" w:eastAsia="Times" w:hAnsi="Verdana"/>
          <w:sz w:val="20"/>
          <w:szCs w:val="20"/>
          <w:lang w:val="en-US"/>
        </w:rPr>
        <w:t xml:space="preserve">persons affiliated to the </w:t>
      </w:r>
      <w:r w:rsidR="008E6A56" w:rsidRPr="008A3740">
        <w:rPr>
          <w:rFonts w:ascii="Verdana" w:eastAsia="Times" w:hAnsi="Verdana"/>
          <w:sz w:val="20"/>
          <w:szCs w:val="20"/>
          <w:lang w:val="en-US"/>
        </w:rPr>
        <w:t>Decree Law No. 20530</w:t>
      </w:r>
      <w:r w:rsidR="005A4010" w:rsidRPr="008A3740">
        <w:rPr>
          <w:rFonts w:ascii="Verdana" w:eastAsia="Times" w:hAnsi="Verdana"/>
          <w:sz w:val="20"/>
          <w:szCs w:val="20"/>
          <w:lang w:val="en-US"/>
        </w:rPr>
        <w:t xml:space="preserve"> pension scheme</w:t>
      </w:r>
      <w:r w:rsidR="003E0116" w:rsidRPr="008A3740">
        <w:rPr>
          <w:rFonts w:ascii="Verdana" w:eastAsia="Times" w:hAnsi="Verdana"/>
          <w:sz w:val="20"/>
          <w:szCs w:val="20"/>
          <w:lang w:val="en-US"/>
        </w:rPr>
        <w:t xml:space="preserve"> was the Ministry of </w:t>
      </w:r>
      <w:r w:rsidR="008E6A56" w:rsidRPr="008A3740">
        <w:rPr>
          <w:rFonts w:ascii="Verdana" w:eastAsia="Times" w:hAnsi="Verdana"/>
          <w:sz w:val="20"/>
          <w:szCs w:val="20"/>
          <w:lang w:val="en-US"/>
        </w:rPr>
        <w:t xml:space="preserve">Economy and Finance. </w:t>
      </w:r>
      <w:r w:rsidR="005A4010" w:rsidRPr="008A3740">
        <w:rPr>
          <w:rFonts w:ascii="Verdana" w:eastAsia="Times" w:hAnsi="Verdana"/>
          <w:sz w:val="20"/>
          <w:szCs w:val="20"/>
          <w:lang w:val="en-US"/>
        </w:rPr>
        <w:t xml:space="preserve">Therefore, </w:t>
      </w:r>
      <w:r w:rsidR="005A4010" w:rsidRPr="008A3740">
        <w:rPr>
          <w:rFonts w:ascii="Verdana" w:hAnsi="Verdana"/>
          <w:sz w:val="20"/>
          <w:szCs w:val="20"/>
          <w:lang w:val="en-US"/>
        </w:rPr>
        <w:t xml:space="preserve">the State considered </w:t>
      </w:r>
      <w:r w:rsidR="008E6A56" w:rsidRPr="008A3740">
        <w:rPr>
          <w:rFonts w:ascii="Verdana" w:hAnsi="Verdana"/>
          <w:sz w:val="20"/>
          <w:szCs w:val="20"/>
          <w:lang w:val="en-US"/>
        </w:rPr>
        <w:t>that “</w:t>
      </w:r>
      <w:r w:rsidR="00245C89" w:rsidRPr="008A3740">
        <w:rPr>
          <w:rFonts w:ascii="Verdana" w:hAnsi="Verdana"/>
          <w:sz w:val="20"/>
          <w:szCs w:val="20"/>
          <w:lang w:val="en-US"/>
        </w:rPr>
        <w:t xml:space="preserve">based on those </w:t>
      </w:r>
      <w:r w:rsidR="008E6A56" w:rsidRPr="008A3740">
        <w:rPr>
          <w:rFonts w:ascii="Verdana" w:hAnsi="Verdana"/>
          <w:sz w:val="20"/>
          <w:szCs w:val="20"/>
          <w:lang w:val="en-US"/>
        </w:rPr>
        <w:t xml:space="preserve">laws </w:t>
      </w:r>
      <w:r w:rsidR="00245C89" w:rsidRPr="008A3740">
        <w:rPr>
          <w:rFonts w:ascii="Verdana" w:hAnsi="Verdana"/>
          <w:sz w:val="20"/>
          <w:szCs w:val="20"/>
          <w:lang w:val="en-US"/>
        </w:rPr>
        <w:t xml:space="preserve">it was </w:t>
      </w:r>
      <w:r w:rsidR="008E6A56" w:rsidRPr="008A3740">
        <w:rPr>
          <w:rFonts w:ascii="Verdana" w:hAnsi="Verdana"/>
          <w:sz w:val="20"/>
          <w:szCs w:val="20"/>
          <w:lang w:val="en-US"/>
        </w:rPr>
        <w:t xml:space="preserve">clear which entity was to </w:t>
      </w:r>
      <w:r w:rsidR="007032D0" w:rsidRPr="008A3740">
        <w:rPr>
          <w:rFonts w:ascii="Verdana" w:hAnsi="Verdana"/>
          <w:sz w:val="20"/>
          <w:szCs w:val="20"/>
          <w:lang w:val="en-US"/>
        </w:rPr>
        <w:t xml:space="preserve">take over </w:t>
      </w:r>
      <w:r w:rsidR="008E6A56" w:rsidRPr="008A3740">
        <w:rPr>
          <w:rFonts w:ascii="Verdana" w:hAnsi="Verdana"/>
          <w:sz w:val="20"/>
          <w:szCs w:val="20"/>
          <w:lang w:val="en-US"/>
        </w:rPr>
        <w:t xml:space="preserve">the </w:t>
      </w:r>
      <w:r w:rsidR="007032D0" w:rsidRPr="008A3740">
        <w:rPr>
          <w:rFonts w:ascii="Verdana" w:hAnsi="Verdana"/>
          <w:sz w:val="20"/>
          <w:szCs w:val="20"/>
          <w:lang w:val="en-US"/>
        </w:rPr>
        <w:t xml:space="preserve">pension </w:t>
      </w:r>
      <w:r w:rsidR="008E6A56" w:rsidRPr="008A3740">
        <w:rPr>
          <w:rFonts w:ascii="Verdana" w:hAnsi="Verdana"/>
          <w:sz w:val="20"/>
          <w:szCs w:val="20"/>
          <w:lang w:val="en-US"/>
        </w:rPr>
        <w:t>payment</w:t>
      </w:r>
      <w:r w:rsidR="007032D0" w:rsidRPr="008A3740">
        <w:rPr>
          <w:rFonts w:ascii="Verdana" w:hAnsi="Verdana"/>
          <w:sz w:val="20"/>
          <w:szCs w:val="20"/>
          <w:lang w:val="en-US"/>
        </w:rPr>
        <w:t>s.”</w:t>
      </w:r>
      <w:r w:rsidR="008E6A56" w:rsidRPr="008A3740">
        <w:rPr>
          <w:rFonts w:ascii="Verdana" w:hAnsi="Verdana"/>
          <w:sz w:val="20"/>
          <w:szCs w:val="20"/>
          <w:lang w:val="en-US"/>
        </w:rPr>
        <w:t xml:space="preserve"> </w:t>
      </w:r>
      <w:r w:rsidR="008E6A56" w:rsidRPr="008A3740">
        <w:rPr>
          <w:rFonts w:ascii="Verdana" w:hAnsi="Verdana" w:cs="Arial"/>
          <w:sz w:val="20"/>
          <w:szCs w:val="20"/>
          <w:lang w:val="en-US"/>
        </w:rPr>
        <w:t xml:space="preserve">The State </w:t>
      </w:r>
      <w:r w:rsidR="001942BE" w:rsidRPr="008A3740">
        <w:rPr>
          <w:rFonts w:ascii="Verdana" w:hAnsi="Verdana" w:cs="Arial"/>
          <w:sz w:val="20"/>
          <w:szCs w:val="20"/>
          <w:lang w:val="en-US"/>
        </w:rPr>
        <w:t xml:space="preserve">acknowledged </w:t>
      </w:r>
      <w:r w:rsidR="008E6A56" w:rsidRPr="008A3740">
        <w:rPr>
          <w:rFonts w:ascii="Verdana" w:hAnsi="Verdana" w:cs="Arial"/>
          <w:sz w:val="20"/>
          <w:szCs w:val="20"/>
          <w:lang w:val="en-US"/>
        </w:rPr>
        <w:t xml:space="preserve">that </w:t>
      </w:r>
      <w:r w:rsidR="00245C89" w:rsidRPr="008A3740">
        <w:rPr>
          <w:rFonts w:ascii="Verdana" w:hAnsi="Verdana" w:cs="Arial"/>
          <w:sz w:val="20"/>
          <w:szCs w:val="20"/>
          <w:lang w:val="en-US"/>
        </w:rPr>
        <w:t xml:space="preserve">although those </w:t>
      </w:r>
      <w:r w:rsidR="008E6A56" w:rsidRPr="008A3740">
        <w:rPr>
          <w:rFonts w:ascii="Verdana" w:hAnsi="Verdana" w:cs="Arial"/>
          <w:sz w:val="20"/>
          <w:szCs w:val="20"/>
          <w:lang w:val="en-US"/>
        </w:rPr>
        <w:t xml:space="preserve">safeguards “[were] not applied </w:t>
      </w:r>
      <w:r w:rsidR="005A4010" w:rsidRPr="008A3740">
        <w:rPr>
          <w:rFonts w:ascii="Verdana" w:hAnsi="Verdana" w:cs="Arial"/>
          <w:sz w:val="20"/>
          <w:szCs w:val="20"/>
          <w:lang w:val="en-US"/>
        </w:rPr>
        <w:t>in</w:t>
      </w:r>
      <w:r w:rsidR="00245C89" w:rsidRPr="008A3740">
        <w:rPr>
          <w:rFonts w:ascii="Verdana" w:hAnsi="Verdana" w:cs="Arial"/>
          <w:sz w:val="20"/>
          <w:szCs w:val="20"/>
          <w:lang w:val="en-US"/>
        </w:rPr>
        <w:t xml:space="preserve"> this specific </w:t>
      </w:r>
      <w:r w:rsidR="008E6A56" w:rsidRPr="008A3740">
        <w:rPr>
          <w:rFonts w:ascii="Verdana" w:hAnsi="Verdana" w:cs="Arial"/>
          <w:sz w:val="20"/>
          <w:szCs w:val="20"/>
          <w:lang w:val="en-US"/>
        </w:rPr>
        <w:t>case</w:t>
      </w:r>
      <w:r w:rsidR="001942BE" w:rsidRPr="008A3740">
        <w:rPr>
          <w:rFonts w:ascii="Verdana" w:hAnsi="Verdana" w:cs="Arial"/>
          <w:sz w:val="20"/>
          <w:szCs w:val="20"/>
          <w:lang w:val="en-US"/>
        </w:rPr>
        <w:t>, this</w:t>
      </w:r>
      <w:r w:rsidR="008E6A56" w:rsidRPr="008A3740">
        <w:rPr>
          <w:rFonts w:ascii="Verdana" w:hAnsi="Verdana" w:cs="Arial"/>
          <w:sz w:val="20"/>
          <w:szCs w:val="20"/>
          <w:lang w:val="en-US"/>
        </w:rPr>
        <w:t xml:space="preserve"> </w:t>
      </w:r>
      <w:r w:rsidR="005A4010" w:rsidRPr="008A3740">
        <w:rPr>
          <w:rFonts w:ascii="Verdana" w:hAnsi="Verdana" w:cs="Arial"/>
          <w:sz w:val="20"/>
          <w:szCs w:val="20"/>
          <w:lang w:val="en-US"/>
        </w:rPr>
        <w:t>constitut</w:t>
      </w:r>
      <w:r w:rsidR="001942BE" w:rsidRPr="008A3740">
        <w:rPr>
          <w:rFonts w:ascii="Verdana" w:hAnsi="Verdana" w:cs="Arial"/>
          <w:sz w:val="20"/>
          <w:szCs w:val="20"/>
          <w:lang w:val="en-US"/>
        </w:rPr>
        <w:t>es</w:t>
      </w:r>
      <w:r w:rsidR="005A4010" w:rsidRPr="008A3740">
        <w:rPr>
          <w:rFonts w:ascii="Verdana" w:hAnsi="Verdana" w:cs="Arial"/>
          <w:sz w:val="20"/>
          <w:szCs w:val="20"/>
          <w:lang w:val="en-US"/>
        </w:rPr>
        <w:t xml:space="preserve"> </w:t>
      </w:r>
      <w:r w:rsidR="00B53299" w:rsidRPr="008A3740">
        <w:rPr>
          <w:rFonts w:ascii="Verdana" w:hAnsi="Verdana" w:cs="Arial"/>
          <w:sz w:val="20"/>
          <w:szCs w:val="20"/>
          <w:lang w:val="en-US"/>
        </w:rPr>
        <w:t>a measure of r</w:t>
      </w:r>
      <w:r w:rsidR="008E6A56" w:rsidRPr="008A3740">
        <w:rPr>
          <w:rFonts w:ascii="Verdana" w:hAnsi="Verdana" w:cs="Arial"/>
          <w:sz w:val="20"/>
          <w:szCs w:val="20"/>
          <w:lang w:val="en-US"/>
        </w:rPr>
        <w:t xml:space="preserve">eparation to prevent the repetition of similar </w:t>
      </w:r>
      <w:r w:rsidR="001942BE" w:rsidRPr="008A3740">
        <w:rPr>
          <w:rFonts w:ascii="Verdana" w:hAnsi="Verdana" w:cs="Arial"/>
          <w:sz w:val="20"/>
          <w:szCs w:val="20"/>
          <w:lang w:val="en-US"/>
        </w:rPr>
        <w:t>situations</w:t>
      </w:r>
      <w:r w:rsidR="008E6A56" w:rsidRPr="008A3740">
        <w:rPr>
          <w:rFonts w:ascii="Verdana" w:hAnsi="Verdana" w:cs="Arial"/>
          <w:sz w:val="20"/>
          <w:szCs w:val="20"/>
          <w:lang w:val="en-US"/>
        </w:rPr>
        <w:t xml:space="preserve"> in </w:t>
      </w:r>
      <w:r w:rsidR="001942BE" w:rsidRPr="008A3740">
        <w:rPr>
          <w:rFonts w:ascii="Verdana" w:hAnsi="Verdana" w:cs="Arial"/>
          <w:sz w:val="20"/>
          <w:szCs w:val="20"/>
          <w:lang w:val="en-US"/>
        </w:rPr>
        <w:t xml:space="preserve">the </w:t>
      </w:r>
      <w:r w:rsidR="008E6A56" w:rsidRPr="008A3740">
        <w:rPr>
          <w:rFonts w:ascii="Verdana" w:hAnsi="Verdana" w:cs="Arial"/>
          <w:sz w:val="20"/>
          <w:szCs w:val="20"/>
          <w:lang w:val="en-US"/>
        </w:rPr>
        <w:t>future</w:t>
      </w:r>
      <w:r w:rsidR="0032230F" w:rsidRPr="008A3740">
        <w:rPr>
          <w:rFonts w:ascii="Verdana" w:hAnsi="Verdana" w:cs="Arial"/>
          <w:sz w:val="20"/>
          <w:szCs w:val="20"/>
          <w:lang w:val="en-US"/>
        </w:rPr>
        <w:t>.”</w:t>
      </w:r>
    </w:p>
    <w:p w14:paraId="79AC11C5" w14:textId="77777777" w:rsidR="008E6A56" w:rsidRPr="008A3740" w:rsidRDefault="008E6A56" w:rsidP="008E6A56">
      <w:pPr>
        <w:pStyle w:val="Prrafodelista"/>
        <w:ind w:left="0"/>
        <w:rPr>
          <w:rFonts w:ascii="Verdana" w:hAnsi="Verdana" w:cs="Arial"/>
          <w:sz w:val="20"/>
          <w:szCs w:val="20"/>
          <w:lang w:val="en-US"/>
        </w:rPr>
      </w:pPr>
    </w:p>
    <w:p w14:paraId="5932BAEF"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hAnsi="Verdana" w:cs="Arial"/>
          <w:sz w:val="20"/>
          <w:szCs w:val="20"/>
          <w:lang w:val="en-US"/>
        </w:rPr>
        <w:lastRenderedPageBreak/>
        <w:t xml:space="preserve">Finally, the State argued </w:t>
      </w:r>
      <w:r w:rsidR="007032D0" w:rsidRPr="008A3740">
        <w:rPr>
          <w:rFonts w:ascii="Verdana" w:hAnsi="Verdana" w:cs="Arial"/>
          <w:sz w:val="20"/>
          <w:szCs w:val="20"/>
          <w:lang w:val="en-US"/>
        </w:rPr>
        <w:t xml:space="preserve">that it did not violate Article 2 of the American Convention, </w:t>
      </w:r>
      <w:r w:rsidR="008B3AD0" w:rsidRPr="008A3740">
        <w:rPr>
          <w:rFonts w:ascii="Verdana" w:hAnsi="Verdana" w:cs="Arial"/>
          <w:sz w:val="20"/>
          <w:szCs w:val="20"/>
          <w:lang w:val="en-US"/>
        </w:rPr>
        <w:t xml:space="preserve">given that </w:t>
      </w:r>
      <w:r w:rsidR="007032D0" w:rsidRPr="008A3740">
        <w:rPr>
          <w:rFonts w:ascii="Verdana" w:hAnsi="Verdana" w:cs="Arial"/>
          <w:sz w:val="20"/>
          <w:szCs w:val="20"/>
          <w:lang w:val="en-US"/>
        </w:rPr>
        <w:t xml:space="preserve">it had </w:t>
      </w:r>
      <w:r w:rsidR="001942BE" w:rsidRPr="008A3740">
        <w:rPr>
          <w:rFonts w:ascii="Verdana" w:hAnsi="Verdana" w:cs="Arial"/>
          <w:sz w:val="20"/>
          <w:szCs w:val="20"/>
          <w:lang w:val="en-US"/>
        </w:rPr>
        <w:t xml:space="preserve">precise </w:t>
      </w:r>
      <w:r w:rsidRPr="008A3740">
        <w:rPr>
          <w:rFonts w:ascii="Verdana" w:hAnsi="Verdana" w:cs="Arial"/>
          <w:sz w:val="20"/>
          <w:szCs w:val="20"/>
          <w:lang w:val="en-US"/>
        </w:rPr>
        <w:t xml:space="preserve">and </w:t>
      </w:r>
      <w:r w:rsidR="00245C89" w:rsidRPr="008A3740">
        <w:rPr>
          <w:rFonts w:ascii="Verdana" w:hAnsi="Verdana" w:cs="Arial"/>
          <w:sz w:val="20"/>
          <w:szCs w:val="20"/>
          <w:lang w:val="en-US"/>
        </w:rPr>
        <w:t xml:space="preserve">specific laws </w:t>
      </w:r>
      <w:r w:rsidR="001942BE" w:rsidRPr="008A3740">
        <w:rPr>
          <w:rFonts w:ascii="Verdana" w:hAnsi="Verdana" w:cs="Arial"/>
          <w:sz w:val="20"/>
          <w:szCs w:val="20"/>
          <w:lang w:val="en-US"/>
        </w:rPr>
        <w:t>regarding</w:t>
      </w:r>
      <w:r w:rsidRPr="008A3740">
        <w:rPr>
          <w:rFonts w:ascii="Verdana" w:hAnsi="Verdana" w:cs="Arial"/>
          <w:sz w:val="20"/>
          <w:szCs w:val="20"/>
          <w:lang w:val="en-US"/>
        </w:rPr>
        <w:t xml:space="preserve"> coercive measures to execute judicial decisions in relation to pension safeguards for its former worker</w:t>
      </w:r>
      <w:r w:rsidR="007032D0" w:rsidRPr="008A3740">
        <w:rPr>
          <w:rFonts w:ascii="Verdana" w:hAnsi="Verdana" w:cs="Arial"/>
          <w:sz w:val="20"/>
          <w:szCs w:val="20"/>
          <w:lang w:val="en-US"/>
        </w:rPr>
        <w:t xml:space="preserve">s in the </w:t>
      </w:r>
      <w:r w:rsidR="001942BE" w:rsidRPr="008A3740">
        <w:rPr>
          <w:rFonts w:ascii="Verdana" w:hAnsi="Verdana" w:cs="Arial"/>
          <w:sz w:val="20"/>
          <w:szCs w:val="20"/>
          <w:lang w:val="en-US"/>
        </w:rPr>
        <w:t xml:space="preserve">event </w:t>
      </w:r>
      <w:r w:rsidR="007032D0" w:rsidRPr="008A3740">
        <w:rPr>
          <w:rFonts w:ascii="Verdana" w:hAnsi="Verdana" w:cs="Arial"/>
          <w:sz w:val="20"/>
          <w:szCs w:val="20"/>
          <w:lang w:val="en-US"/>
        </w:rPr>
        <w:t>of priv</w:t>
      </w:r>
      <w:r w:rsidR="0032230F" w:rsidRPr="008A3740">
        <w:rPr>
          <w:rFonts w:ascii="Verdana" w:hAnsi="Verdana" w:cs="Arial"/>
          <w:sz w:val="20"/>
          <w:szCs w:val="20"/>
          <w:lang w:val="en-US"/>
        </w:rPr>
        <w:t>atization</w:t>
      </w:r>
      <w:r w:rsidRPr="008A3740">
        <w:rPr>
          <w:rFonts w:ascii="Verdana" w:hAnsi="Verdana" w:cs="Arial"/>
          <w:sz w:val="20"/>
          <w:szCs w:val="20"/>
          <w:lang w:val="en-US"/>
        </w:rPr>
        <w:t xml:space="preserve">. </w:t>
      </w:r>
    </w:p>
    <w:p w14:paraId="0A3A5325" w14:textId="77777777" w:rsidR="008E6A56" w:rsidRPr="008A3740" w:rsidRDefault="008E6A56" w:rsidP="008E6A56">
      <w:pPr>
        <w:pStyle w:val="Ttulo3"/>
        <w:rPr>
          <w:lang w:val="en-US"/>
        </w:rPr>
      </w:pPr>
      <w:bookmarkStart w:id="96" w:name="_Toc532545807"/>
    </w:p>
    <w:p w14:paraId="7A9470A1" w14:textId="77777777" w:rsidR="008E6A56" w:rsidRPr="008A3740" w:rsidRDefault="008E6A56" w:rsidP="008E6A56">
      <w:pPr>
        <w:pStyle w:val="Ttulo3"/>
        <w:rPr>
          <w:lang w:val="en-US"/>
        </w:rPr>
      </w:pPr>
      <w:bookmarkStart w:id="97" w:name="_Toc5009880"/>
      <w:r w:rsidRPr="008A3740">
        <w:rPr>
          <w:lang w:val="en-US"/>
        </w:rPr>
        <w:t>A.2 Considerations of the Court</w:t>
      </w:r>
      <w:bookmarkEnd w:id="96"/>
      <w:bookmarkEnd w:id="97"/>
    </w:p>
    <w:p w14:paraId="2BB1C78D" w14:textId="77777777" w:rsidR="008E6A56" w:rsidRPr="008A3740" w:rsidRDefault="008E6A56" w:rsidP="008E6A56">
      <w:pPr>
        <w:widowControl/>
        <w:tabs>
          <w:tab w:val="left" w:pos="567"/>
          <w:tab w:val="left" w:pos="720"/>
        </w:tabs>
        <w:adjustRightInd/>
        <w:textAlignment w:val="auto"/>
        <w:rPr>
          <w:rFonts w:ascii="Verdana" w:hAnsi="Verdana"/>
          <w:spacing w:val="-2"/>
          <w:sz w:val="20"/>
          <w:szCs w:val="20"/>
          <w:lang w:val="en-US"/>
        </w:rPr>
      </w:pPr>
    </w:p>
    <w:p w14:paraId="5E4137D3"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pacing w:val="-2"/>
          <w:sz w:val="20"/>
          <w:szCs w:val="20"/>
          <w:lang w:val="en-US"/>
        </w:rPr>
      </w:pPr>
      <w:r w:rsidRPr="008A3740">
        <w:rPr>
          <w:rFonts w:ascii="Verdana" w:hAnsi="Verdana"/>
          <w:spacing w:val="-2"/>
          <w:sz w:val="20"/>
          <w:szCs w:val="20"/>
          <w:lang w:val="en-US"/>
        </w:rPr>
        <w:t xml:space="preserve">Regarding the right to judicial protection, under the terms of Article 25 of the Convention, it is possible to </w:t>
      </w:r>
      <w:r w:rsidRPr="008A3740">
        <w:rPr>
          <w:rFonts w:ascii="Verdana" w:hAnsi="Verdana" w:cs="Arial"/>
          <w:spacing w:val="-2"/>
          <w:sz w:val="20"/>
          <w:szCs w:val="20"/>
          <w:lang w:val="en-US"/>
        </w:rPr>
        <w:t>identify</w:t>
      </w:r>
      <w:r w:rsidRPr="008A3740">
        <w:rPr>
          <w:rFonts w:ascii="Verdana" w:hAnsi="Verdana"/>
          <w:spacing w:val="-2"/>
          <w:sz w:val="20"/>
          <w:szCs w:val="20"/>
          <w:lang w:val="en-US"/>
        </w:rPr>
        <w:t xml:space="preserve"> two specific responsibilities of the State. </w:t>
      </w:r>
      <w:r w:rsidR="00587339" w:rsidRPr="008A3740">
        <w:rPr>
          <w:rFonts w:ascii="Verdana" w:hAnsi="Verdana"/>
          <w:spacing w:val="-2"/>
          <w:sz w:val="20"/>
          <w:szCs w:val="20"/>
          <w:lang w:val="en-US"/>
        </w:rPr>
        <w:t>The first one is that the</w:t>
      </w:r>
      <w:r w:rsidR="007866D7" w:rsidRPr="008A3740">
        <w:rPr>
          <w:rFonts w:ascii="Verdana" w:hAnsi="Verdana"/>
          <w:spacing w:val="-2"/>
          <w:sz w:val="20"/>
          <w:szCs w:val="20"/>
          <w:lang w:val="en-US"/>
        </w:rPr>
        <w:t xml:space="preserve"> </w:t>
      </w:r>
      <w:r w:rsidR="007866D7" w:rsidRPr="008A3740">
        <w:rPr>
          <w:rFonts w:ascii="Verdana" w:hAnsi="Verdana"/>
          <w:sz w:val="20"/>
          <w:szCs w:val="20"/>
          <w:lang w:val="en-US"/>
        </w:rPr>
        <w:t>State</w:t>
      </w:r>
      <w:r w:rsidR="00587339" w:rsidRPr="008A3740">
        <w:rPr>
          <w:rFonts w:ascii="Verdana" w:hAnsi="Verdana"/>
          <w:sz w:val="20"/>
          <w:szCs w:val="20"/>
          <w:lang w:val="en-US"/>
        </w:rPr>
        <w:t>s</w:t>
      </w:r>
      <w:r w:rsidRPr="008A3740">
        <w:rPr>
          <w:rFonts w:ascii="Verdana" w:hAnsi="Verdana"/>
          <w:sz w:val="20"/>
          <w:szCs w:val="20"/>
          <w:lang w:val="en-US"/>
        </w:rPr>
        <w:t xml:space="preserve"> </w:t>
      </w:r>
      <w:r w:rsidR="00587339" w:rsidRPr="008A3740">
        <w:rPr>
          <w:rFonts w:ascii="Verdana" w:hAnsi="Verdana" w:cs="Arial"/>
          <w:sz w:val="20"/>
          <w:szCs w:val="20"/>
          <w:lang w:val="en-US"/>
        </w:rPr>
        <w:t>have</w:t>
      </w:r>
      <w:r w:rsidRPr="008A3740">
        <w:rPr>
          <w:rFonts w:ascii="Verdana" w:hAnsi="Verdana" w:cs="Arial"/>
          <w:sz w:val="20"/>
          <w:szCs w:val="20"/>
          <w:lang w:val="en-US"/>
        </w:rPr>
        <w:t xml:space="preserve"> the </w:t>
      </w:r>
      <w:r w:rsidR="00B4665D" w:rsidRPr="008A3740">
        <w:rPr>
          <w:rFonts w:ascii="Verdana" w:hAnsi="Verdana" w:cs="Arial"/>
          <w:sz w:val="20"/>
          <w:szCs w:val="20"/>
          <w:lang w:val="en-US"/>
        </w:rPr>
        <w:t xml:space="preserve">obligation to </w:t>
      </w:r>
      <w:r w:rsidR="00B4665D" w:rsidRPr="008A3740">
        <w:rPr>
          <w:rFonts w:ascii="Verdana" w:hAnsi="Verdana"/>
          <w:sz w:val="20"/>
          <w:szCs w:val="20"/>
          <w:lang w:val="en-US"/>
        </w:rPr>
        <w:t xml:space="preserve">embody in </w:t>
      </w:r>
      <w:r w:rsidR="00587339" w:rsidRPr="008A3740">
        <w:rPr>
          <w:rFonts w:ascii="Verdana" w:hAnsi="Verdana"/>
          <w:sz w:val="20"/>
          <w:szCs w:val="20"/>
          <w:lang w:val="en-US"/>
        </w:rPr>
        <w:t xml:space="preserve">their </w:t>
      </w:r>
      <w:r w:rsidR="00B4665D" w:rsidRPr="008A3740">
        <w:rPr>
          <w:rFonts w:ascii="Verdana" w:hAnsi="Verdana"/>
          <w:sz w:val="20"/>
          <w:szCs w:val="20"/>
          <w:lang w:val="en-US"/>
        </w:rPr>
        <w:t xml:space="preserve">legislation </w:t>
      </w:r>
      <w:r w:rsidR="00587339" w:rsidRPr="008A3740">
        <w:rPr>
          <w:rFonts w:ascii="Verdana" w:hAnsi="Verdana"/>
          <w:sz w:val="20"/>
          <w:szCs w:val="20"/>
          <w:lang w:val="en-US"/>
        </w:rPr>
        <w:t xml:space="preserve">and ensure the application of </w:t>
      </w:r>
      <w:r w:rsidR="00B4665D" w:rsidRPr="008A3740">
        <w:rPr>
          <w:rFonts w:ascii="Verdana" w:hAnsi="Verdana"/>
          <w:sz w:val="20"/>
          <w:szCs w:val="20"/>
          <w:lang w:val="en-US"/>
        </w:rPr>
        <w:t>effective</w:t>
      </w:r>
      <w:r w:rsidR="00B4665D" w:rsidRPr="008A3740">
        <w:rPr>
          <w:rFonts w:ascii="Verdana" w:hAnsi="Verdana" w:cs="Arial"/>
          <w:sz w:val="20"/>
          <w:szCs w:val="20"/>
          <w:lang w:val="en-US"/>
        </w:rPr>
        <w:t xml:space="preserve"> </w:t>
      </w:r>
      <w:r w:rsidRPr="008A3740">
        <w:rPr>
          <w:rFonts w:ascii="Verdana" w:hAnsi="Verdana" w:cs="Arial"/>
          <w:sz w:val="20"/>
          <w:szCs w:val="20"/>
          <w:lang w:val="en-US"/>
        </w:rPr>
        <w:t>remedies before the competent authorities</w:t>
      </w:r>
      <w:r w:rsidR="00587339" w:rsidRPr="008A3740">
        <w:rPr>
          <w:rFonts w:ascii="Verdana" w:hAnsi="Verdana" w:cs="Arial"/>
          <w:sz w:val="20"/>
          <w:szCs w:val="20"/>
          <w:lang w:val="en-US"/>
        </w:rPr>
        <w:t>, which</w:t>
      </w:r>
      <w:r w:rsidRPr="008A3740">
        <w:rPr>
          <w:rFonts w:ascii="Verdana" w:hAnsi="Verdana" w:cs="Arial"/>
          <w:sz w:val="20"/>
          <w:szCs w:val="20"/>
          <w:lang w:val="en-US"/>
        </w:rPr>
        <w:t xml:space="preserve"> protect all persons subject to </w:t>
      </w:r>
      <w:r w:rsidR="00587339" w:rsidRPr="008A3740">
        <w:rPr>
          <w:rFonts w:ascii="Verdana" w:hAnsi="Verdana" w:cs="Arial"/>
          <w:sz w:val="20"/>
          <w:szCs w:val="20"/>
          <w:lang w:val="en-US"/>
        </w:rPr>
        <w:t>their</w:t>
      </w:r>
      <w:r w:rsidR="007866D7" w:rsidRPr="008A3740">
        <w:rPr>
          <w:rFonts w:ascii="Verdana" w:hAnsi="Verdana" w:cs="Arial"/>
          <w:sz w:val="20"/>
          <w:szCs w:val="20"/>
          <w:lang w:val="en-US"/>
        </w:rPr>
        <w:t xml:space="preserve"> </w:t>
      </w:r>
      <w:r w:rsidRPr="008A3740">
        <w:rPr>
          <w:rFonts w:ascii="Verdana" w:hAnsi="Verdana" w:cs="Arial"/>
          <w:sz w:val="20"/>
          <w:szCs w:val="20"/>
          <w:lang w:val="en-US"/>
        </w:rPr>
        <w:t xml:space="preserve">jurisdiction from acts that violate their fundamental rights or </w:t>
      </w:r>
      <w:r w:rsidR="00587339" w:rsidRPr="008A3740">
        <w:rPr>
          <w:rFonts w:ascii="Verdana" w:hAnsi="Verdana" w:cs="Arial"/>
          <w:sz w:val="20"/>
          <w:szCs w:val="20"/>
          <w:lang w:val="en-US"/>
        </w:rPr>
        <w:t xml:space="preserve">which </w:t>
      </w:r>
      <w:r w:rsidRPr="008A3740">
        <w:rPr>
          <w:rFonts w:ascii="Verdana" w:hAnsi="Verdana" w:cs="Arial"/>
          <w:sz w:val="20"/>
          <w:szCs w:val="20"/>
          <w:lang w:val="en-US"/>
        </w:rPr>
        <w:t>lead to the determination of the</w:t>
      </w:r>
      <w:r w:rsidR="00587339" w:rsidRPr="008A3740">
        <w:rPr>
          <w:rFonts w:ascii="Verdana" w:hAnsi="Verdana" w:cs="Arial"/>
          <w:sz w:val="20"/>
          <w:szCs w:val="20"/>
          <w:lang w:val="en-US"/>
        </w:rPr>
        <w:t xml:space="preserve"> latter’s</w:t>
      </w:r>
      <w:r w:rsidRPr="008A3740">
        <w:rPr>
          <w:rFonts w:ascii="Verdana" w:hAnsi="Verdana" w:cs="Arial"/>
          <w:sz w:val="20"/>
          <w:szCs w:val="20"/>
          <w:lang w:val="en-US"/>
        </w:rPr>
        <w:t xml:space="preserve"> rights and obligations</w:t>
      </w:r>
      <w:r w:rsidRPr="008A3740">
        <w:rPr>
          <w:rFonts w:ascii="Verdana" w:hAnsi="Verdana"/>
          <w:spacing w:val="-2"/>
          <w:sz w:val="20"/>
          <w:szCs w:val="20"/>
          <w:lang w:val="en-US"/>
        </w:rPr>
        <w:t>.</w:t>
      </w:r>
      <w:r w:rsidRPr="008A3740">
        <w:rPr>
          <w:rStyle w:val="Refdenotaalpie"/>
          <w:spacing w:val="-2"/>
          <w:szCs w:val="20"/>
          <w:lang w:val="en-US"/>
        </w:rPr>
        <w:footnoteReference w:id="138"/>
      </w:r>
      <w:r w:rsidRPr="008A3740">
        <w:rPr>
          <w:rFonts w:ascii="Verdana" w:hAnsi="Verdana"/>
          <w:spacing w:val="-2"/>
          <w:sz w:val="20"/>
          <w:szCs w:val="20"/>
          <w:lang w:val="en-US"/>
        </w:rPr>
        <w:t xml:space="preserve"> </w:t>
      </w:r>
      <w:r w:rsidRPr="008A3740">
        <w:rPr>
          <w:rFonts w:ascii="Verdana" w:hAnsi="Verdana"/>
          <w:sz w:val="20"/>
          <w:szCs w:val="20"/>
          <w:lang w:val="en-US"/>
        </w:rPr>
        <w:t xml:space="preserve">The second </w:t>
      </w:r>
      <w:r w:rsidR="00587339" w:rsidRPr="008A3740">
        <w:rPr>
          <w:rFonts w:ascii="Verdana" w:hAnsi="Verdana"/>
          <w:sz w:val="20"/>
          <w:szCs w:val="20"/>
          <w:lang w:val="en-US"/>
        </w:rPr>
        <w:t xml:space="preserve">one </w:t>
      </w:r>
      <w:r w:rsidR="00990226" w:rsidRPr="008A3740">
        <w:rPr>
          <w:rFonts w:ascii="Verdana" w:hAnsi="Verdana"/>
          <w:sz w:val="20"/>
          <w:szCs w:val="20"/>
          <w:lang w:val="en-US"/>
        </w:rPr>
        <w:t xml:space="preserve">requires </w:t>
      </w:r>
      <w:r w:rsidR="007866D7" w:rsidRPr="008A3740">
        <w:rPr>
          <w:rFonts w:ascii="Verdana" w:hAnsi="Verdana"/>
          <w:sz w:val="20"/>
          <w:szCs w:val="20"/>
          <w:lang w:val="en-US"/>
        </w:rPr>
        <w:t>the State</w:t>
      </w:r>
      <w:r w:rsidR="00587339" w:rsidRPr="008A3740">
        <w:rPr>
          <w:rFonts w:ascii="Verdana" w:hAnsi="Verdana"/>
          <w:sz w:val="20"/>
          <w:szCs w:val="20"/>
          <w:lang w:val="en-US"/>
        </w:rPr>
        <w:t>s</w:t>
      </w:r>
      <w:r w:rsidR="007866D7" w:rsidRPr="008A3740">
        <w:rPr>
          <w:rFonts w:ascii="Verdana" w:hAnsi="Verdana"/>
          <w:sz w:val="20"/>
          <w:szCs w:val="20"/>
          <w:lang w:val="en-US"/>
        </w:rPr>
        <w:t xml:space="preserve"> to</w:t>
      </w:r>
      <w:r w:rsidRPr="008A3740">
        <w:rPr>
          <w:rFonts w:ascii="Verdana" w:hAnsi="Verdana"/>
          <w:sz w:val="20"/>
          <w:szCs w:val="20"/>
          <w:lang w:val="en-US"/>
        </w:rPr>
        <w:t xml:space="preserve"> guarantee effective mechanisms to execute the decisions </w:t>
      </w:r>
      <w:r w:rsidR="00587339" w:rsidRPr="008A3740">
        <w:rPr>
          <w:rFonts w:ascii="Verdana" w:hAnsi="Verdana"/>
          <w:sz w:val="20"/>
          <w:szCs w:val="20"/>
          <w:lang w:val="en-US"/>
        </w:rPr>
        <w:t xml:space="preserve">or </w:t>
      </w:r>
      <w:r w:rsidR="00B4665D" w:rsidRPr="008A3740">
        <w:rPr>
          <w:rFonts w:ascii="Verdana" w:hAnsi="Verdana"/>
          <w:sz w:val="20"/>
          <w:szCs w:val="20"/>
          <w:lang w:val="en-US"/>
        </w:rPr>
        <w:t>judgments delivered by the</w:t>
      </w:r>
      <w:r w:rsidRPr="008A3740">
        <w:rPr>
          <w:rFonts w:ascii="Verdana" w:hAnsi="Verdana"/>
          <w:sz w:val="20"/>
          <w:szCs w:val="20"/>
          <w:lang w:val="en-US"/>
        </w:rPr>
        <w:t xml:space="preserve"> competent authorities</w:t>
      </w:r>
      <w:r w:rsidR="007866D7" w:rsidRPr="008A3740">
        <w:rPr>
          <w:rFonts w:ascii="Verdana" w:hAnsi="Verdana"/>
          <w:spacing w:val="-2"/>
          <w:sz w:val="20"/>
          <w:szCs w:val="20"/>
          <w:lang w:val="en-US"/>
        </w:rPr>
        <w:t xml:space="preserve">, so that the </w:t>
      </w:r>
      <w:r w:rsidRPr="008A3740">
        <w:rPr>
          <w:rFonts w:ascii="Verdana" w:hAnsi="Verdana"/>
          <w:spacing w:val="-2"/>
          <w:sz w:val="20"/>
          <w:szCs w:val="20"/>
          <w:lang w:val="en-US"/>
        </w:rPr>
        <w:t>rights declared or recognized are effectively</w:t>
      </w:r>
      <w:r w:rsidR="00B4665D" w:rsidRPr="008A3740">
        <w:rPr>
          <w:rFonts w:ascii="Verdana" w:hAnsi="Verdana"/>
          <w:spacing w:val="-2"/>
          <w:sz w:val="20"/>
          <w:szCs w:val="20"/>
          <w:lang w:val="en-US"/>
        </w:rPr>
        <w:t xml:space="preserve"> protected</w:t>
      </w:r>
      <w:r w:rsidRPr="008A3740">
        <w:rPr>
          <w:rFonts w:ascii="Verdana" w:hAnsi="Verdana"/>
          <w:spacing w:val="-2"/>
          <w:sz w:val="20"/>
          <w:szCs w:val="20"/>
          <w:lang w:val="en-US"/>
        </w:rPr>
        <w:t>.</w:t>
      </w:r>
      <w:r w:rsidRPr="008A3740">
        <w:rPr>
          <w:rStyle w:val="Refdenotaalpie"/>
          <w:spacing w:val="-2"/>
          <w:szCs w:val="20"/>
          <w:lang w:val="en-US"/>
        </w:rPr>
        <w:footnoteReference w:id="139"/>
      </w:r>
      <w:r w:rsidRPr="008A3740">
        <w:rPr>
          <w:rFonts w:ascii="Verdana" w:hAnsi="Verdana"/>
          <w:spacing w:val="-2"/>
          <w:sz w:val="20"/>
          <w:szCs w:val="20"/>
          <w:lang w:val="en-US"/>
        </w:rPr>
        <w:t xml:space="preserve"> </w:t>
      </w:r>
      <w:r w:rsidR="007866D7" w:rsidRPr="008A3740">
        <w:rPr>
          <w:rFonts w:ascii="Verdana" w:hAnsi="Verdana" w:cs="Arial"/>
          <w:sz w:val="20"/>
          <w:szCs w:val="20"/>
          <w:lang w:val="en-US"/>
        </w:rPr>
        <w:t>T</w:t>
      </w:r>
      <w:r w:rsidRPr="008A3740">
        <w:rPr>
          <w:rFonts w:ascii="Verdana" w:hAnsi="Verdana" w:cs="Arial"/>
          <w:sz w:val="20"/>
          <w:szCs w:val="20"/>
          <w:lang w:val="en-US"/>
        </w:rPr>
        <w:t xml:space="preserve">his is because a judgment that is </w:t>
      </w:r>
      <w:r w:rsidRPr="008A3740">
        <w:rPr>
          <w:rFonts w:ascii="Verdana" w:hAnsi="Verdana" w:cs="Arial"/>
          <w:i/>
          <w:iCs/>
          <w:sz w:val="20"/>
          <w:szCs w:val="20"/>
          <w:lang w:val="en-US"/>
        </w:rPr>
        <w:t>res judicata</w:t>
      </w:r>
      <w:r w:rsidRPr="008A3740">
        <w:rPr>
          <w:rFonts w:ascii="Verdana" w:hAnsi="Verdana" w:cs="Arial"/>
          <w:sz w:val="20"/>
          <w:szCs w:val="20"/>
          <w:lang w:val="en-US"/>
        </w:rPr>
        <w:t xml:space="preserve"> grants certainty </w:t>
      </w:r>
      <w:r w:rsidR="007866D7" w:rsidRPr="008A3740">
        <w:rPr>
          <w:rFonts w:ascii="Verdana" w:hAnsi="Verdana" w:cs="Arial"/>
          <w:sz w:val="20"/>
          <w:szCs w:val="20"/>
          <w:lang w:val="en-US"/>
        </w:rPr>
        <w:t xml:space="preserve">as to </w:t>
      </w:r>
      <w:r w:rsidRPr="008A3740">
        <w:rPr>
          <w:rFonts w:ascii="Verdana" w:hAnsi="Verdana" w:cs="Arial"/>
          <w:sz w:val="20"/>
          <w:szCs w:val="20"/>
          <w:lang w:val="en-US"/>
        </w:rPr>
        <w:t xml:space="preserve">the right or dispute </w:t>
      </w:r>
      <w:r w:rsidR="007866D7" w:rsidRPr="008A3740">
        <w:rPr>
          <w:rFonts w:ascii="Verdana" w:hAnsi="Verdana" w:cs="Arial"/>
          <w:sz w:val="20"/>
          <w:szCs w:val="20"/>
          <w:lang w:val="en-US"/>
        </w:rPr>
        <w:t xml:space="preserve">under discussion </w:t>
      </w:r>
      <w:r w:rsidRPr="008A3740">
        <w:rPr>
          <w:rFonts w:ascii="Verdana" w:hAnsi="Verdana" w:cs="Arial"/>
          <w:sz w:val="20"/>
          <w:szCs w:val="20"/>
          <w:lang w:val="en-US"/>
        </w:rPr>
        <w:t xml:space="preserve">in the </w:t>
      </w:r>
      <w:r w:rsidR="007866D7" w:rsidRPr="008A3740">
        <w:rPr>
          <w:rFonts w:ascii="Verdana" w:hAnsi="Verdana" w:cs="Arial"/>
          <w:sz w:val="20"/>
          <w:szCs w:val="20"/>
          <w:lang w:val="en-US"/>
        </w:rPr>
        <w:t xml:space="preserve">particular </w:t>
      </w:r>
      <w:r w:rsidRPr="008A3740">
        <w:rPr>
          <w:rFonts w:ascii="Verdana" w:hAnsi="Verdana" w:cs="Arial"/>
          <w:sz w:val="20"/>
          <w:szCs w:val="20"/>
          <w:lang w:val="en-US"/>
        </w:rPr>
        <w:t xml:space="preserve">case and, therefore, its binding </w:t>
      </w:r>
      <w:r w:rsidR="007866D7" w:rsidRPr="008A3740">
        <w:rPr>
          <w:rFonts w:ascii="Verdana" w:hAnsi="Verdana" w:cs="Arial"/>
          <w:sz w:val="20"/>
          <w:szCs w:val="20"/>
          <w:lang w:val="en-US"/>
        </w:rPr>
        <w:t>force</w:t>
      </w:r>
      <w:r w:rsidR="006B597C" w:rsidRPr="008A3740">
        <w:rPr>
          <w:rFonts w:ascii="Verdana" w:hAnsi="Verdana" w:cs="Arial"/>
          <w:sz w:val="20"/>
          <w:szCs w:val="20"/>
          <w:lang w:val="en-US"/>
        </w:rPr>
        <w:t xml:space="preserve"> is one of the effects thereof</w:t>
      </w:r>
      <w:r w:rsidRPr="008A3740">
        <w:rPr>
          <w:rFonts w:ascii="Verdana" w:hAnsi="Verdana"/>
          <w:spacing w:val="-2"/>
          <w:sz w:val="20"/>
          <w:szCs w:val="20"/>
          <w:lang w:val="en-US"/>
        </w:rPr>
        <w:t>.</w:t>
      </w:r>
      <w:r w:rsidRPr="008A3740">
        <w:rPr>
          <w:rStyle w:val="Refdenotaalpie"/>
          <w:spacing w:val="-2"/>
          <w:szCs w:val="20"/>
          <w:lang w:val="en-US"/>
        </w:rPr>
        <w:footnoteReference w:id="140"/>
      </w:r>
      <w:r w:rsidRPr="008A3740">
        <w:rPr>
          <w:rFonts w:ascii="Verdana" w:hAnsi="Verdana"/>
          <w:spacing w:val="-2"/>
          <w:sz w:val="20"/>
          <w:szCs w:val="20"/>
          <w:lang w:val="en-US"/>
        </w:rPr>
        <w:t xml:space="preserve"> The </w:t>
      </w:r>
      <w:r w:rsidRPr="008A3740">
        <w:rPr>
          <w:rFonts w:ascii="Verdana" w:eastAsia="Times" w:hAnsi="Verdana"/>
          <w:spacing w:val="-2"/>
          <w:sz w:val="20"/>
          <w:szCs w:val="20"/>
          <w:lang w:val="en-US"/>
        </w:rPr>
        <w:t>contra</w:t>
      </w:r>
      <w:r w:rsidR="00587339" w:rsidRPr="008A3740">
        <w:rPr>
          <w:rFonts w:ascii="Verdana" w:eastAsia="Times" w:hAnsi="Verdana"/>
          <w:spacing w:val="-2"/>
          <w:sz w:val="20"/>
          <w:szCs w:val="20"/>
          <w:lang w:val="en-US"/>
        </w:rPr>
        <w:t>ry would imply the denial of this</w:t>
      </w:r>
      <w:r w:rsidRPr="008A3740">
        <w:rPr>
          <w:rFonts w:ascii="Verdana" w:eastAsia="Times" w:hAnsi="Verdana"/>
          <w:spacing w:val="-2"/>
          <w:sz w:val="20"/>
          <w:szCs w:val="20"/>
          <w:lang w:val="en-US"/>
        </w:rPr>
        <w:t xml:space="preserve"> right</w:t>
      </w:r>
      <w:r w:rsidRPr="008A3740">
        <w:rPr>
          <w:rFonts w:ascii="Verdana" w:hAnsi="Verdana"/>
          <w:spacing w:val="-2"/>
          <w:sz w:val="20"/>
          <w:szCs w:val="20"/>
          <w:lang w:val="en-US"/>
        </w:rPr>
        <w:t>.</w:t>
      </w:r>
      <w:r w:rsidRPr="008A3740">
        <w:rPr>
          <w:rStyle w:val="Refdenotaalpie"/>
          <w:spacing w:val="-2"/>
          <w:szCs w:val="20"/>
          <w:lang w:val="en-US"/>
        </w:rPr>
        <w:footnoteReference w:id="141"/>
      </w:r>
    </w:p>
    <w:p w14:paraId="07077E0F" w14:textId="77777777" w:rsidR="008E6A56" w:rsidRPr="008A3740" w:rsidRDefault="008E6A56" w:rsidP="008E6A56">
      <w:pPr>
        <w:widowControl/>
        <w:tabs>
          <w:tab w:val="left" w:pos="567"/>
          <w:tab w:val="left" w:pos="720"/>
        </w:tabs>
        <w:adjustRightInd/>
        <w:textAlignment w:val="auto"/>
        <w:rPr>
          <w:rFonts w:ascii="Verdana" w:hAnsi="Verdana"/>
          <w:spacing w:val="-2"/>
          <w:sz w:val="20"/>
          <w:szCs w:val="20"/>
          <w:lang w:val="en-US"/>
        </w:rPr>
      </w:pPr>
    </w:p>
    <w:p w14:paraId="457BC836"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pacing w:val="-2"/>
          <w:sz w:val="20"/>
          <w:szCs w:val="20"/>
          <w:lang w:val="en-US"/>
        </w:rPr>
      </w:pPr>
      <w:r w:rsidRPr="008A3740">
        <w:rPr>
          <w:rFonts w:ascii="Verdana" w:hAnsi="Verdana"/>
          <w:spacing w:val="-2"/>
          <w:sz w:val="20"/>
          <w:szCs w:val="20"/>
          <w:lang w:val="en-US"/>
        </w:rPr>
        <w:t xml:space="preserve">In this regard, Article 25(2)(c) of the Convention </w:t>
      </w:r>
      <w:r w:rsidR="000A0355" w:rsidRPr="008A3740">
        <w:rPr>
          <w:rFonts w:ascii="Verdana" w:hAnsi="Verdana"/>
          <w:spacing w:val="-2"/>
          <w:sz w:val="20"/>
          <w:szCs w:val="20"/>
          <w:lang w:val="en-US"/>
        </w:rPr>
        <w:t xml:space="preserve">requires States to </w:t>
      </w:r>
      <w:r w:rsidR="00856A74" w:rsidRPr="008A3740">
        <w:rPr>
          <w:rFonts w:ascii="Verdana" w:hAnsi="Verdana"/>
          <w:spacing w:val="-2"/>
          <w:sz w:val="20"/>
          <w:szCs w:val="20"/>
          <w:lang w:val="en-US"/>
        </w:rPr>
        <w:t>“</w:t>
      </w:r>
      <w:r w:rsidRPr="008A3740">
        <w:rPr>
          <w:rFonts w:ascii="Verdana" w:hAnsi="Verdana"/>
          <w:spacing w:val="-2"/>
          <w:sz w:val="20"/>
          <w:szCs w:val="20"/>
          <w:lang w:val="en-US"/>
        </w:rPr>
        <w:t>ensure that the competent authorities shall enforce such remedies when granted.”</w:t>
      </w:r>
    </w:p>
    <w:p w14:paraId="38BC9363" w14:textId="77777777" w:rsidR="008E6A56" w:rsidRPr="008A3740" w:rsidRDefault="008E6A56" w:rsidP="008E6A56">
      <w:pPr>
        <w:pStyle w:val="Prrafodelista"/>
        <w:ind w:left="0"/>
        <w:rPr>
          <w:rFonts w:ascii="Verdana" w:hAnsi="Verdana"/>
          <w:spacing w:val="-2"/>
          <w:sz w:val="20"/>
          <w:szCs w:val="20"/>
          <w:lang w:val="en-US"/>
        </w:rPr>
      </w:pPr>
    </w:p>
    <w:p w14:paraId="356F19A7"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b/>
          <w:spacing w:val="-2"/>
          <w:sz w:val="20"/>
          <w:szCs w:val="20"/>
          <w:lang w:val="en-US"/>
        </w:rPr>
      </w:pPr>
      <w:r w:rsidRPr="008A3740">
        <w:rPr>
          <w:rFonts w:ascii="Verdana" w:hAnsi="Verdana"/>
          <w:spacing w:val="-2"/>
          <w:sz w:val="20"/>
          <w:szCs w:val="20"/>
          <w:lang w:val="en-US"/>
        </w:rPr>
        <w:t xml:space="preserve">The Court has indicated that </w:t>
      </w:r>
      <w:r w:rsidRPr="008A3740">
        <w:rPr>
          <w:rFonts w:ascii="Verdana" w:hAnsi="Verdana" w:cs="Verdana"/>
          <w:bCs/>
          <w:iCs/>
          <w:sz w:val="20"/>
          <w:szCs w:val="20"/>
          <w:lang w:val="en-US"/>
        </w:rPr>
        <w:t xml:space="preserve">the State’s responsibility does not end when the competent authorities issue a decision or judgment, </w:t>
      </w:r>
      <w:r w:rsidR="00245C89" w:rsidRPr="008A3740">
        <w:rPr>
          <w:rFonts w:ascii="Verdana" w:hAnsi="Verdana" w:cs="Verdana"/>
          <w:bCs/>
          <w:iCs/>
          <w:sz w:val="20"/>
          <w:szCs w:val="20"/>
          <w:lang w:val="en-US"/>
        </w:rPr>
        <w:t xml:space="preserve">but </w:t>
      </w:r>
      <w:r w:rsidR="007866D7" w:rsidRPr="008A3740">
        <w:rPr>
          <w:rFonts w:ascii="Verdana" w:hAnsi="Verdana" w:cs="Verdana"/>
          <w:bCs/>
          <w:iCs/>
          <w:sz w:val="20"/>
          <w:szCs w:val="20"/>
          <w:lang w:val="en-US"/>
        </w:rPr>
        <w:t xml:space="preserve">that </w:t>
      </w:r>
      <w:r w:rsidR="00245C89" w:rsidRPr="008A3740">
        <w:rPr>
          <w:rFonts w:ascii="Verdana" w:hAnsi="Verdana" w:cs="Verdana"/>
          <w:bCs/>
          <w:iCs/>
          <w:sz w:val="20"/>
          <w:szCs w:val="20"/>
          <w:lang w:val="en-US"/>
        </w:rPr>
        <w:t xml:space="preserve">it also requires </w:t>
      </w:r>
      <w:r w:rsidR="007866D7" w:rsidRPr="008A3740">
        <w:rPr>
          <w:rFonts w:ascii="Verdana" w:hAnsi="Verdana" w:cs="Verdana"/>
          <w:bCs/>
          <w:iCs/>
          <w:sz w:val="20"/>
          <w:szCs w:val="20"/>
          <w:lang w:val="en-US"/>
        </w:rPr>
        <w:t>the</w:t>
      </w:r>
      <w:r w:rsidRPr="008A3740">
        <w:rPr>
          <w:rFonts w:ascii="Verdana" w:hAnsi="Verdana" w:cs="Verdana"/>
          <w:bCs/>
          <w:iCs/>
          <w:sz w:val="20"/>
          <w:szCs w:val="20"/>
          <w:lang w:val="en-US"/>
        </w:rPr>
        <w:t xml:space="preserve"> State </w:t>
      </w:r>
      <w:r w:rsidR="00245C89" w:rsidRPr="008A3740">
        <w:rPr>
          <w:rFonts w:ascii="Verdana" w:hAnsi="Verdana" w:cs="Verdana"/>
          <w:bCs/>
          <w:iCs/>
          <w:sz w:val="20"/>
          <w:szCs w:val="20"/>
          <w:lang w:val="en-US"/>
        </w:rPr>
        <w:t xml:space="preserve">to guarantee </w:t>
      </w:r>
      <w:r w:rsidRPr="008A3740">
        <w:rPr>
          <w:rFonts w:ascii="Verdana" w:hAnsi="Verdana" w:cs="Verdana"/>
          <w:bCs/>
          <w:iCs/>
          <w:sz w:val="20"/>
          <w:szCs w:val="20"/>
          <w:lang w:val="en-US"/>
        </w:rPr>
        <w:t>effective means and mechanisms to execute final decisions, so that the rights declared are effectively protected.</w:t>
      </w:r>
      <w:r w:rsidRPr="008A3740">
        <w:rPr>
          <w:rFonts w:ascii="Verdana" w:hAnsi="Verdana" w:cs="Verdana"/>
          <w:bCs/>
          <w:iCs/>
          <w:sz w:val="20"/>
          <w:szCs w:val="20"/>
          <w:vertAlign w:val="superscript"/>
          <w:lang w:val="en-US"/>
        </w:rPr>
        <w:footnoteReference w:id="142"/>
      </w:r>
      <w:r w:rsidRPr="008A3740">
        <w:rPr>
          <w:rFonts w:ascii="Verdana" w:hAnsi="Verdana"/>
          <w:spacing w:val="-2"/>
          <w:sz w:val="20"/>
          <w:szCs w:val="20"/>
          <w:lang w:val="en-US"/>
        </w:rPr>
        <w:t xml:space="preserve"> Likewise, this Court has established that </w:t>
      </w:r>
      <w:r w:rsidRPr="008A3740">
        <w:rPr>
          <w:rFonts w:ascii="Verdana" w:eastAsia="Times" w:hAnsi="Verdana"/>
          <w:spacing w:val="-2"/>
          <w:sz w:val="20"/>
          <w:szCs w:val="20"/>
          <w:lang w:val="en-US"/>
        </w:rPr>
        <w:t xml:space="preserve">the full effectiveness of </w:t>
      </w:r>
      <w:r w:rsidRPr="008A3740">
        <w:rPr>
          <w:rFonts w:ascii="Verdana" w:hAnsi="Verdana"/>
          <w:spacing w:val="-2"/>
          <w:sz w:val="20"/>
          <w:szCs w:val="20"/>
          <w:lang w:val="en-US"/>
        </w:rPr>
        <w:t xml:space="preserve">judgments depends on their execution. </w:t>
      </w:r>
      <w:r w:rsidRPr="008A3740">
        <w:rPr>
          <w:rFonts w:ascii="Verdana" w:hAnsi="Verdana"/>
          <w:sz w:val="20"/>
          <w:szCs w:val="20"/>
          <w:lang w:val="en-US"/>
        </w:rPr>
        <w:t xml:space="preserve">The process should lead to the </w:t>
      </w:r>
      <w:r w:rsidR="003E0116" w:rsidRPr="008A3740">
        <w:rPr>
          <w:rFonts w:ascii="Verdana" w:hAnsi="Verdana"/>
          <w:sz w:val="20"/>
          <w:szCs w:val="20"/>
          <w:lang w:val="en-US"/>
        </w:rPr>
        <w:t xml:space="preserve">materialization </w:t>
      </w:r>
      <w:r w:rsidRPr="008A3740">
        <w:rPr>
          <w:rFonts w:ascii="Verdana" w:hAnsi="Verdana"/>
          <w:sz w:val="20"/>
          <w:szCs w:val="20"/>
          <w:lang w:val="en-US"/>
        </w:rPr>
        <w:t>of the protection of the right recognized in the judicial ruling.</w:t>
      </w:r>
      <w:r w:rsidRPr="008A3740">
        <w:rPr>
          <w:rStyle w:val="Refdenotaalpie"/>
          <w:spacing w:val="-2"/>
          <w:szCs w:val="20"/>
          <w:lang w:val="en-US"/>
        </w:rPr>
        <w:footnoteReference w:id="143"/>
      </w:r>
      <w:r w:rsidRPr="008A3740">
        <w:rPr>
          <w:rFonts w:ascii="Verdana" w:hAnsi="Verdana"/>
          <w:b/>
          <w:spacing w:val="-2"/>
          <w:sz w:val="20"/>
          <w:szCs w:val="20"/>
          <w:lang w:val="en-US"/>
        </w:rPr>
        <w:t xml:space="preserve"> </w:t>
      </w:r>
    </w:p>
    <w:p w14:paraId="0237E999" w14:textId="77777777" w:rsidR="008E6A56" w:rsidRPr="008A3740" w:rsidRDefault="008E6A56" w:rsidP="008E6A56">
      <w:pPr>
        <w:pStyle w:val="Prrafodelista"/>
        <w:ind w:left="0"/>
        <w:rPr>
          <w:rFonts w:ascii="Verdana" w:hAnsi="Verdana"/>
          <w:spacing w:val="-2"/>
          <w:sz w:val="20"/>
          <w:szCs w:val="20"/>
          <w:lang w:val="en-US"/>
        </w:rPr>
      </w:pPr>
    </w:p>
    <w:p w14:paraId="36094276"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pacing w:val="-2"/>
          <w:sz w:val="20"/>
          <w:szCs w:val="20"/>
          <w:lang w:val="en-US"/>
        </w:rPr>
      </w:pPr>
      <w:r w:rsidRPr="008A3740">
        <w:rPr>
          <w:rFonts w:ascii="Verdana" w:hAnsi="Verdana"/>
          <w:sz w:val="20"/>
          <w:szCs w:val="20"/>
          <w:lang w:val="en-US"/>
        </w:rPr>
        <w:t xml:space="preserve">The Court considers that the </w:t>
      </w:r>
      <w:r w:rsidR="00587339" w:rsidRPr="008A3740">
        <w:rPr>
          <w:rFonts w:ascii="Verdana" w:hAnsi="Verdana"/>
          <w:sz w:val="20"/>
          <w:szCs w:val="20"/>
          <w:lang w:val="en-US"/>
        </w:rPr>
        <w:t xml:space="preserve">implementation </w:t>
      </w:r>
      <w:r w:rsidRPr="008A3740">
        <w:rPr>
          <w:rFonts w:ascii="Verdana" w:hAnsi="Verdana"/>
          <w:sz w:val="20"/>
          <w:szCs w:val="20"/>
          <w:lang w:val="en-US"/>
        </w:rPr>
        <w:t xml:space="preserve">of judgments should be governed by those specific standards that </w:t>
      </w:r>
      <w:r w:rsidR="00763E65" w:rsidRPr="008A3740">
        <w:rPr>
          <w:rFonts w:ascii="Verdana" w:hAnsi="Verdana"/>
          <w:sz w:val="20"/>
          <w:szCs w:val="20"/>
          <w:lang w:val="en-US"/>
        </w:rPr>
        <w:t xml:space="preserve">enable the realization </w:t>
      </w:r>
      <w:r w:rsidRPr="008A3740">
        <w:rPr>
          <w:rFonts w:ascii="Verdana" w:hAnsi="Verdana"/>
          <w:sz w:val="20"/>
          <w:szCs w:val="20"/>
          <w:lang w:val="en-US"/>
        </w:rPr>
        <w:t xml:space="preserve">of the principles of, </w:t>
      </w:r>
      <w:r w:rsidRPr="008A3740">
        <w:rPr>
          <w:rFonts w:ascii="Verdana" w:hAnsi="Verdana"/>
          <w:i/>
          <w:sz w:val="20"/>
          <w:szCs w:val="20"/>
          <w:lang w:val="en-US"/>
        </w:rPr>
        <w:t>inter alia</w:t>
      </w:r>
      <w:r w:rsidRPr="008A3740">
        <w:rPr>
          <w:rFonts w:ascii="Verdana" w:hAnsi="Verdana"/>
          <w:sz w:val="20"/>
          <w:szCs w:val="20"/>
          <w:lang w:val="en-US"/>
        </w:rPr>
        <w:t>, judicial protection, due process, legal certainty, judicial independence and the rule of law. The Court has also indicated that in order to achieve the full effectiveness of a judgment, its implementation should be complete, perfect, and comprehensive and without delay.</w:t>
      </w:r>
      <w:r w:rsidRPr="008A3740">
        <w:rPr>
          <w:rStyle w:val="Refdenotaalpie"/>
          <w:szCs w:val="20"/>
          <w:lang w:val="en-US"/>
        </w:rPr>
        <w:footnoteReference w:id="144"/>
      </w:r>
      <w:r w:rsidRPr="008A3740">
        <w:rPr>
          <w:rFonts w:ascii="Verdana" w:hAnsi="Verdana"/>
          <w:sz w:val="20"/>
          <w:szCs w:val="20"/>
          <w:lang w:val="en-US"/>
        </w:rPr>
        <w:t xml:space="preserve"> </w:t>
      </w:r>
    </w:p>
    <w:p w14:paraId="1C478555" w14:textId="77777777" w:rsidR="008E6A56" w:rsidRPr="008A3740" w:rsidRDefault="008E6A56" w:rsidP="008E6A56">
      <w:pPr>
        <w:pStyle w:val="Prrafodelista"/>
        <w:ind w:left="0"/>
        <w:rPr>
          <w:rFonts w:ascii="Verdana" w:hAnsi="Verdana"/>
          <w:spacing w:val="-2"/>
          <w:sz w:val="20"/>
          <w:szCs w:val="20"/>
          <w:lang w:val="en-US"/>
        </w:rPr>
      </w:pPr>
    </w:p>
    <w:p w14:paraId="7ED2DDE6" w14:textId="77777777" w:rsidR="008E6A56" w:rsidRPr="008A3740" w:rsidRDefault="00763E65" w:rsidP="00D17A65">
      <w:pPr>
        <w:widowControl/>
        <w:numPr>
          <w:ilvl w:val="0"/>
          <w:numId w:val="3"/>
        </w:numPr>
        <w:tabs>
          <w:tab w:val="left" w:pos="567"/>
          <w:tab w:val="left" w:pos="720"/>
        </w:tabs>
        <w:adjustRightInd/>
        <w:ind w:left="0" w:firstLine="0"/>
        <w:textAlignment w:val="auto"/>
        <w:rPr>
          <w:rFonts w:ascii="Verdana" w:hAnsi="Verdana"/>
          <w:spacing w:val="-2"/>
          <w:sz w:val="20"/>
          <w:szCs w:val="20"/>
          <w:lang w:val="en-US"/>
        </w:rPr>
      </w:pPr>
      <w:r w:rsidRPr="008A3740">
        <w:rPr>
          <w:rFonts w:ascii="Verdana" w:hAnsi="Verdana"/>
          <w:sz w:val="20"/>
          <w:szCs w:val="20"/>
          <w:lang w:val="en-US"/>
        </w:rPr>
        <w:lastRenderedPageBreak/>
        <w:t>Likewise</w:t>
      </w:r>
      <w:r w:rsidR="008E6A56" w:rsidRPr="008A3740">
        <w:rPr>
          <w:rFonts w:ascii="Verdana" w:hAnsi="Verdana"/>
          <w:sz w:val="20"/>
          <w:szCs w:val="20"/>
          <w:lang w:val="en-US"/>
        </w:rPr>
        <w:t>, the principle of effective judicial protection requires that the implementation procedures be accessible to the parties, without hindrance or undue delay in order to quick</w:t>
      </w:r>
      <w:r w:rsidR="00A70B7B" w:rsidRPr="008A3740">
        <w:rPr>
          <w:rFonts w:ascii="Verdana" w:hAnsi="Verdana"/>
          <w:sz w:val="20"/>
          <w:szCs w:val="20"/>
          <w:lang w:val="en-US"/>
        </w:rPr>
        <w:t xml:space="preserve">ly, simply, and comprehensively </w:t>
      </w:r>
      <w:r w:rsidR="008E6A56" w:rsidRPr="008A3740">
        <w:rPr>
          <w:rFonts w:ascii="Verdana" w:hAnsi="Verdana"/>
          <w:sz w:val="20"/>
          <w:szCs w:val="20"/>
          <w:lang w:val="en-US"/>
        </w:rPr>
        <w:t>accomplish their purpose.</w:t>
      </w:r>
      <w:r w:rsidR="008E6A56" w:rsidRPr="008A3740">
        <w:rPr>
          <w:rFonts w:ascii="Verdana" w:hAnsi="Verdana"/>
          <w:sz w:val="20"/>
          <w:szCs w:val="20"/>
          <w:vertAlign w:val="superscript"/>
          <w:lang w:val="en-US"/>
        </w:rPr>
        <w:footnoteReference w:id="145"/>
      </w:r>
      <w:r w:rsidR="008E6A56" w:rsidRPr="008A3740">
        <w:rPr>
          <w:rFonts w:ascii="Verdana" w:hAnsi="Verdana"/>
          <w:sz w:val="20"/>
          <w:szCs w:val="20"/>
          <w:lang w:val="en-US"/>
        </w:rPr>
        <w:t xml:space="preserve"> Additionally, the provisions governing the independence of the judicial order must be made in an appropriate way so as to ensure the timely execution</w:t>
      </w:r>
      <w:r w:rsidR="008E6A56" w:rsidRPr="008A3740">
        <w:rPr>
          <w:rFonts w:ascii="Verdana" w:hAnsi="Verdana"/>
          <w:sz w:val="20"/>
          <w:szCs w:val="20"/>
          <w:vertAlign w:val="superscript"/>
          <w:lang w:val="en-US"/>
        </w:rPr>
        <w:footnoteReference w:id="146"/>
      </w:r>
      <w:r w:rsidR="00245C89" w:rsidRPr="008A3740">
        <w:rPr>
          <w:rFonts w:ascii="Verdana" w:hAnsi="Verdana"/>
          <w:sz w:val="20"/>
          <w:szCs w:val="20"/>
          <w:lang w:val="en-US"/>
        </w:rPr>
        <w:t xml:space="preserve"> </w:t>
      </w:r>
      <w:r w:rsidR="005B3899" w:rsidRPr="008A3740">
        <w:rPr>
          <w:rFonts w:ascii="Verdana" w:hAnsi="Verdana"/>
          <w:sz w:val="20"/>
          <w:szCs w:val="20"/>
          <w:lang w:val="en-US"/>
        </w:rPr>
        <w:t xml:space="preserve">of judgments </w:t>
      </w:r>
      <w:r w:rsidR="00245C89" w:rsidRPr="008A3740">
        <w:rPr>
          <w:rFonts w:ascii="Verdana" w:hAnsi="Verdana"/>
          <w:sz w:val="20"/>
          <w:szCs w:val="20"/>
          <w:lang w:val="en-US"/>
        </w:rPr>
        <w:t xml:space="preserve">and </w:t>
      </w:r>
      <w:r w:rsidR="008E6A56" w:rsidRPr="008A3740">
        <w:rPr>
          <w:rFonts w:ascii="Verdana" w:hAnsi="Verdana"/>
          <w:sz w:val="20"/>
          <w:szCs w:val="20"/>
          <w:lang w:val="en-US"/>
        </w:rPr>
        <w:t>guarantee the binding and obligatory nature of the decisions of last resort.</w:t>
      </w:r>
      <w:r w:rsidR="008E6A56" w:rsidRPr="008A3740">
        <w:rPr>
          <w:rFonts w:ascii="Verdana" w:hAnsi="Verdana"/>
          <w:sz w:val="20"/>
          <w:szCs w:val="20"/>
          <w:vertAlign w:val="superscript"/>
          <w:lang w:val="en-US"/>
        </w:rPr>
        <w:footnoteReference w:id="147"/>
      </w:r>
      <w:r w:rsidR="008E6A56" w:rsidRPr="008A3740">
        <w:rPr>
          <w:rFonts w:ascii="Verdana" w:hAnsi="Verdana"/>
          <w:sz w:val="20"/>
          <w:szCs w:val="20"/>
          <w:lang w:val="en-US"/>
        </w:rPr>
        <w:t xml:space="preserve"> The Court considers that in a system based on the principle of the rule of law, all public authorities, within the framework of their jurisdiction, must take heed of judicial decisions and promote their execution, without hindering the purpose and scope of the decision or unduly delaying its implementation.</w:t>
      </w:r>
      <w:r w:rsidR="008E6A56" w:rsidRPr="008A3740">
        <w:rPr>
          <w:rFonts w:ascii="Verdana" w:hAnsi="Verdana"/>
          <w:sz w:val="20"/>
          <w:szCs w:val="20"/>
          <w:vertAlign w:val="superscript"/>
          <w:lang w:val="en-US"/>
        </w:rPr>
        <w:footnoteReference w:id="148"/>
      </w:r>
      <w:r w:rsidR="008E6A56" w:rsidRPr="008A3740">
        <w:rPr>
          <w:rFonts w:ascii="Verdana" w:hAnsi="Verdana"/>
          <w:sz w:val="20"/>
          <w:szCs w:val="20"/>
          <w:lang w:val="en-US"/>
        </w:rPr>
        <w:t xml:space="preserve"> </w:t>
      </w:r>
    </w:p>
    <w:p w14:paraId="7A97C074" w14:textId="77777777" w:rsidR="008E6A56" w:rsidRPr="008A3740" w:rsidRDefault="008E6A56" w:rsidP="008E6A56">
      <w:pPr>
        <w:pStyle w:val="Prrafodelista"/>
        <w:ind w:left="0"/>
        <w:rPr>
          <w:rFonts w:ascii="Verdana" w:hAnsi="Verdana"/>
          <w:spacing w:val="-2"/>
          <w:sz w:val="20"/>
          <w:szCs w:val="20"/>
          <w:lang w:val="en-US"/>
        </w:rPr>
      </w:pPr>
    </w:p>
    <w:p w14:paraId="2ABF24BE"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pacing w:val="-2"/>
          <w:sz w:val="20"/>
          <w:szCs w:val="20"/>
          <w:lang w:val="en-US"/>
        </w:rPr>
      </w:pPr>
      <w:r w:rsidRPr="008A3740">
        <w:rPr>
          <w:rFonts w:ascii="Verdana" w:hAnsi="Verdana"/>
          <w:sz w:val="20"/>
          <w:szCs w:val="20"/>
          <w:lang w:val="en-US"/>
        </w:rPr>
        <w:t xml:space="preserve">This Court </w:t>
      </w:r>
      <w:r w:rsidR="00245C89" w:rsidRPr="008A3740">
        <w:rPr>
          <w:rFonts w:ascii="Verdana" w:hAnsi="Verdana"/>
          <w:sz w:val="20"/>
          <w:szCs w:val="20"/>
          <w:lang w:val="en-US"/>
        </w:rPr>
        <w:t>also emphasizes that Article 25(</w:t>
      </w:r>
      <w:r w:rsidRPr="008A3740">
        <w:rPr>
          <w:rFonts w:ascii="Verdana" w:hAnsi="Verdana"/>
          <w:sz w:val="20"/>
          <w:szCs w:val="20"/>
          <w:lang w:val="en-US"/>
        </w:rPr>
        <w:t>2</w:t>
      </w:r>
      <w:r w:rsidR="005B3899" w:rsidRPr="008A3740">
        <w:rPr>
          <w:rFonts w:ascii="Verdana" w:hAnsi="Verdana"/>
          <w:sz w:val="20"/>
          <w:szCs w:val="20"/>
          <w:lang w:val="en-US"/>
        </w:rPr>
        <w:t>)</w:t>
      </w:r>
      <w:r w:rsidR="00F340F1" w:rsidRPr="008A3740">
        <w:rPr>
          <w:rFonts w:ascii="Verdana" w:hAnsi="Verdana"/>
          <w:sz w:val="20"/>
          <w:szCs w:val="20"/>
          <w:lang w:val="en-US"/>
        </w:rPr>
        <w:t>(</w:t>
      </w:r>
      <w:r w:rsidRPr="008A3740">
        <w:rPr>
          <w:rFonts w:ascii="Verdana" w:hAnsi="Verdana"/>
          <w:sz w:val="20"/>
          <w:szCs w:val="20"/>
          <w:lang w:val="en-US"/>
        </w:rPr>
        <w:t xml:space="preserve">c) of the Convention </w:t>
      </w:r>
      <w:r w:rsidR="00A837AD" w:rsidRPr="008A3740">
        <w:rPr>
          <w:rFonts w:ascii="Verdana" w:hAnsi="Verdana"/>
          <w:sz w:val="20"/>
          <w:szCs w:val="20"/>
          <w:lang w:val="en-US"/>
        </w:rPr>
        <w:t xml:space="preserve">establishes </w:t>
      </w:r>
      <w:r w:rsidRPr="008A3740">
        <w:rPr>
          <w:rFonts w:ascii="Verdana" w:hAnsi="Verdana"/>
          <w:sz w:val="20"/>
          <w:szCs w:val="20"/>
          <w:lang w:val="en-US"/>
        </w:rPr>
        <w:t xml:space="preserve">the obligation </w:t>
      </w:r>
      <w:r w:rsidR="00A837AD" w:rsidRPr="008A3740">
        <w:rPr>
          <w:rFonts w:ascii="Verdana" w:hAnsi="Verdana"/>
          <w:sz w:val="20"/>
          <w:szCs w:val="20"/>
          <w:lang w:val="en-US"/>
        </w:rPr>
        <w:t xml:space="preserve">to </w:t>
      </w:r>
      <w:r w:rsidRPr="008A3740">
        <w:rPr>
          <w:rFonts w:ascii="Verdana" w:hAnsi="Verdana"/>
          <w:sz w:val="20"/>
          <w:szCs w:val="20"/>
          <w:lang w:val="en-US"/>
        </w:rPr>
        <w:t>e</w:t>
      </w:r>
      <w:r w:rsidR="00A837AD" w:rsidRPr="008A3740">
        <w:rPr>
          <w:rFonts w:ascii="Verdana" w:hAnsi="Verdana"/>
          <w:sz w:val="20"/>
          <w:szCs w:val="20"/>
          <w:lang w:val="en-US"/>
        </w:rPr>
        <w:t>nsure that competent authorities</w:t>
      </w:r>
      <w:r w:rsidR="00D10701" w:rsidRPr="008A3740">
        <w:rPr>
          <w:rFonts w:ascii="Verdana" w:hAnsi="Verdana"/>
          <w:sz w:val="20"/>
          <w:szCs w:val="20"/>
          <w:lang w:val="en-US"/>
        </w:rPr>
        <w:t xml:space="preserve"> </w:t>
      </w:r>
      <w:r w:rsidR="00F340F1" w:rsidRPr="008A3740">
        <w:rPr>
          <w:rFonts w:ascii="Verdana" w:hAnsi="Verdana"/>
          <w:sz w:val="20"/>
          <w:szCs w:val="20"/>
          <w:lang w:val="en-US"/>
        </w:rPr>
        <w:t>“shall</w:t>
      </w:r>
      <w:r w:rsidR="00A837AD" w:rsidRPr="008A3740">
        <w:rPr>
          <w:rFonts w:ascii="Verdana" w:hAnsi="Verdana"/>
          <w:sz w:val="20"/>
          <w:szCs w:val="20"/>
          <w:lang w:val="en-US"/>
        </w:rPr>
        <w:t xml:space="preserve"> enforce such remedies when granted</w:t>
      </w:r>
      <w:r w:rsidRPr="008A3740">
        <w:rPr>
          <w:rFonts w:ascii="Verdana" w:hAnsi="Verdana"/>
          <w:sz w:val="20"/>
          <w:szCs w:val="20"/>
          <w:lang w:val="en-US"/>
        </w:rPr>
        <w:t xml:space="preserve">.” This </w:t>
      </w:r>
      <w:r w:rsidR="00637CF7" w:rsidRPr="008A3740">
        <w:rPr>
          <w:rFonts w:ascii="Verdana" w:hAnsi="Verdana"/>
          <w:sz w:val="20"/>
          <w:szCs w:val="20"/>
          <w:lang w:val="en-US"/>
        </w:rPr>
        <w:t xml:space="preserve">includes </w:t>
      </w:r>
      <w:r w:rsidRPr="008A3740">
        <w:rPr>
          <w:rFonts w:ascii="Verdana" w:hAnsi="Verdana"/>
          <w:sz w:val="20"/>
          <w:szCs w:val="20"/>
          <w:lang w:val="en-US"/>
        </w:rPr>
        <w:t>guarantee</w:t>
      </w:r>
      <w:r w:rsidR="00637CF7" w:rsidRPr="008A3740">
        <w:rPr>
          <w:rFonts w:ascii="Verdana" w:hAnsi="Verdana"/>
          <w:sz w:val="20"/>
          <w:szCs w:val="20"/>
          <w:lang w:val="en-US"/>
        </w:rPr>
        <w:t>ing</w:t>
      </w:r>
      <w:r w:rsidR="008926B1" w:rsidRPr="008A3740">
        <w:rPr>
          <w:rFonts w:ascii="Verdana" w:hAnsi="Verdana"/>
          <w:sz w:val="20"/>
          <w:szCs w:val="20"/>
          <w:lang w:val="en-US"/>
        </w:rPr>
        <w:t xml:space="preserve"> </w:t>
      </w:r>
      <w:r w:rsidRPr="008A3740">
        <w:rPr>
          <w:rFonts w:ascii="Verdana" w:hAnsi="Verdana"/>
          <w:sz w:val="20"/>
          <w:szCs w:val="20"/>
          <w:lang w:val="en-US"/>
        </w:rPr>
        <w:t xml:space="preserve">effective mechanisms for the enforcement of judicial decisions or final judgments issued both </w:t>
      </w:r>
      <w:r w:rsidR="00A837AD" w:rsidRPr="008A3740">
        <w:rPr>
          <w:rFonts w:ascii="Verdana" w:hAnsi="Verdana"/>
          <w:sz w:val="20"/>
          <w:szCs w:val="20"/>
          <w:lang w:val="en-US"/>
        </w:rPr>
        <w:t>against State and private enti</w:t>
      </w:r>
      <w:r w:rsidRPr="008A3740">
        <w:rPr>
          <w:rFonts w:ascii="Verdana" w:hAnsi="Verdana"/>
          <w:sz w:val="20"/>
          <w:szCs w:val="20"/>
          <w:lang w:val="en-US"/>
        </w:rPr>
        <w:t>t</w:t>
      </w:r>
      <w:r w:rsidR="00A837AD" w:rsidRPr="008A3740">
        <w:rPr>
          <w:rFonts w:ascii="Verdana" w:hAnsi="Verdana"/>
          <w:sz w:val="20"/>
          <w:szCs w:val="20"/>
          <w:lang w:val="en-US"/>
        </w:rPr>
        <w:t>i</w:t>
      </w:r>
      <w:r w:rsidRPr="008A3740">
        <w:rPr>
          <w:rFonts w:ascii="Verdana" w:hAnsi="Verdana"/>
          <w:sz w:val="20"/>
          <w:szCs w:val="20"/>
          <w:lang w:val="en-US"/>
        </w:rPr>
        <w:t>es</w:t>
      </w:r>
      <w:r w:rsidR="00637CF7" w:rsidRPr="008A3740">
        <w:rPr>
          <w:rFonts w:ascii="Verdana" w:hAnsi="Verdana"/>
          <w:sz w:val="20"/>
          <w:szCs w:val="20"/>
          <w:lang w:val="en-US"/>
        </w:rPr>
        <w:t>.</w:t>
      </w:r>
      <w:r w:rsidRPr="008A3740">
        <w:rPr>
          <w:rFonts w:ascii="Verdana" w:hAnsi="Verdana"/>
          <w:sz w:val="20"/>
          <w:szCs w:val="20"/>
          <w:lang w:val="en-US"/>
        </w:rPr>
        <w:t xml:space="preserve"> </w:t>
      </w:r>
      <w:r w:rsidR="008926B1" w:rsidRPr="008A3740">
        <w:rPr>
          <w:rFonts w:ascii="Verdana" w:hAnsi="Verdana"/>
          <w:sz w:val="20"/>
          <w:szCs w:val="20"/>
          <w:lang w:val="en-US"/>
        </w:rPr>
        <w:t xml:space="preserve">It is also </w:t>
      </w:r>
      <w:r w:rsidRPr="008A3740">
        <w:rPr>
          <w:rFonts w:ascii="Verdana" w:hAnsi="Verdana"/>
          <w:sz w:val="20"/>
          <w:szCs w:val="20"/>
          <w:lang w:val="en-US"/>
        </w:rPr>
        <w:t xml:space="preserve">essential to adopt </w:t>
      </w:r>
      <w:r w:rsidR="00FE4D96" w:rsidRPr="008A3740">
        <w:rPr>
          <w:rFonts w:ascii="Verdana" w:hAnsi="Verdana"/>
          <w:sz w:val="20"/>
          <w:szCs w:val="20"/>
          <w:lang w:val="en-US"/>
        </w:rPr>
        <w:t xml:space="preserve">appropriate </w:t>
      </w:r>
      <w:r w:rsidRPr="008A3740">
        <w:rPr>
          <w:rFonts w:ascii="Verdana" w:hAnsi="Verdana"/>
          <w:sz w:val="20"/>
          <w:szCs w:val="20"/>
          <w:lang w:val="en-US"/>
        </w:rPr>
        <w:t>and effective coercive me</w:t>
      </w:r>
      <w:r w:rsidR="00B816B4" w:rsidRPr="008A3740">
        <w:rPr>
          <w:rFonts w:ascii="Verdana" w:hAnsi="Verdana"/>
          <w:sz w:val="20"/>
          <w:szCs w:val="20"/>
          <w:lang w:val="en-US"/>
        </w:rPr>
        <w:t xml:space="preserve">chanisms </w:t>
      </w:r>
      <w:r w:rsidR="0013290A" w:rsidRPr="008A3740">
        <w:rPr>
          <w:rFonts w:ascii="Verdana" w:hAnsi="Verdana"/>
          <w:sz w:val="20"/>
          <w:szCs w:val="20"/>
          <w:lang w:val="en-US"/>
        </w:rPr>
        <w:t xml:space="preserve">to </w:t>
      </w:r>
      <w:r w:rsidR="00637CF7" w:rsidRPr="008A3740">
        <w:rPr>
          <w:rFonts w:ascii="Verdana" w:hAnsi="Verdana"/>
          <w:sz w:val="20"/>
          <w:szCs w:val="20"/>
          <w:lang w:val="en-US"/>
        </w:rPr>
        <w:t>ensure</w:t>
      </w:r>
      <w:r w:rsidR="005B3899" w:rsidRPr="008A3740">
        <w:rPr>
          <w:rFonts w:ascii="Verdana" w:hAnsi="Verdana"/>
          <w:sz w:val="20"/>
          <w:szCs w:val="20"/>
          <w:lang w:val="en-US"/>
        </w:rPr>
        <w:t xml:space="preserve">, where necessary, </w:t>
      </w:r>
      <w:r w:rsidR="00637CF7" w:rsidRPr="008A3740">
        <w:rPr>
          <w:rFonts w:ascii="Verdana" w:hAnsi="Verdana"/>
          <w:sz w:val="20"/>
          <w:szCs w:val="20"/>
          <w:lang w:val="en-US"/>
        </w:rPr>
        <w:t xml:space="preserve">that </w:t>
      </w:r>
      <w:r w:rsidR="00FE4D96" w:rsidRPr="008A3740">
        <w:rPr>
          <w:rFonts w:ascii="Verdana" w:hAnsi="Verdana"/>
          <w:sz w:val="20"/>
          <w:szCs w:val="20"/>
          <w:lang w:val="en-US"/>
        </w:rPr>
        <w:t xml:space="preserve">the </w:t>
      </w:r>
      <w:r w:rsidRPr="008A3740">
        <w:rPr>
          <w:rFonts w:ascii="Verdana" w:hAnsi="Verdana"/>
          <w:sz w:val="20"/>
          <w:szCs w:val="20"/>
          <w:lang w:val="en-US"/>
        </w:rPr>
        <w:t xml:space="preserve">authorities </w:t>
      </w:r>
      <w:r w:rsidR="005B3899" w:rsidRPr="008A3740">
        <w:rPr>
          <w:rFonts w:ascii="Verdana" w:hAnsi="Verdana"/>
          <w:sz w:val="20"/>
          <w:szCs w:val="20"/>
          <w:lang w:val="en-US"/>
        </w:rPr>
        <w:t xml:space="preserve">who issue decisions or judgments </w:t>
      </w:r>
      <w:r w:rsidR="00D6228C" w:rsidRPr="008A3740">
        <w:rPr>
          <w:rFonts w:ascii="Verdana" w:hAnsi="Verdana"/>
          <w:sz w:val="20"/>
          <w:szCs w:val="20"/>
          <w:lang w:val="en-US"/>
        </w:rPr>
        <w:t xml:space="preserve">execute </w:t>
      </w:r>
      <w:r w:rsidR="005B3899" w:rsidRPr="008A3740">
        <w:rPr>
          <w:rFonts w:ascii="Verdana" w:hAnsi="Verdana"/>
          <w:sz w:val="20"/>
          <w:szCs w:val="20"/>
          <w:lang w:val="en-US"/>
        </w:rPr>
        <w:t>these</w:t>
      </w:r>
      <w:r w:rsidR="00D6228C" w:rsidRPr="008A3740">
        <w:rPr>
          <w:rFonts w:ascii="Verdana" w:hAnsi="Verdana"/>
          <w:sz w:val="20"/>
          <w:szCs w:val="20"/>
          <w:lang w:val="en-US"/>
        </w:rPr>
        <w:t>, thereby</w:t>
      </w:r>
      <w:r w:rsidR="005B3899" w:rsidRPr="008A3740">
        <w:rPr>
          <w:rFonts w:ascii="Verdana" w:hAnsi="Verdana"/>
          <w:sz w:val="20"/>
          <w:szCs w:val="20"/>
          <w:lang w:val="en-US"/>
        </w:rPr>
        <w:t xml:space="preserve"> </w:t>
      </w:r>
      <w:r w:rsidR="00D6228C" w:rsidRPr="008A3740">
        <w:rPr>
          <w:rFonts w:ascii="Verdana" w:hAnsi="Verdana"/>
          <w:sz w:val="20"/>
          <w:szCs w:val="20"/>
          <w:lang w:val="en-US"/>
        </w:rPr>
        <w:t>ensuring</w:t>
      </w:r>
      <w:r w:rsidR="005B3899" w:rsidRPr="008A3740">
        <w:rPr>
          <w:rFonts w:ascii="Verdana" w:hAnsi="Verdana"/>
          <w:sz w:val="20"/>
          <w:szCs w:val="20"/>
          <w:lang w:val="en-US"/>
        </w:rPr>
        <w:t xml:space="preserve"> the protection of the right recognized</w:t>
      </w:r>
      <w:r w:rsidR="0013290A" w:rsidRPr="008A3740">
        <w:rPr>
          <w:rFonts w:ascii="Verdana" w:hAnsi="Verdana"/>
          <w:sz w:val="20"/>
          <w:szCs w:val="20"/>
          <w:lang w:val="en-US"/>
        </w:rPr>
        <w:t xml:space="preserve"> </w:t>
      </w:r>
      <w:r w:rsidR="005B3899" w:rsidRPr="008A3740">
        <w:rPr>
          <w:rFonts w:ascii="Verdana" w:hAnsi="Verdana"/>
          <w:sz w:val="20"/>
          <w:szCs w:val="20"/>
          <w:lang w:val="en-US"/>
        </w:rPr>
        <w:t xml:space="preserve">in </w:t>
      </w:r>
      <w:r w:rsidR="00D6228C" w:rsidRPr="008A3740">
        <w:rPr>
          <w:rFonts w:ascii="Verdana" w:hAnsi="Verdana"/>
          <w:sz w:val="20"/>
          <w:szCs w:val="20"/>
          <w:lang w:val="en-US"/>
        </w:rPr>
        <w:t>a</w:t>
      </w:r>
      <w:r w:rsidR="0013290A" w:rsidRPr="008A3740">
        <w:rPr>
          <w:rFonts w:ascii="Verdana" w:hAnsi="Verdana"/>
          <w:sz w:val="20"/>
          <w:szCs w:val="20"/>
          <w:lang w:val="en-US"/>
        </w:rPr>
        <w:t xml:space="preserve"> </w:t>
      </w:r>
      <w:r w:rsidR="005B3899" w:rsidRPr="008A3740">
        <w:rPr>
          <w:rFonts w:ascii="Verdana" w:hAnsi="Verdana"/>
          <w:sz w:val="20"/>
          <w:szCs w:val="20"/>
          <w:lang w:val="en-US"/>
        </w:rPr>
        <w:t>final ruling</w:t>
      </w:r>
      <w:r w:rsidRPr="008A3740">
        <w:rPr>
          <w:rFonts w:ascii="Verdana" w:hAnsi="Verdana"/>
          <w:sz w:val="20"/>
          <w:szCs w:val="20"/>
          <w:lang w:val="en-US"/>
        </w:rPr>
        <w:t>.</w:t>
      </w:r>
    </w:p>
    <w:p w14:paraId="01F15795" w14:textId="77777777" w:rsidR="008E6A56" w:rsidRPr="008A3740" w:rsidRDefault="008E6A56" w:rsidP="008E6A56">
      <w:pPr>
        <w:pStyle w:val="Prrafodelista"/>
        <w:ind w:left="0"/>
        <w:rPr>
          <w:rFonts w:ascii="Verdana" w:hAnsi="Verdana"/>
          <w:spacing w:val="-2"/>
          <w:sz w:val="20"/>
          <w:szCs w:val="20"/>
          <w:lang w:val="en-US"/>
        </w:rPr>
      </w:pPr>
    </w:p>
    <w:p w14:paraId="22B99857"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szCs w:val="20"/>
          <w:lang w:val="en-US"/>
        </w:rPr>
      </w:pPr>
      <w:r w:rsidRPr="008A3740">
        <w:rPr>
          <w:rFonts w:ascii="Verdana" w:hAnsi="Verdana"/>
          <w:spacing w:val="-2"/>
          <w:sz w:val="20"/>
          <w:szCs w:val="20"/>
          <w:lang w:val="en-US"/>
        </w:rPr>
        <w:t xml:space="preserve">In the instant case, there is no dispute regarding Mr. Muelle Flores’ right to his pension </w:t>
      </w:r>
      <w:r w:rsidR="00D57AD9" w:rsidRPr="008A3740">
        <w:rPr>
          <w:rFonts w:ascii="Verdana" w:hAnsi="Verdana"/>
          <w:spacing w:val="-2"/>
          <w:sz w:val="20"/>
          <w:szCs w:val="20"/>
          <w:lang w:val="en-US"/>
        </w:rPr>
        <w:t xml:space="preserve">and its </w:t>
      </w:r>
      <w:r w:rsidR="00E5227C" w:rsidRPr="008A3740">
        <w:rPr>
          <w:rFonts w:ascii="Verdana" w:hAnsi="Verdana"/>
          <w:spacing w:val="-2"/>
          <w:sz w:val="20"/>
          <w:szCs w:val="20"/>
          <w:lang w:val="en-US"/>
        </w:rPr>
        <w:t>equalization</w:t>
      </w:r>
      <w:r w:rsidRPr="008A3740">
        <w:rPr>
          <w:rFonts w:ascii="Verdana" w:hAnsi="Verdana"/>
          <w:spacing w:val="-2"/>
          <w:sz w:val="20"/>
          <w:szCs w:val="20"/>
          <w:lang w:val="en-US"/>
        </w:rPr>
        <w:t xml:space="preserve"> </w:t>
      </w:r>
      <w:r w:rsidR="00245C89" w:rsidRPr="008A3740">
        <w:rPr>
          <w:rFonts w:ascii="Verdana" w:hAnsi="Verdana"/>
          <w:spacing w:val="-2"/>
          <w:sz w:val="20"/>
          <w:szCs w:val="20"/>
          <w:lang w:val="en-US"/>
        </w:rPr>
        <w:t xml:space="preserve">according to domestic </w:t>
      </w:r>
      <w:r w:rsidR="00A837AD" w:rsidRPr="008A3740">
        <w:rPr>
          <w:rFonts w:ascii="Verdana" w:hAnsi="Verdana"/>
          <w:spacing w:val="-2"/>
          <w:sz w:val="20"/>
          <w:szCs w:val="20"/>
          <w:lang w:val="en-US"/>
        </w:rPr>
        <w:t>laws</w:t>
      </w:r>
      <w:r w:rsidRPr="008A3740">
        <w:rPr>
          <w:rFonts w:ascii="Verdana" w:hAnsi="Verdana"/>
          <w:spacing w:val="-2"/>
          <w:sz w:val="20"/>
          <w:szCs w:val="20"/>
          <w:lang w:val="en-US"/>
        </w:rPr>
        <w:t xml:space="preserve">, </w:t>
      </w:r>
      <w:r w:rsidR="00D57AD9" w:rsidRPr="008A3740">
        <w:rPr>
          <w:rFonts w:ascii="Verdana" w:hAnsi="Verdana"/>
          <w:spacing w:val="-2"/>
          <w:sz w:val="20"/>
          <w:szCs w:val="20"/>
          <w:lang w:val="en-US"/>
        </w:rPr>
        <w:t xml:space="preserve">or </w:t>
      </w:r>
      <w:r w:rsidR="005B3899" w:rsidRPr="008A3740">
        <w:rPr>
          <w:rFonts w:ascii="Verdana" w:hAnsi="Verdana"/>
          <w:spacing w:val="-2"/>
          <w:sz w:val="20"/>
          <w:szCs w:val="20"/>
          <w:lang w:val="en-US"/>
        </w:rPr>
        <w:t xml:space="preserve">as to </w:t>
      </w:r>
      <w:r w:rsidR="00D57AD9" w:rsidRPr="008A3740">
        <w:rPr>
          <w:rFonts w:ascii="Verdana" w:hAnsi="Verdana"/>
          <w:spacing w:val="-2"/>
          <w:sz w:val="20"/>
          <w:szCs w:val="20"/>
          <w:lang w:val="en-US"/>
        </w:rPr>
        <w:t xml:space="preserve">whether </w:t>
      </w:r>
      <w:r w:rsidR="005B3899" w:rsidRPr="008A3740">
        <w:rPr>
          <w:rFonts w:ascii="Verdana" w:hAnsi="Verdana"/>
          <w:spacing w:val="-2"/>
          <w:sz w:val="20"/>
          <w:szCs w:val="20"/>
          <w:lang w:val="en-US"/>
        </w:rPr>
        <w:t>the decision</w:t>
      </w:r>
      <w:r w:rsidRPr="008A3740">
        <w:rPr>
          <w:rFonts w:ascii="Verdana" w:hAnsi="Verdana"/>
          <w:spacing w:val="-2"/>
          <w:sz w:val="20"/>
          <w:szCs w:val="20"/>
          <w:lang w:val="en-US"/>
        </w:rPr>
        <w:t xml:space="preserve"> </w:t>
      </w:r>
      <w:r w:rsidR="000A0355" w:rsidRPr="008A3740">
        <w:rPr>
          <w:rFonts w:ascii="Verdana" w:hAnsi="Verdana"/>
          <w:spacing w:val="-2"/>
          <w:sz w:val="20"/>
          <w:szCs w:val="20"/>
          <w:lang w:val="en-US"/>
        </w:rPr>
        <w:t xml:space="preserve">to </w:t>
      </w:r>
      <w:r w:rsidR="009F06AA" w:rsidRPr="008A3740">
        <w:rPr>
          <w:rFonts w:ascii="Verdana" w:hAnsi="Verdana"/>
          <w:spacing w:val="-2"/>
          <w:sz w:val="20"/>
          <w:szCs w:val="20"/>
          <w:lang w:val="en-US"/>
        </w:rPr>
        <w:t xml:space="preserve">withdraw </w:t>
      </w:r>
      <w:r w:rsidR="000A0355" w:rsidRPr="008A3740">
        <w:rPr>
          <w:rFonts w:ascii="Verdana" w:hAnsi="Verdana"/>
          <w:spacing w:val="-2"/>
          <w:sz w:val="20"/>
          <w:szCs w:val="20"/>
          <w:lang w:val="en-US"/>
        </w:rPr>
        <w:t xml:space="preserve">him from </w:t>
      </w:r>
      <w:r w:rsidR="00D57AD9" w:rsidRPr="008A3740">
        <w:rPr>
          <w:rFonts w:ascii="Verdana" w:hAnsi="Verdana"/>
          <w:spacing w:val="-2"/>
          <w:sz w:val="20"/>
          <w:szCs w:val="20"/>
          <w:lang w:val="en-US"/>
        </w:rPr>
        <w:t xml:space="preserve">the </w:t>
      </w:r>
      <w:r w:rsidRPr="008A3740">
        <w:rPr>
          <w:rFonts w:ascii="Verdana" w:hAnsi="Verdana"/>
          <w:spacing w:val="-2"/>
          <w:sz w:val="20"/>
          <w:szCs w:val="20"/>
          <w:lang w:val="en-US"/>
        </w:rPr>
        <w:t xml:space="preserve">Decree Law No. 20530 </w:t>
      </w:r>
      <w:r w:rsidR="00D57AD9" w:rsidRPr="008A3740">
        <w:rPr>
          <w:rFonts w:ascii="Verdana" w:hAnsi="Verdana"/>
          <w:spacing w:val="-2"/>
          <w:sz w:val="20"/>
          <w:szCs w:val="20"/>
          <w:lang w:val="en-US"/>
        </w:rPr>
        <w:t xml:space="preserve">pension scheme </w:t>
      </w:r>
      <w:r w:rsidRPr="008A3740">
        <w:rPr>
          <w:rFonts w:ascii="Verdana" w:hAnsi="Verdana"/>
          <w:spacing w:val="-2"/>
          <w:sz w:val="20"/>
          <w:szCs w:val="20"/>
          <w:lang w:val="en-US"/>
        </w:rPr>
        <w:t>w</w:t>
      </w:r>
      <w:r w:rsidR="005B3899" w:rsidRPr="008A3740">
        <w:rPr>
          <w:rFonts w:ascii="Verdana" w:hAnsi="Verdana"/>
          <w:spacing w:val="-2"/>
          <w:sz w:val="20"/>
          <w:szCs w:val="20"/>
          <w:lang w:val="en-US"/>
        </w:rPr>
        <w:t xml:space="preserve">as </w:t>
      </w:r>
      <w:r w:rsidR="00FE4D96" w:rsidRPr="008A3740">
        <w:rPr>
          <w:rFonts w:ascii="Verdana" w:hAnsi="Verdana"/>
          <w:spacing w:val="-2"/>
          <w:sz w:val="20"/>
          <w:szCs w:val="20"/>
          <w:lang w:val="en-US"/>
        </w:rPr>
        <w:t>consistent with the C</w:t>
      </w:r>
      <w:r w:rsidR="00F340F1" w:rsidRPr="008A3740">
        <w:rPr>
          <w:rFonts w:ascii="Verdana" w:hAnsi="Verdana"/>
          <w:spacing w:val="-2"/>
          <w:sz w:val="20"/>
          <w:szCs w:val="20"/>
          <w:lang w:val="en-US"/>
        </w:rPr>
        <w:t>onvention</w:t>
      </w:r>
      <w:r w:rsidRPr="008A3740">
        <w:rPr>
          <w:rFonts w:ascii="Verdana" w:hAnsi="Verdana"/>
          <w:spacing w:val="-2"/>
          <w:sz w:val="20"/>
          <w:szCs w:val="20"/>
          <w:lang w:val="en-US"/>
        </w:rPr>
        <w:t xml:space="preserve"> or violated due process, since </w:t>
      </w:r>
      <w:r w:rsidR="009F06AA" w:rsidRPr="008A3740">
        <w:rPr>
          <w:rFonts w:ascii="Verdana" w:hAnsi="Verdana"/>
          <w:spacing w:val="-2"/>
          <w:sz w:val="20"/>
          <w:szCs w:val="20"/>
          <w:lang w:val="en-US"/>
        </w:rPr>
        <w:t xml:space="preserve">his </w:t>
      </w:r>
      <w:r w:rsidRPr="008A3740">
        <w:rPr>
          <w:rFonts w:ascii="Verdana" w:hAnsi="Verdana"/>
          <w:spacing w:val="-2"/>
          <w:sz w:val="20"/>
          <w:szCs w:val="20"/>
          <w:lang w:val="en-US"/>
        </w:rPr>
        <w:t xml:space="preserve">right to a pension and </w:t>
      </w:r>
      <w:r w:rsidR="0027618E" w:rsidRPr="008A3740">
        <w:rPr>
          <w:rFonts w:ascii="Verdana" w:hAnsi="Verdana"/>
          <w:spacing w:val="-2"/>
          <w:sz w:val="20"/>
          <w:szCs w:val="20"/>
          <w:lang w:val="en-US"/>
        </w:rPr>
        <w:t xml:space="preserve">his </w:t>
      </w:r>
      <w:r w:rsidRPr="008A3740">
        <w:rPr>
          <w:rFonts w:ascii="Verdana" w:hAnsi="Verdana"/>
          <w:spacing w:val="-2"/>
          <w:sz w:val="20"/>
          <w:szCs w:val="20"/>
          <w:lang w:val="en-US"/>
        </w:rPr>
        <w:t>rein</w:t>
      </w:r>
      <w:r w:rsidR="009F06AA" w:rsidRPr="008A3740">
        <w:rPr>
          <w:rFonts w:ascii="Verdana" w:hAnsi="Verdana"/>
          <w:spacing w:val="-2"/>
          <w:sz w:val="20"/>
          <w:szCs w:val="20"/>
          <w:lang w:val="en-US"/>
        </w:rPr>
        <w:t xml:space="preserve">statement </w:t>
      </w:r>
      <w:r w:rsidR="0027618E" w:rsidRPr="008A3740">
        <w:rPr>
          <w:rFonts w:ascii="Verdana" w:hAnsi="Verdana"/>
          <w:spacing w:val="-2"/>
          <w:sz w:val="20"/>
          <w:szCs w:val="20"/>
          <w:lang w:val="en-US"/>
        </w:rPr>
        <w:t xml:space="preserve">in that system </w:t>
      </w:r>
      <w:r w:rsidR="00D57AD9" w:rsidRPr="008A3740">
        <w:rPr>
          <w:rFonts w:ascii="Verdana" w:hAnsi="Verdana"/>
          <w:spacing w:val="-2"/>
          <w:sz w:val="20"/>
          <w:szCs w:val="20"/>
          <w:lang w:val="en-US"/>
        </w:rPr>
        <w:t xml:space="preserve">were ordered in the </w:t>
      </w:r>
      <w:r w:rsidR="005B7299" w:rsidRPr="008A3740">
        <w:rPr>
          <w:rFonts w:ascii="Verdana" w:hAnsi="Verdana"/>
          <w:i/>
          <w:spacing w:val="-2"/>
          <w:sz w:val="20"/>
          <w:szCs w:val="20"/>
          <w:lang w:val="en-US"/>
        </w:rPr>
        <w:t>amparo</w:t>
      </w:r>
      <w:r w:rsidR="005B7299" w:rsidRPr="008A3740">
        <w:rPr>
          <w:rFonts w:ascii="Verdana" w:hAnsi="Verdana"/>
          <w:spacing w:val="-2"/>
          <w:sz w:val="20"/>
          <w:szCs w:val="20"/>
          <w:lang w:val="en-US"/>
        </w:rPr>
        <w:t xml:space="preserve"> </w:t>
      </w:r>
      <w:r w:rsidRPr="008A3740">
        <w:rPr>
          <w:rFonts w:ascii="Verdana" w:hAnsi="Verdana"/>
          <w:spacing w:val="-2"/>
          <w:sz w:val="20"/>
          <w:szCs w:val="20"/>
          <w:lang w:val="en-US"/>
        </w:rPr>
        <w:t xml:space="preserve">judgments </w:t>
      </w:r>
      <w:r w:rsidR="00D57AD9" w:rsidRPr="008A3740">
        <w:rPr>
          <w:rFonts w:ascii="Verdana" w:hAnsi="Verdana"/>
          <w:spacing w:val="-2"/>
          <w:sz w:val="20"/>
          <w:szCs w:val="20"/>
          <w:lang w:val="en-US"/>
        </w:rPr>
        <w:t xml:space="preserve">of the domestic courts </w:t>
      </w:r>
      <w:r w:rsidRPr="008A3740">
        <w:rPr>
          <w:rFonts w:ascii="Verdana" w:hAnsi="Verdana"/>
          <w:spacing w:val="-2"/>
          <w:sz w:val="20"/>
          <w:szCs w:val="20"/>
          <w:lang w:val="en-US"/>
        </w:rPr>
        <w:t xml:space="preserve">and in the administrative </w:t>
      </w:r>
      <w:r w:rsidR="00D57AD9" w:rsidRPr="008A3740">
        <w:rPr>
          <w:rFonts w:ascii="Verdana" w:hAnsi="Verdana"/>
          <w:spacing w:val="-2"/>
          <w:sz w:val="20"/>
          <w:szCs w:val="20"/>
          <w:lang w:val="en-US"/>
        </w:rPr>
        <w:t xml:space="preserve">proceeding </w:t>
      </w:r>
      <w:r w:rsidRPr="008A3740">
        <w:rPr>
          <w:rFonts w:ascii="Verdana" w:hAnsi="Verdana"/>
          <w:spacing w:val="-2"/>
          <w:sz w:val="20"/>
          <w:szCs w:val="20"/>
          <w:lang w:val="en-US"/>
        </w:rPr>
        <w:t>(</w:t>
      </w:r>
      <w:r w:rsidRPr="008A3740">
        <w:rPr>
          <w:rFonts w:ascii="Verdana" w:hAnsi="Verdana"/>
          <w:i/>
          <w:spacing w:val="-2"/>
          <w:sz w:val="20"/>
          <w:szCs w:val="20"/>
          <w:lang w:val="en-US"/>
        </w:rPr>
        <w:t>supra</w:t>
      </w:r>
      <w:r w:rsidRPr="008A3740">
        <w:rPr>
          <w:rFonts w:ascii="Verdana" w:hAnsi="Verdana"/>
          <w:spacing w:val="-2"/>
          <w:sz w:val="20"/>
          <w:szCs w:val="20"/>
          <w:lang w:val="en-US"/>
        </w:rPr>
        <w:t xml:space="preserve"> para. 73). </w:t>
      </w:r>
      <w:r w:rsidR="00D57AD9" w:rsidRPr="008A3740">
        <w:rPr>
          <w:rFonts w:ascii="Verdana" w:hAnsi="Verdana"/>
          <w:spacing w:val="-2"/>
          <w:sz w:val="20"/>
          <w:szCs w:val="20"/>
          <w:lang w:val="en-US"/>
        </w:rPr>
        <w:t>Therefore</w:t>
      </w:r>
      <w:r w:rsidRPr="008A3740">
        <w:rPr>
          <w:rFonts w:ascii="Verdana" w:hAnsi="Verdana"/>
          <w:spacing w:val="-2"/>
          <w:sz w:val="20"/>
          <w:szCs w:val="20"/>
          <w:lang w:val="en-US"/>
        </w:rPr>
        <w:t xml:space="preserve">, this Court will not refer to the violation of Article 8(1) as requested by the representatives in </w:t>
      </w:r>
      <w:r w:rsidR="00D57AD9" w:rsidRPr="008A3740">
        <w:rPr>
          <w:rFonts w:ascii="Verdana" w:hAnsi="Verdana"/>
          <w:spacing w:val="-2"/>
          <w:sz w:val="20"/>
          <w:szCs w:val="20"/>
          <w:lang w:val="en-US"/>
        </w:rPr>
        <w:t xml:space="preserve">that regard </w:t>
      </w:r>
      <w:r w:rsidRPr="008A3740">
        <w:rPr>
          <w:rFonts w:ascii="Verdana" w:hAnsi="Verdana"/>
          <w:spacing w:val="-2"/>
          <w:sz w:val="20"/>
          <w:szCs w:val="20"/>
          <w:lang w:val="en-US"/>
        </w:rPr>
        <w:t>(</w:t>
      </w:r>
      <w:r w:rsidRPr="008A3740">
        <w:rPr>
          <w:rFonts w:ascii="Verdana" w:hAnsi="Verdana"/>
          <w:i/>
          <w:spacing w:val="-2"/>
          <w:sz w:val="20"/>
          <w:szCs w:val="20"/>
          <w:lang w:val="en-US"/>
        </w:rPr>
        <w:t>supra</w:t>
      </w:r>
      <w:r w:rsidRPr="008A3740">
        <w:rPr>
          <w:rFonts w:ascii="Verdana" w:hAnsi="Verdana"/>
          <w:spacing w:val="-2"/>
          <w:sz w:val="20"/>
          <w:szCs w:val="20"/>
          <w:lang w:val="en-US"/>
        </w:rPr>
        <w:t xml:space="preserve"> para. 113). </w:t>
      </w:r>
      <w:r w:rsidR="00D57AD9" w:rsidRPr="008A3740">
        <w:rPr>
          <w:rFonts w:ascii="Verdana" w:hAnsi="Verdana"/>
          <w:spacing w:val="-2"/>
          <w:sz w:val="20"/>
          <w:szCs w:val="20"/>
          <w:lang w:val="en-US"/>
        </w:rPr>
        <w:t>T</w:t>
      </w:r>
      <w:r w:rsidRPr="008A3740">
        <w:rPr>
          <w:rFonts w:ascii="Verdana" w:hAnsi="Verdana"/>
          <w:spacing w:val="-2"/>
          <w:sz w:val="20"/>
          <w:szCs w:val="20"/>
          <w:lang w:val="en-US"/>
        </w:rPr>
        <w:t xml:space="preserve">he Court will </w:t>
      </w:r>
      <w:r w:rsidR="00D57AD9" w:rsidRPr="008A3740">
        <w:rPr>
          <w:rFonts w:ascii="Verdana" w:hAnsi="Verdana"/>
          <w:spacing w:val="-2"/>
          <w:sz w:val="20"/>
          <w:szCs w:val="20"/>
          <w:lang w:val="en-US"/>
        </w:rPr>
        <w:t>proceed to divide its</w:t>
      </w:r>
      <w:r w:rsidRPr="008A3740">
        <w:rPr>
          <w:rFonts w:ascii="Verdana" w:hAnsi="Verdana"/>
          <w:spacing w:val="-2"/>
          <w:sz w:val="20"/>
          <w:szCs w:val="20"/>
          <w:lang w:val="en-US"/>
        </w:rPr>
        <w:t xml:space="preserve"> analysis </w:t>
      </w:r>
      <w:r w:rsidR="009F06AA" w:rsidRPr="008A3740">
        <w:rPr>
          <w:rFonts w:ascii="Verdana" w:hAnsi="Verdana"/>
          <w:spacing w:val="-2"/>
          <w:sz w:val="20"/>
          <w:szCs w:val="20"/>
          <w:lang w:val="en-US"/>
        </w:rPr>
        <w:t xml:space="preserve">in </w:t>
      </w:r>
      <w:r w:rsidRPr="008A3740">
        <w:rPr>
          <w:rFonts w:ascii="Verdana" w:hAnsi="Verdana"/>
          <w:spacing w:val="-2"/>
          <w:sz w:val="20"/>
          <w:szCs w:val="20"/>
          <w:lang w:val="en-US"/>
        </w:rPr>
        <w:t xml:space="preserve">this section as follows: i) </w:t>
      </w:r>
      <w:r w:rsidR="00D57AD9" w:rsidRPr="008A3740">
        <w:rPr>
          <w:rFonts w:ascii="Verdana" w:hAnsi="Verdana"/>
          <w:spacing w:val="-2"/>
          <w:sz w:val="20"/>
          <w:szCs w:val="20"/>
          <w:lang w:val="en-US"/>
        </w:rPr>
        <w:t xml:space="preserve">failure to comply with </w:t>
      </w:r>
      <w:r w:rsidRPr="008A3740">
        <w:rPr>
          <w:rFonts w:ascii="Verdana" w:hAnsi="Verdana"/>
          <w:sz w:val="20"/>
          <w:szCs w:val="20"/>
          <w:lang w:val="en-US"/>
        </w:rPr>
        <w:t xml:space="preserve">the final judgments </w:t>
      </w:r>
      <w:r w:rsidR="00D57AD9" w:rsidRPr="008A3740">
        <w:rPr>
          <w:rFonts w:ascii="Verdana" w:hAnsi="Verdana"/>
          <w:sz w:val="20"/>
          <w:szCs w:val="20"/>
          <w:lang w:val="en-US"/>
        </w:rPr>
        <w:t>delivered in</w:t>
      </w:r>
      <w:r w:rsidR="005B7299" w:rsidRPr="008A3740">
        <w:rPr>
          <w:rFonts w:ascii="Verdana" w:hAnsi="Verdana"/>
          <w:sz w:val="20"/>
          <w:szCs w:val="20"/>
          <w:lang w:val="en-US"/>
        </w:rPr>
        <w:t xml:space="preserve"> the domestic courts</w:t>
      </w:r>
      <w:r w:rsidR="00D57AD9" w:rsidRPr="008A3740">
        <w:rPr>
          <w:rFonts w:ascii="Verdana" w:hAnsi="Verdana"/>
          <w:sz w:val="20"/>
          <w:szCs w:val="20"/>
          <w:lang w:val="en-US"/>
        </w:rPr>
        <w:t xml:space="preserve">; ii) the creation of </w:t>
      </w:r>
      <w:r w:rsidRPr="008A3740">
        <w:rPr>
          <w:rFonts w:ascii="Verdana" w:hAnsi="Verdana"/>
          <w:sz w:val="20"/>
          <w:szCs w:val="20"/>
          <w:lang w:val="en-US"/>
        </w:rPr>
        <w:t>obs</w:t>
      </w:r>
      <w:r w:rsidR="00D57AD9" w:rsidRPr="008A3740">
        <w:rPr>
          <w:rFonts w:ascii="Verdana" w:hAnsi="Verdana"/>
          <w:sz w:val="20"/>
          <w:szCs w:val="20"/>
          <w:lang w:val="en-US"/>
        </w:rPr>
        <w:t>tacles to the enforcement of domestic</w:t>
      </w:r>
      <w:r w:rsidRPr="008A3740">
        <w:rPr>
          <w:rFonts w:ascii="Verdana" w:hAnsi="Verdana"/>
          <w:sz w:val="20"/>
          <w:szCs w:val="20"/>
          <w:lang w:val="en-US"/>
        </w:rPr>
        <w:t xml:space="preserve"> judgments </w:t>
      </w:r>
      <w:r w:rsidR="00D57AD9" w:rsidRPr="008A3740">
        <w:rPr>
          <w:rFonts w:ascii="Verdana" w:hAnsi="Verdana"/>
          <w:sz w:val="20"/>
          <w:szCs w:val="20"/>
          <w:lang w:val="en-US"/>
        </w:rPr>
        <w:t xml:space="preserve">via </w:t>
      </w:r>
      <w:r w:rsidRPr="008A3740">
        <w:rPr>
          <w:rFonts w:ascii="Verdana" w:hAnsi="Verdana"/>
          <w:sz w:val="20"/>
          <w:szCs w:val="20"/>
          <w:lang w:val="en-US"/>
        </w:rPr>
        <w:t xml:space="preserve">privatization, and iii) the lack of effectiveness of the </w:t>
      </w:r>
      <w:r w:rsidR="009F06AA" w:rsidRPr="008A3740">
        <w:rPr>
          <w:rFonts w:ascii="Verdana" w:hAnsi="Verdana"/>
          <w:sz w:val="20"/>
          <w:szCs w:val="20"/>
          <w:lang w:val="en-US"/>
        </w:rPr>
        <w:t xml:space="preserve">judgement </w:t>
      </w:r>
      <w:r w:rsidRPr="008A3740">
        <w:rPr>
          <w:rFonts w:ascii="Verdana" w:hAnsi="Verdana"/>
          <w:sz w:val="20"/>
          <w:szCs w:val="20"/>
          <w:lang w:val="en-US"/>
        </w:rPr>
        <w:t xml:space="preserve">execution </w:t>
      </w:r>
      <w:r w:rsidR="00D57AD9" w:rsidRPr="008A3740">
        <w:rPr>
          <w:rFonts w:ascii="Verdana" w:hAnsi="Verdana"/>
          <w:sz w:val="20"/>
          <w:szCs w:val="20"/>
          <w:lang w:val="en-US"/>
        </w:rPr>
        <w:t>process</w:t>
      </w:r>
      <w:r w:rsidRPr="008A3740">
        <w:rPr>
          <w:rFonts w:ascii="Verdana" w:hAnsi="Verdana"/>
          <w:sz w:val="20"/>
          <w:szCs w:val="20"/>
          <w:lang w:val="en-US"/>
        </w:rPr>
        <w:t>: absence of coercive me</w:t>
      </w:r>
      <w:r w:rsidR="001A7BA0" w:rsidRPr="008A3740">
        <w:rPr>
          <w:rFonts w:ascii="Verdana" w:hAnsi="Verdana"/>
          <w:sz w:val="20"/>
          <w:szCs w:val="20"/>
          <w:lang w:val="en-US"/>
        </w:rPr>
        <w:t xml:space="preserve">chanisms </w:t>
      </w:r>
      <w:r w:rsidRPr="008A3740">
        <w:rPr>
          <w:rFonts w:ascii="Verdana" w:hAnsi="Verdana"/>
          <w:sz w:val="20"/>
          <w:szCs w:val="20"/>
          <w:lang w:val="en-US"/>
        </w:rPr>
        <w:t>and measures to reverse the effects of privatization.</w:t>
      </w:r>
    </w:p>
    <w:p w14:paraId="451617B3" w14:textId="77777777" w:rsidR="008E6A56" w:rsidRPr="008A3740" w:rsidRDefault="008E6A56" w:rsidP="00D17A65">
      <w:pPr>
        <w:pStyle w:val="Ttulo4"/>
        <w:numPr>
          <w:ilvl w:val="0"/>
          <w:numId w:val="9"/>
        </w:numPr>
        <w:rPr>
          <w:lang w:val="en-US"/>
        </w:rPr>
      </w:pPr>
      <w:r w:rsidRPr="008A3740">
        <w:rPr>
          <w:lang w:val="en-US"/>
        </w:rPr>
        <w:t xml:space="preserve">Failure to comply with </w:t>
      </w:r>
      <w:r w:rsidR="00D57AD9" w:rsidRPr="008A3740">
        <w:rPr>
          <w:lang w:val="en-US"/>
        </w:rPr>
        <w:t>the final judgments delivered in the domestic courts</w:t>
      </w:r>
    </w:p>
    <w:p w14:paraId="7B98138D" w14:textId="77777777" w:rsidR="008E6A56" w:rsidRPr="008A3740" w:rsidRDefault="008E6A56" w:rsidP="008E6A56">
      <w:pPr>
        <w:rPr>
          <w:rFonts w:ascii="Verdana" w:hAnsi="Verdana"/>
          <w:sz w:val="20"/>
          <w:szCs w:val="20"/>
          <w:lang w:val="en-US" w:eastAsia="en-US"/>
        </w:rPr>
      </w:pPr>
    </w:p>
    <w:p w14:paraId="14330D26"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z w:val="20"/>
          <w:szCs w:val="20"/>
          <w:lang w:val="en-US"/>
        </w:rPr>
        <w:t xml:space="preserve">Mr. Muelle worked at a State-owned mining company until </w:t>
      </w:r>
      <w:r w:rsidR="00D57AD9" w:rsidRPr="008A3740">
        <w:rPr>
          <w:rFonts w:ascii="Verdana" w:hAnsi="Verdana"/>
          <w:sz w:val="20"/>
          <w:szCs w:val="20"/>
          <w:lang w:val="en-US"/>
        </w:rPr>
        <w:t xml:space="preserve">his retirement on </w:t>
      </w:r>
      <w:r w:rsidRPr="008A3740">
        <w:rPr>
          <w:rFonts w:ascii="Verdana" w:hAnsi="Verdana"/>
          <w:sz w:val="20"/>
          <w:szCs w:val="20"/>
          <w:lang w:val="en-US"/>
        </w:rPr>
        <w:t xml:space="preserve">September 30, 1990. In May of 1990, prior to his retirement, the </w:t>
      </w:r>
      <w:r w:rsidR="005B7299" w:rsidRPr="008A3740">
        <w:rPr>
          <w:rFonts w:ascii="Verdana" w:hAnsi="Verdana"/>
          <w:sz w:val="20"/>
          <w:szCs w:val="20"/>
          <w:lang w:val="en-US"/>
        </w:rPr>
        <w:t xml:space="preserve">State </w:t>
      </w:r>
      <w:r w:rsidRPr="008A3740">
        <w:rPr>
          <w:rFonts w:ascii="Verdana" w:hAnsi="Verdana"/>
          <w:sz w:val="20"/>
          <w:szCs w:val="20"/>
          <w:lang w:val="en-US"/>
        </w:rPr>
        <w:t xml:space="preserve">company </w:t>
      </w:r>
      <w:r w:rsidR="00D57AD9" w:rsidRPr="008A3740">
        <w:rPr>
          <w:rFonts w:ascii="Verdana" w:hAnsi="Verdana"/>
          <w:sz w:val="20"/>
          <w:szCs w:val="20"/>
          <w:lang w:val="en-US"/>
        </w:rPr>
        <w:t xml:space="preserve">enrolled </w:t>
      </w:r>
      <w:r w:rsidR="005B7299" w:rsidRPr="008A3740">
        <w:rPr>
          <w:rFonts w:ascii="Verdana" w:hAnsi="Verdana"/>
          <w:sz w:val="20"/>
          <w:szCs w:val="20"/>
          <w:lang w:val="en-US"/>
        </w:rPr>
        <w:t>him in the pension s</w:t>
      </w:r>
      <w:r w:rsidR="009F06AA" w:rsidRPr="008A3740">
        <w:rPr>
          <w:rFonts w:ascii="Verdana" w:hAnsi="Verdana"/>
          <w:sz w:val="20"/>
          <w:szCs w:val="20"/>
          <w:lang w:val="en-US"/>
        </w:rPr>
        <w:t xml:space="preserve">cheme governed by </w:t>
      </w:r>
      <w:r w:rsidRPr="008A3740">
        <w:rPr>
          <w:rFonts w:ascii="Verdana" w:hAnsi="Verdana"/>
          <w:sz w:val="20"/>
          <w:szCs w:val="20"/>
          <w:lang w:val="en-US"/>
        </w:rPr>
        <w:t>Decree Law No. 20530, as a result of which he rec</w:t>
      </w:r>
      <w:r w:rsidR="00245C89" w:rsidRPr="008A3740">
        <w:rPr>
          <w:rFonts w:ascii="Verdana" w:hAnsi="Verdana"/>
          <w:sz w:val="20"/>
          <w:szCs w:val="20"/>
          <w:lang w:val="en-US"/>
        </w:rPr>
        <w:t>e</w:t>
      </w:r>
      <w:r w:rsidRPr="008A3740">
        <w:rPr>
          <w:rFonts w:ascii="Verdana" w:hAnsi="Verdana"/>
          <w:sz w:val="20"/>
          <w:szCs w:val="20"/>
          <w:lang w:val="en-US"/>
        </w:rPr>
        <w:t xml:space="preserve">ived his </w:t>
      </w:r>
      <w:r w:rsidR="00D57AD9" w:rsidRPr="008A3740">
        <w:rPr>
          <w:rFonts w:ascii="Verdana" w:hAnsi="Verdana"/>
          <w:sz w:val="20"/>
          <w:szCs w:val="20"/>
          <w:lang w:val="en-US"/>
        </w:rPr>
        <w:t xml:space="preserve">equalized </w:t>
      </w:r>
      <w:r w:rsidRPr="008A3740">
        <w:rPr>
          <w:rFonts w:ascii="Verdana" w:hAnsi="Verdana"/>
          <w:sz w:val="20"/>
          <w:szCs w:val="20"/>
          <w:lang w:val="en-US"/>
        </w:rPr>
        <w:t>pension (</w:t>
      </w:r>
      <w:r w:rsidRPr="008A3740">
        <w:rPr>
          <w:rFonts w:ascii="Verdana" w:hAnsi="Verdana"/>
          <w:i/>
          <w:sz w:val="20"/>
          <w:szCs w:val="20"/>
          <w:lang w:val="en-US"/>
        </w:rPr>
        <w:t>supra</w:t>
      </w:r>
      <w:r w:rsidRPr="008A3740">
        <w:rPr>
          <w:rFonts w:ascii="Verdana" w:hAnsi="Verdana"/>
          <w:sz w:val="20"/>
          <w:szCs w:val="20"/>
          <w:lang w:val="en-US"/>
        </w:rPr>
        <w:t xml:space="preserve"> para. 44) from October 1, 1990</w:t>
      </w:r>
      <w:r w:rsidR="009F06AA" w:rsidRPr="008A3740">
        <w:rPr>
          <w:rFonts w:ascii="Verdana" w:hAnsi="Verdana"/>
          <w:sz w:val="20"/>
          <w:szCs w:val="20"/>
          <w:lang w:val="en-US"/>
        </w:rPr>
        <w:t>, until January 1991.</w:t>
      </w:r>
      <w:r w:rsidRPr="008A3740">
        <w:rPr>
          <w:rFonts w:ascii="Verdana" w:hAnsi="Verdana"/>
          <w:sz w:val="20"/>
          <w:szCs w:val="20"/>
          <w:lang w:val="en-US"/>
        </w:rPr>
        <w:t xml:space="preserve"> </w:t>
      </w:r>
      <w:r w:rsidR="009F06AA" w:rsidRPr="008A3740">
        <w:rPr>
          <w:rFonts w:ascii="Verdana" w:hAnsi="Verdana"/>
          <w:sz w:val="20"/>
          <w:szCs w:val="20"/>
          <w:lang w:val="en-US"/>
        </w:rPr>
        <w:t xml:space="preserve">However, </w:t>
      </w:r>
      <w:r w:rsidRPr="008A3740">
        <w:rPr>
          <w:rFonts w:ascii="Verdana" w:hAnsi="Verdana"/>
          <w:sz w:val="20"/>
          <w:szCs w:val="20"/>
          <w:lang w:val="en-US"/>
        </w:rPr>
        <w:t xml:space="preserve">in February of that same year, the company </w:t>
      </w:r>
      <w:r w:rsidR="00245C89" w:rsidRPr="008A3740">
        <w:rPr>
          <w:rFonts w:ascii="Verdana" w:hAnsi="Verdana"/>
          <w:sz w:val="20"/>
          <w:szCs w:val="20"/>
          <w:lang w:val="en-US"/>
        </w:rPr>
        <w:t xml:space="preserve">unilaterally </w:t>
      </w:r>
      <w:r w:rsidRPr="008A3740">
        <w:rPr>
          <w:rFonts w:ascii="Verdana" w:hAnsi="Verdana"/>
          <w:sz w:val="20"/>
          <w:szCs w:val="20"/>
          <w:lang w:val="en-US"/>
        </w:rPr>
        <w:t>suspend</w:t>
      </w:r>
      <w:r w:rsidR="00245C89" w:rsidRPr="008A3740">
        <w:rPr>
          <w:rFonts w:ascii="Verdana" w:hAnsi="Verdana"/>
          <w:sz w:val="20"/>
          <w:szCs w:val="20"/>
          <w:lang w:val="en-US"/>
        </w:rPr>
        <w:t xml:space="preserve">ed </w:t>
      </w:r>
      <w:r w:rsidRPr="008A3740">
        <w:rPr>
          <w:rFonts w:ascii="Verdana" w:hAnsi="Verdana"/>
          <w:sz w:val="20"/>
          <w:szCs w:val="20"/>
          <w:lang w:val="en-US"/>
        </w:rPr>
        <w:t xml:space="preserve">the application of </w:t>
      </w:r>
      <w:r w:rsidR="00245C89" w:rsidRPr="008A3740">
        <w:rPr>
          <w:rFonts w:ascii="Verdana" w:hAnsi="Verdana"/>
          <w:sz w:val="20"/>
          <w:szCs w:val="20"/>
          <w:lang w:val="en-US"/>
        </w:rPr>
        <w:t xml:space="preserve">that </w:t>
      </w:r>
      <w:r w:rsidR="009F06AA" w:rsidRPr="008A3740">
        <w:rPr>
          <w:rFonts w:ascii="Verdana" w:hAnsi="Verdana"/>
          <w:sz w:val="20"/>
          <w:szCs w:val="20"/>
          <w:lang w:val="en-US"/>
        </w:rPr>
        <w:t xml:space="preserve">pension </w:t>
      </w:r>
      <w:r w:rsidR="00245C89" w:rsidRPr="008A3740">
        <w:rPr>
          <w:rFonts w:ascii="Verdana" w:hAnsi="Verdana"/>
          <w:sz w:val="20"/>
          <w:szCs w:val="20"/>
          <w:lang w:val="en-US"/>
        </w:rPr>
        <w:t>system</w:t>
      </w:r>
      <w:r w:rsidRPr="008A3740">
        <w:rPr>
          <w:rFonts w:ascii="Verdana" w:hAnsi="Verdana"/>
          <w:sz w:val="20"/>
          <w:szCs w:val="20"/>
          <w:lang w:val="en-US"/>
        </w:rPr>
        <w:t xml:space="preserve"> (</w:t>
      </w:r>
      <w:r w:rsidRPr="008A3740">
        <w:rPr>
          <w:rFonts w:ascii="Verdana" w:hAnsi="Verdana"/>
          <w:i/>
          <w:sz w:val="20"/>
          <w:szCs w:val="20"/>
          <w:lang w:val="en-US"/>
        </w:rPr>
        <w:t>supra</w:t>
      </w:r>
      <w:r w:rsidR="009F06AA" w:rsidRPr="008A3740">
        <w:rPr>
          <w:rFonts w:ascii="Verdana" w:hAnsi="Verdana"/>
          <w:sz w:val="20"/>
          <w:szCs w:val="20"/>
          <w:lang w:val="en-US"/>
        </w:rPr>
        <w:t xml:space="preserve"> para. 49).</w:t>
      </w:r>
      <w:r w:rsidRPr="008A3740">
        <w:rPr>
          <w:rFonts w:ascii="Verdana" w:hAnsi="Verdana"/>
          <w:sz w:val="20"/>
          <w:szCs w:val="20"/>
          <w:lang w:val="en-US"/>
        </w:rPr>
        <w:t xml:space="preserve"> </w:t>
      </w:r>
      <w:r w:rsidR="00245C89" w:rsidRPr="008A3740">
        <w:rPr>
          <w:rFonts w:ascii="Verdana" w:hAnsi="Verdana"/>
          <w:sz w:val="20"/>
          <w:szCs w:val="20"/>
          <w:lang w:val="en-US"/>
        </w:rPr>
        <w:t>In response</w:t>
      </w:r>
      <w:r w:rsidRPr="008A3740">
        <w:rPr>
          <w:rFonts w:ascii="Verdana" w:hAnsi="Verdana"/>
          <w:sz w:val="20"/>
          <w:szCs w:val="20"/>
          <w:lang w:val="en-US"/>
        </w:rPr>
        <w:t xml:space="preserve">, </w:t>
      </w:r>
      <w:r w:rsidRPr="008A3740">
        <w:rPr>
          <w:rFonts w:ascii="Verdana" w:hAnsi="Verdana"/>
          <w:sz w:val="20"/>
          <w:szCs w:val="20"/>
          <w:lang w:val="en-US"/>
        </w:rPr>
        <w:lastRenderedPageBreak/>
        <w:t>Mr. Muelle Flores filed a</w:t>
      </w:r>
      <w:r w:rsidR="00245C89" w:rsidRPr="008A3740">
        <w:rPr>
          <w:rFonts w:ascii="Verdana" w:hAnsi="Verdana"/>
          <w:sz w:val="20"/>
          <w:szCs w:val="20"/>
          <w:lang w:val="en-US"/>
        </w:rPr>
        <w:t>n a</w:t>
      </w:r>
      <w:r w:rsidR="009F06AA" w:rsidRPr="008A3740">
        <w:rPr>
          <w:rFonts w:ascii="Verdana" w:hAnsi="Verdana"/>
          <w:sz w:val="20"/>
          <w:szCs w:val="20"/>
          <w:lang w:val="en-US"/>
        </w:rPr>
        <w:t xml:space="preserve">pplication for </w:t>
      </w:r>
      <w:r w:rsidR="00245C89" w:rsidRPr="008A3740">
        <w:rPr>
          <w:rFonts w:ascii="Verdana" w:hAnsi="Verdana"/>
          <w:i/>
          <w:sz w:val="20"/>
          <w:szCs w:val="20"/>
          <w:lang w:val="en-US"/>
        </w:rPr>
        <w:t>amparo</w:t>
      </w:r>
      <w:r w:rsidR="00245C89" w:rsidRPr="008A3740">
        <w:rPr>
          <w:rFonts w:ascii="Verdana" w:hAnsi="Verdana"/>
          <w:sz w:val="20"/>
          <w:szCs w:val="20"/>
          <w:lang w:val="en-US"/>
        </w:rPr>
        <w:t xml:space="preserve"> </w:t>
      </w:r>
      <w:r w:rsidR="009F06AA" w:rsidRPr="008A3740">
        <w:rPr>
          <w:rFonts w:ascii="Verdana" w:hAnsi="Verdana"/>
          <w:sz w:val="20"/>
          <w:szCs w:val="20"/>
          <w:lang w:val="en-US"/>
        </w:rPr>
        <w:t xml:space="preserve">before the Supreme Court, </w:t>
      </w:r>
      <w:r w:rsidR="00245C89" w:rsidRPr="008A3740">
        <w:rPr>
          <w:rFonts w:ascii="Verdana" w:hAnsi="Verdana"/>
          <w:sz w:val="20"/>
          <w:szCs w:val="20"/>
          <w:lang w:val="en-US"/>
        </w:rPr>
        <w:t>which decided</w:t>
      </w:r>
      <w:r w:rsidRPr="008A3740">
        <w:rPr>
          <w:rFonts w:ascii="Verdana" w:hAnsi="Verdana"/>
          <w:sz w:val="20"/>
          <w:szCs w:val="20"/>
          <w:lang w:val="en-US"/>
        </w:rPr>
        <w:t xml:space="preserve"> </w:t>
      </w:r>
      <w:r w:rsidR="00245C89" w:rsidRPr="008A3740">
        <w:rPr>
          <w:rFonts w:ascii="Verdana" w:hAnsi="Verdana"/>
          <w:sz w:val="20"/>
          <w:szCs w:val="20"/>
          <w:lang w:val="en-US"/>
        </w:rPr>
        <w:t xml:space="preserve">in his </w:t>
      </w:r>
      <w:r w:rsidRPr="008A3740">
        <w:rPr>
          <w:rFonts w:ascii="Verdana" w:hAnsi="Verdana"/>
          <w:sz w:val="20"/>
          <w:szCs w:val="20"/>
          <w:lang w:val="en-US"/>
        </w:rPr>
        <w:t xml:space="preserve">favor </w:t>
      </w:r>
      <w:r w:rsidR="00D57AD9" w:rsidRPr="008A3740">
        <w:rPr>
          <w:rFonts w:ascii="Verdana" w:hAnsi="Verdana"/>
          <w:sz w:val="20"/>
          <w:szCs w:val="20"/>
          <w:lang w:val="en-US"/>
        </w:rPr>
        <w:t xml:space="preserve">on </w:t>
      </w:r>
      <w:r w:rsidRPr="008A3740">
        <w:rPr>
          <w:rFonts w:ascii="Verdana" w:hAnsi="Verdana"/>
          <w:sz w:val="20"/>
          <w:szCs w:val="20"/>
          <w:lang w:val="en-US"/>
        </w:rPr>
        <w:t>February 2, 1993</w:t>
      </w:r>
      <w:r w:rsidR="00D57AD9" w:rsidRPr="008A3740">
        <w:rPr>
          <w:rFonts w:ascii="Verdana" w:hAnsi="Verdana"/>
          <w:sz w:val="20"/>
          <w:szCs w:val="20"/>
          <w:lang w:val="en-US"/>
        </w:rPr>
        <w:t>,</w:t>
      </w:r>
      <w:r w:rsidRPr="008A3740">
        <w:rPr>
          <w:rFonts w:ascii="Verdana" w:hAnsi="Verdana"/>
          <w:sz w:val="20"/>
          <w:szCs w:val="20"/>
          <w:lang w:val="en-US"/>
        </w:rPr>
        <w:t xml:space="preserve"> </w:t>
      </w:r>
      <w:r w:rsidR="009F06AA" w:rsidRPr="008A3740">
        <w:rPr>
          <w:rFonts w:ascii="Verdana" w:hAnsi="Verdana"/>
          <w:sz w:val="20"/>
          <w:szCs w:val="20"/>
          <w:lang w:val="en-US"/>
        </w:rPr>
        <w:t xml:space="preserve">and ordered </w:t>
      </w:r>
      <w:r w:rsidRPr="008A3740">
        <w:rPr>
          <w:rFonts w:ascii="Verdana" w:hAnsi="Verdana"/>
          <w:sz w:val="20"/>
          <w:szCs w:val="20"/>
          <w:lang w:val="en-US"/>
        </w:rPr>
        <w:t>the State</w:t>
      </w:r>
      <w:r w:rsidR="00CD437A" w:rsidRPr="008A3740">
        <w:rPr>
          <w:rFonts w:ascii="Verdana" w:hAnsi="Verdana"/>
          <w:sz w:val="20"/>
          <w:szCs w:val="20"/>
          <w:lang w:val="en-US"/>
        </w:rPr>
        <w:t>-owned</w:t>
      </w:r>
      <w:r w:rsidRPr="008A3740">
        <w:rPr>
          <w:rFonts w:ascii="Verdana" w:hAnsi="Verdana"/>
          <w:sz w:val="20"/>
          <w:szCs w:val="20"/>
          <w:lang w:val="en-US"/>
        </w:rPr>
        <w:t xml:space="preserve"> company to pay Mr. Muelle the corresponding pension and reinstate him in the aforementioned scheme.</w:t>
      </w:r>
    </w:p>
    <w:p w14:paraId="058C2747"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eastAsia="en-US"/>
        </w:rPr>
      </w:pPr>
    </w:p>
    <w:p w14:paraId="6CCB724E" w14:textId="77777777" w:rsidR="008E6A56" w:rsidRPr="008A3740" w:rsidRDefault="005B7299"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z w:val="20"/>
          <w:szCs w:val="20"/>
          <w:lang w:val="en-US" w:eastAsia="en-US"/>
        </w:rPr>
        <w:t xml:space="preserve">From </w:t>
      </w:r>
      <w:r w:rsidR="008E6A56" w:rsidRPr="008A3740">
        <w:rPr>
          <w:rFonts w:ascii="Verdana" w:hAnsi="Verdana"/>
          <w:sz w:val="20"/>
          <w:szCs w:val="20"/>
          <w:lang w:val="en-US" w:eastAsia="en-US"/>
        </w:rPr>
        <w:t xml:space="preserve">the evidence in the </w:t>
      </w:r>
      <w:r w:rsidRPr="008A3740">
        <w:rPr>
          <w:rFonts w:ascii="Verdana" w:hAnsi="Verdana"/>
          <w:sz w:val="20"/>
          <w:szCs w:val="20"/>
          <w:lang w:val="en-US" w:eastAsia="en-US"/>
        </w:rPr>
        <w:t xml:space="preserve">file, </w:t>
      </w:r>
      <w:r w:rsidR="008E6A56" w:rsidRPr="008A3740">
        <w:rPr>
          <w:rFonts w:ascii="Verdana" w:hAnsi="Verdana"/>
          <w:sz w:val="20"/>
          <w:szCs w:val="20"/>
          <w:lang w:val="en-US" w:eastAsia="en-US"/>
        </w:rPr>
        <w:t xml:space="preserve">the Court </w:t>
      </w:r>
      <w:r w:rsidRPr="008A3740">
        <w:rPr>
          <w:rFonts w:ascii="Verdana" w:hAnsi="Verdana"/>
          <w:sz w:val="20"/>
          <w:szCs w:val="20"/>
          <w:lang w:val="en-US" w:eastAsia="en-US"/>
        </w:rPr>
        <w:t>finds that</w:t>
      </w:r>
      <w:r w:rsidR="008E6A56" w:rsidRPr="008A3740">
        <w:rPr>
          <w:rFonts w:ascii="Verdana" w:hAnsi="Verdana"/>
          <w:sz w:val="20"/>
          <w:szCs w:val="20"/>
          <w:lang w:val="en-US" w:eastAsia="en-US"/>
        </w:rPr>
        <w:t xml:space="preserve">, </w:t>
      </w:r>
      <w:r w:rsidR="00057B9A" w:rsidRPr="008A3740">
        <w:rPr>
          <w:rFonts w:ascii="Verdana" w:hAnsi="Verdana"/>
          <w:sz w:val="20"/>
          <w:szCs w:val="20"/>
          <w:lang w:val="en-US" w:eastAsia="en-US"/>
        </w:rPr>
        <w:t>de</w:t>
      </w:r>
      <w:r w:rsidR="009F06AA" w:rsidRPr="008A3740">
        <w:rPr>
          <w:rFonts w:ascii="Verdana" w:hAnsi="Verdana"/>
          <w:sz w:val="20"/>
          <w:szCs w:val="20"/>
          <w:lang w:val="en-US" w:eastAsia="en-US"/>
        </w:rPr>
        <w:t xml:space="preserve">spite </w:t>
      </w:r>
      <w:r w:rsidR="001659CD" w:rsidRPr="008A3740">
        <w:rPr>
          <w:rFonts w:ascii="Verdana" w:hAnsi="Verdana"/>
          <w:sz w:val="20"/>
          <w:szCs w:val="20"/>
          <w:lang w:val="en-US" w:eastAsia="en-US"/>
        </w:rPr>
        <w:t>that</w:t>
      </w:r>
      <w:r w:rsidR="000A0355" w:rsidRPr="008A3740">
        <w:rPr>
          <w:rFonts w:ascii="Verdana" w:hAnsi="Verdana"/>
          <w:sz w:val="20"/>
          <w:szCs w:val="20"/>
          <w:lang w:val="en-US" w:eastAsia="en-US"/>
        </w:rPr>
        <w:t xml:space="preserve"> judgment, the </w:t>
      </w:r>
      <w:r w:rsidR="009F06AA" w:rsidRPr="008A3740">
        <w:rPr>
          <w:rFonts w:ascii="Verdana" w:hAnsi="Verdana"/>
          <w:i/>
          <w:sz w:val="20"/>
          <w:szCs w:val="20"/>
          <w:lang w:val="en-US" w:eastAsia="en-US"/>
        </w:rPr>
        <w:t xml:space="preserve">Empresa </w:t>
      </w:r>
      <w:r w:rsidR="008E6A56" w:rsidRPr="008A3740">
        <w:rPr>
          <w:rFonts w:ascii="Verdana" w:hAnsi="Verdana"/>
          <w:i/>
          <w:sz w:val="20"/>
          <w:szCs w:val="20"/>
          <w:lang w:val="en-US" w:eastAsia="en-US"/>
        </w:rPr>
        <w:t>Especial Minera Tintaya S.A.</w:t>
      </w:r>
      <w:r w:rsidR="008E6A56" w:rsidRPr="008A3740">
        <w:rPr>
          <w:rFonts w:ascii="Verdana" w:hAnsi="Verdana"/>
          <w:sz w:val="20"/>
          <w:szCs w:val="20"/>
          <w:lang w:val="en-US" w:eastAsia="en-US"/>
        </w:rPr>
        <w:t xml:space="preserve">, </w:t>
      </w:r>
      <w:r w:rsidRPr="008A3740">
        <w:rPr>
          <w:rFonts w:ascii="Verdana" w:hAnsi="Verdana"/>
          <w:sz w:val="20"/>
          <w:szCs w:val="20"/>
          <w:lang w:val="en-US" w:eastAsia="en-US"/>
        </w:rPr>
        <w:t xml:space="preserve">which was </w:t>
      </w:r>
      <w:r w:rsidR="00790B4A" w:rsidRPr="008A3740">
        <w:rPr>
          <w:rFonts w:ascii="Verdana" w:hAnsi="Verdana"/>
          <w:sz w:val="20"/>
          <w:szCs w:val="20"/>
          <w:lang w:val="en-US" w:eastAsia="en-US"/>
        </w:rPr>
        <w:t xml:space="preserve">a </w:t>
      </w:r>
      <w:r w:rsidRPr="008A3740">
        <w:rPr>
          <w:rFonts w:ascii="Verdana" w:hAnsi="Verdana"/>
          <w:sz w:val="20"/>
          <w:szCs w:val="20"/>
          <w:lang w:val="en-US" w:eastAsia="en-US"/>
        </w:rPr>
        <w:t xml:space="preserve">State-owned </w:t>
      </w:r>
      <w:r w:rsidR="00790B4A" w:rsidRPr="008A3740">
        <w:rPr>
          <w:rFonts w:ascii="Verdana" w:hAnsi="Verdana"/>
          <w:sz w:val="20"/>
          <w:szCs w:val="20"/>
          <w:lang w:val="en-US" w:eastAsia="en-US"/>
        </w:rPr>
        <w:t xml:space="preserve">company </w:t>
      </w:r>
      <w:r w:rsidRPr="008A3740">
        <w:rPr>
          <w:rFonts w:ascii="Verdana" w:hAnsi="Verdana"/>
          <w:sz w:val="20"/>
          <w:szCs w:val="20"/>
          <w:lang w:val="en-US" w:eastAsia="en-US"/>
        </w:rPr>
        <w:t>at the time</w:t>
      </w:r>
      <w:r w:rsidR="008E6A56" w:rsidRPr="008A3740">
        <w:rPr>
          <w:rFonts w:ascii="Verdana" w:hAnsi="Verdana"/>
          <w:sz w:val="20"/>
          <w:szCs w:val="20"/>
          <w:lang w:val="en-US" w:eastAsia="en-US"/>
        </w:rPr>
        <w:t xml:space="preserve">, </w:t>
      </w:r>
      <w:r w:rsidRPr="008A3740">
        <w:rPr>
          <w:rFonts w:ascii="Verdana" w:hAnsi="Verdana"/>
          <w:sz w:val="20"/>
          <w:szCs w:val="20"/>
          <w:lang w:val="en-US" w:eastAsia="en-US"/>
        </w:rPr>
        <w:t xml:space="preserve">did not comply </w:t>
      </w:r>
      <w:r w:rsidR="008E6A56" w:rsidRPr="008A3740">
        <w:rPr>
          <w:rFonts w:ascii="Verdana" w:hAnsi="Verdana"/>
          <w:sz w:val="20"/>
          <w:szCs w:val="20"/>
          <w:lang w:val="en-US" w:eastAsia="en-US"/>
        </w:rPr>
        <w:t xml:space="preserve">with </w:t>
      </w:r>
      <w:r w:rsidRPr="008A3740">
        <w:rPr>
          <w:rFonts w:ascii="Verdana" w:hAnsi="Verdana"/>
          <w:sz w:val="20"/>
          <w:szCs w:val="20"/>
          <w:lang w:val="en-US" w:eastAsia="en-US"/>
        </w:rPr>
        <w:t xml:space="preserve">the </w:t>
      </w:r>
      <w:r w:rsidR="008E6A56" w:rsidRPr="008A3740">
        <w:rPr>
          <w:rFonts w:ascii="Verdana" w:hAnsi="Verdana"/>
          <w:sz w:val="20"/>
          <w:szCs w:val="20"/>
          <w:lang w:val="en-US" w:eastAsia="en-US"/>
        </w:rPr>
        <w:t>Supreme Court</w:t>
      </w:r>
      <w:r w:rsidR="00415E45" w:rsidRPr="008A3740">
        <w:rPr>
          <w:rFonts w:ascii="Verdana" w:hAnsi="Verdana"/>
          <w:sz w:val="20"/>
          <w:szCs w:val="20"/>
          <w:lang w:val="en-US" w:eastAsia="en-US"/>
        </w:rPr>
        <w:t xml:space="preserve"> ruling</w:t>
      </w:r>
      <w:r w:rsidR="00790B4A" w:rsidRPr="008A3740">
        <w:rPr>
          <w:rFonts w:ascii="Verdana" w:hAnsi="Verdana"/>
          <w:sz w:val="20"/>
          <w:szCs w:val="20"/>
          <w:lang w:val="en-US" w:eastAsia="en-US"/>
        </w:rPr>
        <w:t xml:space="preserve">; </w:t>
      </w:r>
      <w:r w:rsidRPr="008A3740">
        <w:rPr>
          <w:rFonts w:ascii="Verdana" w:hAnsi="Verdana"/>
          <w:sz w:val="20"/>
          <w:szCs w:val="20"/>
          <w:lang w:val="en-US" w:eastAsia="en-US"/>
        </w:rPr>
        <w:t xml:space="preserve">on </w:t>
      </w:r>
      <w:r w:rsidR="008E6A56" w:rsidRPr="008A3740">
        <w:rPr>
          <w:rFonts w:ascii="Verdana" w:hAnsi="Verdana"/>
          <w:sz w:val="20"/>
          <w:szCs w:val="20"/>
          <w:lang w:val="en-US" w:eastAsia="en-US"/>
        </w:rPr>
        <w:t xml:space="preserve">the contrary, </w:t>
      </w:r>
      <w:r w:rsidR="009F06AA" w:rsidRPr="008A3740">
        <w:rPr>
          <w:rFonts w:ascii="Verdana" w:hAnsi="Verdana"/>
          <w:sz w:val="20"/>
          <w:szCs w:val="20"/>
          <w:lang w:val="en-US" w:eastAsia="en-US"/>
        </w:rPr>
        <w:t xml:space="preserve">a few </w:t>
      </w:r>
      <w:r w:rsidR="008E6A56" w:rsidRPr="008A3740">
        <w:rPr>
          <w:rFonts w:ascii="Verdana" w:hAnsi="Verdana"/>
          <w:sz w:val="20"/>
          <w:szCs w:val="20"/>
          <w:lang w:val="en-US" w:eastAsia="en-US"/>
        </w:rPr>
        <w:t xml:space="preserve">days after </w:t>
      </w:r>
      <w:r w:rsidR="00057B9A" w:rsidRPr="008A3740">
        <w:rPr>
          <w:rFonts w:ascii="Verdana" w:hAnsi="Verdana"/>
          <w:sz w:val="20"/>
          <w:szCs w:val="20"/>
          <w:lang w:val="en-US" w:eastAsia="en-US"/>
        </w:rPr>
        <w:t xml:space="preserve">the decision </w:t>
      </w:r>
      <w:r w:rsidR="009F06AA" w:rsidRPr="008A3740">
        <w:rPr>
          <w:rFonts w:ascii="Verdana" w:hAnsi="Verdana"/>
          <w:sz w:val="20"/>
          <w:szCs w:val="20"/>
          <w:lang w:val="en-US" w:eastAsia="en-US"/>
        </w:rPr>
        <w:t xml:space="preserve">was </w:t>
      </w:r>
      <w:r w:rsidR="00790B4A" w:rsidRPr="008A3740">
        <w:rPr>
          <w:rFonts w:ascii="Verdana" w:hAnsi="Verdana"/>
          <w:sz w:val="20"/>
          <w:szCs w:val="20"/>
          <w:lang w:val="en-US" w:eastAsia="en-US"/>
        </w:rPr>
        <w:t>adopted</w:t>
      </w:r>
      <w:r w:rsidR="008E6A56" w:rsidRPr="008A3740">
        <w:rPr>
          <w:rFonts w:ascii="Verdana" w:hAnsi="Verdana"/>
          <w:sz w:val="20"/>
          <w:szCs w:val="20"/>
          <w:lang w:val="en-US" w:eastAsia="en-US"/>
        </w:rPr>
        <w:t xml:space="preserve">, </w:t>
      </w:r>
      <w:r w:rsidR="00790B4A" w:rsidRPr="008A3740">
        <w:rPr>
          <w:rFonts w:ascii="Verdana" w:hAnsi="Verdana"/>
          <w:sz w:val="20"/>
          <w:szCs w:val="20"/>
          <w:lang w:val="en-US" w:eastAsia="en-US"/>
        </w:rPr>
        <w:t xml:space="preserve">the company </w:t>
      </w:r>
      <w:r w:rsidR="008E6A56" w:rsidRPr="008A3740">
        <w:rPr>
          <w:rFonts w:ascii="Verdana" w:hAnsi="Verdana"/>
          <w:sz w:val="20"/>
          <w:szCs w:val="20"/>
          <w:lang w:val="en-US" w:eastAsia="en-US"/>
        </w:rPr>
        <w:t xml:space="preserve">issued a new </w:t>
      </w:r>
      <w:r w:rsidRPr="008A3740">
        <w:rPr>
          <w:rFonts w:ascii="Verdana" w:hAnsi="Verdana"/>
          <w:sz w:val="20"/>
          <w:szCs w:val="20"/>
          <w:lang w:val="en-US" w:eastAsia="en-US"/>
        </w:rPr>
        <w:t xml:space="preserve">Board of Directors Decision </w:t>
      </w:r>
      <w:r w:rsidR="008E6A56" w:rsidRPr="008A3740">
        <w:rPr>
          <w:rFonts w:ascii="Verdana" w:hAnsi="Verdana"/>
          <w:sz w:val="20"/>
          <w:szCs w:val="20"/>
          <w:lang w:val="en-US" w:eastAsia="en-US"/>
        </w:rPr>
        <w:t>order</w:t>
      </w:r>
      <w:r w:rsidRPr="008A3740">
        <w:rPr>
          <w:rFonts w:ascii="Verdana" w:hAnsi="Verdana"/>
          <w:sz w:val="20"/>
          <w:szCs w:val="20"/>
          <w:lang w:val="en-US" w:eastAsia="en-US"/>
        </w:rPr>
        <w:t xml:space="preserve">ing </w:t>
      </w:r>
      <w:r w:rsidR="008E6A56" w:rsidRPr="008A3740">
        <w:rPr>
          <w:rFonts w:ascii="Verdana" w:hAnsi="Verdana"/>
          <w:sz w:val="20"/>
          <w:szCs w:val="20"/>
          <w:lang w:val="en-US" w:eastAsia="en-US"/>
        </w:rPr>
        <w:t xml:space="preserve">the suspension of Mr. Muelle Flores’ pension </w:t>
      </w:r>
      <w:r w:rsidR="00790B4A" w:rsidRPr="008A3740">
        <w:rPr>
          <w:rFonts w:ascii="Verdana" w:hAnsi="Verdana"/>
          <w:sz w:val="20"/>
          <w:szCs w:val="20"/>
          <w:lang w:val="en-US" w:eastAsia="en-US"/>
        </w:rPr>
        <w:t xml:space="preserve">payments </w:t>
      </w:r>
      <w:r w:rsidR="00C53A43" w:rsidRPr="008A3740">
        <w:rPr>
          <w:rFonts w:ascii="Verdana" w:hAnsi="Verdana"/>
          <w:sz w:val="20"/>
          <w:szCs w:val="20"/>
          <w:lang w:val="en-US" w:eastAsia="en-US"/>
        </w:rPr>
        <w:t>once again</w:t>
      </w:r>
      <w:r w:rsidR="008E6A56" w:rsidRPr="008A3740">
        <w:rPr>
          <w:rFonts w:ascii="Verdana" w:hAnsi="Verdana"/>
          <w:sz w:val="20"/>
          <w:szCs w:val="20"/>
          <w:lang w:val="en-US" w:eastAsia="en-US"/>
        </w:rPr>
        <w:t xml:space="preserve">. </w:t>
      </w:r>
      <w:r w:rsidR="000A0355" w:rsidRPr="008A3740">
        <w:rPr>
          <w:rFonts w:ascii="Verdana" w:hAnsi="Verdana"/>
          <w:sz w:val="20"/>
          <w:szCs w:val="20"/>
          <w:lang w:val="en-US" w:eastAsia="en-US"/>
        </w:rPr>
        <w:t xml:space="preserve">In response, </w:t>
      </w:r>
      <w:r w:rsidR="008E6A56" w:rsidRPr="008A3740">
        <w:rPr>
          <w:rFonts w:ascii="Verdana" w:hAnsi="Verdana"/>
          <w:sz w:val="20"/>
          <w:szCs w:val="20"/>
          <w:lang w:val="en-US" w:eastAsia="en-US"/>
        </w:rPr>
        <w:t>Mr. Muelle Flores filed a second</w:t>
      </w:r>
      <w:r w:rsidR="00790B4A" w:rsidRPr="008A3740">
        <w:rPr>
          <w:rFonts w:ascii="Verdana" w:hAnsi="Verdana"/>
          <w:sz w:val="20"/>
          <w:szCs w:val="20"/>
          <w:lang w:val="en-US" w:eastAsia="en-US"/>
        </w:rPr>
        <w:t xml:space="preserve"> application for</w:t>
      </w:r>
      <w:r w:rsidR="008E6A56" w:rsidRPr="008A3740">
        <w:rPr>
          <w:rFonts w:ascii="Verdana" w:hAnsi="Verdana"/>
          <w:sz w:val="20"/>
          <w:szCs w:val="20"/>
          <w:lang w:val="en-US" w:eastAsia="en-US"/>
        </w:rPr>
        <w:t xml:space="preserve"> </w:t>
      </w:r>
      <w:r w:rsidR="008E6A56" w:rsidRPr="008A3740">
        <w:rPr>
          <w:rFonts w:ascii="Verdana" w:hAnsi="Verdana"/>
          <w:i/>
          <w:sz w:val="20"/>
          <w:szCs w:val="20"/>
          <w:lang w:val="en-US" w:eastAsia="en-US"/>
        </w:rPr>
        <w:t>amparo</w:t>
      </w:r>
      <w:r w:rsidR="008E6A56" w:rsidRPr="008A3740">
        <w:rPr>
          <w:rFonts w:ascii="Verdana" w:hAnsi="Verdana"/>
          <w:sz w:val="20"/>
          <w:szCs w:val="20"/>
          <w:lang w:val="en-US" w:eastAsia="en-US"/>
        </w:rPr>
        <w:t xml:space="preserve">, which was </w:t>
      </w:r>
      <w:r w:rsidR="00052483" w:rsidRPr="008A3740">
        <w:rPr>
          <w:rFonts w:ascii="Verdana" w:hAnsi="Verdana"/>
          <w:sz w:val="20"/>
          <w:szCs w:val="20"/>
          <w:lang w:val="en-US" w:eastAsia="en-US"/>
        </w:rPr>
        <w:t xml:space="preserve">eventually </w:t>
      </w:r>
      <w:r w:rsidR="008E6A56" w:rsidRPr="008A3740">
        <w:rPr>
          <w:rFonts w:ascii="Verdana" w:hAnsi="Verdana"/>
          <w:sz w:val="20"/>
          <w:szCs w:val="20"/>
          <w:lang w:val="en-US" w:eastAsia="en-US"/>
        </w:rPr>
        <w:t xml:space="preserve">declared </w:t>
      </w:r>
      <w:r w:rsidR="00057B9A" w:rsidRPr="008A3740">
        <w:rPr>
          <w:rFonts w:ascii="Verdana" w:hAnsi="Verdana"/>
          <w:sz w:val="20"/>
          <w:szCs w:val="20"/>
          <w:lang w:val="en-US" w:eastAsia="en-US"/>
        </w:rPr>
        <w:t xml:space="preserve">to have merit </w:t>
      </w:r>
      <w:r w:rsidR="008E6A56" w:rsidRPr="008A3740">
        <w:rPr>
          <w:rFonts w:ascii="Verdana" w:hAnsi="Verdana"/>
          <w:sz w:val="20"/>
          <w:szCs w:val="20"/>
          <w:lang w:val="en-US" w:eastAsia="en-US"/>
        </w:rPr>
        <w:t xml:space="preserve">in 1999, </w:t>
      </w:r>
      <w:r w:rsidR="00790B4A" w:rsidRPr="008A3740">
        <w:rPr>
          <w:rFonts w:ascii="Verdana" w:hAnsi="Verdana"/>
          <w:sz w:val="20"/>
          <w:szCs w:val="20"/>
          <w:lang w:val="en-US" w:eastAsia="en-US"/>
        </w:rPr>
        <w:t xml:space="preserve">and which ordered </w:t>
      </w:r>
      <w:r w:rsidR="008E6A56" w:rsidRPr="008A3740">
        <w:rPr>
          <w:rFonts w:ascii="Verdana" w:hAnsi="Verdana"/>
          <w:sz w:val="20"/>
          <w:szCs w:val="20"/>
          <w:lang w:val="en-US" w:eastAsia="en-US"/>
        </w:rPr>
        <w:t xml:space="preserve">the </w:t>
      </w:r>
      <w:r w:rsidR="00AB66F5" w:rsidRPr="008A3740">
        <w:rPr>
          <w:rFonts w:ascii="Verdana" w:hAnsi="Verdana"/>
          <w:sz w:val="20"/>
          <w:szCs w:val="20"/>
          <w:lang w:val="en-US" w:eastAsia="en-US"/>
        </w:rPr>
        <w:t>non-</w:t>
      </w:r>
      <w:r w:rsidR="008E6A56" w:rsidRPr="008A3740">
        <w:rPr>
          <w:rFonts w:ascii="Verdana" w:hAnsi="Verdana"/>
          <w:sz w:val="20"/>
          <w:szCs w:val="20"/>
          <w:lang w:val="en-US" w:eastAsia="en-US"/>
        </w:rPr>
        <w:t xml:space="preserve">application of </w:t>
      </w:r>
      <w:r w:rsidR="00723869" w:rsidRPr="008A3740">
        <w:rPr>
          <w:rFonts w:ascii="Verdana" w:hAnsi="Verdana"/>
          <w:sz w:val="20"/>
          <w:szCs w:val="20"/>
          <w:lang w:val="en-US" w:eastAsia="en-US"/>
        </w:rPr>
        <w:t>the 1991 Board Decision</w:t>
      </w:r>
      <w:r w:rsidR="008E6A56" w:rsidRPr="008A3740">
        <w:rPr>
          <w:rFonts w:ascii="Verdana" w:hAnsi="Verdana"/>
          <w:sz w:val="20"/>
          <w:szCs w:val="20"/>
          <w:lang w:val="en-US" w:eastAsia="en-US"/>
        </w:rPr>
        <w:t xml:space="preserve"> and the payment </w:t>
      </w:r>
      <w:r w:rsidR="001659CD" w:rsidRPr="008A3740">
        <w:rPr>
          <w:rFonts w:ascii="Verdana" w:hAnsi="Verdana"/>
          <w:sz w:val="20"/>
          <w:szCs w:val="20"/>
          <w:lang w:val="en-US" w:eastAsia="en-US"/>
        </w:rPr>
        <w:t>of his</w:t>
      </w:r>
      <w:r w:rsidR="008E6A56" w:rsidRPr="008A3740">
        <w:rPr>
          <w:rFonts w:ascii="Verdana" w:hAnsi="Verdana"/>
          <w:sz w:val="20"/>
          <w:szCs w:val="20"/>
          <w:lang w:val="en-US" w:eastAsia="en-US"/>
        </w:rPr>
        <w:t xml:space="preserve"> pension. During the second </w:t>
      </w:r>
      <w:r w:rsidR="008E6A56" w:rsidRPr="008A3740">
        <w:rPr>
          <w:rFonts w:ascii="Verdana" w:hAnsi="Verdana"/>
          <w:i/>
          <w:sz w:val="20"/>
          <w:szCs w:val="20"/>
          <w:lang w:val="en-US" w:eastAsia="en-US"/>
        </w:rPr>
        <w:t>amparo</w:t>
      </w:r>
      <w:r w:rsidR="00723869" w:rsidRPr="008A3740">
        <w:rPr>
          <w:rFonts w:ascii="Verdana" w:hAnsi="Verdana"/>
          <w:sz w:val="20"/>
          <w:szCs w:val="20"/>
          <w:lang w:val="en-US" w:eastAsia="en-US"/>
        </w:rPr>
        <w:t xml:space="preserve"> proceeding</w:t>
      </w:r>
      <w:r w:rsidR="008E6A56" w:rsidRPr="008A3740">
        <w:rPr>
          <w:rFonts w:ascii="Verdana" w:hAnsi="Verdana"/>
          <w:sz w:val="20"/>
          <w:szCs w:val="20"/>
          <w:lang w:val="en-US" w:eastAsia="en-US"/>
        </w:rPr>
        <w:t xml:space="preserve">, </w:t>
      </w:r>
      <w:r w:rsidR="00723869" w:rsidRPr="008A3740">
        <w:rPr>
          <w:rFonts w:ascii="Verdana" w:hAnsi="Verdana"/>
          <w:sz w:val="20"/>
          <w:szCs w:val="20"/>
          <w:lang w:val="en-US" w:eastAsia="en-US"/>
        </w:rPr>
        <w:t xml:space="preserve">one of </w:t>
      </w:r>
      <w:r w:rsidR="008E6A56" w:rsidRPr="008A3740">
        <w:rPr>
          <w:rFonts w:ascii="Verdana" w:hAnsi="Verdana"/>
          <w:sz w:val="20"/>
          <w:szCs w:val="20"/>
          <w:lang w:val="en-US" w:eastAsia="en-US"/>
        </w:rPr>
        <w:t xml:space="preserve">the </w:t>
      </w:r>
      <w:r w:rsidR="00AB66F5" w:rsidRPr="008A3740">
        <w:rPr>
          <w:rFonts w:ascii="Verdana" w:hAnsi="Verdana"/>
          <w:sz w:val="20"/>
          <w:szCs w:val="20"/>
          <w:lang w:val="en-US" w:eastAsia="en-US"/>
        </w:rPr>
        <w:t xml:space="preserve">intervening </w:t>
      </w:r>
      <w:r w:rsidR="008E6A56" w:rsidRPr="008A3740">
        <w:rPr>
          <w:rFonts w:ascii="Verdana" w:hAnsi="Verdana"/>
          <w:sz w:val="20"/>
          <w:szCs w:val="20"/>
          <w:lang w:val="en-US" w:eastAsia="en-US"/>
        </w:rPr>
        <w:t xml:space="preserve">judicial authorities concluded that the </w:t>
      </w:r>
      <w:r w:rsidRPr="008A3740">
        <w:rPr>
          <w:rFonts w:ascii="Verdana" w:hAnsi="Verdana"/>
          <w:sz w:val="20"/>
          <w:szCs w:val="20"/>
          <w:lang w:val="en-US" w:eastAsia="en-US"/>
        </w:rPr>
        <w:t xml:space="preserve">violation of </w:t>
      </w:r>
      <w:r w:rsidR="008E6A56" w:rsidRPr="008A3740">
        <w:rPr>
          <w:rFonts w:ascii="Verdana" w:hAnsi="Verdana"/>
          <w:sz w:val="20"/>
          <w:szCs w:val="20"/>
          <w:lang w:val="en-US" w:eastAsia="en-US"/>
        </w:rPr>
        <w:t>Mr. Muelle</w:t>
      </w:r>
      <w:r w:rsidRPr="008A3740">
        <w:rPr>
          <w:rFonts w:ascii="Verdana" w:hAnsi="Verdana"/>
          <w:sz w:val="20"/>
          <w:szCs w:val="20"/>
          <w:lang w:val="en-US" w:eastAsia="en-US"/>
        </w:rPr>
        <w:t>’s right to a pension</w:t>
      </w:r>
      <w:r w:rsidR="008E6A56" w:rsidRPr="008A3740">
        <w:rPr>
          <w:rFonts w:ascii="Verdana" w:hAnsi="Verdana"/>
          <w:sz w:val="20"/>
          <w:szCs w:val="20"/>
          <w:lang w:val="en-US" w:eastAsia="en-US"/>
        </w:rPr>
        <w:t xml:space="preserve"> constitu</w:t>
      </w:r>
      <w:r w:rsidR="00AB66F5" w:rsidRPr="008A3740">
        <w:rPr>
          <w:rFonts w:ascii="Verdana" w:hAnsi="Verdana"/>
          <w:sz w:val="20"/>
          <w:szCs w:val="20"/>
          <w:lang w:val="en-US" w:eastAsia="en-US"/>
        </w:rPr>
        <w:t>ted</w:t>
      </w:r>
      <w:r w:rsidR="008E6A56" w:rsidRPr="008A3740">
        <w:rPr>
          <w:rFonts w:ascii="Verdana" w:hAnsi="Verdana"/>
          <w:sz w:val="20"/>
          <w:szCs w:val="20"/>
          <w:lang w:val="en-US" w:eastAsia="en-US"/>
        </w:rPr>
        <w:t xml:space="preserve"> </w:t>
      </w:r>
      <w:r w:rsidR="008E6A56" w:rsidRPr="008A3740">
        <w:rPr>
          <w:rFonts w:ascii="Verdana" w:hAnsi="Verdana"/>
          <w:sz w:val="20"/>
          <w:szCs w:val="20"/>
          <w:lang w:val="en-US"/>
        </w:rPr>
        <w:t>“</w:t>
      </w:r>
      <w:r w:rsidR="00AB66F5" w:rsidRPr="008A3740">
        <w:rPr>
          <w:rFonts w:ascii="Verdana" w:hAnsi="Verdana"/>
          <w:sz w:val="20"/>
          <w:szCs w:val="20"/>
          <w:lang w:val="en-US"/>
        </w:rPr>
        <w:t xml:space="preserve">a </w:t>
      </w:r>
      <w:r w:rsidR="008E6A56" w:rsidRPr="008A3740">
        <w:rPr>
          <w:rFonts w:ascii="Verdana" w:hAnsi="Verdana"/>
          <w:sz w:val="20"/>
          <w:szCs w:val="20"/>
          <w:lang w:val="en-US"/>
        </w:rPr>
        <w:t xml:space="preserve">clear and </w:t>
      </w:r>
      <w:r w:rsidRPr="008A3740">
        <w:rPr>
          <w:rFonts w:ascii="Verdana" w:hAnsi="Verdana"/>
          <w:sz w:val="20"/>
          <w:szCs w:val="20"/>
          <w:lang w:val="en-US"/>
        </w:rPr>
        <w:t>unlawful resista</w:t>
      </w:r>
      <w:r w:rsidR="008E6A56" w:rsidRPr="008A3740">
        <w:rPr>
          <w:rFonts w:ascii="Verdana" w:hAnsi="Verdana"/>
          <w:sz w:val="20"/>
          <w:szCs w:val="20"/>
          <w:lang w:val="en-US"/>
        </w:rPr>
        <w:t>nc</w:t>
      </w:r>
      <w:r w:rsidRPr="008A3740">
        <w:rPr>
          <w:rFonts w:ascii="Verdana" w:hAnsi="Verdana"/>
          <w:sz w:val="20"/>
          <w:szCs w:val="20"/>
          <w:lang w:val="en-US"/>
        </w:rPr>
        <w:t xml:space="preserve">e to </w:t>
      </w:r>
      <w:r w:rsidR="000A0355" w:rsidRPr="008A3740">
        <w:rPr>
          <w:rFonts w:ascii="Verdana" w:hAnsi="Verdana"/>
          <w:sz w:val="20"/>
          <w:szCs w:val="20"/>
          <w:lang w:val="en-US"/>
        </w:rPr>
        <w:t xml:space="preserve">the decision of the </w:t>
      </w:r>
      <w:r w:rsidR="00AB66F5" w:rsidRPr="008A3740">
        <w:rPr>
          <w:rFonts w:ascii="Verdana" w:hAnsi="Verdana"/>
          <w:sz w:val="20"/>
          <w:szCs w:val="20"/>
          <w:lang w:val="en-US"/>
        </w:rPr>
        <w:t xml:space="preserve">judicial </w:t>
      </w:r>
      <w:r w:rsidR="008E6A56" w:rsidRPr="008A3740">
        <w:rPr>
          <w:rFonts w:ascii="Verdana" w:hAnsi="Verdana"/>
          <w:sz w:val="20"/>
          <w:szCs w:val="20"/>
          <w:lang w:val="en-US"/>
        </w:rPr>
        <w:t>authority</w:t>
      </w:r>
      <w:r w:rsidR="00AB66F5" w:rsidRPr="008A3740">
        <w:rPr>
          <w:rFonts w:ascii="Verdana" w:hAnsi="Verdana"/>
          <w:sz w:val="20"/>
          <w:szCs w:val="20"/>
          <w:lang w:val="en-US"/>
        </w:rPr>
        <w:t>.” H</w:t>
      </w:r>
      <w:r w:rsidR="008E6A56" w:rsidRPr="008A3740">
        <w:rPr>
          <w:rFonts w:ascii="Verdana" w:hAnsi="Verdana"/>
          <w:sz w:val="20"/>
          <w:szCs w:val="20"/>
          <w:lang w:val="en-US"/>
        </w:rPr>
        <w:t>owever, this decision</w:t>
      </w:r>
      <w:r w:rsidR="001659CD" w:rsidRPr="008A3740">
        <w:rPr>
          <w:rFonts w:ascii="Verdana" w:hAnsi="Verdana"/>
          <w:sz w:val="20"/>
          <w:szCs w:val="20"/>
          <w:lang w:val="en-US"/>
        </w:rPr>
        <w:t>, too,</w:t>
      </w:r>
      <w:r w:rsidR="008E6A56" w:rsidRPr="008A3740">
        <w:rPr>
          <w:rFonts w:ascii="Verdana" w:hAnsi="Verdana"/>
          <w:sz w:val="20"/>
          <w:szCs w:val="20"/>
          <w:lang w:val="en-US"/>
        </w:rPr>
        <w:t xml:space="preserve"> </w:t>
      </w:r>
      <w:r w:rsidR="00AB66F5" w:rsidRPr="008A3740">
        <w:rPr>
          <w:rFonts w:ascii="Verdana" w:hAnsi="Verdana"/>
          <w:sz w:val="20"/>
          <w:szCs w:val="20"/>
          <w:lang w:val="en-US"/>
        </w:rPr>
        <w:t xml:space="preserve">was not </w:t>
      </w:r>
      <w:r w:rsidR="001659CD" w:rsidRPr="008A3740">
        <w:rPr>
          <w:rFonts w:ascii="Verdana" w:hAnsi="Verdana"/>
          <w:sz w:val="20"/>
          <w:szCs w:val="20"/>
          <w:lang w:val="en-US"/>
        </w:rPr>
        <w:t xml:space="preserve">complied with or executed </w:t>
      </w:r>
      <w:r w:rsidR="008E6A56" w:rsidRPr="008A3740">
        <w:rPr>
          <w:rFonts w:ascii="Verdana" w:hAnsi="Verdana"/>
          <w:sz w:val="20"/>
          <w:szCs w:val="20"/>
          <w:lang w:val="en-US"/>
        </w:rPr>
        <w:t>by the State.</w:t>
      </w:r>
      <w:r w:rsidR="008E6A56" w:rsidRPr="008A3740">
        <w:rPr>
          <w:rStyle w:val="Refdenotaalpie"/>
          <w:szCs w:val="20"/>
          <w:lang w:val="en-US"/>
        </w:rPr>
        <w:t xml:space="preserve"> </w:t>
      </w:r>
      <w:r w:rsidR="008E6A56" w:rsidRPr="008A3740">
        <w:rPr>
          <w:rFonts w:ascii="Verdana" w:hAnsi="Verdana"/>
          <w:sz w:val="20"/>
          <w:szCs w:val="20"/>
          <w:lang w:val="en-US" w:eastAsia="en-US"/>
        </w:rPr>
        <w:t xml:space="preserve">The Court notes that </w:t>
      </w:r>
      <w:r w:rsidR="00723869" w:rsidRPr="008A3740">
        <w:rPr>
          <w:rFonts w:ascii="Verdana" w:hAnsi="Verdana"/>
          <w:sz w:val="20"/>
          <w:szCs w:val="20"/>
          <w:lang w:val="en-US" w:eastAsia="en-US"/>
        </w:rPr>
        <w:t xml:space="preserve">in addition to </w:t>
      </w:r>
      <w:r w:rsidR="008E6A56" w:rsidRPr="008A3740">
        <w:rPr>
          <w:rFonts w:ascii="Verdana" w:hAnsi="Verdana"/>
          <w:sz w:val="20"/>
          <w:szCs w:val="20"/>
          <w:lang w:val="en-US" w:eastAsia="en-US"/>
        </w:rPr>
        <w:t xml:space="preserve">the two judgments </w:t>
      </w:r>
      <w:r w:rsidR="002622D9" w:rsidRPr="008A3740">
        <w:rPr>
          <w:rFonts w:ascii="Verdana" w:hAnsi="Verdana"/>
          <w:sz w:val="20"/>
          <w:szCs w:val="20"/>
          <w:lang w:val="en-US" w:eastAsia="en-US"/>
        </w:rPr>
        <w:t>that protected</w:t>
      </w:r>
      <w:r w:rsidR="00723869" w:rsidRPr="008A3740">
        <w:rPr>
          <w:rFonts w:ascii="Verdana" w:hAnsi="Verdana"/>
          <w:sz w:val="20"/>
          <w:szCs w:val="20"/>
          <w:lang w:val="en-US" w:eastAsia="en-US"/>
        </w:rPr>
        <w:t xml:space="preserve"> M</w:t>
      </w:r>
      <w:r w:rsidR="008E6A56" w:rsidRPr="008A3740">
        <w:rPr>
          <w:rFonts w:ascii="Verdana" w:hAnsi="Verdana"/>
          <w:sz w:val="20"/>
          <w:szCs w:val="20"/>
          <w:lang w:val="en-US" w:eastAsia="en-US"/>
        </w:rPr>
        <w:t>r. Muelle Flores</w:t>
      </w:r>
      <w:r w:rsidRPr="008A3740">
        <w:rPr>
          <w:rFonts w:ascii="Verdana" w:hAnsi="Verdana"/>
          <w:sz w:val="20"/>
          <w:szCs w:val="20"/>
          <w:lang w:val="en-US" w:eastAsia="en-US"/>
        </w:rPr>
        <w:t>’ right to a</w:t>
      </w:r>
      <w:r w:rsidR="00723869" w:rsidRPr="008A3740">
        <w:rPr>
          <w:rFonts w:ascii="Verdana" w:hAnsi="Verdana"/>
          <w:sz w:val="20"/>
          <w:szCs w:val="20"/>
          <w:lang w:val="en-US" w:eastAsia="en-US"/>
        </w:rPr>
        <w:t>n equalized</w:t>
      </w:r>
      <w:r w:rsidRPr="008A3740">
        <w:rPr>
          <w:rFonts w:ascii="Verdana" w:hAnsi="Verdana"/>
          <w:sz w:val="20"/>
          <w:szCs w:val="20"/>
          <w:lang w:val="en-US" w:eastAsia="en-US"/>
        </w:rPr>
        <w:t xml:space="preserve"> pension</w:t>
      </w:r>
      <w:r w:rsidR="008E6A56" w:rsidRPr="008A3740">
        <w:rPr>
          <w:rFonts w:ascii="Verdana" w:hAnsi="Verdana"/>
          <w:sz w:val="20"/>
          <w:szCs w:val="20"/>
          <w:lang w:val="en-US" w:eastAsia="en-US"/>
        </w:rPr>
        <w:t xml:space="preserve">, the </w:t>
      </w:r>
      <w:r w:rsidR="00723869" w:rsidRPr="008A3740">
        <w:rPr>
          <w:rFonts w:ascii="Verdana" w:hAnsi="Verdana"/>
          <w:sz w:val="20"/>
          <w:szCs w:val="20"/>
          <w:lang w:val="en-US" w:eastAsia="en-US"/>
        </w:rPr>
        <w:t>State</w:t>
      </w:r>
      <w:r w:rsidR="00CD437A" w:rsidRPr="008A3740">
        <w:rPr>
          <w:rFonts w:ascii="Verdana" w:hAnsi="Verdana"/>
          <w:sz w:val="20"/>
          <w:szCs w:val="20"/>
          <w:lang w:val="en-US" w:eastAsia="en-US"/>
        </w:rPr>
        <w:t>-owned</w:t>
      </w:r>
      <w:r w:rsidR="00723869" w:rsidRPr="008A3740">
        <w:rPr>
          <w:rFonts w:ascii="Verdana" w:hAnsi="Verdana"/>
          <w:sz w:val="20"/>
          <w:szCs w:val="20"/>
          <w:lang w:val="en-US" w:eastAsia="en-US"/>
        </w:rPr>
        <w:t xml:space="preserve"> </w:t>
      </w:r>
      <w:r w:rsidR="008E6A56" w:rsidRPr="008A3740">
        <w:rPr>
          <w:rFonts w:ascii="Verdana" w:hAnsi="Verdana"/>
          <w:sz w:val="20"/>
          <w:szCs w:val="20"/>
          <w:lang w:val="en-US" w:eastAsia="en-US"/>
        </w:rPr>
        <w:t>company filed a</w:t>
      </w:r>
      <w:r w:rsidR="002622D9" w:rsidRPr="008A3740">
        <w:rPr>
          <w:rFonts w:ascii="Verdana" w:hAnsi="Verdana"/>
          <w:sz w:val="20"/>
          <w:szCs w:val="20"/>
          <w:lang w:val="en-US" w:eastAsia="en-US"/>
        </w:rPr>
        <w:t xml:space="preserve"> contentious-</w:t>
      </w:r>
      <w:r w:rsidR="008E6A56" w:rsidRPr="008A3740">
        <w:rPr>
          <w:rFonts w:ascii="Verdana" w:hAnsi="Verdana"/>
          <w:sz w:val="20"/>
          <w:szCs w:val="20"/>
          <w:lang w:val="en-US" w:eastAsia="en-US"/>
        </w:rPr>
        <w:t xml:space="preserve"> administrative </w:t>
      </w:r>
      <w:r w:rsidR="00C53A43" w:rsidRPr="008A3740">
        <w:rPr>
          <w:rFonts w:ascii="Verdana" w:hAnsi="Verdana"/>
          <w:sz w:val="20"/>
          <w:szCs w:val="20"/>
          <w:lang w:val="en-US" w:eastAsia="en-US"/>
        </w:rPr>
        <w:t xml:space="preserve">action </w:t>
      </w:r>
      <w:r w:rsidR="00AB66F5" w:rsidRPr="008A3740">
        <w:rPr>
          <w:rFonts w:ascii="Verdana" w:hAnsi="Verdana"/>
          <w:sz w:val="20"/>
          <w:szCs w:val="20"/>
          <w:lang w:val="en-US" w:eastAsia="en-US"/>
        </w:rPr>
        <w:t xml:space="preserve">prior to </w:t>
      </w:r>
      <w:r w:rsidR="002622D9" w:rsidRPr="008A3740">
        <w:rPr>
          <w:rFonts w:ascii="Verdana" w:hAnsi="Verdana"/>
          <w:sz w:val="20"/>
          <w:szCs w:val="20"/>
          <w:lang w:val="en-US" w:eastAsia="en-US"/>
        </w:rPr>
        <w:t xml:space="preserve">its </w:t>
      </w:r>
      <w:r w:rsidR="008E6A56" w:rsidRPr="008A3740">
        <w:rPr>
          <w:rFonts w:ascii="Verdana" w:hAnsi="Verdana"/>
          <w:sz w:val="20"/>
          <w:szCs w:val="20"/>
          <w:lang w:val="en-US" w:eastAsia="en-US"/>
        </w:rPr>
        <w:t xml:space="preserve">privatization, </w:t>
      </w:r>
      <w:r w:rsidR="001659CD" w:rsidRPr="008A3740">
        <w:rPr>
          <w:rFonts w:ascii="Verdana" w:hAnsi="Verdana"/>
          <w:sz w:val="20"/>
          <w:szCs w:val="20"/>
          <w:lang w:val="en-US" w:eastAsia="en-US"/>
        </w:rPr>
        <w:t>asking the court to declare</w:t>
      </w:r>
      <w:r w:rsidR="008E6A56" w:rsidRPr="008A3740">
        <w:rPr>
          <w:rFonts w:ascii="Verdana" w:hAnsi="Verdana"/>
          <w:sz w:val="20"/>
          <w:szCs w:val="20"/>
          <w:lang w:val="en-US" w:eastAsia="en-US"/>
        </w:rPr>
        <w:t xml:space="preserve"> </w:t>
      </w:r>
      <w:r w:rsidR="00B4511B" w:rsidRPr="008A3740">
        <w:rPr>
          <w:rFonts w:ascii="Verdana" w:hAnsi="Verdana"/>
          <w:sz w:val="20"/>
          <w:szCs w:val="20"/>
          <w:lang w:val="en-US" w:eastAsia="en-US"/>
        </w:rPr>
        <w:t xml:space="preserve">unlawful </w:t>
      </w:r>
      <w:r w:rsidR="008E6A56" w:rsidRPr="008A3740">
        <w:rPr>
          <w:rFonts w:ascii="Verdana" w:hAnsi="Verdana"/>
          <w:sz w:val="20"/>
          <w:szCs w:val="20"/>
          <w:lang w:val="en-US" w:eastAsia="en-US"/>
        </w:rPr>
        <w:t>his inclusion in the Decree Law No. 20530</w:t>
      </w:r>
      <w:r w:rsidR="000E2A49" w:rsidRPr="008A3740">
        <w:rPr>
          <w:rFonts w:ascii="Verdana" w:hAnsi="Verdana"/>
          <w:sz w:val="20"/>
          <w:szCs w:val="20"/>
          <w:lang w:val="en-US" w:eastAsia="en-US"/>
        </w:rPr>
        <w:t xml:space="preserve"> </w:t>
      </w:r>
      <w:r w:rsidR="002622D9" w:rsidRPr="008A3740">
        <w:rPr>
          <w:rFonts w:ascii="Verdana" w:hAnsi="Verdana"/>
          <w:sz w:val="20"/>
          <w:szCs w:val="20"/>
          <w:lang w:val="en-US" w:eastAsia="en-US"/>
        </w:rPr>
        <w:t>pension scheme.</w:t>
      </w:r>
      <w:r w:rsidR="008E6A56" w:rsidRPr="008A3740">
        <w:rPr>
          <w:rFonts w:ascii="Verdana" w:hAnsi="Verdana"/>
          <w:sz w:val="20"/>
          <w:szCs w:val="20"/>
          <w:lang w:val="en-US" w:eastAsia="en-US"/>
        </w:rPr>
        <w:t xml:space="preserve"> </w:t>
      </w:r>
      <w:r w:rsidR="002622D9" w:rsidRPr="008A3740">
        <w:rPr>
          <w:rFonts w:ascii="Verdana" w:hAnsi="Verdana"/>
          <w:sz w:val="20"/>
          <w:szCs w:val="20"/>
          <w:lang w:val="en-US" w:eastAsia="en-US"/>
        </w:rPr>
        <w:t xml:space="preserve">This </w:t>
      </w:r>
      <w:r w:rsidR="008E6A56" w:rsidRPr="008A3740">
        <w:rPr>
          <w:rFonts w:ascii="Verdana" w:hAnsi="Verdana"/>
          <w:sz w:val="20"/>
          <w:szCs w:val="20"/>
          <w:lang w:val="en-US" w:eastAsia="en-US"/>
        </w:rPr>
        <w:t xml:space="preserve">also </w:t>
      </w:r>
      <w:r w:rsidR="002622D9" w:rsidRPr="008A3740">
        <w:rPr>
          <w:rFonts w:ascii="Verdana" w:hAnsi="Verdana"/>
          <w:sz w:val="20"/>
          <w:szCs w:val="20"/>
          <w:lang w:val="en-US" w:eastAsia="en-US"/>
        </w:rPr>
        <w:t xml:space="preserve">resulted in </w:t>
      </w:r>
      <w:r w:rsidR="008E6A56" w:rsidRPr="008A3740">
        <w:rPr>
          <w:rFonts w:ascii="Verdana" w:hAnsi="Verdana"/>
          <w:sz w:val="20"/>
          <w:szCs w:val="20"/>
          <w:lang w:val="en-US" w:eastAsia="en-US"/>
        </w:rPr>
        <w:t>a de</w:t>
      </w:r>
      <w:r w:rsidR="002622D9" w:rsidRPr="008A3740">
        <w:rPr>
          <w:rFonts w:ascii="Verdana" w:hAnsi="Verdana"/>
          <w:sz w:val="20"/>
          <w:szCs w:val="20"/>
          <w:lang w:val="en-US" w:eastAsia="en-US"/>
        </w:rPr>
        <w:t xml:space="preserve">cision favorable to Mr. Muelle </w:t>
      </w:r>
      <w:r w:rsidR="008E6A56" w:rsidRPr="008A3740">
        <w:rPr>
          <w:rFonts w:ascii="Verdana" w:hAnsi="Verdana"/>
          <w:sz w:val="20"/>
          <w:szCs w:val="20"/>
          <w:lang w:val="en-US" w:eastAsia="en-US"/>
        </w:rPr>
        <w:t xml:space="preserve">in 1997, </w:t>
      </w:r>
      <w:r w:rsidR="002622D9" w:rsidRPr="008A3740">
        <w:rPr>
          <w:rFonts w:ascii="Verdana" w:hAnsi="Verdana"/>
          <w:sz w:val="20"/>
          <w:szCs w:val="20"/>
          <w:lang w:val="en-US" w:eastAsia="en-US"/>
        </w:rPr>
        <w:t xml:space="preserve">with the court concluding </w:t>
      </w:r>
      <w:r w:rsidR="008E6A56" w:rsidRPr="008A3740">
        <w:rPr>
          <w:rFonts w:ascii="Verdana" w:hAnsi="Verdana"/>
          <w:sz w:val="20"/>
          <w:szCs w:val="20"/>
          <w:lang w:val="en-US" w:eastAsia="en-US"/>
        </w:rPr>
        <w:t xml:space="preserve">that </w:t>
      </w:r>
      <w:r w:rsidR="00AB66F5" w:rsidRPr="008A3740">
        <w:rPr>
          <w:rFonts w:ascii="Verdana" w:hAnsi="Verdana"/>
          <w:sz w:val="20"/>
          <w:szCs w:val="20"/>
          <w:lang w:val="en-US" w:eastAsia="en-US"/>
        </w:rPr>
        <w:t xml:space="preserve">his </w:t>
      </w:r>
      <w:r w:rsidR="008E6A56" w:rsidRPr="008A3740">
        <w:rPr>
          <w:rFonts w:ascii="Verdana" w:hAnsi="Verdana"/>
          <w:sz w:val="20"/>
          <w:szCs w:val="20"/>
          <w:lang w:val="en-US" w:eastAsia="en-US"/>
        </w:rPr>
        <w:t xml:space="preserve">inclusion </w:t>
      </w:r>
      <w:r w:rsidR="00AB66F5" w:rsidRPr="008A3740">
        <w:rPr>
          <w:rFonts w:ascii="Verdana" w:hAnsi="Verdana"/>
          <w:sz w:val="20"/>
          <w:szCs w:val="20"/>
          <w:lang w:val="en-US" w:eastAsia="en-US"/>
        </w:rPr>
        <w:t xml:space="preserve">in </w:t>
      </w:r>
      <w:r w:rsidR="00872A2F" w:rsidRPr="008A3740">
        <w:rPr>
          <w:rFonts w:ascii="Verdana" w:hAnsi="Verdana"/>
          <w:sz w:val="20"/>
          <w:szCs w:val="20"/>
          <w:lang w:val="en-US" w:eastAsia="en-US"/>
        </w:rPr>
        <w:t xml:space="preserve">that </w:t>
      </w:r>
      <w:r w:rsidR="00AB66F5" w:rsidRPr="008A3740">
        <w:rPr>
          <w:rFonts w:ascii="Verdana" w:hAnsi="Verdana"/>
          <w:sz w:val="20"/>
          <w:szCs w:val="20"/>
          <w:lang w:val="en-US" w:eastAsia="en-US"/>
        </w:rPr>
        <w:t xml:space="preserve">pension scheme </w:t>
      </w:r>
      <w:r w:rsidR="000E2A49" w:rsidRPr="008A3740">
        <w:rPr>
          <w:rFonts w:ascii="Verdana" w:hAnsi="Verdana"/>
          <w:sz w:val="20"/>
          <w:szCs w:val="20"/>
          <w:lang w:val="en-US" w:eastAsia="en-US"/>
        </w:rPr>
        <w:t>complied with existing legal requirements</w:t>
      </w:r>
      <w:r w:rsidR="00AB66F5" w:rsidRPr="008A3740">
        <w:rPr>
          <w:rFonts w:ascii="Verdana" w:hAnsi="Verdana"/>
          <w:sz w:val="20"/>
          <w:szCs w:val="20"/>
          <w:lang w:val="en-US" w:eastAsia="en-US"/>
        </w:rPr>
        <w:t xml:space="preserve">. </w:t>
      </w:r>
      <w:r w:rsidR="000E2A49" w:rsidRPr="008A3740">
        <w:rPr>
          <w:rFonts w:ascii="Verdana" w:hAnsi="Verdana"/>
          <w:sz w:val="20"/>
          <w:szCs w:val="20"/>
          <w:lang w:val="en-US" w:eastAsia="en-US"/>
        </w:rPr>
        <w:t>In this regard</w:t>
      </w:r>
      <w:r w:rsidR="00AB66F5" w:rsidRPr="008A3740">
        <w:rPr>
          <w:rFonts w:ascii="Verdana" w:hAnsi="Verdana"/>
          <w:sz w:val="20"/>
          <w:szCs w:val="20"/>
          <w:lang w:val="en-US" w:eastAsia="en-US"/>
        </w:rPr>
        <w:t>, the Court observes</w:t>
      </w:r>
      <w:r w:rsidR="008E6A56" w:rsidRPr="008A3740">
        <w:rPr>
          <w:rFonts w:ascii="Verdana" w:hAnsi="Verdana"/>
          <w:sz w:val="20"/>
          <w:szCs w:val="20"/>
          <w:lang w:val="en-US" w:eastAsia="en-US"/>
        </w:rPr>
        <w:t xml:space="preserve"> that</w:t>
      </w:r>
      <w:r w:rsidR="002622D9" w:rsidRPr="008A3740">
        <w:rPr>
          <w:rFonts w:ascii="Verdana" w:hAnsi="Verdana"/>
          <w:sz w:val="20"/>
          <w:szCs w:val="20"/>
          <w:lang w:val="en-US" w:eastAsia="en-US"/>
        </w:rPr>
        <w:t xml:space="preserve">, </w:t>
      </w:r>
      <w:r w:rsidR="00872A2F" w:rsidRPr="008A3740">
        <w:rPr>
          <w:rFonts w:ascii="Verdana" w:hAnsi="Verdana"/>
          <w:sz w:val="20"/>
          <w:szCs w:val="20"/>
          <w:lang w:val="en-US" w:eastAsia="en-US"/>
        </w:rPr>
        <w:t>after t</w:t>
      </w:r>
      <w:r w:rsidR="002622D9" w:rsidRPr="008A3740">
        <w:rPr>
          <w:rFonts w:ascii="Verdana" w:hAnsi="Verdana"/>
          <w:sz w:val="20"/>
          <w:szCs w:val="20"/>
          <w:lang w:val="en-US" w:eastAsia="en-US"/>
        </w:rPr>
        <w:t xml:space="preserve">he first judgment </w:t>
      </w:r>
      <w:r w:rsidR="00872A2F" w:rsidRPr="008A3740">
        <w:rPr>
          <w:rFonts w:ascii="Verdana" w:hAnsi="Verdana"/>
          <w:sz w:val="20"/>
          <w:szCs w:val="20"/>
          <w:lang w:val="en-US" w:eastAsia="en-US"/>
        </w:rPr>
        <w:t xml:space="preserve">was </w:t>
      </w:r>
      <w:r w:rsidR="002622D9" w:rsidRPr="008A3740">
        <w:rPr>
          <w:rFonts w:ascii="Verdana" w:hAnsi="Verdana"/>
          <w:sz w:val="20"/>
          <w:szCs w:val="20"/>
          <w:lang w:val="en-US" w:eastAsia="en-US"/>
        </w:rPr>
        <w:t xml:space="preserve">delivered in 1993, </w:t>
      </w:r>
      <w:r w:rsidR="008E6A56" w:rsidRPr="008A3740">
        <w:rPr>
          <w:rFonts w:ascii="Verdana" w:hAnsi="Verdana"/>
          <w:sz w:val="20"/>
          <w:szCs w:val="20"/>
          <w:lang w:val="en-US" w:eastAsia="en-US"/>
        </w:rPr>
        <w:t xml:space="preserve">the State </w:t>
      </w:r>
      <w:r w:rsidR="00AB66F5" w:rsidRPr="008A3740">
        <w:rPr>
          <w:rFonts w:ascii="Verdana" w:hAnsi="Verdana"/>
          <w:sz w:val="20"/>
          <w:szCs w:val="20"/>
          <w:lang w:val="en-US" w:eastAsia="en-US"/>
        </w:rPr>
        <w:t xml:space="preserve">did not </w:t>
      </w:r>
      <w:r w:rsidR="00872A2F" w:rsidRPr="008A3740">
        <w:rPr>
          <w:rFonts w:ascii="Verdana" w:hAnsi="Verdana"/>
          <w:sz w:val="20"/>
          <w:szCs w:val="20"/>
          <w:lang w:val="en-US" w:eastAsia="en-US"/>
        </w:rPr>
        <w:t>take any steps to</w:t>
      </w:r>
      <w:r w:rsidR="001A7BA0" w:rsidRPr="008A3740">
        <w:rPr>
          <w:rFonts w:ascii="Verdana" w:hAnsi="Verdana"/>
          <w:sz w:val="20"/>
          <w:szCs w:val="20"/>
          <w:lang w:val="en-US" w:eastAsia="en-US"/>
        </w:rPr>
        <w:t xml:space="preserve"> comply,</w:t>
      </w:r>
      <w:r w:rsidR="00872A2F" w:rsidRPr="008A3740">
        <w:rPr>
          <w:rFonts w:ascii="Verdana" w:hAnsi="Verdana"/>
          <w:sz w:val="20"/>
          <w:szCs w:val="20"/>
          <w:lang w:val="en-US" w:eastAsia="en-US"/>
        </w:rPr>
        <w:t xml:space="preserve"> in a prompt and effective manner, with</w:t>
      </w:r>
      <w:r w:rsidR="008E6A56" w:rsidRPr="008A3740">
        <w:rPr>
          <w:rFonts w:ascii="Verdana" w:hAnsi="Verdana"/>
          <w:sz w:val="20"/>
          <w:szCs w:val="20"/>
          <w:lang w:val="en-US" w:eastAsia="en-US"/>
        </w:rPr>
        <w:t xml:space="preserve"> </w:t>
      </w:r>
      <w:r w:rsidR="00872A2F" w:rsidRPr="008A3740">
        <w:rPr>
          <w:rFonts w:ascii="Verdana" w:hAnsi="Verdana"/>
          <w:sz w:val="20"/>
          <w:szCs w:val="20"/>
          <w:lang w:val="en-US" w:eastAsia="en-US"/>
        </w:rPr>
        <w:t xml:space="preserve">the </w:t>
      </w:r>
      <w:r w:rsidR="000E2A49" w:rsidRPr="008A3740">
        <w:rPr>
          <w:rFonts w:ascii="Verdana" w:hAnsi="Verdana"/>
          <w:sz w:val="20"/>
          <w:szCs w:val="20"/>
          <w:lang w:val="en-US" w:eastAsia="en-US"/>
        </w:rPr>
        <w:t>measures ordered</w:t>
      </w:r>
      <w:r w:rsidR="008E6A56" w:rsidRPr="008A3740">
        <w:rPr>
          <w:rFonts w:ascii="Verdana" w:hAnsi="Verdana"/>
          <w:sz w:val="20"/>
          <w:szCs w:val="20"/>
          <w:lang w:val="en-US" w:eastAsia="en-US"/>
        </w:rPr>
        <w:t xml:space="preserve"> by the judicial authori</w:t>
      </w:r>
      <w:r w:rsidR="00872A2F" w:rsidRPr="008A3740">
        <w:rPr>
          <w:rFonts w:ascii="Verdana" w:hAnsi="Verdana"/>
          <w:sz w:val="20"/>
          <w:szCs w:val="20"/>
          <w:lang w:val="en-US" w:eastAsia="en-US"/>
        </w:rPr>
        <w:t>ties</w:t>
      </w:r>
      <w:r w:rsidR="008E6A56" w:rsidRPr="008A3740">
        <w:rPr>
          <w:rFonts w:ascii="Verdana" w:hAnsi="Verdana"/>
          <w:sz w:val="20"/>
          <w:szCs w:val="20"/>
          <w:lang w:val="en-US" w:eastAsia="en-US"/>
        </w:rPr>
        <w:t xml:space="preserve"> to guarantee </w:t>
      </w:r>
      <w:r w:rsidR="00872A2F" w:rsidRPr="008A3740">
        <w:rPr>
          <w:rFonts w:ascii="Verdana" w:hAnsi="Verdana"/>
          <w:sz w:val="20"/>
          <w:szCs w:val="20"/>
          <w:lang w:val="en-US" w:eastAsia="en-US"/>
        </w:rPr>
        <w:t xml:space="preserve">Mr. Muelle Flores’ legally recognized </w:t>
      </w:r>
      <w:r w:rsidR="008E6A56" w:rsidRPr="008A3740">
        <w:rPr>
          <w:rFonts w:ascii="Verdana" w:hAnsi="Verdana"/>
          <w:sz w:val="20"/>
          <w:szCs w:val="20"/>
          <w:lang w:val="en-US" w:eastAsia="en-US"/>
        </w:rPr>
        <w:t xml:space="preserve">right to a pension. </w:t>
      </w:r>
    </w:p>
    <w:p w14:paraId="53ED1E49" w14:textId="77777777" w:rsidR="008E6A56" w:rsidRPr="008A3740" w:rsidRDefault="008E6A56" w:rsidP="00D17A65">
      <w:pPr>
        <w:pStyle w:val="Ttulo4"/>
        <w:numPr>
          <w:ilvl w:val="0"/>
          <w:numId w:val="8"/>
        </w:numPr>
        <w:rPr>
          <w:lang w:val="en-US"/>
        </w:rPr>
      </w:pPr>
      <w:r w:rsidRPr="008A3740">
        <w:rPr>
          <w:lang w:val="en-US"/>
        </w:rPr>
        <w:t xml:space="preserve">Creation of obstacles to the enforcement of </w:t>
      </w:r>
      <w:r w:rsidR="001659CD" w:rsidRPr="008A3740">
        <w:rPr>
          <w:lang w:val="en-US"/>
        </w:rPr>
        <w:t xml:space="preserve">domestic </w:t>
      </w:r>
      <w:r w:rsidRPr="008A3740">
        <w:rPr>
          <w:lang w:val="en-US"/>
        </w:rPr>
        <w:t xml:space="preserve">judgments </w:t>
      </w:r>
      <w:r w:rsidR="001659CD" w:rsidRPr="008A3740">
        <w:rPr>
          <w:lang w:val="en-US"/>
        </w:rPr>
        <w:t xml:space="preserve">via </w:t>
      </w:r>
      <w:r w:rsidRPr="008A3740">
        <w:rPr>
          <w:lang w:val="en-US"/>
        </w:rPr>
        <w:t>privatization</w:t>
      </w:r>
    </w:p>
    <w:p w14:paraId="4AAFAB6A" w14:textId="77777777" w:rsidR="008E6A56" w:rsidRPr="008A3740" w:rsidRDefault="008E6A56" w:rsidP="008E6A56">
      <w:pPr>
        <w:rPr>
          <w:rFonts w:ascii="Verdana" w:hAnsi="Verdana"/>
          <w:sz w:val="20"/>
          <w:szCs w:val="20"/>
          <w:lang w:val="en-US" w:eastAsia="en-US"/>
        </w:rPr>
      </w:pPr>
    </w:p>
    <w:p w14:paraId="504FD3A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z w:val="20"/>
          <w:szCs w:val="20"/>
          <w:lang w:val="en-US" w:eastAsia="en-US"/>
        </w:rPr>
        <w:t xml:space="preserve">After the Supreme Court judgment of 1993, Tintaya S.A. was privatized on November 29, 1994, and from that date ceased to be a State-owned company. </w:t>
      </w:r>
      <w:r w:rsidR="001A7BA0" w:rsidRPr="008A3740">
        <w:rPr>
          <w:rFonts w:ascii="Verdana" w:hAnsi="Verdana"/>
          <w:sz w:val="20"/>
          <w:szCs w:val="20"/>
          <w:lang w:val="en-US" w:eastAsia="en-US"/>
        </w:rPr>
        <w:t>The Court observes that</w:t>
      </w:r>
      <w:r w:rsidR="00D84D5B" w:rsidRPr="008A3740">
        <w:rPr>
          <w:rFonts w:ascii="Verdana" w:hAnsi="Verdana"/>
          <w:sz w:val="20"/>
          <w:szCs w:val="20"/>
          <w:lang w:val="en-US" w:eastAsia="en-US"/>
        </w:rPr>
        <w:t xml:space="preserve"> since that time</w:t>
      </w:r>
      <w:r w:rsidRPr="008A3740">
        <w:rPr>
          <w:rFonts w:ascii="Verdana" w:hAnsi="Verdana"/>
          <w:sz w:val="20"/>
          <w:szCs w:val="20"/>
          <w:lang w:val="en-US" w:eastAsia="en-US"/>
        </w:rPr>
        <w:t>, the company has ch</w:t>
      </w:r>
      <w:r w:rsidR="00C53A43" w:rsidRPr="008A3740">
        <w:rPr>
          <w:rFonts w:ascii="Verdana" w:hAnsi="Verdana"/>
          <w:sz w:val="20"/>
          <w:szCs w:val="20"/>
          <w:lang w:val="en-US" w:eastAsia="en-US"/>
        </w:rPr>
        <w:t>an</w:t>
      </w:r>
      <w:r w:rsidRPr="008A3740">
        <w:rPr>
          <w:rFonts w:ascii="Verdana" w:hAnsi="Verdana"/>
          <w:sz w:val="20"/>
          <w:szCs w:val="20"/>
          <w:lang w:val="en-US" w:eastAsia="en-US"/>
        </w:rPr>
        <w:t xml:space="preserve">ged its </w:t>
      </w:r>
      <w:r w:rsidR="00C53A43" w:rsidRPr="008A3740">
        <w:rPr>
          <w:rFonts w:ascii="Verdana" w:hAnsi="Verdana"/>
          <w:sz w:val="20"/>
          <w:szCs w:val="20"/>
          <w:lang w:val="en-US" w:eastAsia="en-US"/>
        </w:rPr>
        <w:t xml:space="preserve">business name </w:t>
      </w:r>
      <w:r w:rsidRPr="008A3740">
        <w:rPr>
          <w:rFonts w:ascii="Verdana" w:hAnsi="Verdana"/>
          <w:sz w:val="20"/>
          <w:szCs w:val="20"/>
          <w:lang w:val="en-US" w:eastAsia="en-US"/>
        </w:rPr>
        <w:t xml:space="preserve">and has been acquired by different owners, but </w:t>
      </w:r>
      <w:r w:rsidR="004212B0" w:rsidRPr="008A3740">
        <w:rPr>
          <w:rFonts w:ascii="Verdana" w:hAnsi="Verdana"/>
          <w:sz w:val="20"/>
          <w:szCs w:val="20"/>
          <w:lang w:val="en-US" w:eastAsia="en-US"/>
        </w:rPr>
        <w:t xml:space="preserve">has </w:t>
      </w:r>
      <w:r w:rsidR="001659CD" w:rsidRPr="008A3740">
        <w:rPr>
          <w:rFonts w:ascii="Verdana" w:hAnsi="Verdana"/>
          <w:sz w:val="20"/>
          <w:szCs w:val="20"/>
          <w:lang w:val="en-US" w:eastAsia="en-US"/>
        </w:rPr>
        <w:t>not re</w:t>
      </w:r>
      <w:r w:rsidR="004212B0" w:rsidRPr="008A3740">
        <w:rPr>
          <w:rFonts w:ascii="Verdana" w:hAnsi="Verdana"/>
          <w:sz w:val="20"/>
          <w:szCs w:val="20"/>
          <w:lang w:val="en-US" w:eastAsia="en-US"/>
        </w:rPr>
        <w:t xml:space="preserve">verted </w:t>
      </w:r>
      <w:r w:rsidR="001659CD" w:rsidRPr="008A3740">
        <w:rPr>
          <w:rFonts w:ascii="Verdana" w:hAnsi="Verdana"/>
          <w:sz w:val="20"/>
          <w:szCs w:val="20"/>
          <w:lang w:val="en-US" w:eastAsia="en-US"/>
        </w:rPr>
        <w:t xml:space="preserve">to being </w:t>
      </w:r>
      <w:r w:rsidRPr="008A3740">
        <w:rPr>
          <w:rFonts w:ascii="Verdana" w:hAnsi="Verdana"/>
          <w:sz w:val="20"/>
          <w:szCs w:val="20"/>
          <w:lang w:val="en-US" w:eastAsia="en-US"/>
        </w:rPr>
        <w:t xml:space="preserve">a </w:t>
      </w:r>
      <w:r w:rsidR="00C53A43" w:rsidRPr="008A3740">
        <w:rPr>
          <w:rFonts w:ascii="Verdana" w:hAnsi="Verdana"/>
          <w:sz w:val="20"/>
          <w:szCs w:val="20"/>
          <w:lang w:val="en-US" w:eastAsia="en-US"/>
        </w:rPr>
        <w:t xml:space="preserve">State-owned </w:t>
      </w:r>
      <w:r w:rsidRPr="008A3740">
        <w:rPr>
          <w:rFonts w:ascii="Verdana" w:hAnsi="Verdana"/>
          <w:sz w:val="20"/>
          <w:szCs w:val="20"/>
          <w:lang w:val="en-US" w:eastAsia="en-US"/>
        </w:rPr>
        <w:t>public company.</w:t>
      </w:r>
    </w:p>
    <w:p w14:paraId="2176A454"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5F8AE003"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 xml:space="preserve">The Court notes that prior to </w:t>
      </w:r>
      <w:r w:rsidR="004212B0" w:rsidRPr="008A3740">
        <w:rPr>
          <w:rFonts w:ascii="Verdana" w:hAnsi="Verdana"/>
          <w:snapToGrid w:val="0"/>
          <w:sz w:val="20"/>
          <w:szCs w:val="20"/>
          <w:lang w:val="en-US"/>
        </w:rPr>
        <w:t>the</w:t>
      </w:r>
      <w:r w:rsidRPr="008A3740">
        <w:rPr>
          <w:rFonts w:ascii="Verdana" w:hAnsi="Verdana"/>
          <w:snapToGrid w:val="0"/>
          <w:sz w:val="20"/>
          <w:szCs w:val="20"/>
          <w:lang w:val="en-US"/>
        </w:rPr>
        <w:t xml:space="preserve"> </w:t>
      </w:r>
      <w:r w:rsidR="004212B0" w:rsidRPr="008A3740">
        <w:rPr>
          <w:rFonts w:ascii="Verdana" w:hAnsi="Verdana"/>
          <w:snapToGrid w:val="0"/>
          <w:sz w:val="20"/>
          <w:szCs w:val="20"/>
          <w:lang w:val="en-US"/>
        </w:rPr>
        <w:t xml:space="preserve">company’s </w:t>
      </w:r>
      <w:r w:rsidRPr="008A3740">
        <w:rPr>
          <w:rFonts w:ascii="Verdana" w:hAnsi="Verdana"/>
          <w:snapToGrid w:val="0"/>
          <w:sz w:val="20"/>
          <w:szCs w:val="20"/>
          <w:lang w:val="en-US"/>
        </w:rPr>
        <w:t xml:space="preserve">privatization in November 1994, a </w:t>
      </w:r>
      <w:r w:rsidR="001659CD" w:rsidRPr="008A3740">
        <w:rPr>
          <w:rFonts w:ascii="Verdana" w:hAnsi="Verdana"/>
          <w:snapToGrid w:val="0"/>
          <w:sz w:val="20"/>
          <w:szCs w:val="20"/>
          <w:lang w:val="en-US"/>
        </w:rPr>
        <w:t xml:space="preserve">final </w:t>
      </w:r>
      <w:r w:rsidRPr="008A3740">
        <w:rPr>
          <w:rFonts w:ascii="Verdana" w:hAnsi="Verdana"/>
          <w:snapToGrid w:val="0"/>
          <w:sz w:val="20"/>
          <w:szCs w:val="20"/>
          <w:lang w:val="en-US"/>
        </w:rPr>
        <w:t xml:space="preserve">judicial </w:t>
      </w:r>
      <w:r w:rsidR="001659CD" w:rsidRPr="008A3740">
        <w:rPr>
          <w:rFonts w:ascii="Verdana" w:hAnsi="Verdana"/>
          <w:snapToGrid w:val="0"/>
          <w:sz w:val="20"/>
          <w:szCs w:val="20"/>
          <w:lang w:val="en-US"/>
        </w:rPr>
        <w:t xml:space="preserve">ruling </w:t>
      </w:r>
      <w:r w:rsidR="00D84D5B" w:rsidRPr="008A3740">
        <w:rPr>
          <w:rFonts w:ascii="Verdana" w:hAnsi="Verdana"/>
          <w:snapToGrid w:val="0"/>
          <w:sz w:val="20"/>
          <w:szCs w:val="20"/>
          <w:lang w:val="en-US"/>
        </w:rPr>
        <w:t xml:space="preserve">had already been issued </w:t>
      </w:r>
      <w:r w:rsidRPr="008A3740">
        <w:rPr>
          <w:rFonts w:ascii="Verdana" w:hAnsi="Verdana"/>
          <w:snapToGrid w:val="0"/>
          <w:sz w:val="20"/>
          <w:szCs w:val="20"/>
          <w:lang w:val="en-US"/>
        </w:rPr>
        <w:t>against the State</w:t>
      </w:r>
      <w:r w:rsidR="004212B0" w:rsidRPr="008A3740">
        <w:rPr>
          <w:rFonts w:ascii="Verdana" w:hAnsi="Verdana"/>
          <w:snapToGrid w:val="0"/>
          <w:sz w:val="20"/>
          <w:szCs w:val="20"/>
          <w:lang w:val="en-US"/>
        </w:rPr>
        <w:t>-owned firm</w:t>
      </w:r>
      <w:r w:rsidRPr="008A3740">
        <w:rPr>
          <w:rFonts w:ascii="Verdana" w:hAnsi="Verdana"/>
          <w:snapToGrid w:val="0"/>
          <w:sz w:val="20"/>
          <w:szCs w:val="20"/>
          <w:lang w:val="en-US"/>
        </w:rPr>
        <w:t xml:space="preserve">. In other words, the State </w:t>
      </w:r>
      <w:r w:rsidR="001659CD" w:rsidRPr="008A3740">
        <w:rPr>
          <w:rFonts w:ascii="Verdana" w:hAnsi="Verdana"/>
          <w:snapToGrid w:val="0"/>
          <w:sz w:val="20"/>
          <w:szCs w:val="20"/>
          <w:lang w:val="en-US"/>
        </w:rPr>
        <w:t xml:space="preserve">was aware of </w:t>
      </w:r>
      <w:r w:rsidR="001A7BA0" w:rsidRPr="008A3740">
        <w:rPr>
          <w:rFonts w:ascii="Verdana" w:hAnsi="Verdana"/>
          <w:snapToGrid w:val="0"/>
          <w:sz w:val="20"/>
          <w:szCs w:val="20"/>
          <w:lang w:val="en-US"/>
        </w:rPr>
        <w:t>the</w:t>
      </w:r>
      <w:r w:rsidRPr="008A3740">
        <w:rPr>
          <w:rFonts w:ascii="Verdana" w:hAnsi="Verdana"/>
          <w:snapToGrid w:val="0"/>
          <w:sz w:val="20"/>
          <w:szCs w:val="20"/>
          <w:lang w:val="en-US"/>
        </w:rPr>
        <w:t xml:space="preserve"> </w:t>
      </w:r>
      <w:r w:rsidR="00C53A43" w:rsidRPr="008A3740">
        <w:rPr>
          <w:rFonts w:ascii="Verdana" w:hAnsi="Verdana"/>
          <w:snapToGrid w:val="0"/>
          <w:sz w:val="20"/>
          <w:szCs w:val="20"/>
          <w:lang w:val="en-US"/>
        </w:rPr>
        <w:t>existing legal obligations</w:t>
      </w:r>
      <w:r w:rsidRPr="008A3740">
        <w:rPr>
          <w:rFonts w:ascii="Verdana" w:hAnsi="Verdana"/>
          <w:snapToGrid w:val="0"/>
          <w:sz w:val="20"/>
          <w:szCs w:val="20"/>
          <w:lang w:val="en-US"/>
        </w:rPr>
        <w:t xml:space="preserve"> and</w:t>
      </w:r>
      <w:r w:rsidR="004212B0" w:rsidRPr="008A3740">
        <w:rPr>
          <w:rFonts w:ascii="Verdana" w:hAnsi="Verdana"/>
          <w:snapToGrid w:val="0"/>
          <w:sz w:val="20"/>
          <w:szCs w:val="20"/>
          <w:lang w:val="en-US"/>
        </w:rPr>
        <w:t>,</w:t>
      </w:r>
      <w:r w:rsidRPr="008A3740">
        <w:rPr>
          <w:rFonts w:ascii="Verdana" w:hAnsi="Verdana"/>
          <w:snapToGrid w:val="0"/>
          <w:sz w:val="20"/>
          <w:szCs w:val="20"/>
          <w:lang w:val="en-US"/>
        </w:rPr>
        <w:t xml:space="preserve"> </w:t>
      </w:r>
      <w:r w:rsidR="001659CD" w:rsidRPr="008A3740">
        <w:rPr>
          <w:rFonts w:ascii="Verdana" w:hAnsi="Verdana"/>
          <w:snapToGrid w:val="0"/>
          <w:sz w:val="20"/>
          <w:szCs w:val="20"/>
          <w:lang w:val="en-US"/>
        </w:rPr>
        <w:t xml:space="preserve">despite this, </w:t>
      </w:r>
      <w:r w:rsidRPr="008A3740">
        <w:rPr>
          <w:rFonts w:ascii="Verdana" w:hAnsi="Verdana"/>
          <w:snapToGrid w:val="0"/>
          <w:sz w:val="20"/>
          <w:szCs w:val="20"/>
          <w:lang w:val="en-US"/>
        </w:rPr>
        <w:t xml:space="preserve">not only </w:t>
      </w:r>
      <w:r w:rsidR="001659CD" w:rsidRPr="008A3740">
        <w:rPr>
          <w:rFonts w:ascii="Verdana" w:hAnsi="Verdana"/>
          <w:snapToGrid w:val="0"/>
          <w:sz w:val="20"/>
          <w:szCs w:val="20"/>
          <w:lang w:val="en-US"/>
        </w:rPr>
        <w:t xml:space="preserve">failed to </w:t>
      </w:r>
      <w:r w:rsidRPr="008A3740">
        <w:rPr>
          <w:rFonts w:ascii="Verdana" w:hAnsi="Verdana"/>
          <w:snapToGrid w:val="0"/>
          <w:sz w:val="20"/>
          <w:szCs w:val="20"/>
          <w:lang w:val="en-US"/>
        </w:rPr>
        <w:t xml:space="preserve">comply, but its Board of Directors </w:t>
      </w:r>
      <w:r w:rsidR="00D84D5B" w:rsidRPr="008A3740">
        <w:rPr>
          <w:rFonts w:ascii="Verdana" w:hAnsi="Verdana"/>
          <w:snapToGrid w:val="0"/>
          <w:sz w:val="20"/>
          <w:szCs w:val="20"/>
          <w:lang w:val="en-US"/>
        </w:rPr>
        <w:t xml:space="preserve">even </w:t>
      </w:r>
      <w:r w:rsidRPr="008A3740">
        <w:rPr>
          <w:rFonts w:ascii="Verdana" w:hAnsi="Verdana"/>
          <w:snapToGrid w:val="0"/>
          <w:sz w:val="20"/>
          <w:szCs w:val="20"/>
          <w:lang w:val="en-US"/>
        </w:rPr>
        <w:t>adopted a subsequent decision to suspend Mr. Muelle Flores from the pension scheme under Decre</w:t>
      </w:r>
      <w:r w:rsidR="00D84D5B" w:rsidRPr="008A3740">
        <w:rPr>
          <w:rFonts w:ascii="Verdana" w:hAnsi="Verdana"/>
          <w:snapToGrid w:val="0"/>
          <w:sz w:val="20"/>
          <w:szCs w:val="20"/>
          <w:lang w:val="en-US"/>
        </w:rPr>
        <w:t>e Law No. 20530. Furthermore, the State</w:t>
      </w:r>
      <w:r w:rsidRPr="008A3740">
        <w:rPr>
          <w:rFonts w:ascii="Verdana" w:hAnsi="Verdana"/>
          <w:snapToGrid w:val="0"/>
          <w:sz w:val="20"/>
          <w:szCs w:val="20"/>
          <w:lang w:val="en-US"/>
        </w:rPr>
        <w:t xml:space="preserve"> took the decision to privatize the public company, without adopting measures of </w:t>
      </w:r>
      <w:r w:rsidRPr="008A3740">
        <w:rPr>
          <w:rFonts w:ascii="Verdana" w:hAnsi="Verdana"/>
          <w:sz w:val="20"/>
          <w:szCs w:val="20"/>
          <w:lang w:val="en-US"/>
        </w:rPr>
        <w:t xml:space="preserve">due diligence to </w:t>
      </w:r>
      <w:r w:rsidR="004212B0" w:rsidRPr="008A3740">
        <w:rPr>
          <w:rFonts w:ascii="Verdana" w:hAnsi="Verdana"/>
          <w:sz w:val="20"/>
          <w:szCs w:val="20"/>
          <w:lang w:val="en-US"/>
        </w:rPr>
        <w:t xml:space="preserve">ensure that the transfer </w:t>
      </w:r>
      <w:r w:rsidR="00D84D5B" w:rsidRPr="008A3740">
        <w:rPr>
          <w:rFonts w:ascii="Verdana" w:hAnsi="Verdana"/>
          <w:sz w:val="20"/>
          <w:szCs w:val="20"/>
          <w:lang w:val="en-US"/>
        </w:rPr>
        <w:t xml:space="preserve">of ownership </w:t>
      </w:r>
      <w:r w:rsidR="004212B0" w:rsidRPr="008A3740">
        <w:rPr>
          <w:rFonts w:ascii="Verdana" w:hAnsi="Verdana"/>
          <w:sz w:val="20"/>
          <w:szCs w:val="20"/>
          <w:lang w:val="en-US"/>
        </w:rPr>
        <w:t xml:space="preserve">would not affect </w:t>
      </w:r>
      <w:r w:rsidRPr="008A3740">
        <w:rPr>
          <w:rFonts w:ascii="Verdana" w:hAnsi="Verdana"/>
          <w:sz w:val="20"/>
          <w:szCs w:val="20"/>
          <w:lang w:val="en-US"/>
        </w:rPr>
        <w:t xml:space="preserve">compliance </w:t>
      </w:r>
      <w:r w:rsidR="001659CD" w:rsidRPr="008A3740">
        <w:rPr>
          <w:rFonts w:ascii="Verdana" w:hAnsi="Verdana"/>
          <w:sz w:val="20"/>
          <w:szCs w:val="20"/>
          <w:lang w:val="en-US"/>
        </w:rPr>
        <w:t>with the</w:t>
      </w:r>
      <w:r w:rsidRPr="008A3740">
        <w:rPr>
          <w:rFonts w:ascii="Verdana" w:hAnsi="Verdana"/>
          <w:sz w:val="20"/>
          <w:szCs w:val="20"/>
          <w:lang w:val="en-US"/>
        </w:rPr>
        <w:t xml:space="preserve"> </w:t>
      </w:r>
      <w:r w:rsidRPr="008A3740">
        <w:rPr>
          <w:rFonts w:ascii="Verdana" w:hAnsi="Verdana"/>
          <w:snapToGrid w:val="0"/>
          <w:sz w:val="20"/>
          <w:szCs w:val="20"/>
          <w:lang w:val="en-US"/>
        </w:rPr>
        <w:t xml:space="preserve">obligation </w:t>
      </w:r>
      <w:r w:rsidR="00D84D5B" w:rsidRPr="008A3740">
        <w:rPr>
          <w:rFonts w:ascii="Verdana" w:hAnsi="Verdana"/>
          <w:snapToGrid w:val="0"/>
          <w:sz w:val="20"/>
          <w:szCs w:val="20"/>
          <w:lang w:val="en-US"/>
        </w:rPr>
        <w:t xml:space="preserve">to pay </w:t>
      </w:r>
      <w:r w:rsidR="001659CD" w:rsidRPr="008A3740">
        <w:rPr>
          <w:rFonts w:ascii="Verdana" w:hAnsi="Verdana"/>
          <w:snapToGrid w:val="0"/>
          <w:sz w:val="20"/>
          <w:szCs w:val="20"/>
          <w:lang w:val="en-US"/>
        </w:rPr>
        <w:t>Mr</w:t>
      </w:r>
      <w:r w:rsidRPr="008A3740">
        <w:rPr>
          <w:rFonts w:ascii="Verdana" w:hAnsi="Verdana"/>
          <w:snapToGrid w:val="0"/>
          <w:sz w:val="20"/>
          <w:szCs w:val="20"/>
          <w:lang w:val="en-US"/>
        </w:rPr>
        <w:t>. Muelle Flores’ pension.</w:t>
      </w:r>
    </w:p>
    <w:p w14:paraId="6DC0C773"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17B08A5B"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bookmarkStart w:id="98" w:name="_Hlk1644199"/>
      <w:r w:rsidRPr="008A3740">
        <w:rPr>
          <w:rFonts w:ascii="Verdana" w:hAnsi="Verdana"/>
          <w:snapToGrid w:val="0"/>
          <w:sz w:val="20"/>
          <w:szCs w:val="20"/>
          <w:lang w:val="en-US"/>
        </w:rPr>
        <w:t xml:space="preserve">In particular, the Court notes that the State did not establish, clearly and explicitly, who would be responsible for the administration and payment of Mr. Muelle Flores’ pension, </w:t>
      </w:r>
      <w:r w:rsidR="00CD2F5B" w:rsidRPr="008A3740">
        <w:rPr>
          <w:rFonts w:ascii="Verdana" w:hAnsi="Verdana"/>
          <w:snapToGrid w:val="0"/>
          <w:sz w:val="20"/>
          <w:szCs w:val="20"/>
          <w:lang w:val="en-US"/>
        </w:rPr>
        <w:t xml:space="preserve">given </w:t>
      </w:r>
      <w:r w:rsidR="00D84D5B" w:rsidRPr="008A3740">
        <w:rPr>
          <w:rFonts w:ascii="Verdana" w:hAnsi="Verdana"/>
          <w:snapToGrid w:val="0"/>
          <w:sz w:val="20"/>
          <w:szCs w:val="20"/>
          <w:lang w:val="en-US"/>
        </w:rPr>
        <w:t xml:space="preserve">that, under </w:t>
      </w:r>
      <w:r w:rsidRPr="008A3740">
        <w:rPr>
          <w:rFonts w:ascii="Verdana" w:hAnsi="Verdana"/>
          <w:snapToGrid w:val="0"/>
          <w:sz w:val="20"/>
          <w:szCs w:val="20"/>
          <w:lang w:val="en-US"/>
        </w:rPr>
        <w:t xml:space="preserve">the </w:t>
      </w:r>
      <w:r w:rsidR="006A0B95" w:rsidRPr="008A3740">
        <w:rPr>
          <w:rFonts w:ascii="Verdana" w:hAnsi="Verdana"/>
          <w:snapToGrid w:val="0"/>
          <w:sz w:val="20"/>
          <w:szCs w:val="20"/>
          <w:lang w:val="en-US"/>
        </w:rPr>
        <w:t>existing legal system</w:t>
      </w:r>
      <w:r w:rsidRPr="008A3740">
        <w:rPr>
          <w:rFonts w:ascii="Verdana" w:hAnsi="Verdana"/>
          <w:snapToGrid w:val="0"/>
          <w:sz w:val="20"/>
          <w:szCs w:val="20"/>
          <w:lang w:val="en-US"/>
        </w:rPr>
        <w:t xml:space="preserve">, the </w:t>
      </w:r>
      <w:r w:rsidR="00D84D5B" w:rsidRPr="008A3740">
        <w:rPr>
          <w:rFonts w:ascii="Verdana" w:hAnsi="Verdana"/>
          <w:snapToGrid w:val="0"/>
          <w:sz w:val="20"/>
          <w:szCs w:val="20"/>
          <w:lang w:val="en-US"/>
        </w:rPr>
        <w:t xml:space="preserve">obligated </w:t>
      </w:r>
      <w:r w:rsidRPr="008A3740">
        <w:rPr>
          <w:rFonts w:ascii="Verdana" w:hAnsi="Verdana"/>
          <w:snapToGrid w:val="0"/>
          <w:sz w:val="20"/>
          <w:szCs w:val="20"/>
          <w:lang w:val="en-US"/>
        </w:rPr>
        <w:t xml:space="preserve">public company </w:t>
      </w:r>
      <w:r w:rsidR="00D84D5B" w:rsidRPr="008A3740">
        <w:rPr>
          <w:rFonts w:ascii="Verdana" w:hAnsi="Verdana"/>
          <w:snapToGrid w:val="0"/>
          <w:sz w:val="20"/>
          <w:szCs w:val="20"/>
          <w:lang w:val="en-US"/>
        </w:rPr>
        <w:t xml:space="preserve">would become </w:t>
      </w:r>
      <w:r w:rsidRPr="008A3740">
        <w:rPr>
          <w:rFonts w:ascii="Verdana" w:hAnsi="Verdana"/>
          <w:snapToGrid w:val="0"/>
          <w:sz w:val="20"/>
          <w:szCs w:val="20"/>
          <w:lang w:val="en-US"/>
        </w:rPr>
        <w:t xml:space="preserve">a private company. This lack </w:t>
      </w:r>
      <w:r w:rsidR="00707024" w:rsidRPr="008A3740">
        <w:rPr>
          <w:rFonts w:ascii="Verdana" w:hAnsi="Verdana"/>
          <w:snapToGrid w:val="0"/>
          <w:sz w:val="20"/>
          <w:szCs w:val="20"/>
          <w:lang w:val="en-US"/>
        </w:rPr>
        <w:t>of clear</w:t>
      </w:r>
      <w:r w:rsidR="00CD2F5B" w:rsidRPr="008A3740">
        <w:rPr>
          <w:rFonts w:ascii="Verdana" w:hAnsi="Verdana"/>
          <w:snapToGrid w:val="0"/>
          <w:sz w:val="20"/>
          <w:szCs w:val="20"/>
          <w:lang w:val="en-US"/>
        </w:rPr>
        <w:t xml:space="preserve"> regulation regarding which entity</w:t>
      </w:r>
      <w:r w:rsidRPr="008A3740">
        <w:rPr>
          <w:rFonts w:ascii="Verdana" w:hAnsi="Verdana"/>
          <w:snapToGrid w:val="0"/>
          <w:sz w:val="20"/>
          <w:szCs w:val="20"/>
          <w:lang w:val="en-US"/>
        </w:rPr>
        <w:t xml:space="preserve"> would be responsible for pa</w:t>
      </w:r>
      <w:r w:rsidR="00961B34" w:rsidRPr="008A3740">
        <w:rPr>
          <w:rFonts w:ascii="Verdana" w:hAnsi="Verdana"/>
          <w:snapToGrid w:val="0"/>
          <w:sz w:val="20"/>
          <w:szCs w:val="20"/>
          <w:lang w:val="en-US"/>
        </w:rPr>
        <w:t>ying Mr. Muelle Flores’ pension created</w:t>
      </w:r>
      <w:r w:rsidR="00B17691"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a situation </w:t>
      </w:r>
      <w:r w:rsidR="00707024" w:rsidRPr="008A3740">
        <w:rPr>
          <w:rFonts w:ascii="Verdana" w:hAnsi="Verdana"/>
          <w:snapToGrid w:val="0"/>
          <w:sz w:val="20"/>
          <w:szCs w:val="20"/>
          <w:lang w:val="en-US"/>
        </w:rPr>
        <w:t>of uncertainty</w:t>
      </w:r>
      <w:r w:rsidRPr="008A3740">
        <w:rPr>
          <w:rFonts w:ascii="Verdana" w:hAnsi="Verdana"/>
          <w:snapToGrid w:val="0"/>
          <w:sz w:val="20"/>
          <w:szCs w:val="20"/>
          <w:lang w:val="en-US"/>
        </w:rPr>
        <w:t xml:space="preserve"> </w:t>
      </w:r>
      <w:r w:rsidR="00FE4D96" w:rsidRPr="008A3740">
        <w:rPr>
          <w:rFonts w:ascii="Verdana" w:hAnsi="Verdana"/>
          <w:snapToGrid w:val="0"/>
          <w:sz w:val="20"/>
          <w:szCs w:val="20"/>
          <w:lang w:val="en-US"/>
        </w:rPr>
        <w:t>regarding its payment</w:t>
      </w:r>
      <w:r w:rsidRPr="008A3740">
        <w:rPr>
          <w:rFonts w:ascii="Verdana" w:hAnsi="Verdana"/>
          <w:snapToGrid w:val="0"/>
          <w:sz w:val="20"/>
          <w:szCs w:val="20"/>
          <w:lang w:val="en-US"/>
        </w:rPr>
        <w:t xml:space="preserve"> which, </w:t>
      </w:r>
      <w:r w:rsidR="00C53A43" w:rsidRPr="008A3740">
        <w:rPr>
          <w:rFonts w:ascii="Verdana" w:hAnsi="Verdana"/>
          <w:snapToGrid w:val="0"/>
          <w:sz w:val="20"/>
          <w:szCs w:val="20"/>
          <w:lang w:val="en-US"/>
        </w:rPr>
        <w:t>in turn</w:t>
      </w:r>
      <w:r w:rsidRPr="008A3740">
        <w:rPr>
          <w:rFonts w:ascii="Verdana" w:hAnsi="Verdana"/>
          <w:snapToGrid w:val="0"/>
          <w:sz w:val="20"/>
          <w:szCs w:val="20"/>
          <w:lang w:val="en-US"/>
        </w:rPr>
        <w:t xml:space="preserve">, created an obstacle to compliance and execution </w:t>
      </w:r>
      <w:r w:rsidR="00707024" w:rsidRPr="008A3740">
        <w:rPr>
          <w:rFonts w:ascii="Verdana" w:hAnsi="Verdana"/>
          <w:snapToGrid w:val="0"/>
          <w:sz w:val="20"/>
          <w:szCs w:val="20"/>
          <w:lang w:val="en-US"/>
        </w:rPr>
        <w:t>of the</w:t>
      </w:r>
      <w:r w:rsidRPr="008A3740">
        <w:rPr>
          <w:rFonts w:ascii="Verdana" w:hAnsi="Verdana"/>
          <w:snapToGrid w:val="0"/>
          <w:sz w:val="20"/>
          <w:szCs w:val="20"/>
          <w:lang w:val="en-US"/>
        </w:rPr>
        <w:t xml:space="preserve"> judgment. The State </w:t>
      </w:r>
      <w:r w:rsidR="00591C7D" w:rsidRPr="008A3740">
        <w:rPr>
          <w:rFonts w:ascii="Verdana" w:hAnsi="Verdana"/>
          <w:snapToGrid w:val="0"/>
          <w:sz w:val="20"/>
          <w:szCs w:val="20"/>
          <w:lang w:val="en-US"/>
        </w:rPr>
        <w:t xml:space="preserve">had </w:t>
      </w:r>
      <w:r w:rsidRPr="008A3740">
        <w:rPr>
          <w:rFonts w:ascii="Verdana" w:hAnsi="Verdana"/>
          <w:snapToGrid w:val="0"/>
          <w:sz w:val="20"/>
          <w:szCs w:val="20"/>
          <w:lang w:val="en-US"/>
        </w:rPr>
        <w:t xml:space="preserve">a </w:t>
      </w:r>
      <w:r w:rsidR="00C53A43" w:rsidRPr="008A3740">
        <w:rPr>
          <w:rFonts w:ascii="Verdana" w:hAnsi="Verdana"/>
          <w:snapToGrid w:val="0"/>
          <w:sz w:val="20"/>
          <w:szCs w:val="20"/>
          <w:lang w:val="en-US"/>
        </w:rPr>
        <w:t xml:space="preserve">legal </w:t>
      </w:r>
      <w:r w:rsidRPr="008A3740">
        <w:rPr>
          <w:rFonts w:ascii="Verdana" w:hAnsi="Verdana"/>
          <w:snapToGrid w:val="0"/>
          <w:sz w:val="20"/>
          <w:szCs w:val="20"/>
          <w:lang w:val="en-US"/>
        </w:rPr>
        <w:t xml:space="preserve">obligation </w:t>
      </w:r>
      <w:r w:rsidR="009206AB" w:rsidRPr="008A3740">
        <w:rPr>
          <w:rFonts w:ascii="Verdana" w:hAnsi="Verdana"/>
          <w:snapToGrid w:val="0"/>
          <w:sz w:val="20"/>
          <w:szCs w:val="20"/>
          <w:lang w:val="en-US"/>
        </w:rPr>
        <w:t>to comply</w:t>
      </w:r>
      <w:r w:rsidRPr="008A3740">
        <w:rPr>
          <w:rFonts w:ascii="Verdana" w:hAnsi="Verdana"/>
          <w:snapToGrid w:val="0"/>
          <w:sz w:val="20"/>
          <w:szCs w:val="20"/>
          <w:lang w:val="en-US"/>
        </w:rPr>
        <w:t xml:space="preserve">, which </w:t>
      </w:r>
      <w:r w:rsidR="00591C7D" w:rsidRPr="008A3740">
        <w:rPr>
          <w:rFonts w:ascii="Verdana" w:hAnsi="Verdana"/>
          <w:snapToGrid w:val="0"/>
          <w:sz w:val="20"/>
          <w:szCs w:val="20"/>
          <w:lang w:val="en-US"/>
        </w:rPr>
        <w:t xml:space="preserve">should have been maintained </w:t>
      </w:r>
      <w:r w:rsidR="00C53A43" w:rsidRPr="008A3740">
        <w:rPr>
          <w:rFonts w:ascii="Verdana" w:hAnsi="Verdana"/>
          <w:snapToGrid w:val="0"/>
          <w:sz w:val="20"/>
          <w:szCs w:val="20"/>
          <w:lang w:val="en-US"/>
        </w:rPr>
        <w:t xml:space="preserve">after </w:t>
      </w:r>
      <w:r w:rsidR="00CD2F5B" w:rsidRPr="008A3740">
        <w:rPr>
          <w:rFonts w:ascii="Verdana" w:hAnsi="Verdana"/>
          <w:snapToGrid w:val="0"/>
          <w:sz w:val="20"/>
          <w:szCs w:val="20"/>
          <w:lang w:val="en-US"/>
        </w:rPr>
        <w:t>privatization</w:t>
      </w:r>
      <w:r w:rsidRPr="008A3740">
        <w:rPr>
          <w:rFonts w:ascii="Verdana" w:hAnsi="Verdana"/>
          <w:snapToGrid w:val="0"/>
          <w:sz w:val="20"/>
          <w:szCs w:val="20"/>
          <w:lang w:val="en-US"/>
        </w:rPr>
        <w:t xml:space="preserve"> or</w:t>
      </w:r>
      <w:r w:rsidR="00961B34" w:rsidRPr="008A3740">
        <w:rPr>
          <w:rFonts w:ascii="Verdana" w:hAnsi="Verdana"/>
          <w:snapToGrid w:val="0"/>
          <w:sz w:val="20"/>
          <w:szCs w:val="20"/>
          <w:lang w:val="en-US"/>
        </w:rPr>
        <w:t>,</w:t>
      </w:r>
      <w:r w:rsidRPr="008A3740">
        <w:rPr>
          <w:rFonts w:ascii="Verdana" w:hAnsi="Verdana"/>
          <w:snapToGrid w:val="0"/>
          <w:sz w:val="20"/>
          <w:szCs w:val="20"/>
          <w:lang w:val="en-US"/>
        </w:rPr>
        <w:t xml:space="preserve"> at least, </w:t>
      </w:r>
      <w:r w:rsidR="00591C7D" w:rsidRPr="008A3740">
        <w:rPr>
          <w:rFonts w:ascii="Verdana" w:hAnsi="Verdana"/>
          <w:snapToGrid w:val="0"/>
          <w:sz w:val="20"/>
          <w:szCs w:val="20"/>
          <w:lang w:val="en-US"/>
        </w:rPr>
        <w:t xml:space="preserve">it should have established which </w:t>
      </w:r>
      <w:r w:rsidRPr="008A3740">
        <w:rPr>
          <w:rFonts w:ascii="Verdana" w:hAnsi="Verdana"/>
          <w:snapToGrid w:val="0"/>
          <w:sz w:val="20"/>
          <w:szCs w:val="20"/>
          <w:lang w:val="en-US"/>
        </w:rPr>
        <w:t xml:space="preserve">entity (public or private) </w:t>
      </w:r>
      <w:r w:rsidR="00591C7D" w:rsidRPr="008A3740">
        <w:rPr>
          <w:rFonts w:ascii="Verdana" w:hAnsi="Verdana"/>
          <w:snapToGrid w:val="0"/>
          <w:sz w:val="20"/>
          <w:szCs w:val="20"/>
          <w:lang w:val="en-US"/>
        </w:rPr>
        <w:t xml:space="preserve">would </w:t>
      </w:r>
      <w:r w:rsidR="00CD2F5B" w:rsidRPr="008A3740">
        <w:rPr>
          <w:rFonts w:ascii="Verdana" w:hAnsi="Verdana"/>
          <w:snapToGrid w:val="0"/>
          <w:sz w:val="20"/>
          <w:szCs w:val="20"/>
          <w:lang w:val="en-US"/>
        </w:rPr>
        <w:t xml:space="preserve">be required </w:t>
      </w:r>
      <w:r w:rsidR="00591C7D" w:rsidRPr="008A3740">
        <w:rPr>
          <w:rFonts w:ascii="Verdana" w:hAnsi="Verdana"/>
          <w:snapToGrid w:val="0"/>
          <w:sz w:val="20"/>
          <w:szCs w:val="20"/>
          <w:lang w:val="en-US"/>
        </w:rPr>
        <w:t>to</w:t>
      </w:r>
      <w:r w:rsidR="009206AB" w:rsidRPr="008A3740">
        <w:rPr>
          <w:rFonts w:ascii="Verdana" w:hAnsi="Verdana"/>
          <w:snapToGrid w:val="0"/>
          <w:sz w:val="20"/>
          <w:szCs w:val="20"/>
          <w:lang w:val="en-US"/>
        </w:rPr>
        <w:t xml:space="preserve"> </w:t>
      </w:r>
      <w:r w:rsidR="00591C7D" w:rsidRPr="008A3740">
        <w:rPr>
          <w:rFonts w:ascii="Verdana" w:hAnsi="Verdana"/>
          <w:snapToGrid w:val="0"/>
          <w:sz w:val="20"/>
          <w:szCs w:val="20"/>
          <w:lang w:val="en-US"/>
        </w:rPr>
        <w:t>comply with the ruling</w:t>
      </w:r>
      <w:r w:rsidRPr="008A3740">
        <w:rPr>
          <w:rFonts w:ascii="Verdana" w:hAnsi="Verdana"/>
          <w:snapToGrid w:val="0"/>
          <w:sz w:val="20"/>
          <w:szCs w:val="20"/>
          <w:lang w:val="en-US"/>
        </w:rPr>
        <w:t>. It is important to recall that, based on the obligations deriv</w:t>
      </w:r>
      <w:r w:rsidR="00D11010" w:rsidRPr="008A3740">
        <w:rPr>
          <w:rFonts w:ascii="Verdana" w:hAnsi="Verdana"/>
          <w:snapToGrid w:val="0"/>
          <w:sz w:val="20"/>
          <w:szCs w:val="20"/>
          <w:lang w:val="en-US"/>
        </w:rPr>
        <w:t xml:space="preserve">ed from </w:t>
      </w:r>
      <w:r w:rsidR="00591C7D" w:rsidRPr="008A3740">
        <w:rPr>
          <w:rFonts w:ascii="Verdana" w:hAnsi="Verdana"/>
          <w:snapToGrid w:val="0"/>
          <w:sz w:val="20"/>
          <w:szCs w:val="20"/>
          <w:lang w:val="en-US"/>
        </w:rPr>
        <w:t>A</w:t>
      </w:r>
      <w:r w:rsidRPr="008A3740">
        <w:rPr>
          <w:rFonts w:ascii="Verdana" w:hAnsi="Verdana"/>
          <w:snapToGrid w:val="0"/>
          <w:sz w:val="20"/>
          <w:szCs w:val="20"/>
          <w:lang w:val="en-US"/>
        </w:rPr>
        <w:t xml:space="preserve">rticle 1(1) of the Convention, the State </w:t>
      </w:r>
      <w:r w:rsidR="00591C7D" w:rsidRPr="008A3740">
        <w:rPr>
          <w:rFonts w:ascii="Verdana" w:hAnsi="Verdana"/>
          <w:snapToGrid w:val="0"/>
          <w:sz w:val="20"/>
          <w:szCs w:val="20"/>
          <w:lang w:val="en-US"/>
        </w:rPr>
        <w:t xml:space="preserve">not only has </w:t>
      </w:r>
      <w:r w:rsidRPr="008A3740">
        <w:rPr>
          <w:rFonts w:ascii="Verdana" w:hAnsi="Verdana"/>
          <w:snapToGrid w:val="0"/>
          <w:sz w:val="20"/>
          <w:szCs w:val="20"/>
          <w:lang w:val="en-US"/>
        </w:rPr>
        <w:t xml:space="preserve">the obligation </w:t>
      </w:r>
      <w:r w:rsidR="00591C7D" w:rsidRPr="008A3740">
        <w:rPr>
          <w:rFonts w:ascii="Verdana" w:hAnsi="Verdana"/>
          <w:snapToGrid w:val="0"/>
          <w:sz w:val="20"/>
          <w:szCs w:val="20"/>
          <w:lang w:val="en-US"/>
        </w:rPr>
        <w:t>to respect rights, but also to</w:t>
      </w:r>
      <w:r w:rsidR="00B17691" w:rsidRPr="008A3740">
        <w:rPr>
          <w:rFonts w:ascii="Verdana" w:hAnsi="Verdana"/>
          <w:snapToGrid w:val="0"/>
          <w:sz w:val="20"/>
          <w:szCs w:val="20"/>
          <w:lang w:val="en-US"/>
        </w:rPr>
        <w:t xml:space="preserve"> ensure that rights are respected</w:t>
      </w:r>
      <w:r w:rsidR="009206AB" w:rsidRPr="008A3740">
        <w:rPr>
          <w:rFonts w:ascii="Verdana" w:hAnsi="Verdana"/>
          <w:snapToGrid w:val="0"/>
          <w:sz w:val="20"/>
          <w:szCs w:val="20"/>
          <w:lang w:val="en-US"/>
        </w:rPr>
        <w:t xml:space="preserve">. Therefore, </w:t>
      </w:r>
      <w:r w:rsidR="001446B2" w:rsidRPr="008A3740">
        <w:rPr>
          <w:rFonts w:ascii="Verdana" w:hAnsi="Verdana"/>
          <w:snapToGrid w:val="0"/>
          <w:sz w:val="20"/>
          <w:szCs w:val="20"/>
          <w:lang w:val="en-US"/>
        </w:rPr>
        <w:t xml:space="preserve">even </w:t>
      </w:r>
      <w:r w:rsidR="009D1785" w:rsidRPr="008A3740">
        <w:rPr>
          <w:rFonts w:ascii="Verdana" w:hAnsi="Verdana"/>
          <w:snapToGrid w:val="0"/>
          <w:sz w:val="20"/>
          <w:szCs w:val="20"/>
          <w:lang w:val="en-US"/>
        </w:rPr>
        <w:t xml:space="preserve">on the assumption that </w:t>
      </w:r>
      <w:r w:rsidRPr="008A3740">
        <w:rPr>
          <w:rFonts w:ascii="Verdana" w:hAnsi="Verdana"/>
          <w:snapToGrid w:val="0"/>
          <w:sz w:val="20"/>
          <w:szCs w:val="20"/>
          <w:lang w:val="en-US"/>
        </w:rPr>
        <w:t xml:space="preserve">a private </w:t>
      </w:r>
      <w:r w:rsidR="00CD2F5B" w:rsidRPr="008A3740">
        <w:rPr>
          <w:rFonts w:ascii="Verdana" w:hAnsi="Verdana"/>
          <w:snapToGrid w:val="0"/>
          <w:sz w:val="20"/>
          <w:szCs w:val="20"/>
          <w:lang w:val="en-US"/>
        </w:rPr>
        <w:t>entity would be</w:t>
      </w:r>
      <w:r w:rsidR="00FE4D96"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responsible </w:t>
      </w:r>
      <w:r w:rsidR="009D1785" w:rsidRPr="008A3740">
        <w:rPr>
          <w:rFonts w:ascii="Verdana" w:hAnsi="Verdana"/>
          <w:snapToGrid w:val="0"/>
          <w:sz w:val="20"/>
          <w:szCs w:val="20"/>
          <w:lang w:val="en-US"/>
        </w:rPr>
        <w:t xml:space="preserve">for paying </w:t>
      </w:r>
      <w:r w:rsidRPr="008A3740">
        <w:rPr>
          <w:rFonts w:ascii="Verdana" w:hAnsi="Verdana"/>
          <w:snapToGrid w:val="0"/>
          <w:sz w:val="20"/>
          <w:szCs w:val="20"/>
          <w:lang w:val="en-US"/>
        </w:rPr>
        <w:t>Mr. Muelle</w:t>
      </w:r>
      <w:r w:rsidR="009D1785" w:rsidRPr="008A3740">
        <w:rPr>
          <w:rFonts w:ascii="Verdana" w:hAnsi="Verdana"/>
          <w:snapToGrid w:val="0"/>
          <w:sz w:val="20"/>
          <w:szCs w:val="20"/>
          <w:lang w:val="en-US"/>
        </w:rPr>
        <w:t>’s pension</w:t>
      </w:r>
      <w:r w:rsidRPr="008A3740">
        <w:rPr>
          <w:rFonts w:ascii="Verdana" w:hAnsi="Verdana"/>
          <w:snapToGrid w:val="0"/>
          <w:sz w:val="20"/>
          <w:szCs w:val="20"/>
          <w:lang w:val="en-US"/>
        </w:rPr>
        <w:t xml:space="preserve">, the State </w:t>
      </w:r>
      <w:r w:rsidR="009D1785" w:rsidRPr="008A3740">
        <w:rPr>
          <w:rFonts w:ascii="Verdana" w:hAnsi="Verdana"/>
          <w:snapToGrid w:val="0"/>
          <w:sz w:val="20"/>
          <w:szCs w:val="20"/>
          <w:lang w:val="en-US"/>
        </w:rPr>
        <w:t xml:space="preserve">had </w:t>
      </w:r>
      <w:r w:rsidRPr="008A3740">
        <w:rPr>
          <w:rFonts w:ascii="Verdana" w:hAnsi="Verdana"/>
          <w:snapToGrid w:val="0"/>
          <w:sz w:val="20"/>
          <w:szCs w:val="20"/>
          <w:lang w:val="en-US"/>
        </w:rPr>
        <w:t xml:space="preserve">the obligation </w:t>
      </w:r>
      <w:r w:rsidR="00591C7D" w:rsidRPr="008A3740">
        <w:rPr>
          <w:rFonts w:ascii="Verdana" w:hAnsi="Verdana"/>
          <w:snapToGrid w:val="0"/>
          <w:sz w:val="20"/>
          <w:szCs w:val="20"/>
          <w:lang w:val="en-US"/>
        </w:rPr>
        <w:t xml:space="preserve">to ensure that </w:t>
      </w:r>
      <w:r w:rsidRPr="008A3740">
        <w:rPr>
          <w:rFonts w:ascii="Verdana" w:hAnsi="Verdana"/>
          <w:snapToGrid w:val="0"/>
          <w:sz w:val="20"/>
          <w:szCs w:val="20"/>
          <w:lang w:val="en-US"/>
        </w:rPr>
        <w:t xml:space="preserve">his pension </w:t>
      </w:r>
      <w:r w:rsidR="00B17691" w:rsidRPr="008A3740">
        <w:rPr>
          <w:rFonts w:ascii="Verdana" w:hAnsi="Verdana"/>
          <w:snapToGrid w:val="0"/>
          <w:sz w:val="20"/>
          <w:szCs w:val="20"/>
          <w:lang w:val="en-US"/>
        </w:rPr>
        <w:t xml:space="preserve">was </w:t>
      </w:r>
      <w:r w:rsidR="00CD2F5B" w:rsidRPr="008A3740">
        <w:rPr>
          <w:rFonts w:ascii="Verdana" w:hAnsi="Verdana"/>
          <w:snapToGrid w:val="0"/>
          <w:sz w:val="20"/>
          <w:szCs w:val="20"/>
          <w:lang w:val="en-US"/>
        </w:rPr>
        <w:t>paid</w:t>
      </w:r>
      <w:r w:rsidR="00591C7D" w:rsidRPr="008A3740">
        <w:rPr>
          <w:rFonts w:ascii="Verdana" w:hAnsi="Verdana"/>
          <w:snapToGrid w:val="0"/>
          <w:sz w:val="20"/>
          <w:szCs w:val="20"/>
          <w:lang w:val="en-US"/>
        </w:rPr>
        <w:t>.</w:t>
      </w:r>
      <w:r w:rsidRPr="008A3740">
        <w:rPr>
          <w:rStyle w:val="Refdenotaalpie"/>
          <w:snapToGrid w:val="0"/>
          <w:szCs w:val="20"/>
          <w:lang w:val="en-US"/>
        </w:rPr>
        <w:footnoteReference w:id="149"/>
      </w:r>
    </w:p>
    <w:p w14:paraId="6AB87709" w14:textId="77777777" w:rsidR="008E6A56" w:rsidRPr="008A3740" w:rsidRDefault="008E6A56" w:rsidP="008E6A56">
      <w:pPr>
        <w:widowControl/>
        <w:tabs>
          <w:tab w:val="left" w:pos="567"/>
          <w:tab w:val="left" w:pos="720"/>
        </w:tabs>
        <w:adjustRightInd/>
        <w:textAlignment w:val="auto"/>
        <w:rPr>
          <w:rFonts w:ascii="Verdana" w:hAnsi="Verdana"/>
          <w:b/>
          <w:snapToGrid w:val="0"/>
          <w:sz w:val="20"/>
          <w:szCs w:val="20"/>
          <w:lang w:val="en-US"/>
        </w:rPr>
      </w:pPr>
    </w:p>
    <w:bookmarkEnd w:id="98"/>
    <w:p w14:paraId="41BB7407" w14:textId="77777777" w:rsidR="008E6A56" w:rsidRPr="008A3740" w:rsidRDefault="00CD2F5B"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In addition</w:t>
      </w:r>
      <w:r w:rsidR="008E6A56" w:rsidRPr="008A3740">
        <w:rPr>
          <w:rFonts w:ascii="Verdana" w:hAnsi="Verdana"/>
          <w:snapToGrid w:val="0"/>
          <w:sz w:val="20"/>
          <w:szCs w:val="20"/>
          <w:lang w:val="en-US"/>
        </w:rPr>
        <w:t xml:space="preserve">, </w:t>
      </w:r>
      <w:r w:rsidR="0047717A" w:rsidRPr="008A3740">
        <w:rPr>
          <w:rFonts w:ascii="Verdana" w:hAnsi="Verdana"/>
          <w:snapToGrid w:val="0"/>
          <w:sz w:val="20"/>
          <w:szCs w:val="20"/>
          <w:lang w:val="en-US"/>
        </w:rPr>
        <w:t xml:space="preserve">according to </w:t>
      </w:r>
      <w:r w:rsidR="008E6A56" w:rsidRPr="008A3740">
        <w:rPr>
          <w:rFonts w:ascii="Verdana" w:hAnsi="Verdana"/>
          <w:snapToGrid w:val="0"/>
          <w:sz w:val="20"/>
          <w:szCs w:val="20"/>
          <w:lang w:val="en-US"/>
        </w:rPr>
        <w:t xml:space="preserve">the facts of the case, the </w:t>
      </w:r>
      <w:r w:rsidR="0047717A" w:rsidRPr="008A3740">
        <w:rPr>
          <w:rFonts w:ascii="Verdana" w:hAnsi="Verdana"/>
          <w:snapToGrid w:val="0"/>
          <w:sz w:val="20"/>
          <w:szCs w:val="20"/>
          <w:lang w:val="en-US"/>
        </w:rPr>
        <w:t xml:space="preserve">sale </w:t>
      </w:r>
      <w:r w:rsidR="008E6A56" w:rsidRPr="008A3740">
        <w:rPr>
          <w:rFonts w:ascii="Verdana" w:hAnsi="Verdana"/>
          <w:snapToGrid w:val="0"/>
          <w:sz w:val="20"/>
          <w:szCs w:val="20"/>
          <w:lang w:val="en-US"/>
        </w:rPr>
        <w:t>contract between Tintaya S.A. and Magma Copper Corporation expres</w:t>
      </w:r>
      <w:r w:rsidR="00900826" w:rsidRPr="008A3740">
        <w:rPr>
          <w:rFonts w:ascii="Verdana" w:hAnsi="Verdana"/>
          <w:snapToGrid w:val="0"/>
          <w:sz w:val="20"/>
          <w:szCs w:val="20"/>
          <w:lang w:val="en-US"/>
        </w:rPr>
        <w:t xml:space="preserve">sly </w:t>
      </w:r>
      <w:r w:rsidRPr="008A3740">
        <w:rPr>
          <w:rFonts w:ascii="Verdana" w:hAnsi="Verdana"/>
          <w:snapToGrid w:val="0"/>
          <w:sz w:val="20"/>
          <w:szCs w:val="20"/>
          <w:lang w:val="en-US"/>
        </w:rPr>
        <w:t xml:space="preserve">stated </w:t>
      </w:r>
      <w:r w:rsidR="008E6A56" w:rsidRPr="008A3740">
        <w:rPr>
          <w:rFonts w:ascii="Verdana" w:hAnsi="Verdana"/>
          <w:snapToGrid w:val="0"/>
          <w:sz w:val="20"/>
          <w:szCs w:val="20"/>
          <w:lang w:val="en-US"/>
        </w:rPr>
        <w:t>that Tintaya S.A.</w:t>
      </w:r>
      <w:r w:rsidR="008E6A56" w:rsidRPr="008A3740">
        <w:rPr>
          <w:rFonts w:ascii="Verdana" w:hAnsi="Verdana"/>
          <w:sz w:val="20"/>
          <w:szCs w:val="20"/>
          <w:lang w:val="en-US"/>
        </w:rPr>
        <w:t xml:space="preserve"> </w:t>
      </w:r>
      <w:r w:rsidR="0047717A" w:rsidRPr="008A3740">
        <w:rPr>
          <w:rFonts w:ascii="Verdana" w:hAnsi="Verdana"/>
          <w:sz w:val="20"/>
          <w:szCs w:val="20"/>
          <w:lang w:val="en-US"/>
        </w:rPr>
        <w:t>had no retirees or</w:t>
      </w:r>
      <w:r w:rsidR="008E6A56" w:rsidRPr="008A3740">
        <w:rPr>
          <w:rFonts w:ascii="Verdana" w:hAnsi="Verdana"/>
          <w:sz w:val="20"/>
          <w:szCs w:val="20"/>
          <w:lang w:val="en-US"/>
        </w:rPr>
        <w:t xml:space="preserve"> pensioners </w:t>
      </w:r>
      <w:r w:rsidRPr="008A3740">
        <w:rPr>
          <w:rFonts w:ascii="Verdana" w:hAnsi="Verdana"/>
          <w:sz w:val="20"/>
          <w:szCs w:val="20"/>
          <w:lang w:val="en-US"/>
        </w:rPr>
        <w:t xml:space="preserve">on the company’s account, </w:t>
      </w:r>
      <w:r w:rsidR="0047717A" w:rsidRPr="008A3740">
        <w:rPr>
          <w:rFonts w:ascii="Verdana" w:hAnsi="Verdana"/>
          <w:sz w:val="20"/>
          <w:szCs w:val="20"/>
          <w:lang w:val="en-US"/>
        </w:rPr>
        <w:t xml:space="preserve">although </w:t>
      </w:r>
      <w:r w:rsidRPr="008A3740">
        <w:rPr>
          <w:rFonts w:ascii="Verdana" w:hAnsi="Verdana"/>
          <w:sz w:val="20"/>
          <w:szCs w:val="20"/>
          <w:lang w:val="en-US"/>
        </w:rPr>
        <w:t xml:space="preserve">it did refer to </w:t>
      </w:r>
      <w:r w:rsidR="009D1785" w:rsidRPr="008A3740">
        <w:rPr>
          <w:rFonts w:ascii="Verdana" w:hAnsi="Verdana"/>
          <w:sz w:val="20"/>
          <w:szCs w:val="20"/>
          <w:lang w:val="en-US"/>
        </w:rPr>
        <w:t>litigation</w:t>
      </w:r>
      <w:r w:rsidR="008E6A56" w:rsidRPr="008A3740">
        <w:rPr>
          <w:rFonts w:ascii="Verdana" w:hAnsi="Verdana"/>
          <w:sz w:val="20"/>
          <w:szCs w:val="20"/>
          <w:lang w:val="en-US"/>
        </w:rPr>
        <w:t xml:space="preserve"> </w:t>
      </w:r>
      <w:r w:rsidRPr="008A3740">
        <w:rPr>
          <w:rFonts w:ascii="Verdana" w:hAnsi="Verdana"/>
          <w:sz w:val="20"/>
          <w:szCs w:val="20"/>
          <w:lang w:val="en-US"/>
        </w:rPr>
        <w:t xml:space="preserve">involving </w:t>
      </w:r>
      <w:r w:rsidR="008E6A56" w:rsidRPr="008A3740">
        <w:rPr>
          <w:rFonts w:ascii="Verdana" w:hAnsi="Verdana"/>
          <w:sz w:val="20"/>
          <w:szCs w:val="20"/>
          <w:lang w:val="en-US"/>
        </w:rPr>
        <w:t xml:space="preserve">two </w:t>
      </w:r>
      <w:r w:rsidRPr="008A3740">
        <w:rPr>
          <w:rFonts w:ascii="Verdana" w:hAnsi="Verdana"/>
          <w:sz w:val="20"/>
          <w:szCs w:val="20"/>
          <w:lang w:val="en-US"/>
        </w:rPr>
        <w:t xml:space="preserve">company </w:t>
      </w:r>
      <w:r w:rsidR="001659CD" w:rsidRPr="008A3740">
        <w:rPr>
          <w:rFonts w:ascii="Verdana" w:hAnsi="Verdana"/>
          <w:sz w:val="20"/>
          <w:szCs w:val="20"/>
          <w:lang w:val="en-US"/>
        </w:rPr>
        <w:t>officials</w:t>
      </w:r>
      <w:r w:rsidR="008E6A56" w:rsidRPr="008A3740">
        <w:rPr>
          <w:rFonts w:ascii="Verdana" w:hAnsi="Verdana"/>
          <w:sz w:val="20"/>
          <w:szCs w:val="20"/>
          <w:lang w:val="en-US"/>
        </w:rPr>
        <w:t xml:space="preserve">. The contract also </w:t>
      </w:r>
      <w:r w:rsidRPr="008A3740">
        <w:rPr>
          <w:rFonts w:ascii="Verdana" w:hAnsi="Verdana"/>
          <w:sz w:val="20"/>
          <w:szCs w:val="20"/>
          <w:lang w:val="en-US"/>
        </w:rPr>
        <w:t xml:space="preserve">stipulated </w:t>
      </w:r>
      <w:r w:rsidR="00F340F1" w:rsidRPr="008A3740">
        <w:rPr>
          <w:rFonts w:ascii="Verdana" w:hAnsi="Verdana"/>
          <w:sz w:val="20"/>
          <w:szCs w:val="20"/>
          <w:lang w:val="en-US"/>
        </w:rPr>
        <w:t xml:space="preserve">that, </w:t>
      </w:r>
      <w:r w:rsidR="008E6A56" w:rsidRPr="008A3740">
        <w:rPr>
          <w:rFonts w:ascii="Verdana" w:hAnsi="Verdana"/>
          <w:sz w:val="20"/>
          <w:szCs w:val="20"/>
          <w:lang w:val="en-US"/>
        </w:rPr>
        <w:t>“</w:t>
      </w:r>
      <w:r w:rsidR="00F340F1" w:rsidRPr="008A3740">
        <w:rPr>
          <w:rFonts w:ascii="Verdana" w:hAnsi="Verdana"/>
          <w:sz w:val="20"/>
          <w:szCs w:val="20"/>
          <w:lang w:val="en-US"/>
        </w:rPr>
        <w:t xml:space="preserve">if any </w:t>
      </w:r>
      <w:r w:rsidR="001446B2" w:rsidRPr="008A3740">
        <w:rPr>
          <w:rFonts w:ascii="Verdana" w:hAnsi="Verdana"/>
          <w:sz w:val="20"/>
          <w:szCs w:val="20"/>
          <w:lang w:val="en-US"/>
        </w:rPr>
        <w:t xml:space="preserve">unregistered </w:t>
      </w:r>
      <w:r w:rsidR="008E6A56" w:rsidRPr="008A3740">
        <w:rPr>
          <w:rFonts w:ascii="Verdana" w:hAnsi="Verdana"/>
          <w:sz w:val="20"/>
          <w:szCs w:val="20"/>
          <w:lang w:val="en-US"/>
        </w:rPr>
        <w:t>liabilities or contingencies</w:t>
      </w:r>
      <w:r w:rsidR="00F340F1" w:rsidRPr="008A3740">
        <w:rPr>
          <w:rFonts w:ascii="Verdana" w:hAnsi="Verdana"/>
          <w:sz w:val="20"/>
          <w:szCs w:val="20"/>
          <w:lang w:val="en-US"/>
        </w:rPr>
        <w:t xml:space="preserve"> should arise</w:t>
      </w:r>
      <w:r w:rsidR="008E6A56" w:rsidRPr="008A3740">
        <w:rPr>
          <w:rFonts w:ascii="Verdana" w:hAnsi="Verdana"/>
          <w:sz w:val="20"/>
          <w:szCs w:val="20"/>
          <w:lang w:val="en-US"/>
        </w:rPr>
        <w:t>, derived from facts pr</w:t>
      </w:r>
      <w:r w:rsidR="00F340F1" w:rsidRPr="008A3740">
        <w:rPr>
          <w:rFonts w:ascii="Verdana" w:hAnsi="Verdana"/>
          <w:sz w:val="20"/>
          <w:szCs w:val="20"/>
          <w:lang w:val="en-US"/>
        </w:rPr>
        <w:t xml:space="preserve">ior </w:t>
      </w:r>
      <w:r w:rsidR="001446B2" w:rsidRPr="008A3740">
        <w:rPr>
          <w:rFonts w:ascii="Verdana" w:hAnsi="Verdana"/>
          <w:sz w:val="20"/>
          <w:szCs w:val="20"/>
          <w:lang w:val="en-US"/>
        </w:rPr>
        <w:t xml:space="preserve">to the closing date </w:t>
      </w:r>
      <w:r w:rsidR="008E6A56" w:rsidRPr="008A3740">
        <w:rPr>
          <w:rFonts w:ascii="Verdana" w:hAnsi="Verdana"/>
          <w:sz w:val="20"/>
          <w:szCs w:val="20"/>
          <w:lang w:val="en-US"/>
        </w:rPr>
        <w:t xml:space="preserve">[November 29, 1994], </w:t>
      </w:r>
      <w:r w:rsidR="001659CD" w:rsidRPr="008A3740">
        <w:rPr>
          <w:rFonts w:ascii="Verdana" w:hAnsi="Verdana"/>
          <w:sz w:val="20"/>
          <w:szCs w:val="20"/>
          <w:lang w:val="en-US"/>
        </w:rPr>
        <w:t>these “[would] be</w:t>
      </w:r>
      <w:r w:rsidR="008E6A56" w:rsidRPr="008A3740">
        <w:rPr>
          <w:rFonts w:ascii="Verdana" w:hAnsi="Verdana"/>
          <w:sz w:val="20"/>
          <w:szCs w:val="20"/>
          <w:lang w:val="en-US"/>
        </w:rPr>
        <w:t xml:space="preserve"> </w:t>
      </w:r>
      <w:r w:rsidR="00713A8B" w:rsidRPr="008A3740">
        <w:rPr>
          <w:rFonts w:ascii="Verdana" w:hAnsi="Verdana"/>
          <w:sz w:val="20"/>
          <w:szCs w:val="20"/>
          <w:lang w:val="en-US"/>
        </w:rPr>
        <w:t>assumed by the ven</w:t>
      </w:r>
      <w:r w:rsidR="008E6A56" w:rsidRPr="008A3740">
        <w:rPr>
          <w:rFonts w:ascii="Verdana" w:hAnsi="Verdana"/>
          <w:sz w:val="20"/>
          <w:szCs w:val="20"/>
          <w:lang w:val="en-US"/>
        </w:rPr>
        <w:t>dor […]” (</w:t>
      </w:r>
      <w:r w:rsidR="008E6A56" w:rsidRPr="008A3740">
        <w:rPr>
          <w:rFonts w:ascii="Verdana" w:hAnsi="Verdana"/>
          <w:i/>
          <w:sz w:val="20"/>
          <w:szCs w:val="20"/>
          <w:lang w:val="en-US"/>
        </w:rPr>
        <w:t>supra</w:t>
      </w:r>
      <w:r w:rsidR="008E6A56" w:rsidRPr="008A3740">
        <w:rPr>
          <w:rFonts w:ascii="Verdana" w:hAnsi="Verdana"/>
          <w:sz w:val="20"/>
          <w:szCs w:val="20"/>
          <w:lang w:val="en-US"/>
        </w:rPr>
        <w:t xml:space="preserve"> paras. 59). </w:t>
      </w:r>
      <w:r w:rsidR="001446B2" w:rsidRPr="008A3740">
        <w:rPr>
          <w:rFonts w:ascii="Verdana" w:hAnsi="Verdana"/>
          <w:sz w:val="20"/>
          <w:szCs w:val="20"/>
          <w:lang w:val="en-US"/>
        </w:rPr>
        <w:t xml:space="preserve">The </w:t>
      </w:r>
      <w:r w:rsidR="00FD7F9A" w:rsidRPr="008A3740">
        <w:rPr>
          <w:rFonts w:ascii="Verdana" w:hAnsi="Verdana"/>
          <w:sz w:val="20"/>
          <w:szCs w:val="20"/>
          <w:lang w:val="en-US"/>
        </w:rPr>
        <w:t>State never assumed these liabilities</w:t>
      </w:r>
      <w:r w:rsidR="008E6A56" w:rsidRPr="008A3740">
        <w:rPr>
          <w:rFonts w:ascii="Verdana" w:hAnsi="Verdana"/>
          <w:sz w:val="20"/>
          <w:szCs w:val="20"/>
          <w:lang w:val="en-US"/>
        </w:rPr>
        <w:t xml:space="preserve"> </w:t>
      </w:r>
      <w:r w:rsidR="001659CD" w:rsidRPr="008A3740">
        <w:rPr>
          <w:rFonts w:ascii="Verdana" w:hAnsi="Verdana"/>
          <w:sz w:val="20"/>
          <w:szCs w:val="20"/>
          <w:lang w:val="en-US"/>
        </w:rPr>
        <w:t>but</w:t>
      </w:r>
      <w:r w:rsidR="00FD7F9A" w:rsidRPr="008A3740">
        <w:rPr>
          <w:rFonts w:ascii="Verdana" w:hAnsi="Verdana"/>
          <w:sz w:val="20"/>
          <w:szCs w:val="20"/>
          <w:lang w:val="en-US"/>
        </w:rPr>
        <w:t>,</w:t>
      </w:r>
      <w:r w:rsidR="001659CD" w:rsidRPr="008A3740">
        <w:rPr>
          <w:rFonts w:ascii="Verdana" w:hAnsi="Verdana"/>
          <w:sz w:val="20"/>
          <w:szCs w:val="20"/>
          <w:lang w:val="en-US"/>
        </w:rPr>
        <w:t xml:space="preserve"> on the </w:t>
      </w:r>
      <w:r w:rsidR="008E6A56" w:rsidRPr="008A3740">
        <w:rPr>
          <w:rFonts w:ascii="Verdana" w:hAnsi="Verdana"/>
          <w:snapToGrid w:val="0"/>
          <w:sz w:val="20"/>
          <w:szCs w:val="20"/>
          <w:lang w:val="en-US"/>
        </w:rPr>
        <w:t xml:space="preserve">contrary, used the uncertainty </w:t>
      </w:r>
      <w:r w:rsidR="00FD7F9A" w:rsidRPr="008A3740">
        <w:rPr>
          <w:rFonts w:ascii="Verdana" w:hAnsi="Verdana"/>
          <w:snapToGrid w:val="0"/>
          <w:sz w:val="20"/>
          <w:szCs w:val="20"/>
          <w:lang w:val="en-US"/>
        </w:rPr>
        <w:t xml:space="preserve">it had </w:t>
      </w:r>
      <w:r w:rsidR="008E6A56" w:rsidRPr="008A3740">
        <w:rPr>
          <w:rFonts w:ascii="Verdana" w:hAnsi="Verdana"/>
          <w:snapToGrid w:val="0"/>
          <w:sz w:val="20"/>
          <w:szCs w:val="20"/>
          <w:lang w:val="en-US"/>
        </w:rPr>
        <w:t xml:space="preserve">created to </w:t>
      </w:r>
      <w:r w:rsidR="00FD7F9A" w:rsidRPr="008A3740">
        <w:rPr>
          <w:rFonts w:ascii="Verdana" w:hAnsi="Verdana"/>
          <w:snapToGrid w:val="0"/>
          <w:sz w:val="20"/>
          <w:szCs w:val="20"/>
          <w:lang w:val="en-US"/>
        </w:rPr>
        <w:t xml:space="preserve">disregard </w:t>
      </w:r>
      <w:r w:rsidR="008E6A56" w:rsidRPr="008A3740">
        <w:rPr>
          <w:rFonts w:ascii="Verdana" w:hAnsi="Verdana"/>
          <w:snapToGrid w:val="0"/>
          <w:sz w:val="20"/>
          <w:szCs w:val="20"/>
          <w:lang w:val="en-US"/>
        </w:rPr>
        <w:t>a legitimately acquired</w:t>
      </w:r>
      <w:r w:rsidR="00FD7F9A" w:rsidRPr="008A3740">
        <w:rPr>
          <w:rFonts w:ascii="Verdana" w:hAnsi="Verdana"/>
          <w:snapToGrid w:val="0"/>
          <w:sz w:val="20"/>
          <w:szCs w:val="20"/>
          <w:lang w:val="en-US"/>
        </w:rPr>
        <w:t xml:space="preserve"> and judicially confirmed</w:t>
      </w:r>
      <w:r w:rsidR="008E6A56" w:rsidRPr="008A3740">
        <w:rPr>
          <w:rFonts w:ascii="Verdana" w:hAnsi="Verdana"/>
          <w:snapToGrid w:val="0"/>
          <w:sz w:val="20"/>
          <w:szCs w:val="20"/>
          <w:lang w:val="en-US"/>
        </w:rPr>
        <w:t xml:space="preserve"> right to a pension, </w:t>
      </w:r>
      <w:r w:rsidR="00FD7F9A" w:rsidRPr="008A3740">
        <w:rPr>
          <w:rFonts w:ascii="Verdana" w:hAnsi="Verdana"/>
          <w:snapToGrid w:val="0"/>
          <w:sz w:val="20"/>
          <w:szCs w:val="20"/>
          <w:lang w:val="en-US"/>
        </w:rPr>
        <w:t xml:space="preserve">arguing that </w:t>
      </w:r>
      <w:r w:rsidR="008E6A56" w:rsidRPr="008A3740">
        <w:rPr>
          <w:rFonts w:ascii="Verdana" w:hAnsi="Verdana"/>
          <w:snapToGrid w:val="0"/>
          <w:sz w:val="20"/>
          <w:szCs w:val="20"/>
          <w:lang w:val="en-US"/>
        </w:rPr>
        <w:t>the ju</w:t>
      </w:r>
      <w:r w:rsidR="001659CD" w:rsidRPr="008A3740">
        <w:rPr>
          <w:rFonts w:ascii="Verdana" w:hAnsi="Verdana"/>
          <w:snapToGrid w:val="0"/>
          <w:sz w:val="20"/>
          <w:szCs w:val="20"/>
          <w:lang w:val="en-US"/>
        </w:rPr>
        <w:t>d</w:t>
      </w:r>
      <w:r w:rsidR="00FD7F9A" w:rsidRPr="008A3740">
        <w:rPr>
          <w:rFonts w:ascii="Verdana" w:hAnsi="Verdana"/>
          <w:snapToGrid w:val="0"/>
          <w:sz w:val="20"/>
          <w:szCs w:val="20"/>
          <w:lang w:val="en-US"/>
        </w:rPr>
        <w:t>icial ruling</w:t>
      </w:r>
      <w:r w:rsidR="00FC74FE" w:rsidRPr="008A3740">
        <w:rPr>
          <w:rFonts w:ascii="Verdana" w:hAnsi="Verdana"/>
          <w:snapToGrid w:val="0"/>
          <w:sz w:val="20"/>
          <w:szCs w:val="20"/>
          <w:lang w:val="en-US"/>
        </w:rPr>
        <w:t xml:space="preserve">s and </w:t>
      </w:r>
      <w:r w:rsidR="00FD7F9A" w:rsidRPr="008A3740">
        <w:rPr>
          <w:rFonts w:ascii="Verdana" w:hAnsi="Verdana"/>
          <w:snapToGrid w:val="0"/>
          <w:sz w:val="20"/>
          <w:szCs w:val="20"/>
          <w:lang w:val="en-US"/>
        </w:rPr>
        <w:t xml:space="preserve">proceedings </w:t>
      </w:r>
      <w:r w:rsidR="00B53299" w:rsidRPr="008A3740">
        <w:rPr>
          <w:rFonts w:ascii="Verdana" w:hAnsi="Verdana"/>
          <w:snapToGrid w:val="0"/>
          <w:sz w:val="20"/>
          <w:szCs w:val="20"/>
          <w:lang w:val="en-US"/>
        </w:rPr>
        <w:t xml:space="preserve">were aimed at </w:t>
      </w:r>
      <w:r w:rsidR="008E6A56" w:rsidRPr="008A3740">
        <w:rPr>
          <w:rFonts w:ascii="Verdana" w:hAnsi="Verdana"/>
          <w:snapToGrid w:val="0"/>
          <w:sz w:val="20"/>
          <w:szCs w:val="20"/>
          <w:lang w:val="en-US"/>
        </w:rPr>
        <w:t xml:space="preserve">ensuring </w:t>
      </w:r>
      <w:r w:rsidR="00FD7F9A" w:rsidRPr="008A3740">
        <w:rPr>
          <w:rFonts w:ascii="Verdana" w:hAnsi="Verdana"/>
          <w:snapToGrid w:val="0"/>
          <w:sz w:val="20"/>
          <w:szCs w:val="20"/>
          <w:lang w:val="en-US"/>
        </w:rPr>
        <w:t xml:space="preserve">that the private company </w:t>
      </w:r>
      <w:r w:rsidR="008E6A56" w:rsidRPr="008A3740">
        <w:rPr>
          <w:rFonts w:ascii="Verdana" w:hAnsi="Verdana"/>
          <w:snapToGrid w:val="0"/>
          <w:sz w:val="20"/>
          <w:szCs w:val="20"/>
          <w:lang w:val="en-US"/>
        </w:rPr>
        <w:t>compli</w:t>
      </w:r>
      <w:r w:rsidR="00FD7F9A" w:rsidRPr="008A3740">
        <w:rPr>
          <w:rFonts w:ascii="Verdana" w:hAnsi="Verdana"/>
          <w:snapToGrid w:val="0"/>
          <w:sz w:val="20"/>
          <w:szCs w:val="20"/>
          <w:lang w:val="en-US"/>
        </w:rPr>
        <w:t xml:space="preserve">ed </w:t>
      </w:r>
      <w:r w:rsidR="008E6A56" w:rsidRPr="008A3740">
        <w:rPr>
          <w:rFonts w:ascii="Verdana" w:hAnsi="Verdana"/>
          <w:snapToGrid w:val="0"/>
          <w:sz w:val="20"/>
          <w:szCs w:val="20"/>
          <w:lang w:val="en-US"/>
        </w:rPr>
        <w:t xml:space="preserve">with the </w:t>
      </w:r>
      <w:r w:rsidR="00FC74FE" w:rsidRPr="008A3740">
        <w:rPr>
          <w:rFonts w:ascii="Verdana" w:hAnsi="Verdana"/>
          <w:snapToGrid w:val="0"/>
          <w:sz w:val="20"/>
          <w:szCs w:val="20"/>
          <w:lang w:val="en-US"/>
        </w:rPr>
        <w:t xml:space="preserve">pension </w:t>
      </w:r>
      <w:r w:rsidR="008E6A56" w:rsidRPr="008A3740">
        <w:rPr>
          <w:rFonts w:ascii="Verdana" w:hAnsi="Verdana"/>
          <w:snapToGrid w:val="0"/>
          <w:sz w:val="20"/>
          <w:szCs w:val="20"/>
          <w:lang w:val="en-US"/>
        </w:rPr>
        <w:t>payment</w:t>
      </w:r>
      <w:r w:rsidR="00FC74FE" w:rsidRPr="008A3740">
        <w:rPr>
          <w:rFonts w:ascii="Verdana" w:hAnsi="Verdana"/>
          <w:snapToGrid w:val="0"/>
          <w:sz w:val="20"/>
          <w:szCs w:val="20"/>
          <w:lang w:val="en-US"/>
        </w:rPr>
        <w:t>s</w:t>
      </w:r>
      <w:r w:rsidR="00FD7F9A" w:rsidRPr="008A3740">
        <w:rPr>
          <w:rFonts w:ascii="Verdana" w:hAnsi="Verdana"/>
          <w:snapToGrid w:val="0"/>
          <w:sz w:val="20"/>
          <w:szCs w:val="20"/>
          <w:lang w:val="en-US"/>
        </w:rPr>
        <w:t xml:space="preserve">. </w:t>
      </w:r>
      <w:r w:rsidR="00FC74FE" w:rsidRPr="008A3740">
        <w:rPr>
          <w:rFonts w:ascii="Verdana" w:hAnsi="Verdana"/>
          <w:snapToGrid w:val="0"/>
          <w:sz w:val="20"/>
          <w:szCs w:val="20"/>
          <w:lang w:val="en-US"/>
        </w:rPr>
        <w:t xml:space="preserve">Even </w:t>
      </w:r>
      <w:r w:rsidR="008E6A56" w:rsidRPr="008A3740">
        <w:rPr>
          <w:rFonts w:ascii="Verdana" w:hAnsi="Verdana"/>
          <w:snapToGrid w:val="0"/>
          <w:sz w:val="20"/>
          <w:szCs w:val="20"/>
          <w:lang w:val="en-US"/>
        </w:rPr>
        <w:t xml:space="preserve">at the time of </w:t>
      </w:r>
      <w:r w:rsidR="008E6A56" w:rsidRPr="008A3740">
        <w:rPr>
          <w:rFonts w:ascii="Verdana" w:hAnsi="Verdana"/>
          <w:sz w:val="20"/>
          <w:szCs w:val="20"/>
          <w:lang w:val="en-US"/>
        </w:rPr>
        <w:t xml:space="preserve">the </w:t>
      </w:r>
      <w:r w:rsidR="0047717A" w:rsidRPr="008A3740">
        <w:rPr>
          <w:rFonts w:ascii="Verdana" w:hAnsi="Verdana"/>
          <w:sz w:val="20"/>
          <w:szCs w:val="20"/>
          <w:lang w:val="en-US"/>
        </w:rPr>
        <w:t>sale</w:t>
      </w:r>
      <w:r w:rsidR="00FC74FE" w:rsidRPr="008A3740">
        <w:rPr>
          <w:rFonts w:ascii="Verdana" w:hAnsi="Verdana"/>
          <w:sz w:val="20"/>
          <w:szCs w:val="20"/>
          <w:lang w:val="en-US"/>
        </w:rPr>
        <w:t>,</w:t>
      </w:r>
      <w:r w:rsidR="008E6A56" w:rsidRPr="008A3740">
        <w:rPr>
          <w:rFonts w:ascii="Verdana" w:hAnsi="Verdana"/>
          <w:sz w:val="20"/>
          <w:szCs w:val="20"/>
          <w:lang w:val="en-US"/>
        </w:rPr>
        <w:t xml:space="preserve"> </w:t>
      </w:r>
      <w:r w:rsidR="00FC74FE" w:rsidRPr="008A3740">
        <w:rPr>
          <w:rFonts w:ascii="Verdana" w:hAnsi="Verdana"/>
          <w:sz w:val="20"/>
          <w:szCs w:val="20"/>
          <w:lang w:val="en-US"/>
        </w:rPr>
        <w:t xml:space="preserve">when </w:t>
      </w:r>
      <w:r w:rsidR="008E6A56" w:rsidRPr="008A3740">
        <w:rPr>
          <w:rFonts w:ascii="Verdana" w:hAnsi="Verdana"/>
          <w:sz w:val="20"/>
          <w:szCs w:val="20"/>
          <w:lang w:val="en-US"/>
        </w:rPr>
        <w:t xml:space="preserve">the </w:t>
      </w:r>
      <w:r w:rsidR="00FD7F9A" w:rsidRPr="008A3740">
        <w:rPr>
          <w:rFonts w:ascii="Verdana" w:hAnsi="Verdana"/>
          <w:sz w:val="20"/>
          <w:szCs w:val="20"/>
          <w:lang w:val="en-US"/>
        </w:rPr>
        <w:t>contentious-</w:t>
      </w:r>
      <w:r w:rsidR="008E6A56" w:rsidRPr="008A3740">
        <w:rPr>
          <w:rFonts w:ascii="Verdana" w:hAnsi="Verdana"/>
          <w:sz w:val="20"/>
          <w:szCs w:val="20"/>
          <w:lang w:val="en-US"/>
        </w:rPr>
        <w:t xml:space="preserve">administrative process initiated by Tintaya S.A. </w:t>
      </w:r>
      <w:r w:rsidR="00FC74FE" w:rsidRPr="008A3740">
        <w:rPr>
          <w:rFonts w:ascii="Verdana" w:hAnsi="Verdana"/>
          <w:sz w:val="20"/>
          <w:szCs w:val="20"/>
          <w:lang w:val="en-US"/>
        </w:rPr>
        <w:t xml:space="preserve">to </w:t>
      </w:r>
      <w:r w:rsidR="008E6A56" w:rsidRPr="008A3740">
        <w:rPr>
          <w:rFonts w:ascii="Verdana" w:hAnsi="Verdana"/>
          <w:sz w:val="20"/>
          <w:szCs w:val="20"/>
          <w:lang w:val="en-US"/>
        </w:rPr>
        <w:t xml:space="preserve">declare the </w:t>
      </w:r>
      <w:r w:rsidR="00713A8B" w:rsidRPr="008A3740">
        <w:rPr>
          <w:rFonts w:ascii="Verdana" w:hAnsi="Verdana"/>
          <w:sz w:val="20"/>
          <w:szCs w:val="20"/>
          <w:lang w:val="en-US"/>
        </w:rPr>
        <w:t xml:space="preserve">victim’s </w:t>
      </w:r>
      <w:r w:rsidR="008E6A56" w:rsidRPr="008A3740">
        <w:rPr>
          <w:rFonts w:ascii="Verdana" w:hAnsi="Verdana"/>
          <w:sz w:val="20"/>
          <w:szCs w:val="20"/>
          <w:lang w:val="en-US"/>
        </w:rPr>
        <w:t xml:space="preserve">incorporation </w:t>
      </w:r>
      <w:r w:rsidR="00713A8B" w:rsidRPr="008A3740">
        <w:rPr>
          <w:rFonts w:ascii="Verdana" w:hAnsi="Verdana"/>
          <w:sz w:val="20"/>
          <w:szCs w:val="20"/>
          <w:lang w:val="en-US"/>
        </w:rPr>
        <w:t>into the D</w:t>
      </w:r>
      <w:r w:rsidR="008E6A56" w:rsidRPr="008A3740">
        <w:rPr>
          <w:rFonts w:ascii="Verdana" w:hAnsi="Verdana"/>
          <w:sz w:val="20"/>
          <w:szCs w:val="20"/>
          <w:lang w:val="en-US"/>
        </w:rPr>
        <w:t xml:space="preserve">ecree Law No. 205030 </w:t>
      </w:r>
      <w:r w:rsidR="00713A8B" w:rsidRPr="008A3740">
        <w:rPr>
          <w:rFonts w:ascii="Verdana" w:hAnsi="Verdana"/>
          <w:sz w:val="20"/>
          <w:szCs w:val="20"/>
          <w:lang w:val="en-US"/>
        </w:rPr>
        <w:t xml:space="preserve">system </w:t>
      </w:r>
      <w:r w:rsidR="00FC74FE" w:rsidRPr="008A3740">
        <w:rPr>
          <w:rFonts w:ascii="Verdana" w:hAnsi="Verdana"/>
          <w:sz w:val="20"/>
          <w:szCs w:val="20"/>
          <w:lang w:val="en-US"/>
        </w:rPr>
        <w:t xml:space="preserve">unlawful was under way, </w:t>
      </w:r>
      <w:r w:rsidR="008E6A56" w:rsidRPr="008A3740">
        <w:rPr>
          <w:rFonts w:ascii="Verdana" w:hAnsi="Verdana"/>
          <w:sz w:val="20"/>
          <w:szCs w:val="20"/>
          <w:lang w:val="en-US"/>
        </w:rPr>
        <w:t xml:space="preserve">the State had already been </w:t>
      </w:r>
      <w:r w:rsidR="00FD7F9A" w:rsidRPr="008A3740">
        <w:rPr>
          <w:rFonts w:ascii="Verdana" w:hAnsi="Verdana"/>
          <w:sz w:val="20"/>
          <w:szCs w:val="20"/>
          <w:lang w:val="en-US"/>
        </w:rPr>
        <w:t xml:space="preserve">legally vanquished </w:t>
      </w:r>
      <w:r w:rsidR="008E6A56" w:rsidRPr="008A3740">
        <w:rPr>
          <w:rFonts w:ascii="Verdana" w:hAnsi="Verdana"/>
          <w:sz w:val="20"/>
          <w:szCs w:val="20"/>
          <w:lang w:val="en-US"/>
        </w:rPr>
        <w:t xml:space="preserve">in the </w:t>
      </w:r>
      <w:r w:rsidR="008E6A56" w:rsidRPr="008A3740">
        <w:rPr>
          <w:rFonts w:ascii="Verdana" w:hAnsi="Verdana"/>
          <w:i/>
          <w:sz w:val="20"/>
          <w:szCs w:val="20"/>
          <w:lang w:val="en-US"/>
        </w:rPr>
        <w:t>amparo</w:t>
      </w:r>
      <w:r w:rsidR="008E6A56" w:rsidRPr="008A3740">
        <w:rPr>
          <w:rFonts w:ascii="Verdana" w:hAnsi="Verdana"/>
          <w:sz w:val="20"/>
          <w:szCs w:val="20"/>
          <w:lang w:val="en-US"/>
        </w:rPr>
        <w:t xml:space="preserve"> </w:t>
      </w:r>
      <w:r w:rsidR="00FC74FE" w:rsidRPr="008A3740">
        <w:rPr>
          <w:rFonts w:ascii="Verdana" w:hAnsi="Verdana"/>
          <w:sz w:val="20"/>
          <w:szCs w:val="20"/>
          <w:lang w:val="en-US"/>
        </w:rPr>
        <w:t xml:space="preserve">ruling </w:t>
      </w:r>
      <w:r w:rsidR="00B53299" w:rsidRPr="008A3740">
        <w:rPr>
          <w:rFonts w:ascii="Verdana" w:hAnsi="Verdana"/>
          <w:sz w:val="20"/>
          <w:szCs w:val="20"/>
          <w:lang w:val="en-US"/>
        </w:rPr>
        <w:t xml:space="preserve">of </w:t>
      </w:r>
      <w:r w:rsidR="008E6A56" w:rsidRPr="008A3740">
        <w:rPr>
          <w:rFonts w:ascii="Verdana" w:hAnsi="Verdana"/>
          <w:sz w:val="20"/>
          <w:szCs w:val="20"/>
          <w:lang w:val="en-US"/>
        </w:rPr>
        <w:t xml:space="preserve">1993. </w:t>
      </w:r>
      <w:r w:rsidR="00FC74FE" w:rsidRPr="008A3740">
        <w:rPr>
          <w:rFonts w:ascii="Verdana" w:hAnsi="Verdana"/>
          <w:sz w:val="20"/>
          <w:szCs w:val="20"/>
          <w:lang w:val="en-US"/>
        </w:rPr>
        <w:t xml:space="preserve">Nor were the pension payments made </w:t>
      </w:r>
      <w:r w:rsidR="008E6A56" w:rsidRPr="008A3740">
        <w:rPr>
          <w:rFonts w:ascii="Verdana" w:hAnsi="Verdana"/>
          <w:sz w:val="20"/>
          <w:szCs w:val="20"/>
          <w:lang w:val="en-US"/>
        </w:rPr>
        <w:t xml:space="preserve">after the </w:t>
      </w:r>
      <w:r w:rsidR="00FC74FE" w:rsidRPr="008A3740">
        <w:rPr>
          <w:rFonts w:ascii="Verdana" w:hAnsi="Verdana"/>
          <w:sz w:val="20"/>
          <w:szCs w:val="20"/>
          <w:lang w:val="en-US"/>
        </w:rPr>
        <w:t>contentious-</w:t>
      </w:r>
      <w:r w:rsidR="008E6A56" w:rsidRPr="008A3740">
        <w:rPr>
          <w:rFonts w:ascii="Verdana" w:hAnsi="Verdana"/>
          <w:sz w:val="20"/>
          <w:szCs w:val="20"/>
          <w:lang w:val="en-US"/>
        </w:rPr>
        <w:t xml:space="preserve">administrative </w:t>
      </w:r>
      <w:r w:rsidR="00B53299" w:rsidRPr="008A3740">
        <w:rPr>
          <w:rFonts w:ascii="Verdana" w:hAnsi="Verdana"/>
          <w:sz w:val="20"/>
          <w:szCs w:val="20"/>
          <w:lang w:val="en-US"/>
        </w:rPr>
        <w:t xml:space="preserve">process </w:t>
      </w:r>
      <w:r w:rsidR="008E6A56" w:rsidRPr="008A3740">
        <w:rPr>
          <w:rFonts w:ascii="Verdana" w:hAnsi="Verdana"/>
          <w:sz w:val="20"/>
          <w:szCs w:val="20"/>
          <w:lang w:val="en-US"/>
        </w:rPr>
        <w:t xml:space="preserve">concluded in favor of Mr. Muelle Flores, </w:t>
      </w:r>
      <w:r w:rsidR="00713A8B" w:rsidRPr="008A3740">
        <w:rPr>
          <w:rFonts w:ascii="Verdana" w:hAnsi="Verdana"/>
          <w:sz w:val="20"/>
          <w:szCs w:val="20"/>
          <w:lang w:val="en-US"/>
        </w:rPr>
        <w:t xml:space="preserve">or </w:t>
      </w:r>
      <w:r w:rsidR="008E6A56" w:rsidRPr="008A3740">
        <w:rPr>
          <w:rFonts w:ascii="Verdana" w:hAnsi="Verdana"/>
          <w:sz w:val="20"/>
          <w:szCs w:val="20"/>
          <w:lang w:val="en-US"/>
        </w:rPr>
        <w:t xml:space="preserve">after the decision of the Constitutional Court in 1999, </w:t>
      </w:r>
      <w:r w:rsidR="00713A8B" w:rsidRPr="008A3740">
        <w:rPr>
          <w:rFonts w:ascii="Verdana" w:hAnsi="Verdana"/>
          <w:sz w:val="20"/>
          <w:szCs w:val="20"/>
          <w:lang w:val="en-US"/>
        </w:rPr>
        <w:t xml:space="preserve">which </w:t>
      </w:r>
      <w:r w:rsidR="008E6A56" w:rsidRPr="008A3740">
        <w:rPr>
          <w:rFonts w:ascii="Verdana" w:hAnsi="Verdana"/>
          <w:sz w:val="20"/>
          <w:szCs w:val="20"/>
          <w:lang w:val="en-US"/>
        </w:rPr>
        <w:t>also orde</w:t>
      </w:r>
      <w:r w:rsidR="001446B2" w:rsidRPr="008A3740">
        <w:rPr>
          <w:rFonts w:ascii="Verdana" w:hAnsi="Verdana"/>
          <w:sz w:val="20"/>
          <w:szCs w:val="20"/>
          <w:lang w:val="en-US"/>
        </w:rPr>
        <w:t xml:space="preserve">red the </w:t>
      </w:r>
      <w:r w:rsidR="008E6A56" w:rsidRPr="008A3740">
        <w:rPr>
          <w:rFonts w:ascii="Verdana" w:hAnsi="Verdana"/>
          <w:sz w:val="20"/>
          <w:szCs w:val="20"/>
          <w:lang w:val="en-US"/>
        </w:rPr>
        <w:t xml:space="preserve">payment of </w:t>
      </w:r>
      <w:r w:rsidR="001446B2" w:rsidRPr="008A3740">
        <w:rPr>
          <w:rFonts w:ascii="Verdana" w:hAnsi="Verdana"/>
          <w:sz w:val="20"/>
          <w:szCs w:val="20"/>
          <w:lang w:val="en-US"/>
        </w:rPr>
        <w:t>his</w:t>
      </w:r>
      <w:r w:rsidR="008E6A56" w:rsidRPr="008A3740">
        <w:rPr>
          <w:rFonts w:ascii="Verdana" w:hAnsi="Verdana"/>
          <w:sz w:val="20"/>
          <w:szCs w:val="20"/>
          <w:lang w:val="en-US"/>
        </w:rPr>
        <w:t xml:space="preserve"> pension.</w:t>
      </w:r>
    </w:p>
    <w:p w14:paraId="4F5F0FA0" w14:textId="77777777" w:rsidR="008E6A56" w:rsidRPr="008A3740" w:rsidRDefault="008E6A56" w:rsidP="008E6A56">
      <w:pPr>
        <w:rPr>
          <w:snapToGrid w:val="0"/>
          <w:lang w:val="en-US"/>
        </w:rPr>
      </w:pPr>
    </w:p>
    <w:p w14:paraId="0CE75A39" w14:textId="77777777" w:rsidR="008E6A56" w:rsidRPr="008A3740" w:rsidRDefault="00C907F5"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At the same time,</w:t>
      </w:r>
      <w:r w:rsidR="00FC74FE" w:rsidRPr="008A3740">
        <w:rPr>
          <w:rFonts w:ascii="Verdana" w:hAnsi="Verdana"/>
          <w:snapToGrid w:val="0"/>
          <w:sz w:val="20"/>
          <w:szCs w:val="20"/>
          <w:lang w:val="en-US"/>
        </w:rPr>
        <w:t xml:space="preserve"> t</w:t>
      </w:r>
      <w:r w:rsidR="001659CD" w:rsidRPr="008A3740">
        <w:rPr>
          <w:rFonts w:ascii="Verdana" w:hAnsi="Verdana"/>
          <w:snapToGrid w:val="0"/>
          <w:sz w:val="20"/>
          <w:szCs w:val="20"/>
          <w:lang w:val="en-US"/>
        </w:rPr>
        <w:t>he State a</w:t>
      </w:r>
      <w:r w:rsidRPr="008A3740">
        <w:rPr>
          <w:rFonts w:ascii="Verdana" w:hAnsi="Verdana"/>
          <w:snapToGrid w:val="0"/>
          <w:sz w:val="20"/>
          <w:szCs w:val="20"/>
          <w:lang w:val="en-US"/>
        </w:rPr>
        <w:t xml:space="preserve">lleged </w:t>
      </w:r>
      <w:r w:rsidR="00A30219" w:rsidRPr="008A3740">
        <w:rPr>
          <w:rFonts w:ascii="Verdana" w:hAnsi="Verdana"/>
          <w:snapToGrid w:val="0"/>
          <w:sz w:val="20"/>
          <w:szCs w:val="20"/>
          <w:lang w:val="en-US"/>
        </w:rPr>
        <w:t xml:space="preserve">that </w:t>
      </w:r>
      <w:r w:rsidR="008E6A56" w:rsidRPr="008A3740">
        <w:rPr>
          <w:rFonts w:ascii="Verdana" w:hAnsi="Verdana"/>
          <w:snapToGrid w:val="0"/>
          <w:sz w:val="20"/>
          <w:szCs w:val="20"/>
          <w:lang w:val="en-US"/>
        </w:rPr>
        <w:t xml:space="preserve">the </w:t>
      </w:r>
      <w:r w:rsidR="00A30219" w:rsidRPr="008A3740">
        <w:rPr>
          <w:rFonts w:ascii="Verdana" w:hAnsi="Verdana"/>
          <w:snapToGrid w:val="0"/>
          <w:sz w:val="20"/>
          <w:szCs w:val="20"/>
          <w:lang w:val="en-US"/>
        </w:rPr>
        <w:t xml:space="preserve">judicial authority’s </w:t>
      </w:r>
      <w:r w:rsidR="008E6A56" w:rsidRPr="008A3740">
        <w:rPr>
          <w:rFonts w:ascii="Verdana" w:hAnsi="Verdana"/>
          <w:snapToGrid w:val="0"/>
          <w:sz w:val="20"/>
          <w:szCs w:val="20"/>
          <w:lang w:val="en-US"/>
        </w:rPr>
        <w:t>confus</w:t>
      </w:r>
      <w:r w:rsidR="00A30219" w:rsidRPr="008A3740">
        <w:rPr>
          <w:rFonts w:ascii="Verdana" w:hAnsi="Verdana"/>
          <w:snapToGrid w:val="0"/>
          <w:sz w:val="20"/>
          <w:szCs w:val="20"/>
          <w:lang w:val="en-US"/>
        </w:rPr>
        <w:t xml:space="preserve">ion </w:t>
      </w:r>
      <w:r w:rsidR="00F340F1" w:rsidRPr="008A3740">
        <w:rPr>
          <w:rFonts w:ascii="Verdana" w:hAnsi="Verdana"/>
          <w:snapToGrid w:val="0"/>
          <w:sz w:val="20"/>
          <w:szCs w:val="20"/>
          <w:lang w:val="en-US"/>
        </w:rPr>
        <w:t xml:space="preserve">in </w:t>
      </w:r>
      <w:r w:rsidR="00A30219" w:rsidRPr="008A3740">
        <w:rPr>
          <w:rFonts w:ascii="Verdana" w:hAnsi="Verdana"/>
          <w:snapToGrid w:val="0"/>
          <w:sz w:val="20"/>
          <w:szCs w:val="20"/>
          <w:lang w:val="en-US"/>
        </w:rPr>
        <w:t xml:space="preserve">enforcing the </w:t>
      </w:r>
      <w:r w:rsidR="001659CD" w:rsidRPr="008A3740">
        <w:rPr>
          <w:rFonts w:ascii="Verdana" w:hAnsi="Verdana"/>
          <w:snapToGrid w:val="0"/>
          <w:sz w:val="20"/>
          <w:szCs w:val="20"/>
          <w:lang w:val="en-US"/>
        </w:rPr>
        <w:t xml:space="preserve">domestic </w:t>
      </w:r>
      <w:r w:rsidR="00FC74FE" w:rsidRPr="008A3740">
        <w:rPr>
          <w:rFonts w:ascii="Verdana" w:hAnsi="Verdana"/>
          <w:snapToGrid w:val="0"/>
          <w:sz w:val="20"/>
          <w:szCs w:val="20"/>
          <w:lang w:val="en-US"/>
        </w:rPr>
        <w:t>judgment</w:t>
      </w:r>
      <w:r w:rsidR="008E6A56" w:rsidRPr="008A3740">
        <w:rPr>
          <w:rFonts w:ascii="Verdana" w:hAnsi="Verdana"/>
          <w:snapToGrid w:val="0"/>
          <w:sz w:val="20"/>
          <w:szCs w:val="20"/>
          <w:lang w:val="en-US"/>
        </w:rPr>
        <w:t xml:space="preserve"> </w:t>
      </w:r>
      <w:r w:rsidR="001659CD" w:rsidRPr="008A3740">
        <w:rPr>
          <w:rFonts w:ascii="Verdana" w:hAnsi="Verdana"/>
          <w:snapToGrid w:val="0"/>
          <w:sz w:val="20"/>
          <w:szCs w:val="20"/>
          <w:lang w:val="en-US"/>
        </w:rPr>
        <w:t xml:space="preserve">was </w:t>
      </w:r>
      <w:r w:rsidR="00A30219" w:rsidRPr="008A3740">
        <w:rPr>
          <w:rFonts w:ascii="Verdana" w:hAnsi="Verdana"/>
          <w:snapToGrid w:val="0"/>
          <w:sz w:val="20"/>
          <w:szCs w:val="20"/>
          <w:lang w:val="en-US"/>
        </w:rPr>
        <w:t xml:space="preserve">partly </w:t>
      </w:r>
      <w:r w:rsidR="001659CD" w:rsidRPr="008A3740">
        <w:rPr>
          <w:rFonts w:ascii="Verdana" w:hAnsi="Verdana"/>
          <w:snapToGrid w:val="0"/>
          <w:sz w:val="20"/>
          <w:szCs w:val="20"/>
          <w:lang w:val="en-US"/>
        </w:rPr>
        <w:t xml:space="preserve">due to the fact </w:t>
      </w:r>
      <w:r w:rsidR="008E6A56" w:rsidRPr="008A3740">
        <w:rPr>
          <w:rFonts w:ascii="Verdana" w:hAnsi="Verdana"/>
          <w:snapToGrid w:val="0"/>
          <w:sz w:val="20"/>
          <w:szCs w:val="20"/>
          <w:lang w:val="en-US"/>
        </w:rPr>
        <w:t>that Mr. Muelle Flores “</w:t>
      </w:r>
      <w:r w:rsidR="001659CD" w:rsidRPr="008A3740">
        <w:rPr>
          <w:rFonts w:ascii="Verdana" w:hAnsi="Verdana"/>
          <w:snapToGrid w:val="0"/>
          <w:sz w:val="20"/>
          <w:szCs w:val="20"/>
          <w:lang w:val="en-US"/>
        </w:rPr>
        <w:t>always insisted that the private company</w:t>
      </w:r>
      <w:r w:rsidR="00A30219" w:rsidRPr="008A3740">
        <w:rPr>
          <w:rFonts w:ascii="Verdana" w:hAnsi="Verdana"/>
          <w:snapToGrid w:val="0"/>
          <w:sz w:val="20"/>
          <w:szCs w:val="20"/>
          <w:lang w:val="en-US"/>
        </w:rPr>
        <w:t xml:space="preserve"> was the one </w:t>
      </w:r>
      <w:r w:rsidR="001659CD" w:rsidRPr="008A3740">
        <w:rPr>
          <w:rFonts w:ascii="Verdana" w:hAnsi="Verdana"/>
          <w:snapToGrid w:val="0"/>
          <w:sz w:val="20"/>
          <w:szCs w:val="20"/>
          <w:lang w:val="en-US"/>
        </w:rPr>
        <w:t>obligated to</w:t>
      </w:r>
      <w:r w:rsidR="008E6A56" w:rsidRPr="008A3740">
        <w:rPr>
          <w:rFonts w:ascii="Verdana" w:hAnsi="Verdana"/>
          <w:snapToGrid w:val="0"/>
          <w:sz w:val="20"/>
          <w:szCs w:val="20"/>
          <w:lang w:val="en-US"/>
        </w:rPr>
        <w:t xml:space="preserve"> pay</w:t>
      </w:r>
      <w:r w:rsidR="001659CD" w:rsidRPr="008A3740">
        <w:rPr>
          <w:rFonts w:ascii="Verdana" w:hAnsi="Verdana"/>
          <w:snapToGrid w:val="0"/>
          <w:sz w:val="20"/>
          <w:szCs w:val="20"/>
          <w:lang w:val="en-US"/>
        </w:rPr>
        <w:t xml:space="preserve"> his pension</w:t>
      </w:r>
      <w:r w:rsidR="00A30219" w:rsidRPr="008A3740">
        <w:rPr>
          <w:rFonts w:ascii="Verdana" w:hAnsi="Verdana"/>
          <w:snapToGrid w:val="0"/>
          <w:sz w:val="20"/>
          <w:szCs w:val="20"/>
          <w:lang w:val="en-US"/>
        </w:rPr>
        <w:t>”</w:t>
      </w:r>
      <w:r w:rsidR="008E6A56" w:rsidRPr="008A3740">
        <w:rPr>
          <w:rFonts w:ascii="Verdana" w:hAnsi="Verdana"/>
          <w:snapToGrid w:val="0"/>
          <w:sz w:val="20"/>
          <w:szCs w:val="20"/>
          <w:lang w:val="en-US"/>
        </w:rPr>
        <w:t xml:space="preserve"> and </w:t>
      </w:r>
      <w:r w:rsidR="001659CD" w:rsidRPr="008A3740">
        <w:rPr>
          <w:rFonts w:ascii="Verdana" w:hAnsi="Verdana"/>
          <w:snapToGrid w:val="0"/>
          <w:sz w:val="20"/>
          <w:szCs w:val="20"/>
          <w:lang w:val="en-US"/>
        </w:rPr>
        <w:t>that</w:t>
      </w:r>
      <w:r w:rsidR="008E6A56" w:rsidRPr="008A3740">
        <w:rPr>
          <w:rFonts w:ascii="Verdana" w:hAnsi="Verdana"/>
          <w:snapToGrid w:val="0"/>
          <w:sz w:val="20"/>
          <w:szCs w:val="20"/>
          <w:lang w:val="en-US"/>
        </w:rPr>
        <w:t xml:space="preserve">, </w:t>
      </w:r>
      <w:r w:rsidR="00713A8B" w:rsidRPr="008A3740">
        <w:rPr>
          <w:rFonts w:ascii="Verdana" w:hAnsi="Verdana"/>
          <w:snapToGrid w:val="0"/>
          <w:sz w:val="20"/>
          <w:szCs w:val="20"/>
          <w:lang w:val="en-US"/>
        </w:rPr>
        <w:t xml:space="preserve">despite knowing that </w:t>
      </w:r>
      <w:r w:rsidR="008E6A56" w:rsidRPr="008A3740">
        <w:rPr>
          <w:rFonts w:ascii="Verdana" w:hAnsi="Verdana"/>
          <w:snapToGrid w:val="0"/>
          <w:sz w:val="20"/>
          <w:szCs w:val="20"/>
          <w:lang w:val="en-US"/>
        </w:rPr>
        <w:t xml:space="preserve">the MEF was </w:t>
      </w:r>
      <w:r w:rsidR="00A30219" w:rsidRPr="008A3740">
        <w:rPr>
          <w:rFonts w:ascii="Verdana" w:hAnsi="Verdana"/>
          <w:snapToGrid w:val="0"/>
          <w:sz w:val="20"/>
          <w:szCs w:val="20"/>
          <w:lang w:val="en-US"/>
        </w:rPr>
        <w:t xml:space="preserve">responsible for the </w:t>
      </w:r>
      <w:r w:rsidR="008E6A56" w:rsidRPr="008A3740">
        <w:rPr>
          <w:rFonts w:ascii="Verdana" w:hAnsi="Verdana"/>
          <w:snapToGrid w:val="0"/>
          <w:sz w:val="20"/>
          <w:szCs w:val="20"/>
          <w:lang w:val="en-US"/>
        </w:rPr>
        <w:t>payment</w:t>
      </w:r>
      <w:r w:rsidR="00A30219" w:rsidRPr="008A3740">
        <w:rPr>
          <w:rFonts w:ascii="Verdana" w:hAnsi="Verdana"/>
          <w:snapToGrid w:val="0"/>
          <w:sz w:val="20"/>
          <w:szCs w:val="20"/>
          <w:lang w:val="en-US"/>
        </w:rPr>
        <w:t>s</w:t>
      </w:r>
      <w:r w:rsidR="008E6A56" w:rsidRPr="008A3740">
        <w:rPr>
          <w:rFonts w:ascii="Verdana" w:hAnsi="Verdana"/>
          <w:snapToGrid w:val="0"/>
          <w:sz w:val="20"/>
          <w:szCs w:val="20"/>
          <w:lang w:val="en-US"/>
        </w:rPr>
        <w:t xml:space="preserve"> </w:t>
      </w:r>
      <w:r w:rsidR="001659CD" w:rsidRPr="008A3740">
        <w:rPr>
          <w:rFonts w:ascii="Verdana" w:hAnsi="Verdana"/>
          <w:snapToGrid w:val="0"/>
          <w:sz w:val="20"/>
          <w:szCs w:val="20"/>
          <w:lang w:val="en-US"/>
        </w:rPr>
        <w:t xml:space="preserve">from </w:t>
      </w:r>
      <w:r w:rsidR="008E6A56" w:rsidRPr="008A3740">
        <w:rPr>
          <w:rFonts w:ascii="Verdana" w:hAnsi="Verdana"/>
          <w:snapToGrid w:val="0"/>
          <w:sz w:val="20"/>
          <w:szCs w:val="20"/>
          <w:lang w:val="en-US"/>
        </w:rPr>
        <w:t>2002 (</w:t>
      </w:r>
      <w:r w:rsidR="008E6A56" w:rsidRPr="008A3740">
        <w:rPr>
          <w:rFonts w:ascii="Verdana" w:hAnsi="Verdana"/>
          <w:i/>
          <w:snapToGrid w:val="0"/>
          <w:sz w:val="20"/>
          <w:szCs w:val="20"/>
          <w:lang w:val="en-US"/>
        </w:rPr>
        <w:t>infra</w:t>
      </w:r>
      <w:r w:rsidR="008E6A56" w:rsidRPr="008A3740">
        <w:rPr>
          <w:rFonts w:ascii="Verdana" w:hAnsi="Verdana"/>
          <w:snapToGrid w:val="0"/>
          <w:sz w:val="20"/>
          <w:szCs w:val="20"/>
          <w:lang w:val="en-US"/>
        </w:rPr>
        <w:t xml:space="preserve"> para. 138),</w:t>
      </w:r>
      <w:r w:rsidR="00713A8B" w:rsidRPr="008A3740">
        <w:rPr>
          <w:rFonts w:ascii="Verdana" w:hAnsi="Verdana"/>
          <w:snapToGrid w:val="0"/>
          <w:sz w:val="20"/>
          <w:szCs w:val="20"/>
          <w:lang w:val="en-US"/>
        </w:rPr>
        <w:t xml:space="preserve"> he </w:t>
      </w:r>
      <w:r w:rsidR="0047717A" w:rsidRPr="008A3740">
        <w:rPr>
          <w:rFonts w:ascii="Verdana" w:hAnsi="Verdana"/>
          <w:snapToGrid w:val="0"/>
          <w:sz w:val="20"/>
          <w:szCs w:val="20"/>
          <w:lang w:val="en-US"/>
        </w:rPr>
        <w:t xml:space="preserve">maintained his </w:t>
      </w:r>
      <w:r w:rsidR="00713A8B" w:rsidRPr="008A3740">
        <w:rPr>
          <w:rFonts w:ascii="Verdana" w:hAnsi="Verdana"/>
          <w:snapToGrid w:val="0"/>
          <w:sz w:val="20"/>
          <w:szCs w:val="20"/>
          <w:lang w:val="en-US"/>
        </w:rPr>
        <w:t xml:space="preserve">position of acting </w:t>
      </w:r>
      <w:r w:rsidR="008E6A56" w:rsidRPr="008A3740">
        <w:rPr>
          <w:rFonts w:ascii="Verdana" w:hAnsi="Verdana"/>
          <w:snapToGrid w:val="0"/>
          <w:sz w:val="20"/>
          <w:szCs w:val="20"/>
          <w:lang w:val="en-US"/>
        </w:rPr>
        <w:t>against the private company, omit</w:t>
      </w:r>
      <w:r w:rsidR="001659CD" w:rsidRPr="008A3740">
        <w:rPr>
          <w:rFonts w:ascii="Verdana" w:hAnsi="Verdana"/>
          <w:snapToGrid w:val="0"/>
          <w:sz w:val="20"/>
          <w:szCs w:val="20"/>
          <w:lang w:val="en-US"/>
        </w:rPr>
        <w:t xml:space="preserve">ting to </w:t>
      </w:r>
      <w:r w:rsidR="008E6A56" w:rsidRPr="008A3740">
        <w:rPr>
          <w:rFonts w:ascii="Verdana" w:hAnsi="Verdana"/>
          <w:snapToGrid w:val="0"/>
          <w:sz w:val="20"/>
          <w:szCs w:val="20"/>
          <w:lang w:val="en-US"/>
        </w:rPr>
        <w:t xml:space="preserve">request the </w:t>
      </w:r>
      <w:r w:rsidR="001659CD" w:rsidRPr="008A3740">
        <w:rPr>
          <w:rFonts w:ascii="Verdana" w:hAnsi="Verdana"/>
          <w:snapToGrid w:val="0"/>
          <w:sz w:val="20"/>
          <w:szCs w:val="20"/>
          <w:lang w:val="en-US"/>
        </w:rPr>
        <w:t xml:space="preserve">summons </w:t>
      </w:r>
      <w:r w:rsidR="008E6A56" w:rsidRPr="008A3740">
        <w:rPr>
          <w:rFonts w:ascii="Verdana" w:hAnsi="Verdana"/>
          <w:snapToGrid w:val="0"/>
          <w:sz w:val="20"/>
          <w:szCs w:val="20"/>
          <w:lang w:val="en-US"/>
        </w:rPr>
        <w:t xml:space="preserve">of the MEF, </w:t>
      </w:r>
      <w:r w:rsidR="00F340F1" w:rsidRPr="008A3740">
        <w:rPr>
          <w:rFonts w:ascii="Verdana" w:hAnsi="Verdana"/>
          <w:snapToGrid w:val="0"/>
          <w:sz w:val="20"/>
          <w:szCs w:val="20"/>
          <w:lang w:val="en-US"/>
        </w:rPr>
        <w:t xml:space="preserve">as a result of which he was unable to </w:t>
      </w:r>
      <w:r w:rsidR="008E6A56" w:rsidRPr="008A3740">
        <w:rPr>
          <w:rFonts w:ascii="Verdana" w:hAnsi="Verdana"/>
          <w:snapToGrid w:val="0"/>
          <w:sz w:val="20"/>
          <w:szCs w:val="20"/>
          <w:lang w:val="en-US"/>
        </w:rPr>
        <w:t>“</w:t>
      </w:r>
      <w:r w:rsidR="00F340F1" w:rsidRPr="008A3740">
        <w:rPr>
          <w:rFonts w:ascii="Verdana" w:hAnsi="Verdana"/>
          <w:snapToGrid w:val="0"/>
          <w:sz w:val="20"/>
          <w:szCs w:val="20"/>
          <w:lang w:val="en-US"/>
        </w:rPr>
        <w:t xml:space="preserve">assert </w:t>
      </w:r>
      <w:r w:rsidR="008E6A56" w:rsidRPr="008A3740">
        <w:rPr>
          <w:rFonts w:ascii="Verdana" w:hAnsi="Verdana"/>
          <w:snapToGrid w:val="0"/>
          <w:sz w:val="20"/>
          <w:szCs w:val="20"/>
          <w:lang w:val="en-US"/>
        </w:rPr>
        <w:t xml:space="preserve">his rights” during the </w:t>
      </w:r>
      <w:r w:rsidR="008E6A56" w:rsidRPr="008A3740">
        <w:rPr>
          <w:rFonts w:ascii="Verdana" w:hAnsi="Verdana"/>
          <w:i/>
          <w:snapToGrid w:val="0"/>
          <w:sz w:val="20"/>
          <w:szCs w:val="20"/>
          <w:lang w:val="en-US"/>
        </w:rPr>
        <w:t>amparo</w:t>
      </w:r>
      <w:r w:rsidR="008E6A56" w:rsidRPr="008A3740">
        <w:rPr>
          <w:rFonts w:ascii="Verdana" w:hAnsi="Verdana"/>
          <w:snapToGrid w:val="0"/>
          <w:sz w:val="20"/>
          <w:szCs w:val="20"/>
          <w:lang w:val="en-US"/>
        </w:rPr>
        <w:t xml:space="preserve"> </w:t>
      </w:r>
      <w:r w:rsidR="00713A8B" w:rsidRPr="008A3740">
        <w:rPr>
          <w:rFonts w:ascii="Verdana" w:hAnsi="Verdana"/>
          <w:snapToGrid w:val="0"/>
          <w:sz w:val="20"/>
          <w:szCs w:val="20"/>
          <w:lang w:val="en-US"/>
        </w:rPr>
        <w:t xml:space="preserve">proceeding </w:t>
      </w:r>
      <w:r w:rsidR="00F340F1" w:rsidRPr="008A3740">
        <w:rPr>
          <w:rFonts w:ascii="Verdana" w:hAnsi="Verdana"/>
          <w:snapToGrid w:val="0"/>
          <w:sz w:val="20"/>
          <w:szCs w:val="20"/>
          <w:lang w:val="en-US"/>
        </w:rPr>
        <w:t xml:space="preserve">or </w:t>
      </w:r>
      <w:r w:rsidR="001659CD" w:rsidRPr="008A3740">
        <w:rPr>
          <w:rFonts w:ascii="Verdana" w:hAnsi="Verdana"/>
          <w:snapToGrid w:val="0"/>
          <w:sz w:val="20"/>
          <w:szCs w:val="20"/>
          <w:lang w:val="en-US"/>
        </w:rPr>
        <w:t xml:space="preserve">during the execution </w:t>
      </w:r>
      <w:r w:rsidR="00FC74FE" w:rsidRPr="008A3740">
        <w:rPr>
          <w:rFonts w:ascii="Verdana" w:hAnsi="Verdana"/>
          <w:snapToGrid w:val="0"/>
          <w:sz w:val="20"/>
          <w:szCs w:val="20"/>
          <w:lang w:val="en-US"/>
        </w:rPr>
        <w:t>of the judgment</w:t>
      </w:r>
      <w:r w:rsidRPr="008A3740">
        <w:rPr>
          <w:rFonts w:ascii="Verdana" w:hAnsi="Verdana"/>
          <w:snapToGrid w:val="0"/>
          <w:sz w:val="20"/>
          <w:szCs w:val="20"/>
          <w:lang w:val="en-US"/>
        </w:rPr>
        <w:t xml:space="preserve"> process</w:t>
      </w:r>
      <w:r w:rsidR="001659CD" w:rsidRPr="008A3740">
        <w:rPr>
          <w:rFonts w:ascii="Verdana" w:hAnsi="Verdana"/>
          <w:snapToGrid w:val="0"/>
          <w:sz w:val="20"/>
          <w:szCs w:val="20"/>
          <w:lang w:val="en-US"/>
        </w:rPr>
        <w:t>. T</w:t>
      </w:r>
      <w:r w:rsidR="008E6A56" w:rsidRPr="008A3740">
        <w:rPr>
          <w:rFonts w:ascii="Verdana" w:hAnsi="Verdana"/>
          <w:snapToGrid w:val="0"/>
          <w:sz w:val="20"/>
          <w:szCs w:val="20"/>
          <w:lang w:val="en-US"/>
        </w:rPr>
        <w:t>he Court considers that the State no</w:t>
      </w:r>
      <w:r w:rsidR="001659CD" w:rsidRPr="008A3740">
        <w:rPr>
          <w:rFonts w:ascii="Verdana" w:hAnsi="Verdana"/>
          <w:snapToGrid w:val="0"/>
          <w:sz w:val="20"/>
          <w:szCs w:val="20"/>
          <w:lang w:val="en-US"/>
        </w:rPr>
        <w:t>t only</w:t>
      </w:r>
      <w:r w:rsidR="008E6A56" w:rsidRPr="008A3740">
        <w:rPr>
          <w:rFonts w:ascii="Verdana" w:hAnsi="Verdana"/>
          <w:snapToGrid w:val="0"/>
          <w:sz w:val="20"/>
          <w:szCs w:val="20"/>
          <w:lang w:val="en-US"/>
        </w:rPr>
        <w:t xml:space="preserve"> </w:t>
      </w:r>
      <w:r w:rsidR="00F340F1" w:rsidRPr="008A3740">
        <w:rPr>
          <w:rFonts w:ascii="Verdana" w:hAnsi="Verdana"/>
          <w:snapToGrid w:val="0"/>
          <w:sz w:val="20"/>
          <w:szCs w:val="20"/>
          <w:lang w:val="en-US"/>
        </w:rPr>
        <w:t xml:space="preserve">failed to comply with the rulings of </w:t>
      </w:r>
      <w:r w:rsidR="008E6A56" w:rsidRPr="008A3740">
        <w:rPr>
          <w:rFonts w:ascii="Verdana" w:hAnsi="Verdana"/>
          <w:snapToGrid w:val="0"/>
          <w:sz w:val="20"/>
          <w:szCs w:val="20"/>
          <w:lang w:val="en-US"/>
        </w:rPr>
        <w:t xml:space="preserve">the </w:t>
      </w:r>
      <w:r w:rsidR="000E0D7D" w:rsidRPr="008A3740">
        <w:rPr>
          <w:rFonts w:ascii="Verdana" w:hAnsi="Verdana"/>
          <w:snapToGrid w:val="0"/>
          <w:sz w:val="20"/>
          <w:szCs w:val="20"/>
          <w:lang w:val="en-US"/>
        </w:rPr>
        <w:t>Judiciary</w:t>
      </w:r>
      <w:r w:rsidR="008E6A56" w:rsidRPr="008A3740">
        <w:rPr>
          <w:rFonts w:ascii="Verdana" w:hAnsi="Verdana"/>
          <w:snapToGrid w:val="0"/>
          <w:sz w:val="20"/>
          <w:szCs w:val="20"/>
          <w:lang w:val="en-US"/>
        </w:rPr>
        <w:t xml:space="preserve">, </w:t>
      </w:r>
      <w:r w:rsidR="001659CD" w:rsidRPr="008A3740">
        <w:rPr>
          <w:rFonts w:ascii="Verdana" w:hAnsi="Verdana"/>
          <w:snapToGrid w:val="0"/>
          <w:sz w:val="20"/>
          <w:szCs w:val="20"/>
          <w:lang w:val="en-US"/>
        </w:rPr>
        <w:t xml:space="preserve">but also failed to clarify its own </w:t>
      </w:r>
      <w:r w:rsidR="008E6A56" w:rsidRPr="008A3740">
        <w:rPr>
          <w:rFonts w:ascii="Verdana" w:hAnsi="Verdana"/>
          <w:snapToGrid w:val="0"/>
          <w:sz w:val="20"/>
          <w:szCs w:val="20"/>
          <w:lang w:val="en-US"/>
        </w:rPr>
        <w:t xml:space="preserve">obligations </w:t>
      </w:r>
      <w:r w:rsidR="001659CD" w:rsidRPr="008A3740">
        <w:rPr>
          <w:rFonts w:ascii="Verdana" w:hAnsi="Verdana"/>
          <w:snapToGrid w:val="0"/>
          <w:sz w:val="20"/>
          <w:szCs w:val="20"/>
          <w:lang w:val="en-US"/>
        </w:rPr>
        <w:t xml:space="preserve">in order to </w:t>
      </w:r>
      <w:r w:rsidR="008E6A56" w:rsidRPr="008A3740">
        <w:rPr>
          <w:rFonts w:ascii="Verdana" w:hAnsi="Verdana"/>
          <w:snapToGrid w:val="0"/>
          <w:sz w:val="20"/>
          <w:szCs w:val="20"/>
          <w:lang w:val="en-US"/>
        </w:rPr>
        <w:t>protect</w:t>
      </w:r>
      <w:r w:rsidR="00A30219" w:rsidRPr="008A3740">
        <w:rPr>
          <w:rFonts w:ascii="Verdana" w:hAnsi="Verdana"/>
          <w:snapToGrid w:val="0"/>
          <w:sz w:val="20"/>
          <w:szCs w:val="20"/>
          <w:lang w:val="en-US"/>
        </w:rPr>
        <w:t xml:space="preserve"> the rights of </w:t>
      </w:r>
      <w:r w:rsidR="008E6A56" w:rsidRPr="008A3740">
        <w:rPr>
          <w:rFonts w:ascii="Verdana" w:hAnsi="Verdana"/>
          <w:snapToGrid w:val="0"/>
          <w:sz w:val="20"/>
          <w:szCs w:val="20"/>
          <w:lang w:val="en-US"/>
        </w:rPr>
        <w:t xml:space="preserve">the victim in the </w:t>
      </w:r>
      <w:r w:rsidR="001659CD" w:rsidRPr="008A3740">
        <w:rPr>
          <w:rFonts w:ascii="Verdana" w:hAnsi="Verdana"/>
          <w:snapToGrid w:val="0"/>
          <w:sz w:val="20"/>
          <w:szCs w:val="20"/>
          <w:lang w:val="en-US"/>
        </w:rPr>
        <w:t xml:space="preserve">context </w:t>
      </w:r>
      <w:r w:rsidR="00A30219" w:rsidRPr="008A3740">
        <w:rPr>
          <w:rFonts w:ascii="Verdana" w:hAnsi="Verdana"/>
          <w:snapToGrid w:val="0"/>
          <w:sz w:val="20"/>
          <w:szCs w:val="20"/>
          <w:lang w:val="en-US"/>
        </w:rPr>
        <w:t xml:space="preserve">of </w:t>
      </w:r>
      <w:r w:rsidR="008E6A56" w:rsidRPr="008A3740">
        <w:rPr>
          <w:rFonts w:ascii="Verdana" w:hAnsi="Verdana"/>
          <w:snapToGrid w:val="0"/>
          <w:sz w:val="20"/>
          <w:szCs w:val="20"/>
          <w:lang w:val="en-US"/>
        </w:rPr>
        <w:t xml:space="preserve">the privatization </w:t>
      </w:r>
      <w:r w:rsidR="00FC74FE" w:rsidRPr="008A3740">
        <w:rPr>
          <w:rFonts w:ascii="Verdana" w:hAnsi="Verdana"/>
          <w:snapToGrid w:val="0"/>
          <w:sz w:val="20"/>
          <w:szCs w:val="20"/>
          <w:lang w:val="en-US"/>
        </w:rPr>
        <w:t xml:space="preserve">process </w:t>
      </w:r>
      <w:r w:rsidR="001659CD" w:rsidRPr="008A3740">
        <w:rPr>
          <w:rFonts w:ascii="Verdana" w:hAnsi="Verdana"/>
          <w:snapToGrid w:val="0"/>
          <w:sz w:val="20"/>
          <w:szCs w:val="20"/>
          <w:lang w:val="en-US"/>
        </w:rPr>
        <w:t xml:space="preserve">undertaken </w:t>
      </w:r>
      <w:r w:rsidR="008E6A56" w:rsidRPr="008A3740">
        <w:rPr>
          <w:rFonts w:ascii="Verdana" w:hAnsi="Verdana"/>
          <w:snapToGrid w:val="0"/>
          <w:sz w:val="20"/>
          <w:szCs w:val="20"/>
          <w:lang w:val="en-US"/>
        </w:rPr>
        <w:t xml:space="preserve">by </w:t>
      </w:r>
      <w:r w:rsidR="00CF7F49" w:rsidRPr="008A3740">
        <w:rPr>
          <w:rFonts w:ascii="Verdana" w:hAnsi="Verdana"/>
          <w:snapToGrid w:val="0"/>
          <w:sz w:val="20"/>
          <w:szCs w:val="20"/>
          <w:lang w:val="en-US"/>
        </w:rPr>
        <w:t xml:space="preserve">its own </w:t>
      </w:r>
      <w:r w:rsidR="008E6A56" w:rsidRPr="008A3740">
        <w:rPr>
          <w:rFonts w:ascii="Verdana" w:hAnsi="Verdana"/>
          <w:snapToGrid w:val="0"/>
          <w:sz w:val="20"/>
          <w:szCs w:val="20"/>
          <w:lang w:val="en-US"/>
        </w:rPr>
        <w:t xml:space="preserve">decision. </w:t>
      </w:r>
      <w:r w:rsidR="00086AD7" w:rsidRPr="008A3740">
        <w:rPr>
          <w:rFonts w:ascii="Verdana" w:hAnsi="Verdana"/>
          <w:snapToGrid w:val="0"/>
          <w:sz w:val="20"/>
          <w:szCs w:val="20"/>
          <w:lang w:val="en-US"/>
        </w:rPr>
        <w:t xml:space="preserve">The </w:t>
      </w:r>
      <w:r w:rsidR="007F5550" w:rsidRPr="008A3740">
        <w:rPr>
          <w:rFonts w:ascii="Verdana" w:hAnsi="Verdana"/>
          <w:snapToGrid w:val="0"/>
          <w:sz w:val="20"/>
          <w:szCs w:val="20"/>
          <w:lang w:val="en-US"/>
        </w:rPr>
        <w:t>Court finds this last point noteworthy,</w:t>
      </w:r>
      <w:r w:rsidR="008E6A56" w:rsidRPr="008A3740">
        <w:rPr>
          <w:rFonts w:ascii="Verdana" w:hAnsi="Verdana"/>
          <w:snapToGrid w:val="0"/>
          <w:sz w:val="20"/>
          <w:szCs w:val="20"/>
          <w:lang w:val="en-US"/>
        </w:rPr>
        <w:t xml:space="preserve"> </w:t>
      </w:r>
      <w:r w:rsidR="001446B2" w:rsidRPr="008A3740">
        <w:rPr>
          <w:rFonts w:ascii="Verdana" w:hAnsi="Verdana"/>
          <w:snapToGrid w:val="0"/>
          <w:sz w:val="20"/>
          <w:szCs w:val="20"/>
          <w:lang w:val="en-US"/>
        </w:rPr>
        <w:t>given that</w:t>
      </w:r>
      <w:r w:rsidR="008E6A56" w:rsidRPr="008A3740">
        <w:rPr>
          <w:rFonts w:ascii="Verdana" w:hAnsi="Verdana"/>
          <w:snapToGrid w:val="0"/>
          <w:sz w:val="20"/>
          <w:szCs w:val="20"/>
          <w:lang w:val="en-US"/>
        </w:rPr>
        <w:t xml:space="preserve">, </w:t>
      </w:r>
      <w:r w:rsidR="009C26FB" w:rsidRPr="008A3740">
        <w:rPr>
          <w:rFonts w:ascii="Verdana" w:hAnsi="Verdana"/>
          <w:snapToGrid w:val="0"/>
          <w:sz w:val="20"/>
          <w:szCs w:val="20"/>
          <w:lang w:val="en-US"/>
        </w:rPr>
        <w:t>based on the legislation</w:t>
      </w:r>
      <w:r w:rsidR="008E6A56" w:rsidRPr="008A3740">
        <w:rPr>
          <w:rFonts w:ascii="Verdana" w:hAnsi="Verdana"/>
          <w:snapToGrid w:val="0"/>
          <w:sz w:val="20"/>
          <w:szCs w:val="20"/>
          <w:lang w:val="en-US"/>
        </w:rPr>
        <w:t xml:space="preserve"> </w:t>
      </w:r>
      <w:r w:rsidR="00086AD7" w:rsidRPr="008A3740">
        <w:rPr>
          <w:rFonts w:ascii="Verdana" w:hAnsi="Verdana"/>
          <w:snapToGrid w:val="0"/>
          <w:sz w:val="20"/>
          <w:szCs w:val="20"/>
          <w:lang w:val="en-US"/>
        </w:rPr>
        <w:t xml:space="preserve">in force in </w:t>
      </w:r>
      <w:r w:rsidR="008E6A56" w:rsidRPr="008A3740">
        <w:rPr>
          <w:rFonts w:ascii="Verdana" w:hAnsi="Verdana"/>
          <w:snapToGrid w:val="0"/>
          <w:sz w:val="20"/>
          <w:szCs w:val="20"/>
          <w:lang w:val="en-US"/>
        </w:rPr>
        <w:t xml:space="preserve">1996 and 2004, </w:t>
      </w:r>
      <w:r w:rsidR="009C26FB" w:rsidRPr="008A3740">
        <w:rPr>
          <w:rFonts w:ascii="Verdana" w:hAnsi="Verdana"/>
          <w:snapToGrid w:val="0"/>
          <w:sz w:val="20"/>
          <w:szCs w:val="20"/>
          <w:lang w:val="en-US"/>
        </w:rPr>
        <w:t xml:space="preserve">forwarded by the State, </w:t>
      </w:r>
      <w:r w:rsidR="008E6A56" w:rsidRPr="008A3740">
        <w:rPr>
          <w:rFonts w:ascii="Verdana" w:hAnsi="Verdana"/>
          <w:snapToGrid w:val="0"/>
          <w:sz w:val="20"/>
          <w:szCs w:val="20"/>
          <w:lang w:val="en-US"/>
        </w:rPr>
        <w:t xml:space="preserve">both the ONP, </w:t>
      </w:r>
      <w:r w:rsidR="00086AD7" w:rsidRPr="008A3740">
        <w:rPr>
          <w:rFonts w:ascii="Verdana" w:hAnsi="Verdana"/>
          <w:snapToGrid w:val="0"/>
          <w:sz w:val="20"/>
          <w:szCs w:val="20"/>
          <w:lang w:val="en-US"/>
        </w:rPr>
        <w:t xml:space="preserve">and </w:t>
      </w:r>
      <w:r w:rsidR="007F5550" w:rsidRPr="008A3740">
        <w:rPr>
          <w:rFonts w:ascii="Verdana" w:hAnsi="Verdana"/>
          <w:snapToGrid w:val="0"/>
          <w:sz w:val="20"/>
          <w:szCs w:val="20"/>
          <w:lang w:val="en-US"/>
        </w:rPr>
        <w:t xml:space="preserve">subsequently </w:t>
      </w:r>
      <w:r w:rsidR="008E6A56" w:rsidRPr="008A3740">
        <w:rPr>
          <w:rFonts w:ascii="Verdana" w:hAnsi="Verdana"/>
          <w:snapToGrid w:val="0"/>
          <w:sz w:val="20"/>
          <w:szCs w:val="20"/>
          <w:lang w:val="en-US"/>
        </w:rPr>
        <w:t>the MEF</w:t>
      </w:r>
      <w:r w:rsidR="00086AD7" w:rsidRPr="008A3740">
        <w:rPr>
          <w:rFonts w:ascii="Verdana" w:hAnsi="Verdana"/>
          <w:snapToGrid w:val="0"/>
          <w:sz w:val="20"/>
          <w:szCs w:val="20"/>
          <w:lang w:val="en-US"/>
        </w:rPr>
        <w:t>,</w:t>
      </w:r>
      <w:r w:rsidR="008E6A56" w:rsidRPr="008A3740">
        <w:rPr>
          <w:rStyle w:val="Refdenotaalpie"/>
          <w:snapToGrid w:val="0"/>
          <w:szCs w:val="20"/>
          <w:lang w:val="en-US"/>
        </w:rPr>
        <w:footnoteReference w:id="150"/>
      </w:r>
      <w:r w:rsidR="008E6A56" w:rsidRPr="008A3740">
        <w:rPr>
          <w:rFonts w:ascii="Verdana" w:hAnsi="Verdana"/>
          <w:snapToGrid w:val="0"/>
          <w:sz w:val="20"/>
          <w:szCs w:val="20"/>
          <w:lang w:val="en-US"/>
        </w:rPr>
        <w:t xml:space="preserve"> respectively, </w:t>
      </w:r>
      <w:r w:rsidR="00086AD7" w:rsidRPr="008A3740">
        <w:rPr>
          <w:rFonts w:ascii="Verdana" w:hAnsi="Verdana"/>
          <w:snapToGrid w:val="0"/>
          <w:sz w:val="20"/>
          <w:szCs w:val="20"/>
          <w:lang w:val="en-US"/>
        </w:rPr>
        <w:t xml:space="preserve">were the institutions responsible for </w:t>
      </w:r>
      <w:r w:rsidR="008E6A56" w:rsidRPr="008A3740">
        <w:rPr>
          <w:rFonts w:ascii="Verdana" w:hAnsi="Verdana"/>
          <w:snapToGrid w:val="0"/>
          <w:sz w:val="20"/>
          <w:szCs w:val="20"/>
          <w:lang w:val="en-US"/>
        </w:rPr>
        <w:t xml:space="preserve">the procedural </w:t>
      </w:r>
      <w:r w:rsidR="00086AD7" w:rsidRPr="008A3740">
        <w:rPr>
          <w:rFonts w:ascii="Verdana" w:hAnsi="Verdana"/>
          <w:snapToGrid w:val="0"/>
          <w:sz w:val="20"/>
          <w:szCs w:val="20"/>
          <w:lang w:val="en-US"/>
        </w:rPr>
        <w:t xml:space="preserve">representation of </w:t>
      </w:r>
      <w:r w:rsidR="009C26FB" w:rsidRPr="008A3740">
        <w:rPr>
          <w:rFonts w:ascii="Verdana" w:hAnsi="Verdana"/>
          <w:snapToGrid w:val="0"/>
          <w:sz w:val="20"/>
          <w:szCs w:val="20"/>
          <w:lang w:val="en-US"/>
        </w:rPr>
        <w:t xml:space="preserve">the State in </w:t>
      </w:r>
      <w:r w:rsidR="008E6A56" w:rsidRPr="008A3740">
        <w:rPr>
          <w:rFonts w:ascii="Verdana" w:hAnsi="Verdana"/>
          <w:snapToGrid w:val="0"/>
          <w:sz w:val="20"/>
          <w:szCs w:val="20"/>
          <w:lang w:val="en-US"/>
        </w:rPr>
        <w:t xml:space="preserve">judicial </w:t>
      </w:r>
      <w:r w:rsidR="00086AD7" w:rsidRPr="008A3740">
        <w:rPr>
          <w:rFonts w:ascii="Verdana" w:hAnsi="Verdana"/>
          <w:snapToGrid w:val="0"/>
          <w:sz w:val="20"/>
          <w:szCs w:val="20"/>
          <w:lang w:val="en-US"/>
        </w:rPr>
        <w:t>proce</w:t>
      </w:r>
      <w:r w:rsidR="009C26FB" w:rsidRPr="008A3740">
        <w:rPr>
          <w:rFonts w:ascii="Verdana" w:hAnsi="Verdana"/>
          <w:snapToGrid w:val="0"/>
          <w:sz w:val="20"/>
          <w:szCs w:val="20"/>
          <w:lang w:val="en-US"/>
        </w:rPr>
        <w:t xml:space="preserve">edings </w:t>
      </w:r>
      <w:r w:rsidR="008E6A56" w:rsidRPr="008A3740">
        <w:rPr>
          <w:rFonts w:ascii="Verdana" w:hAnsi="Verdana"/>
          <w:snapToGrid w:val="0"/>
          <w:sz w:val="20"/>
          <w:szCs w:val="20"/>
          <w:lang w:val="en-US"/>
        </w:rPr>
        <w:t>relat</w:t>
      </w:r>
      <w:r w:rsidR="001446B2" w:rsidRPr="008A3740">
        <w:rPr>
          <w:rFonts w:ascii="Verdana" w:hAnsi="Verdana"/>
          <w:snapToGrid w:val="0"/>
          <w:sz w:val="20"/>
          <w:szCs w:val="20"/>
          <w:lang w:val="en-US"/>
        </w:rPr>
        <w:t xml:space="preserve">ed to the </w:t>
      </w:r>
      <w:r w:rsidR="008E6A56" w:rsidRPr="008A3740">
        <w:rPr>
          <w:rFonts w:ascii="Verdana" w:hAnsi="Verdana"/>
          <w:snapToGrid w:val="0"/>
          <w:sz w:val="20"/>
          <w:szCs w:val="20"/>
          <w:lang w:val="en-US"/>
        </w:rPr>
        <w:t>Decree</w:t>
      </w:r>
      <w:r w:rsidR="001446B2" w:rsidRPr="008A3740">
        <w:rPr>
          <w:rFonts w:ascii="Verdana" w:hAnsi="Verdana"/>
          <w:snapToGrid w:val="0"/>
          <w:sz w:val="20"/>
          <w:szCs w:val="20"/>
          <w:lang w:val="en-US"/>
        </w:rPr>
        <w:t xml:space="preserve"> Law No. 20530 </w:t>
      </w:r>
      <w:r w:rsidR="008A1239" w:rsidRPr="008A3740">
        <w:rPr>
          <w:rFonts w:ascii="Verdana" w:hAnsi="Verdana"/>
          <w:snapToGrid w:val="0"/>
          <w:sz w:val="20"/>
          <w:szCs w:val="20"/>
          <w:lang w:val="en-US"/>
        </w:rPr>
        <w:t xml:space="preserve">system </w:t>
      </w:r>
      <w:r w:rsidR="001446B2" w:rsidRPr="008A3740">
        <w:rPr>
          <w:rFonts w:ascii="Verdana" w:hAnsi="Verdana"/>
          <w:snapToGrid w:val="0"/>
          <w:sz w:val="20"/>
          <w:szCs w:val="20"/>
          <w:lang w:val="en-US"/>
        </w:rPr>
        <w:t xml:space="preserve">of </w:t>
      </w:r>
      <w:r w:rsidR="008E6A56" w:rsidRPr="008A3740">
        <w:rPr>
          <w:rFonts w:ascii="Verdana" w:hAnsi="Verdana"/>
          <w:snapToGrid w:val="0"/>
          <w:sz w:val="20"/>
          <w:szCs w:val="20"/>
          <w:lang w:val="en-US"/>
        </w:rPr>
        <w:t>privatized</w:t>
      </w:r>
      <w:r w:rsidR="001446B2" w:rsidRPr="008A3740">
        <w:rPr>
          <w:rFonts w:ascii="Verdana" w:hAnsi="Verdana"/>
          <w:snapToGrid w:val="0"/>
          <w:sz w:val="20"/>
          <w:szCs w:val="20"/>
          <w:lang w:val="en-US"/>
        </w:rPr>
        <w:t xml:space="preserve"> entities.</w:t>
      </w:r>
      <w:r w:rsidR="008E6A56" w:rsidRPr="008A3740">
        <w:rPr>
          <w:rStyle w:val="Refdenotaalpie"/>
          <w:snapToGrid w:val="0"/>
          <w:szCs w:val="20"/>
          <w:lang w:val="en-US"/>
        </w:rPr>
        <w:footnoteReference w:id="151"/>
      </w:r>
      <w:r w:rsidR="008E6A56" w:rsidRPr="008A3740">
        <w:rPr>
          <w:rFonts w:ascii="Verdana" w:hAnsi="Verdana"/>
          <w:snapToGrid w:val="0"/>
          <w:sz w:val="20"/>
          <w:szCs w:val="20"/>
          <w:lang w:val="en-US"/>
        </w:rPr>
        <w:t xml:space="preserve"> In this </w:t>
      </w:r>
      <w:r w:rsidR="008A1239" w:rsidRPr="008A3740">
        <w:rPr>
          <w:rFonts w:ascii="Verdana" w:hAnsi="Verdana"/>
          <w:snapToGrid w:val="0"/>
          <w:sz w:val="20"/>
          <w:szCs w:val="20"/>
          <w:lang w:val="en-US"/>
        </w:rPr>
        <w:t>regard</w:t>
      </w:r>
      <w:r w:rsidR="008E6A56" w:rsidRPr="008A3740">
        <w:rPr>
          <w:rFonts w:ascii="Verdana" w:hAnsi="Verdana"/>
          <w:snapToGrid w:val="0"/>
          <w:sz w:val="20"/>
          <w:szCs w:val="20"/>
          <w:lang w:val="en-US"/>
        </w:rPr>
        <w:t xml:space="preserve">, the Court </w:t>
      </w:r>
      <w:r w:rsidR="00122E2D" w:rsidRPr="008A3740">
        <w:rPr>
          <w:rFonts w:ascii="Verdana" w:hAnsi="Verdana"/>
          <w:snapToGrid w:val="0"/>
          <w:sz w:val="20"/>
          <w:szCs w:val="20"/>
          <w:lang w:val="en-US"/>
        </w:rPr>
        <w:t xml:space="preserve">understands </w:t>
      </w:r>
      <w:r w:rsidR="008E6A56" w:rsidRPr="008A3740">
        <w:rPr>
          <w:rFonts w:ascii="Verdana" w:hAnsi="Verdana"/>
          <w:snapToGrid w:val="0"/>
          <w:sz w:val="20"/>
          <w:szCs w:val="20"/>
          <w:lang w:val="en-US"/>
        </w:rPr>
        <w:t xml:space="preserve">that the </w:t>
      </w:r>
      <w:r w:rsidR="00B90A86" w:rsidRPr="008A3740">
        <w:rPr>
          <w:rFonts w:ascii="Verdana" w:hAnsi="Verdana"/>
          <w:snapToGrid w:val="0"/>
          <w:sz w:val="20"/>
          <w:szCs w:val="20"/>
          <w:lang w:val="en-US"/>
        </w:rPr>
        <w:t>MEF should have attended</w:t>
      </w:r>
      <w:r w:rsidR="00886E7C" w:rsidRPr="008A3740">
        <w:rPr>
          <w:rFonts w:ascii="Verdana" w:hAnsi="Verdana"/>
          <w:snapToGrid w:val="0"/>
          <w:sz w:val="20"/>
          <w:szCs w:val="20"/>
          <w:lang w:val="en-US"/>
        </w:rPr>
        <w:t xml:space="preserve"> the proceeding </w:t>
      </w:r>
      <w:r w:rsidR="00886E7C" w:rsidRPr="008A3740">
        <w:rPr>
          <w:rFonts w:ascii="Verdana" w:hAnsi="Verdana"/>
          <w:i/>
          <w:snapToGrid w:val="0"/>
          <w:sz w:val="20"/>
          <w:szCs w:val="20"/>
          <w:lang w:val="en-US"/>
        </w:rPr>
        <w:t>ex officio</w:t>
      </w:r>
      <w:r w:rsidR="008E6A56" w:rsidRPr="008A3740">
        <w:rPr>
          <w:rFonts w:ascii="Verdana" w:hAnsi="Verdana"/>
          <w:snapToGrid w:val="0"/>
          <w:sz w:val="20"/>
          <w:szCs w:val="20"/>
          <w:lang w:val="en-US"/>
        </w:rPr>
        <w:t xml:space="preserve"> </w:t>
      </w:r>
      <w:r w:rsidR="008A1239" w:rsidRPr="008A3740">
        <w:rPr>
          <w:rFonts w:ascii="Verdana" w:hAnsi="Verdana"/>
          <w:snapToGrid w:val="0"/>
          <w:sz w:val="20"/>
          <w:szCs w:val="20"/>
          <w:lang w:val="en-US"/>
        </w:rPr>
        <w:t xml:space="preserve">at </w:t>
      </w:r>
      <w:r w:rsidR="008E6A56" w:rsidRPr="008A3740">
        <w:rPr>
          <w:rFonts w:ascii="Verdana" w:hAnsi="Verdana"/>
          <w:snapToGrid w:val="0"/>
          <w:sz w:val="20"/>
          <w:szCs w:val="20"/>
          <w:lang w:val="en-US"/>
        </w:rPr>
        <w:t xml:space="preserve">the </w:t>
      </w:r>
      <w:r w:rsidR="00713A8B" w:rsidRPr="008A3740">
        <w:rPr>
          <w:rFonts w:ascii="Verdana" w:hAnsi="Verdana"/>
          <w:snapToGrid w:val="0"/>
          <w:sz w:val="20"/>
          <w:szCs w:val="20"/>
          <w:lang w:val="en-US"/>
        </w:rPr>
        <w:t xml:space="preserve">appropriate </w:t>
      </w:r>
      <w:r w:rsidR="008A1239" w:rsidRPr="008A3740">
        <w:rPr>
          <w:rFonts w:ascii="Verdana" w:hAnsi="Verdana"/>
          <w:snapToGrid w:val="0"/>
          <w:sz w:val="20"/>
          <w:szCs w:val="20"/>
          <w:lang w:val="en-US"/>
        </w:rPr>
        <w:t>opportunity</w:t>
      </w:r>
      <w:r w:rsidR="008E6A56" w:rsidRPr="008A3740">
        <w:rPr>
          <w:rFonts w:ascii="Verdana" w:hAnsi="Verdana"/>
          <w:snapToGrid w:val="0"/>
          <w:sz w:val="20"/>
          <w:szCs w:val="20"/>
          <w:lang w:val="en-US"/>
        </w:rPr>
        <w:t xml:space="preserve">, </w:t>
      </w:r>
      <w:r w:rsidR="008A1239" w:rsidRPr="008A3740">
        <w:rPr>
          <w:rFonts w:ascii="Verdana" w:hAnsi="Verdana"/>
          <w:snapToGrid w:val="0"/>
          <w:sz w:val="20"/>
          <w:szCs w:val="20"/>
          <w:lang w:val="en-US"/>
        </w:rPr>
        <w:t xml:space="preserve">pursuant to </w:t>
      </w:r>
      <w:r w:rsidR="008E6A56" w:rsidRPr="008A3740">
        <w:rPr>
          <w:rFonts w:ascii="Verdana" w:hAnsi="Verdana"/>
          <w:snapToGrid w:val="0"/>
          <w:sz w:val="20"/>
          <w:szCs w:val="20"/>
          <w:lang w:val="en-US"/>
        </w:rPr>
        <w:t xml:space="preserve">the </w:t>
      </w:r>
      <w:r w:rsidR="00713A8B" w:rsidRPr="008A3740">
        <w:rPr>
          <w:rFonts w:ascii="Verdana" w:hAnsi="Verdana"/>
          <w:snapToGrid w:val="0"/>
          <w:sz w:val="20"/>
          <w:szCs w:val="20"/>
          <w:lang w:val="en-US"/>
        </w:rPr>
        <w:t>existing legislation</w:t>
      </w:r>
      <w:r w:rsidR="008E6A56" w:rsidRPr="008A3740">
        <w:rPr>
          <w:rFonts w:ascii="Verdana" w:hAnsi="Verdana"/>
          <w:snapToGrid w:val="0"/>
          <w:sz w:val="20"/>
          <w:szCs w:val="20"/>
          <w:lang w:val="en-US"/>
        </w:rPr>
        <w:t xml:space="preserve">, </w:t>
      </w:r>
      <w:r w:rsidR="00886E7C" w:rsidRPr="008A3740">
        <w:rPr>
          <w:rFonts w:ascii="Verdana" w:hAnsi="Verdana"/>
          <w:snapToGrid w:val="0"/>
          <w:sz w:val="20"/>
          <w:szCs w:val="20"/>
          <w:lang w:val="en-US"/>
        </w:rPr>
        <w:t xml:space="preserve">as </w:t>
      </w:r>
      <w:r w:rsidR="008A1239" w:rsidRPr="008A3740">
        <w:rPr>
          <w:rFonts w:ascii="Verdana" w:hAnsi="Verdana"/>
          <w:snapToGrid w:val="0"/>
          <w:sz w:val="20"/>
          <w:szCs w:val="20"/>
          <w:lang w:val="en-US"/>
        </w:rPr>
        <w:t xml:space="preserve">it </w:t>
      </w:r>
      <w:r w:rsidR="008E6A56" w:rsidRPr="008A3740">
        <w:rPr>
          <w:rFonts w:ascii="Verdana" w:hAnsi="Verdana"/>
          <w:snapToGrid w:val="0"/>
          <w:sz w:val="20"/>
          <w:szCs w:val="20"/>
          <w:lang w:val="en-US"/>
        </w:rPr>
        <w:t>effective</w:t>
      </w:r>
      <w:r w:rsidR="009C26FB" w:rsidRPr="008A3740">
        <w:rPr>
          <w:rFonts w:ascii="Verdana" w:hAnsi="Verdana"/>
          <w:snapToGrid w:val="0"/>
          <w:sz w:val="20"/>
          <w:szCs w:val="20"/>
          <w:lang w:val="en-US"/>
        </w:rPr>
        <w:t xml:space="preserve">ly </w:t>
      </w:r>
      <w:r w:rsidR="008A1239" w:rsidRPr="008A3740">
        <w:rPr>
          <w:rFonts w:ascii="Verdana" w:hAnsi="Verdana"/>
          <w:snapToGrid w:val="0"/>
          <w:sz w:val="20"/>
          <w:szCs w:val="20"/>
          <w:lang w:val="en-US"/>
        </w:rPr>
        <w:t xml:space="preserve">did following the resolution of </w:t>
      </w:r>
      <w:r w:rsidR="008E6A56" w:rsidRPr="008A3740">
        <w:rPr>
          <w:rFonts w:ascii="Verdana" w:hAnsi="Verdana"/>
          <w:snapToGrid w:val="0"/>
          <w:sz w:val="20"/>
          <w:szCs w:val="20"/>
          <w:lang w:val="en-US"/>
        </w:rPr>
        <w:t xml:space="preserve">July 30, 1996, </w:t>
      </w:r>
      <w:r w:rsidR="0009568F" w:rsidRPr="008A3740">
        <w:rPr>
          <w:rFonts w:ascii="Verdana" w:hAnsi="Verdana"/>
          <w:snapToGrid w:val="0"/>
          <w:sz w:val="20"/>
          <w:szCs w:val="20"/>
          <w:lang w:val="en-US"/>
        </w:rPr>
        <w:t xml:space="preserve">in </w:t>
      </w:r>
      <w:r w:rsidR="008E6A56" w:rsidRPr="008A3740">
        <w:rPr>
          <w:rFonts w:ascii="Verdana" w:hAnsi="Verdana"/>
          <w:snapToGrid w:val="0"/>
          <w:sz w:val="20"/>
          <w:szCs w:val="20"/>
          <w:lang w:val="en-US"/>
        </w:rPr>
        <w:t xml:space="preserve">which the Administrative </w:t>
      </w:r>
      <w:r w:rsidR="00713A8B" w:rsidRPr="008A3740">
        <w:rPr>
          <w:rFonts w:ascii="Verdana" w:hAnsi="Verdana"/>
          <w:snapToGrid w:val="0"/>
          <w:sz w:val="20"/>
          <w:szCs w:val="20"/>
          <w:lang w:val="en-US"/>
        </w:rPr>
        <w:t xml:space="preserve">Chamber </w:t>
      </w:r>
      <w:r w:rsidR="001E7323" w:rsidRPr="008A3740">
        <w:rPr>
          <w:rFonts w:ascii="Verdana" w:hAnsi="Verdana"/>
          <w:snapToGrid w:val="0"/>
          <w:sz w:val="20"/>
          <w:szCs w:val="20"/>
          <w:lang w:val="en-US"/>
        </w:rPr>
        <w:t>requested</w:t>
      </w:r>
      <w:r w:rsidR="008E6A56" w:rsidRPr="008A3740">
        <w:rPr>
          <w:rFonts w:ascii="Verdana" w:hAnsi="Verdana"/>
          <w:snapToGrid w:val="0"/>
          <w:sz w:val="20"/>
          <w:szCs w:val="20"/>
          <w:lang w:val="en-US"/>
        </w:rPr>
        <w:t xml:space="preserve"> the </w:t>
      </w:r>
      <w:r w:rsidR="001446B2" w:rsidRPr="008A3740">
        <w:rPr>
          <w:rFonts w:ascii="Verdana" w:hAnsi="Verdana"/>
          <w:snapToGrid w:val="0"/>
          <w:sz w:val="20"/>
          <w:szCs w:val="20"/>
          <w:lang w:val="en-US"/>
        </w:rPr>
        <w:t>attendance</w:t>
      </w:r>
      <w:r w:rsidR="008E6A56" w:rsidRPr="008A3740">
        <w:rPr>
          <w:rFonts w:ascii="Verdana" w:hAnsi="Verdana"/>
          <w:snapToGrid w:val="0"/>
          <w:sz w:val="20"/>
          <w:szCs w:val="20"/>
          <w:lang w:val="en-US"/>
        </w:rPr>
        <w:t xml:space="preserve"> of  the ONP a</w:t>
      </w:r>
      <w:r w:rsidR="008A1239" w:rsidRPr="008A3740">
        <w:rPr>
          <w:rFonts w:ascii="Verdana" w:hAnsi="Verdana"/>
          <w:snapToGrid w:val="0"/>
          <w:sz w:val="20"/>
          <w:szCs w:val="20"/>
          <w:lang w:val="en-US"/>
        </w:rPr>
        <w:t>t</w:t>
      </w:r>
      <w:r w:rsidR="008E6A56" w:rsidRPr="008A3740">
        <w:rPr>
          <w:rFonts w:ascii="Verdana" w:hAnsi="Verdana"/>
          <w:snapToGrid w:val="0"/>
          <w:sz w:val="20"/>
          <w:szCs w:val="20"/>
          <w:lang w:val="en-US"/>
        </w:rPr>
        <w:t xml:space="preserve"> said proce</w:t>
      </w:r>
      <w:r w:rsidR="008A1239" w:rsidRPr="008A3740">
        <w:rPr>
          <w:rFonts w:ascii="Verdana" w:hAnsi="Verdana"/>
          <w:snapToGrid w:val="0"/>
          <w:sz w:val="20"/>
          <w:szCs w:val="20"/>
          <w:lang w:val="en-US"/>
        </w:rPr>
        <w:t xml:space="preserve">eding </w:t>
      </w:r>
      <w:r w:rsidR="008E6A56" w:rsidRPr="008A3740">
        <w:rPr>
          <w:rFonts w:ascii="Verdana" w:hAnsi="Verdana"/>
          <w:snapToGrid w:val="0"/>
          <w:sz w:val="20"/>
          <w:szCs w:val="20"/>
          <w:lang w:val="en-US"/>
        </w:rPr>
        <w:t>(</w:t>
      </w:r>
      <w:r w:rsidR="008E6A56" w:rsidRPr="008A3740">
        <w:rPr>
          <w:rFonts w:ascii="Verdana" w:hAnsi="Verdana"/>
          <w:i/>
          <w:snapToGrid w:val="0"/>
          <w:sz w:val="20"/>
          <w:szCs w:val="20"/>
          <w:lang w:val="en-US"/>
        </w:rPr>
        <w:t xml:space="preserve">supra </w:t>
      </w:r>
      <w:r w:rsidR="008E6A56" w:rsidRPr="008A3740">
        <w:rPr>
          <w:rFonts w:ascii="Verdana" w:hAnsi="Verdana"/>
          <w:snapToGrid w:val="0"/>
          <w:sz w:val="20"/>
          <w:szCs w:val="20"/>
          <w:lang w:val="en-US"/>
        </w:rPr>
        <w:t xml:space="preserve">para. 70). </w:t>
      </w:r>
      <w:r w:rsidR="00886E7C" w:rsidRPr="008A3740">
        <w:rPr>
          <w:rFonts w:ascii="Verdana" w:hAnsi="Verdana"/>
          <w:snapToGrid w:val="0"/>
          <w:sz w:val="20"/>
          <w:szCs w:val="20"/>
          <w:lang w:val="en-US"/>
        </w:rPr>
        <w:t>Furthermore</w:t>
      </w:r>
      <w:r w:rsidR="008E6A56" w:rsidRPr="008A3740">
        <w:rPr>
          <w:rFonts w:ascii="Verdana" w:hAnsi="Verdana"/>
          <w:snapToGrid w:val="0"/>
          <w:sz w:val="20"/>
          <w:szCs w:val="20"/>
          <w:lang w:val="en-US"/>
        </w:rPr>
        <w:t xml:space="preserve">, the Court </w:t>
      </w:r>
      <w:r w:rsidR="001446B2" w:rsidRPr="008A3740">
        <w:rPr>
          <w:rFonts w:ascii="Verdana" w:hAnsi="Verdana"/>
          <w:snapToGrid w:val="0"/>
          <w:sz w:val="20"/>
          <w:szCs w:val="20"/>
          <w:lang w:val="en-US"/>
        </w:rPr>
        <w:t xml:space="preserve">finds </w:t>
      </w:r>
      <w:r w:rsidR="008E6A56" w:rsidRPr="008A3740">
        <w:rPr>
          <w:rFonts w:ascii="Verdana" w:hAnsi="Verdana"/>
          <w:snapToGrid w:val="0"/>
          <w:sz w:val="20"/>
          <w:szCs w:val="20"/>
          <w:lang w:val="en-US"/>
        </w:rPr>
        <w:t xml:space="preserve">that </w:t>
      </w:r>
      <w:r w:rsidR="001446B2" w:rsidRPr="008A3740">
        <w:rPr>
          <w:rFonts w:ascii="Verdana" w:hAnsi="Verdana"/>
          <w:snapToGrid w:val="0"/>
          <w:sz w:val="20"/>
          <w:szCs w:val="20"/>
          <w:lang w:val="en-US"/>
        </w:rPr>
        <w:t xml:space="preserve">it </w:t>
      </w:r>
      <w:r w:rsidR="008E6A56" w:rsidRPr="008A3740">
        <w:rPr>
          <w:rFonts w:ascii="Verdana" w:hAnsi="Verdana"/>
          <w:snapToGrid w:val="0"/>
          <w:sz w:val="20"/>
          <w:szCs w:val="20"/>
          <w:lang w:val="en-US"/>
        </w:rPr>
        <w:t>was the State</w:t>
      </w:r>
      <w:r w:rsidR="001446B2" w:rsidRPr="008A3740">
        <w:rPr>
          <w:rFonts w:ascii="Verdana" w:hAnsi="Verdana"/>
          <w:snapToGrid w:val="0"/>
          <w:sz w:val="20"/>
          <w:szCs w:val="20"/>
          <w:lang w:val="en-US"/>
        </w:rPr>
        <w:t xml:space="preserve"> itself</w:t>
      </w:r>
      <w:r w:rsidR="008E6A56" w:rsidRPr="008A3740">
        <w:rPr>
          <w:rFonts w:ascii="Verdana" w:hAnsi="Verdana"/>
          <w:snapToGrid w:val="0"/>
          <w:sz w:val="20"/>
          <w:szCs w:val="20"/>
          <w:lang w:val="en-US"/>
        </w:rPr>
        <w:t xml:space="preserve">, through </w:t>
      </w:r>
      <w:r w:rsidR="001446B2" w:rsidRPr="008A3740">
        <w:rPr>
          <w:rFonts w:ascii="Verdana" w:hAnsi="Verdana"/>
          <w:snapToGrid w:val="0"/>
          <w:sz w:val="20"/>
          <w:szCs w:val="20"/>
          <w:lang w:val="en-US"/>
        </w:rPr>
        <w:t>its</w:t>
      </w:r>
      <w:r w:rsidR="008E6A56" w:rsidRPr="008A3740">
        <w:rPr>
          <w:rFonts w:ascii="Verdana" w:hAnsi="Verdana"/>
          <w:snapToGrid w:val="0"/>
          <w:sz w:val="20"/>
          <w:szCs w:val="20"/>
          <w:lang w:val="en-US"/>
        </w:rPr>
        <w:t xml:space="preserve"> </w:t>
      </w:r>
      <w:r w:rsidR="001446B2" w:rsidRPr="008A3740">
        <w:rPr>
          <w:rFonts w:ascii="Verdana" w:hAnsi="Verdana"/>
          <w:snapToGrid w:val="0"/>
          <w:sz w:val="20"/>
          <w:szCs w:val="20"/>
          <w:lang w:val="en-US"/>
        </w:rPr>
        <w:t xml:space="preserve">public </w:t>
      </w:r>
      <w:r w:rsidR="008E6A56" w:rsidRPr="008A3740">
        <w:rPr>
          <w:rFonts w:ascii="Verdana" w:hAnsi="Verdana"/>
          <w:snapToGrid w:val="0"/>
          <w:sz w:val="20"/>
          <w:szCs w:val="20"/>
          <w:lang w:val="en-US"/>
        </w:rPr>
        <w:t>institutions</w:t>
      </w:r>
      <w:r w:rsidR="001446B2" w:rsidRPr="008A3740">
        <w:rPr>
          <w:rFonts w:ascii="Verdana" w:hAnsi="Verdana"/>
          <w:snapToGrid w:val="0"/>
          <w:sz w:val="20"/>
          <w:szCs w:val="20"/>
          <w:lang w:val="en-US"/>
        </w:rPr>
        <w:t>,</w:t>
      </w:r>
      <w:r w:rsidR="00713A8B" w:rsidRPr="008A3740">
        <w:rPr>
          <w:rFonts w:ascii="Verdana" w:hAnsi="Verdana"/>
          <w:snapToGrid w:val="0"/>
          <w:sz w:val="20"/>
          <w:szCs w:val="20"/>
          <w:lang w:val="en-US"/>
        </w:rPr>
        <w:t xml:space="preserve"> </w:t>
      </w:r>
      <w:r w:rsidR="00B90A86" w:rsidRPr="008A3740">
        <w:rPr>
          <w:rFonts w:ascii="Verdana" w:hAnsi="Verdana"/>
          <w:snapToGrid w:val="0"/>
          <w:sz w:val="20"/>
          <w:szCs w:val="20"/>
          <w:lang w:val="en-US"/>
        </w:rPr>
        <w:t xml:space="preserve">which </w:t>
      </w:r>
      <w:r w:rsidR="00713A8B" w:rsidRPr="008A3740">
        <w:rPr>
          <w:rFonts w:ascii="Verdana" w:hAnsi="Verdana"/>
          <w:snapToGrid w:val="0"/>
          <w:sz w:val="20"/>
          <w:szCs w:val="20"/>
          <w:lang w:val="en-US"/>
        </w:rPr>
        <w:t>provided information to</w:t>
      </w:r>
      <w:r w:rsidR="008E6A56" w:rsidRPr="008A3740">
        <w:rPr>
          <w:rFonts w:ascii="Verdana" w:hAnsi="Verdana"/>
          <w:snapToGrid w:val="0"/>
          <w:sz w:val="20"/>
          <w:szCs w:val="20"/>
          <w:lang w:val="en-US"/>
        </w:rPr>
        <w:t xml:space="preserve"> the vi</w:t>
      </w:r>
      <w:r w:rsidR="00713A8B" w:rsidRPr="008A3740">
        <w:rPr>
          <w:rFonts w:ascii="Verdana" w:hAnsi="Verdana"/>
          <w:snapToGrid w:val="0"/>
          <w:sz w:val="20"/>
          <w:szCs w:val="20"/>
          <w:lang w:val="en-US"/>
        </w:rPr>
        <w:t xml:space="preserve">ctim that led him to </w:t>
      </w:r>
      <w:r w:rsidR="008A1239" w:rsidRPr="008A3740">
        <w:rPr>
          <w:rFonts w:ascii="Verdana" w:hAnsi="Verdana"/>
          <w:snapToGrid w:val="0"/>
          <w:sz w:val="20"/>
          <w:szCs w:val="20"/>
          <w:lang w:val="en-US"/>
        </w:rPr>
        <w:t>c</w:t>
      </w:r>
      <w:r w:rsidR="00713A8B" w:rsidRPr="008A3740">
        <w:rPr>
          <w:rFonts w:ascii="Verdana" w:hAnsi="Verdana"/>
          <w:snapToGrid w:val="0"/>
          <w:sz w:val="20"/>
          <w:szCs w:val="20"/>
          <w:lang w:val="en-US"/>
        </w:rPr>
        <w:t>onsider</w:t>
      </w:r>
      <w:r w:rsidR="008E6A56" w:rsidRPr="008A3740">
        <w:rPr>
          <w:rFonts w:ascii="Verdana" w:hAnsi="Verdana"/>
          <w:snapToGrid w:val="0"/>
          <w:sz w:val="20"/>
          <w:szCs w:val="20"/>
          <w:lang w:val="en-US"/>
        </w:rPr>
        <w:t xml:space="preserve"> t</w:t>
      </w:r>
      <w:r w:rsidR="00713A8B" w:rsidRPr="008A3740">
        <w:rPr>
          <w:rFonts w:ascii="Verdana" w:hAnsi="Verdana"/>
          <w:snapToGrid w:val="0"/>
          <w:sz w:val="20"/>
          <w:szCs w:val="20"/>
          <w:lang w:val="en-US"/>
        </w:rPr>
        <w:t xml:space="preserve">hat the private company was </w:t>
      </w:r>
      <w:r w:rsidR="008E6A56" w:rsidRPr="008A3740">
        <w:rPr>
          <w:rFonts w:ascii="Verdana" w:hAnsi="Verdana"/>
          <w:snapToGrid w:val="0"/>
          <w:sz w:val="20"/>
          <w:szCs w:val="20"/>
          <w:lang w:val="en-US"/>
        </w:rPr>
        <w:t xml:space="preserve">responsible </w:t>
      </w:r>
      <w:r w:rsidR="00713A8B" w:rsidRPr="008A3740">
        <w:rPr>
          <w:rFonts w:ascii="Verdana" w:hAnsi="Verdana"/>
          <w:snapToGrid w:val="0"/>
          <w:sz w:val="20"/>
          <w:szCs w:val="20"/>
          <w:lang w:val="en-US"/>
        </w:rPr>
        <w:t xml:space="preserve">for paying </w:t>
      </w:r>
      <w:r w:rsidR="008E6A56" w:rsidRPr="008A3740">
        <w:rPr>
          <w:rFonts w:ascii="Verdana" w:hAnsi="Verdana"/>
          <w:snapToGrid w:val="0"/>
          <w:sz w:val="20"/>
          <w:szCs w:val="20"/>
          <w:lang w:val="en-US"/>
        </w:rPr>
        <w:t xml:space="preserve">his pension. </w:t>
      </w:r>
      <w:r w:rsidR="00886E7C" w:rsidRPr="008A3740">
        <w:rPr>
          <w:rFonts w:ascii="Verdana" w:hAnsi="Verdana"/>
          <w:snapToGrid w:val="0"/>
          <w:sz w:val="20"/>
          <w:szCs w:val="20"/>
          <w:lang w:val="en-US"/>
        </w:rPr>
        <w:t>Indeed</w:t>
      </w:r>
      <w:r w:rsidR="008E6A56" w:rsidRPr="008A3740">
        <w:rPr>
          <w:rFonts w:ascii="Verdana" w:hAnsi="Verdana"/>
          <w:snapToGrid w:val="0"/>
          <w:sz w:val="20"/>
          <w:szCs w:val="20"/>
          <w:lang w:val="en-US"/>
        </w:rPr>
        <w:t xml:space="preserve">, both the ONP </w:t>
      </w:r>
      <w:r w:rsidR="00886E7C" w:rsidRPr="008A3740">
        <w:rPr>
          <w:rFonts w:ascii="Verdana" w:hAnsi="Verdana"/>
          <w:snapToGrid w:val="0"/>
          <w:sz w:val="20"/>
          <w:szCs w:val="20"/>
          <w:lang w:val="en-US"/>
        </w:rPr>
        <w:t xml:space="preserve">and </w:t>
      </w:r>
      <w:r w:rsidR="008E6A56" w:rsidRPr="008A3740">
        <w:rPr>
          <w:rFonts w:ascii="Verdana" w:hAnsi="Verdana"/>
          <w:snapToGrid w:val="0"/>
          <w:sz w:val="20"/>
          <w:szCs w:val="20"/>
          <w:lang w:val="en-US"/>
        </w:rPr>
        <w:t>the ME</w:t>
      </w:r>
      <w:r w:rsidR="00886E7C" w:rsidRPr="008A3740">
        <w:rPr>
          <w:rFonts w:ascii="Verdana" w:hAnsi="Verdana"/>
          <w:snapToGrid w:val="0"/>
          <w:sz w:val="20"/>
          <w:szCs w:val="20"/>
          <w:lang w:val="en-US"/>
        </w:rPr>
        <w:t xml:space="preserve">F received Mr. Muelle Flores’ notarized letters </w:t>
      </w:r>
      <w:r w:rsidR="008E6A56" w:rsidRPr="008A3740">
        <w:rPr>
          <w:rFonts w:ascii="Verdana" w:hAnsi="Verdana"/>
          <w:snapToGrid w:val="0"/>
          <w:sz w:val="20"/>
          <w:szCs w:val="20"/>
          <w:lang w:val="en-US"/>
        </w:rPr>
        <w:t xml:space="preserve">requesting information </w:t>
      </w:r>
      <w:r w:rsidR="008A1239" w:rsidRPr="008A3740">
        <w:rPr>
          <w:rFonts w:ascii="Verdana" w:hAnsi="Verdana"/>
          <w:snapToGrid w:val="0"/>
          <w:sz w:val="20"/>
          <w:szCs w:val="20"/>
          <w:lang w:val="en-US"/>
        </w:rPr>
        <w:t xml:space="preserve">concerning </w:t>
      </w:r>
      <w:r w:rsidR="008E6A56" w:rsidRPr="008A3740">
        <w:rPr>
          <w:rFonts w:ascii="Verdana" w:hAnsi="Verdana"/>
          <w:snapToGrid w:val="0"/>
          <w:sz w:val="20"/>
          <w:szCs w:val="20"/>
          <w:lang w:val="en-US"/>
        </w:rPr>
        <w:t xml:space="preserve">the </w:t>
      </w:r>
      <w:r w:rsidR="008A1239" w:rsidRPr="008A3740">
        <w:rPr>
          <w:rFonts w:ascii="Verdana" w:hAnsi="Verdana"/>
          <w:snapToGrid w:val="0"/>
          <w:sz w:val="20"/>
          <w:szCs w:val="20"/>
          <w:lang w:val="en-US"/>
        </w:rPr>
        <w:t xml:space="preserve">entity </w:t>
      </w:r>
      <w:r w:rsidR="008E6A56" w:rsidRPr="008A3740">
        <w:rPr>
          <w:rFonts w:ascii="Verdana" w:hAnsi="Verdana"/>
          <w:snapToGrid w:val="0"/>
          <w:sz w:val="20"/>
          <w:szCs w:val="20"/>
          <w:lang w:val="en-US"/>
        </w:rPr>
        <w:t xml:space="preserve">responsible </w:t>
      </w:r>
      <w:r w:rsidR="008A1239" w:rsidRPr="008A3740">
        <w:rPr>
          <w:rFonts w:ascii="Verdana" w:hAnsi="Verdana"/>
          <w:snapToGrid w:val="0"/>
          <w:sz w:val="20"/>
          <w:szCs w:val="20"/>
          <w:lang w:val="en-US"/>
        </w:rPr>
        <w:t>for paying his pension,</w:t>
      </w:r>
      <w:r w:rsidR="008E6A56" w:rsidRPr="008A3740">
        <w:rPr>
          <w:rFonts w:ascii="Verdana" w:hAnsi="Verdana"/>
          <w:snapToGrid w:val="0"/>
          <w:sz w:val="20"/>
          <w:szCs w:val="20"/>
          <w:lang w:val="en-US"/>
        </w:rPr>
        <w:t xml:space="preserve"> and </w:t>
      </w:r>
      <w:r w:rsidR="00886E7C" w:rsidRPr="008A3740">
        <w:rPr>
          <w:rFonts w:ascii="Verdana" w:hAnsi="Verdana"/>
          <w:snapToGrid w:val="0"/>
          <w:sz w:val="20"/>
          <w:szCs w:val="20"/>
          <w:lang w:val="en-US"/>
        </w:rPr>
        <w:t xml:space="preserve">both </w:t>
      </w:r>
      <w:r w:rsidR="008A1239" w:rsidRPr="008A3740">
        <w:rPr>
          <w:rFonts w:ascii="Verdana" w:hAnsi="Verdana"/>
          <w:snapToGrid w:val="0"/>
          <w:sz w:val="20"/>
          <w:szCs w:val="20"/>
          <w:lang w:val="en-US"/>
        </w:rPr>
        <w:t xml:space="preserve">of these </w:t>
      </w:r>
      <w:r w:rsidR="00886E7C" w:rsidRPr="008A3740">
        <w:rPr>
          <w:rFonts w:ascii="Verdana" w:hAnsi="Verdana"/>
          <w:snapToGrid w:val="0"/>
          <w:sz w:val="20"/>
          <w:szCs w:val="20"/>
          <w:lang w:val="en-US"/>
        </w:rPr>
        <w:t>St</w:t>
      </w:r>
      <w:r w:rsidR="00713A8B" w:rsidRPr="008A3740">
        <w:rPr>
          <w:rFonts w:ascii="Verdana" w:hAnsi="Verdana"/>
          <w:snapToGrid w:val="0"/>
          <w:sz w:val="20"/>
          <w:szCs w:val="20"/>
          <w:lang w:val="en-US"/>
        </w:rPr>
        <w:t>at</w:t>
      </w:r>
      <w:r w:rsidR="00886E7C" w:rsidRPr="008A3740">
        <w:rPr>
          <w:rFonts w:ascii="Verdana" w:hAnsi="Verdana"/>
          <w:snapToGrid w:val="0"/>
          <w:sz w:val="20"/>
          <w:szCs w:val="20"/>
          <w:lang w:val="en-US"/>
        </w:rPr>
        <w:t xml:space="preserve">e </w:t>
      </w:r>
      <w:r w:rsidR="008A1239" w:rsidRPr="008A3740">
        <w:rPr>
          <w:rFonts w:ascii="Verdana" w:hAnsi="Verdana"/>
          <w:snapToGrid w:val="0"/>
          <w:sz w:val="20"/>
          <w:szCs w:val="20"/>
          <w:lang w:val="en-US"/>
        </w:rPr>
        <w:t xml:space="preserve">institutions claimed </w:t>
      </w:r>
      <w:r w:rsidR="008E6A56" w:rsidRPr="008A3740">
        <w:rPr>
          <w:rFonts w:ascii="Verdana" w:hAnsi="Verdana"/>
          <w:snapToGrid w:val="0"/>
          <w:sz w:val="20"/>
          <w:szCs w:val="20"/>
          <w:lang w:val="en-US"/>
        </w:rPr>
        <w:t xml:space="preserve">that </w:t>
      </w:r>
      <w:r w:rsidR="00B90A86" w:rsidRPr="008A3740">
        <w:rPr>
          <w:rFonts w:ascii="Verdana" w:hAnsi="Verdana"/>
          <w:snapToGrid w:val="0"/>
          <w:sz w:val="20"/>
          <w:szCs w:val="20"/>
          <w:lang w:val="en-US"/>
        </w:rPr>
        <w:t xml:space="preserve">this </w:t>
      </w:r>
      <w:r w:rsidR="008E6A56" w:rsidRPr="008A3740">
        <w:rPr>
          <w:rFonts w:ascii="Verdana" w:hAnsi="Verdana"/>
          <w:snapToGrid w:val="0"/>
          <w:sz w:val="20"/>
          <w:szCs w:val="20"/>
          <w:lang w:val="en-US"/>
        </w:rPr>
        <w:t>responsibility</w:t>
      </w:r>
      <w:r w:rsidR="008A1239" w:rsidRPr="008A3740">
        <w:rPr>
          <w:rFonts w:ascii="Verdana" w:hAnsi="Verdana"/>
          <w:snapToGrid w:val="0"/>
          <w:sz w:val="20"/>
          <w:szCs w:val="20"/>
          <w:lang w:val="en-US"/>
        </w:rPr>
        <w:t xml:space="preserve"> did not fall on</w:t>
      </w:r>
      <w:r w:rsidR="00B90A86" w:rsidRPr="008A3740">
        <w:rPr>
          <w:rFonts w:ascii="Verdana" w:hAnsi="Verdana"/>
          <w:snapToGrid w:val="0"/>
          <w:sz w:val="20"/>
          <w:szCs w:val="20"/>
          <w:lang w:val="en-US"/>
        </w:rPr>
        <w:t xml:space="preserve"> them</w:t>
      </w:r>
      <w:r w:rsidR="008E6A56" w:rsidRPr="008A3740">
        <w:rPr>
          <w:rFonts w:ascii="Verdana" w:hAnsi="Verdana"/>
          <w:snapToGrid w:val="0"/>
          <w:sz w:val="20"/>
          <w:szCs w:val="20"/>
          <w:lang w:val="en-US"/>
        </w:rPr>
        <w:t xml:space="preserve">, </w:t>
      </w:r>
      <w:r w:rsidR="00886E7C" w:rsidRPr="008A3740">
        <w:rPr>
          <w:rFonts w:ascii="Verdana" w:hAnsi="Verdana"/>
          <w:snapToGrid w:val="0"/>
          <w:sz w:val="20"/>
          <w:szCs w:val="20"/>
          <w:lang w:val="en-US"/>
        </w:rPr>
        <w:t xml:space="preserve">but </w:t>
      </w:r>
      <w:r w:rsidR="008E6A56" w:rsidRPr="008A3740">
        <w:rPr>
          <w:rFonts w:ascii="Verdana" w:hAnsi="Verdana"/>
          <w:snapToGrid w:val="0"/>
          <w:sz w:val="20"/>
          <w:szCs w:val="20"/>
          <w:lang w:val="en-US"/>
        </w:rPr>
        <w:t>on the company “</w:t>
      </w:r>
      <w:r w:rsidR="008A1239" w:rsidRPr="008A3740">
        <w:rPr>
          <w:rFonts w:ascii="Verdana" w:hAnsi="Verdana"/>
          <w:snapToGrid w:val="0"/>
          <w:sz w:val="20"/>
          <w:szCs w:val="20"/>
          <w:lang w:val="en-US"/>
        </w:rPr>
        <w:t>that</w:t>
      </w:r>
      <w:r w:rsidR="00713A8B" w:rsidRPr="008A3740">
        <w:rPr>
          <w:rFonts w:ascii="Verdana" w:hAnsi="Verdana"/>
          <w:snapToGrid w:val="0"/>
          <w:sz w:val="20"/>
          <w:szCs w:val="20"/>
          <w:lang w:val="en-US"/>
        </w:rPr>
        <w:t xml:space="preserve"> paid his pension</w:t>
      </w:r>
      <w:r w:rsidR="008E6A56" w:rsidRPr="008A3740">
        <w:rPr>
          <w:rFonts w:ascii="Verdana" w:hAnsi="Verdana"/>
          <w:snapToGrid w:val="0"/>
          <w:sz w:val="20"/>
          <w:szCs w:val="20"/>
          <w:lang w:val="en-US"/>
        </w:rPr>
        <w:t>” or the “</w:t>
      </w:r>
      <w:r w:rsidR="008A1239" w:rsidRPr="008A3740">
        <w:rPr>
          <w:rFonts w:ascii="Verdana" w:hAnsi="Verdana"/>
          <w:i/>
          <w:snapToGrid w:val="0"/>
          <w:sz w:val="20"/>
          <w:szCs w:val="20"/>
          <w:lang w:val="en-US"/>
        </w:rPr>
        <w:t xml:space="preserve">Empresa </w:t>
      </w:r>
      <w:r w:rsidR="008E6A56" w:rsidRPr="008A3740">
        <w:rPr>
          <w:rFonts w:ascii="Verdana" w:hAnsi="Verdana"/>
          <w:i/>
          <w:snapToGrid w:val="0"/>
          <w:sz w:val="20"/>
          <w:szCs w:val="20"/>
          <w:lang w:val="en-US"/>
        </w:rPr>
        <w:t>Minera Especial Tintaya</w:t>
      </w:r>
      <w:r w:rsidR="008E6A56" w:rsidRPr="008A3740">
        <w:rPr>
          <w:rFonts w:ascii="Verdana" w:hAnsi="Verdana"/>
          <w:snapToGrid w:val="0"/>
          <w:sz w:val="20"/>
          <w:szCs w:val="20"/>
          <w:lang w:val="en-US"/>
        </w:rPr>
        <w:t xml:space="preserve"> S.A.”, </w:t>
      </w:r>
      <w:r w:rsidR="00713A8B" w:rsidRPr="008A3740">
        <w:rPr>
          <w:rFonts w:ascii="Verdana" w:hAnsi="Verdana"/>
          <w:snapToGrid w:val="0"/>
          <w:sz w:val="20"/>
          <w:szCs w:val="20"/>
          <w:lang w:val="en-US"/>
        </w:rPr>
        <w:t>which no longer existed</w:t>
      </w:r>
      <w:r w:rsidR="008E6A56" w:rsidRPr="008A3740">
        <w:rPr>
          <w:rFonts w:ascii="Verdana" w:hAnsi="Verdana"/>
          <w:snapToGrid w:val="0"/>
          <w:sz w:val="20"/>
          <w:szCs w:val="20"/>
          <w:lang w:val="en-US"/>
        </w:rPr>
        <w:t xml:space="preserve"> </w:t>
      </w:r>
      <w:r w:rsidR="00886E7C" w:rsidRPr="008A3740">
        <w:rPr>
          <w:rFonts w:ascii="Verdana" w:hAnsi="Verdana"/>
          <w:snapToGrid w:val="0"/>
          <w:sz w:val="20"/>
          <w:szCs w:val="20"/>
          <w:lang w:val="en-US"/>
        </w:rPr>
        <w:t>as such at that time</w:t>
      </w:r>
      <w:r w:rsidR="008E6A56" w:rsidRPr="008A3740">
        <w:rPr>
          <w:rFonts w:ascii="Verdana" w:hAnsi="Verdana"/>
          <w:snapToGrid w:val="0"/>
          <w:sz w:val="20"/>
          <w:szCs w:val="20"/>
          <w:lang w:val="en-US"/>
        </w:rPr>
        <w:t xml:space="preserve">. </w:t>
      </w:r>
      <w:r w:rsidR="008E6A56" w:rsidRPr="008A3740">
        <w:rPr>
          <w:rFonts w:ascii="Verdana" w:hAnsi="Verdana"/>
          <w:snapToGrid w:val="0"/>
          <w:sz w:val="20"/>
          <w:szCs w:val="20"/>
          <w:lang w:val="en-US"/>
        </w:rPr>
        <w:lastRenderedPageBreak/>
        <w:t xml:space="preserve">Indeed, the MEF informed Mr. Muelle Flores that it was not responsible for </w:t>
      </w:r>
      <w:r w:rsidR="008A1239" w:rsidRPr="008A3740">
        <w:rPr>
          <w:rFonts w:ascii="Verdana" w:hAnsi="Verdana"/>
          <w:snapToGrid w:val="0"/>
          <w:sz w:val="20"/>
          <w:szCs w:val="20"/>
          <w:lang w:val="en-US"/>
        </w:rPr>
        <w:t xml:space="preserve">his pension </w:t>
      </w:r>
      <w:r w:rsidR="008E6A56" w:rsidRPr="008A3740">
        <w:rPr>
          <w:rFonts w:ascii="Verdana" w:hAnsi="Verdana"/>
          <w:snapToGrid w:val="0"/>
          <w:sz w:val="20"/>
          <w:szCs w:val="20"/>
          <w:lang w:val="en-US"/>
        </w:rPr>
        <w:t>payment</w:t>
      </w:r>
      <w:r w:rsidR="008A1239" w:rsidRPr="008A3740">
        <w:rPr>
          <w:rFonts w:ascii="Verdana" w:hAnsi="Verdana"/>
          <w:snapToGrid w:val="0"/>
          <w:sz w:val="20"/>
          <w:szCs w:val="20"/>
          <w:lang w:val="en-US"/>
        </w:rPr>
        <w:t>s</w:t>
      </w:r>
      <w:r w:rsidR="008E6A56" w:rsidRPr="008A3740">
        <w:rPr>
          <w:rFonts w:ascii="Verdana" w:hAnsi="Verdana"/>
          <w:snapToGrid w:val="0"/>
          <w:sz w:val="20"/>
          <w:szCs w:val="20"/>
          <w:lang w:val="en-US"/>
        </w:rPr>
        <w:t xml:space="preserve">, </w:t>
      </w:r>
      <w:r w:rsidR="008A1239" w:rsidRPr="008A3740">
        <w:rPr>
          <w:rFonts w:ascii="Verdana" w:hAnsi="Verdana"/>
          <w:snapToGrid w:val="0"/>
          <w:sz w:val="20"/>
          <w:szCs w:val="20"/>
          <w:lang w:val="en-US"/>
        </w:rPr>
        <w:t xml:space="preserve">despite the regulation adopted </w:t>
      </w:r>
      <w:r w:rsidR="008E6A56" w:rsidRPr="008A3740">
        <w:rPr>
          <w:rFonts w:ascii="Verdana" w:hAnsi="Verdana"/>
          <w:snapToGrid w:val="0"/>
          <w:sz w:val="20"/>
          <w:szCs w:val="20"/>
          <w:lang w:val="en-US"/>
        </w:rPr>
        <w:t xml:space="preserve">establishing that </w:t>
      </w:r>
      <w:r w:rsidR="00C73D7C" w:rsidRPr="008A3740">
        <w:rPr>
          <w:rFonts w:ascii="Verdana" w:hAnsi="Verdana"/>
          <w:snapToGrid w:val="0"/>
          <w:sz w:val="20"/>
          <w:szCs w:val="20"/>
          <w:lang w:val="en-US"/>
        </w:rPr>
        <w:t xml:space="preserve">this </w:t>
      </w:r>
      <w:r w:rsidR="008E6A56" w:rsidRPr="008A3740">
        <w:rPr>
          <w:rFonts w:ascii="Verdana" w:hAnsi="Verdana"/>
          <w:snapToGrid w:val="0"/>
          <w:sz w:val="20"/>
          <w:szCs w:val="20"/>
          <w:lang w:val="en-US"/>
        </w:rPr>
        <w:t xml:space="preserve">Ministry would be </w:t>
      </w:r>
      <w:r w:rsidR="00E41A9C" w:rsidRPr="008A3740">
        <w:rPr>
          <w:rFonts w:ascii="Verdana" w:hAnsi="Verdana"/>
          <w:snapToGrid w:val="0"/>
          <w:sz w:val="20"/>
          <w:szCs w:val="20"/>
          <w:lang w:val="en-US"/>
        </w:rPr>
        <w:t xml:space="preserve">responsible for </w:t>
      </w:r>
      <w:r w:rsidR="008A1239" w:rsidRPr="008A3740">
        <w:rPr>
          <w:rFonts w:ascii="Verdana" w:hAnsi="Verdana"/>
          <w:snapToGrid w:val="0"/>
          <w:sz w:val="20"/>
          <w:szCs w:val="20"/>
          <w:lang w:val="en-US"/>
        </w:rPr>
        <w:t xml:space="preserve">administering and paying </w:t>
      </w:r>
      <w:r w:rsidR="008E6A56" w:rsidRPr="008A3740">
        <w:rPr>
          <w:rFonts w:ascii="Verdana" w:hAnsi="Verdana"/>
          <w:snapToGrid w:val="0"/>
          <w:sz w:val="20"/>
          <w:szCs w:val="20"/>
          <w:lang w:val="en-US"/>
        </w:rPr>
        <w:t xml:space="preserve">the </w:t>
      </w:r>
      <w:r w:rsidR="00E41A9C" w:rsidRPr="008A3740">
        <w:rPr>
          <w:rFonts w:ascii="Verdana" w:hAnsi="Verdana"/>
          <w:snapToGrid w:val="0"/>
          <w:sz w:val="20"/>
          <w:szCs w:val="20"/>
          <w:lang w:val="en-US"/>
        </w:rPr>
        <w:t xml:space="preserve">pensions of </w:t>
      </w:r>
      <w:r w:rsidR="008A1239" w:rsidRPr="008A3740">
        <w:rPr>
          <w:rFonts w:ascii="Verdana" w:hAnsi="Verdana"/>
          <w:snapToGrid w:val="0"/>
          <w:sz w:val="20"/>
          <w:szCs w:val="20"/>
          <w:lang w:val="en-US"/>
        </w:rPr>
        <w:t xml:space="preserve">Decree Law No. 20530 </w:t>
      </w:r>
      <w:r w:rsidR="008E6A56" w:rsidRPr="008A3740">
        <w:rPr>
          <w:rFonts w:ascii="Verdana" w:hAnsi="Verdana"/>
          <w:snapToGrid w:val="0"/>
          <w:sz w:val="20"/>
          <w:szCs w:val="20"/>
          <w:lang w:val="en-US"/>
        </w:rPr>
        <w:t xml:space="preserve">retirees of </w:t>
      </w:r>
      <w:r w:rsidR="00886E7C" w:rsidRPr="008A3740">
        <w:rPr>
          <w:rFonts w:ascii="Verdana" w:hAnsi="Verdana"/>
          <w:snapToGrid w:val="0"/>
          <w:sz w:val="20"/>
          <w:szCs w:val="20"/>
          <w:lang w:val="en-US"/>
        </w:rPr>
        <w:t>privatized companies, based on</w:t>
      </w:r>
      <w:r w:rsidR="008A1239" w:rsidRPr="008A3740">
        <w:rPr>
          <w:rFonts w:ascii="Verdana" w:hAnsi="Verdana"/>
          <w:snapToGrid w:val="0"/>
          <w:sz w:val="20"/>
          <w:szCs w:val="20"/>
          <w:lang w:val="en-US"/>
        </w:rPr>
        <w:t xml:space="preserve"> </w:t>
      </w:r>
      <w:r w:rsidR="00C73D7C" w:rsidRPr="008A3740">
        <w:rPr>
          <w:rFonts w:ascii="Verdana" w:hAnsi="Verdana"/>
          <w:snapToGrid w:val="0"/>
          <w:sz w:val="20"/>
          <w:szCs w:val="20"/>
          <w:lang w:val="en-US"/>
        </w:rPr>
        <w:t xml:space="preserve">the </w:t>
      </w:r>
      <w:r w:rsidR="008A1239" w:rsidRPr="008A3740">
        <w:rPr>
          <w:rFonts w:ascii="Verdana" w:hAnsi="Verdana"/>
          <w:snapToGrid w:val="0"/>
          <w:sz w:val="20"/>
          <w:szCs w:val="20"/>
          <w:lang w:val="en-US"/>
        </w:rPr>
        <w:t xml:space="preserve">fact that </w:t>
      </w:r>
      <w:r w:rsidRPr="008A3740">
        <w:rPr>
          <w:rFonts w:ascii="Verdana" w:hAnsi="Verdana"/>
          <w:snapToGrid w:val="0"/>
          <w:sz w:val="20"/>
          <w:szCs w:val="20"/>
          <w:lang w:val="en-US"/>
        </w:rPr>
        <w:t xml:space="preserve">the </w:t>
      </w:r>
      <w:r w:rsidR="00C73D7C" w:rsidRPr="008A3740">
        <w:rPr>
          <w:rFonts w:ascii="Verdana" w:hAnsi="Verdana"/>
          <w:snapToGrid w:val="0"/>
          <w:sz w:val="20"/>
          <w:szCs w:val="20"/>
          <w:lang w:val="en-US"/>
        </w:rPr>
        <w:t>order</w:t>
      </w:r>
      <w:r w:rsidR="008E6A56"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issued by </w:t>
      </w:r>
      <w:r w:rsidR="008E6A56" w:rsidRPr="008A3740">
        <w:rPr>
          <w:rFonts w:ascii="Verdana" w:hAnsi="Verdana"/>
          <w:snapToGrid w:val="0"/>
          <w:sz w:val="20"/>
          <w:szCs w:val="20"/>
          <w:lang w:val="en-US"/>
        </w:rPr>
        <w:t>the Constitutional Court was against a company that was now private.</w:t>
      </w:r>
    </w:p>
    <w:p w14:paraId="227D022B"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30C8EDB6" w14:textId="77777777" w:rsidR="008E6A56" w:rsidRPr="008A3740" w:rsidRDefault="00886E7C"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 xml:space="preserve">By virtue of its </w:t>
      </w:r>
      <w:r w:rsidR="008E6A56" w:rsidRPr="008A3740">
        <w:rPr>
          <w:rFonts w:ascii="Verdana" w:hAnsi="Verdana"/>
          <w:snapToGrid w:val="0"/>
          <w:sz w:val="20"/>
          <w:szCs w:val="20"/>
          <w:lang w:val="en-US"/>
        </w:rPr>
        <w:t>obligations</w:t>
      </w:r>
      <w:r w:rsidRPr="008A3740">
        <w:rPr>
          <w:rFonts w:ascii="Verdana" w:hAnsi="Verdana"/>
          <w:snapToGrid w:val="0"/>
          <w:sz w:val="20"/>
          <w:szCs w:val="20"/>
          <w:lang w:val="en-US"/>
        </w:rPr>
        <w:t>,</w:t>
      </w:r>
      <w:r w:rsidR="008E6A56" w:rsidRPr="008A3740">
        <w:rPr>
          <w:rFonts w:ascii="Verdana" w:hAnsi="Verdana"/>
          <w:snapToGrid w:val="0"/>
          <w:sz w:val="20"/>
          <w:szCs w:val="20"/>
          <w:lang w:val="en-US"/>
        </w:rPr>
        <w:t xml:space="preserve"> the Court </w:t>
      </w:r>
      <w:r w:rsidRPr="008A3740">
        <w:rPr>
          <w:rFonts w:ascii="Verdana" w:hAnsi="Verdana"/>
          <w:snapToGrid w:val="0"/>
          <w:sz w:val="20"/>
          <w:szCs w:val="20"/>
          <w:lang w:val="en-US"/>
        </w:rPr>
        <w:t xml:space="preserve">considers </w:t>
      </w:r>
      <w:r w:rsidR="008E6A56" w:rsidRPr="008A3740">
        <w:rPr>
          <w:rFonts w:ascii="Verdana" w:hAnsi="Verdana"/>
          <w:snapToGrid w:val="0"/>
          <w:sz w:val="20"/>
          <w:szCs w:val="20"/>
          <w:lang w:val="en-US"/>
        </w:rPr>
        <w:t xml:space="preserve">that </w:t>
      </w:r>
      <w:r w:rsidRPr="008A3740">
        <w:rPr>
          <w:rFonts w:ascii="Verdana" w:hAnsi="Verdana"/>
          <w:snapToGrid w:val="0"/>
          <w:sz w:val="20"/>
          <w:szCs w:val="20"/>
          <w:lang w:val="en-US"/>
        </w:rPr>
        <w:t xml:space="preserve">the State should </w:t>
      </w:r>
      <w:r w:rsidR="008E6A56" w:rsidRPr="008A3740">
        <w:rPr>
          <w:rFonts w:ascii="Verdana" w:hAnsi="Verdana"/>
          <w:snapToGrid w:val="0"/>
          <w:sz w:val="20"/>
          <w:szCs w:val="20"/>
          <w:lang w:val="en-US"/>
        </w:rPr>
        <w:t>no</w:t>
      </w:r>
      <w:r w:rsidRPr="008A3740">
        <w:rPr>
          <w:rFonts w:ascii="Verdana" w:hAnsi="Verdana"/>
          <w:snapToGrid w:val="0"/>
          <w:sz w:val="20"/>
          <w:szCs w:val="20"/>
          <w:lang w:val="en-US"/>
        </w:rPr>
        <w:t>t only</w:t>
      </w:r>
      <w:r w:rsidR="008E6A56"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have complied </w:t>
      </w:r>
      <w:r w:rsidR="008E6A56" w:rsidRPr="008A3740">
        <w:rPr>
          <w:rFonts w:ascii="Verdana" w:hAnsi="Verdana"/>
          <w:snapToGrid w:val="0"/>
          <w:sz w:val="20"/>
          <w:szCs w:val="20"/>
          <w:lang w:val="en-US"/>
        </w:rPr>
        <w:t xml:space="preserve">with the pension </w:t>
      </w:r>
      <w:r w:rsidR="00075F37" w:rsidRPr="008A3740">
        <w:rPr>
          <w:rFonts w:ascii="Verdana" w:hAnsi="Verdana"/>
          <w:snapToGrid w:val="0"/>
          <w:sz w:val="20"/>
          <w:szCs w:val="20"/>
          <w:lang w:val="en-US"/>
        </w:rPr>
        <w:t xml:space="preserve">payments </w:t>
      </w:r>
      <w:r w:rsidR="008E6A56" w:rsidRPr="008A3740">
        <w:rPr>
          <w:rFonts w:ascii="Verdana" w:hAnsi="Verdana"/>
          <w:snapToGrid w:val="0"/>
          <w:sz w:val="20"/>
          <w:szCs w:val="20"/>
          <w:lang w:val="en-US"/>
        </w:rPr>
        <w:t>orde</w:t>
      </w:r>
      <w:r w:rsidRPr="008A3740">
        <w:rPr>
          <w:rFonts w:ascii="Verdana" w:hAnsi="Verdana"/>
          <w:snapToGrid w:val="0"/>
          <w:sz w:val="20"/>
          <w:szCs w:val="20"/>
          <w:lang w:val="en-US"/>
        </w:rPr>
        <w:t>red by the courts</w:t>
      </w:r>
      <w:r w:rsidR="008E6A56"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immediately, and with special </w:t>
      </w:r>
      <w:r w:rsidR="00075F37" w:rsidRPr="008A3740">
        <w:rPr>
          <w:rFonts w:ascii="Verdana" w:hAnsi="Verdana"/>
          <w:snapToGrid w:val="0"/>
          <w:sz w:val="20"/>
          <w:szCs w:val="20"/>
          <w:lang w:val="en-US"/>
        </w:rPr>
        <w:t xml:space="preserve">due </w:t>
      </w:r>
      <w:r w:rsidRPr="008A3740">
        <w:rPr>
          <w:rFonts w:ascii="Verdana" w:hAnsi="Verdana"/>
          <w:snapToGrid w:val="0"/>
          <w:sz w:val="20"/>
          <w:szCs w:val="20"/>
          <w:lang w:val="en-US"/>
        </w:rPr>
        <w:t>diligence</w:t>
      </w:r>
      <w:r w:rsidR="008E6A56" w:rsidRPr="008A3740">
        <w:rPr>
          <w:rFonts w:ascii="Verdana" w:hAnsi="Verdana"/>
          <w:snapToGrid w:val="0"/>
          <w:sz w:val="20"/>
          <w:szCs w:val="20"/>
          <w:lang w:val="en-US"/>
        </w:rPr>
        <w:t xml:space="preserve"> and </w:t>
      </w:r>
      <w:r w:rsidR="00713A8B" w:rsidRPr="008A3740">
        <w:rPr>
          <w:rFonts w:ascii="Verdana" w:hAnsi="Verdana"/>
          <w:snapToGrid w:val="0"/>
          <w:sz w:val="20"/>
          <w:szCs w:val="20"/>
          <w:lang w:val="en-US"/>
        </w:rPr>
        <w:t>promptness</w:t>
      </w:r>
      <w:r w:rsidR="008E6A56" w:rsidRPr="008A3740">
        <w:rPr>
          <w:rFonts w:ascii="Verdana" w:hAnsi="Verdana"/>
          <w:snapToGrid w:val="0"/>
          <w:sz w:val="20"/>
          <w:szCs w:val="20"/>
          <w:lang w:val="en-US"/>
        </w:rPr>
        <w:t xml:space="preserve">, </w:t>
      </w:r>
      <w:r w:rsidR="007D45F6" w:rsidRPr="008A3740">
        <w:rPr>
          <w:rFonts w:ascii="Verdana" w:hAnsi="Verdana"/>
          <w:snapToGrid w:val="0"/>
          <w:sz w:val="20"/>
          <w:szCs w:val="20"/>
          <w:lang w:val="en-US"/>
        </w:rPr>
        <w:t xml:space="preserve">this </w:t>
      </w:r>
      <w:r w:rsidRPr="008A3740">
        <w:rPr>
          <w:rFonts w:ascii="Verdana" w:hAnsi="Verdana"/>
          <w:snapToGrid w:val="0"/>
          <w:sz w:val="20"/>
          <w:szCs w:val="20"/>
          <w:lang w:val="en-US"/>
        </w:rPr>
        <w:t xml:space="preserve">being </w:t>
      </w:r>
      <w:r w:rsidR="005A4738" w:rsidRPr="008A3740">
        <w:rPr>
          <w:rFonts w:ascii="Verdana" w:hAnsi="Verdana"/>
          <w:snapToGrid w:val="0"/>
          <w:sz w:val="20"/>
          <w:szCs w:val="20"/>
          <w:lang w:val="en-US"/>
        </w:rPr>
        <w:t xml:space="preserve">a benefit </w:t>
      </w:r>
      <w:r w:rsidR="009B3796" w:rsidRPr="008A3740">
        <w:rPr>
          <w:rFonts w:ascii="Verdana" w:hAnsi="Verdana"/>
          <w:snapToGrid w:val="0"/>
          <w:sz w:val="20"/>
          <w:szCs w:val="20"/>
          <w:lang w:val="en-US"/>
        </w:rPr>
        <w:t>of a</w:t>
      </w:r>
      <w:r w:rsidR="00E41A9C" w:rsidRPr="008A3740">
        <w:rPr>
          <w:rFonts w:ascii="Verdana" w:hAnsi="Verdana"/>
          <w:snapToGrid w:val="0"/>
          <w:sz w:val="20"/>
          <w:szCs w:val="20"/>
          <w:lang w:val="en-US"/>
        </w:rPr>
        <w:t>n</w:t>
      </w:r>
      <w:r w:rsidR="009B3796" w:rsidRPr="008A3740">
        <w:rPr>
          <w:rFonts w:ascii="Verdana" w:hAnsi="Verdana"/>
          <w:snapToGrid w:val="0"/>
          <w:sz w:val="20"/>
          <w:szCs w:val="20"/>
          <w:lang w:val="en-US"/>
        </w:rPr>
        <w:t xml:space="preserve"> </w:t>
      </w:r>
      <w:r w:rsidR="008E6A56" w:rsidRPr="008A3740">
        <w:rPr>
          <w:rFonts w:ascii="Verdana" w:hAnsi="Verdana"/>
          <w:snapToGrid w:val="0"/>
          <w:sz w:val="20"/>
          <w:szCs w:val="20"/>
          <w:lang w:val="en-US"/>
        </w:rPr>
        <w:t>“</w:t>
      </w:r>
      <w:r w:rsidR="00E41A9C" w:rsidRPr="008A3740">
        <w:rPr>
          <w:rFonts w:ascii="Verdana" w:hAnsi="Verdana"/>
          <w:snapToGrid w:val="0"/>
          <w:sz w:val="20"/>
          <w:szCs w:val="20"/>
          <w:lang w:val="en-US"/>
        </w:rPr>
        <w:t xml:space="preserve">alimentary </w:t>
      </w:r>
      <w:r w:rsidR="008E6A56" w:rsidRPr="008A3740">
        <w:rPr>
          <w:rFonts w:ascii="Verdana" w:hAnsi="Verdana"/>
          <w:snapToGrid w:val="0"/>
          <w:sz w:val="20"/>
          <w:szCs w:val="20"/>
          <w:lang w:val="en-US"/>
        </w:rPr>
        <w:t xml:space="preserve">and </w:t>
      </w:r>
      <w:r w:rsidR="007D45F6" w:rsidRPr="008A3740">
        <w:rPr>
          <w:rFonts w:ascii="Verdana" w:hAnsi="Verdana"/>
          <w:snapToGrid w:val="0"/>
          <w:sz w:val="20"/>
          <w:szCs w:val="20"/>
          <w:lang w:val="en-US"/>
        </w:rPr>
        <w:t>income-substituting nature</w:t>
      </w:r>
      <w:r w:rsidR="008E6A56" w:rsidRPr="008A3740">
        <w:rPr>
          <w:rFonts w:ascii="Verdana" w:hAnsi="Verdana"/>
          <w:snapToGrid w:val="0"/>
          <w:sz w:val="20"/>
          <w:szCs w:val="20"/>
          <w:lang w:val="en-US"/>
        </w:rPr>
        <w:t>”</w:t>
      </w:r>
      <w:r w:rsidR="008E6A56" w:rsidRPr="008A3740">
        <w:rPr>
          <w:rStyle w:val="Refdenotaalpie"/>
          <w:szCs w:val="20"/>
          <w:lang w:val="en-US"/>
        </w:rPr>
        <w:footnoteReference w:id="152"/>
      </w:r>
      <w:r w:rsidR="008E6A56" w:rsidRPr="008A3740">
        <w:rPr>
          <w:rFonts w:ascii="Verdana" w:hAnsi="Verdana"/>
          <w:snapToGrid w:val="0"/>
          <w:sz w:val="20"/>
          <w:szCs w:val="20"/>
          <w:lang w:val="en-US"/>
        </w:rPr>
        <w:t xml:space="preserve"> (</w:t>
      </w:r>
      <w:r w:rsidR="008E6A56" w:rsidRPr="008A3740">
        <w:rPr>
          <w:rFonts w:ascii="Verdana" w:hAnsi="Verdana"/>
          <w:i/>
          <w:snapToGrid w:val="0"/>
          <w:sz w:val="20"/>
          <w:szCs w:val="20"/>
          <w:lang w:val="en-US"/>
        </w:rPr>
        <w:t>infra</w:t>
      </w:r>
      <w:r w:rsidR="008E6A56" w:rsidRPr="008A3740">
        <w:rPr>
          <w:rFonts w:ascii="Verdana" w:hAnsi="Verdana"/>
          <w:snapToGrid w:val="0"/>
          <w:sz w:val="20"/>
          <w:szCs w:val="20"/>
          <w:lang w:val="en-US"/>
        </w:rPr>
        <w:t xml:space="preserve"> para. 162), </w:t>
      </w:r>
      <w:r w:rsidR="00075F37" w:rsidRPr="008A3740">
        <w:rPr>
          <w:rFonts w:ascii="Verdana" w:hAnsi="Verdana"/>
          <w:snapToGrid w:val="0"/>
          <w:sz w:val="20"/>
          <w:szCs w:val="20"/>
          <w:lang w:val="en-US"/>
        </w:rPr>
        <w:t xml:space="preserve">but it should </w:t>
      </w:r>
      <w:r w:rsidR="007D45F6" w:rsidRPr="008A3740">
        <w:rPr>
          <w:rFonts w:ascii="Verdana" w:hAnsi="Verdana"/>
          <w:snapToGrid w:val="0"/>
          <w:sz w:val="20"/>
          <w:szCs w:val="20"/>
          <w:lang w:val="en-US"/>
        </w:rPr>
        <w:t xml:space="preserve">also </w:t>
      </w:r>
      <w:r w:rsidRPr="008A3740">
        <w:rPr>
          <w:rFonts w:ascii="Verdana" w:hAnsi="Verdana"/>
          <w:snapToGrid w:val="0"/>
          <w:sz w:val="20"/>
          <w:szCs w:val="20"/>
          <w:lang w:val="en-US"/>
        </w:rPr>
        <w:t xml:space="preserve">have established </w:t>
      </w:r>
      <w:r w:rsidR="00FC072E" w:rsidRPr="008A3740">
        <w:rPr>
          <w:rFonts w:ascii="Verdana" w:hAnsi="Verdana"/>
          <w:snapToGrid w:val="0"/>
          <w:sz w:val="20"/>
          <w:szCs w:val="20"/>
          <w:lang w:val="en-US"/>
        </w:rPr>
        <w:t xml:space="preserve">clearly and precisely </w:t>
      </w:r>
      <w:r w:rsidRPr="008A3740">
        <w:rPr>
          <w:rFonts w:ascii="Verdana" w:hAnsi="Verdana"/>
          <w:snapToGrid w:val="0"/>
          <w:sz w:val="20"/>
          <w:szCs w:val="20"/>
          <w:lang w:val="en-US"/>
        </w:rPr>
        <w:t xml:space="preserve">which </w:t>
      </w:r>
      <w:r w:rsidR="008E6A56" w:rsidRPr="008A3740">
        <w:rPr>
          <w:rFonts w:ascii="Verdana" w:hAnsi="Verdana"/>
          <w:snapToGrid w:val="0"/>
          <w:sz w:val="20"/>
          <w:szCs w:val="20"/>
          <w:lang w:val="en-US"/>
        </w:rPr>
        <w:t xml:space="preserve">entity </w:t>
      </w:r>
      <w:r w:rsidRPr="008A3740">
        <w:rPr>
          <w:rFonts w:ascii="Verdana" w:hAnsi="Verdana"/>
          <w:snapToGrid w:val="0"/>
          <w:sz w:val="20"/>
          <w:szCs w:val="20"/>
          <w:lang w:val="en-US"/>
        </w:rPr>
        <w:t xml:space="preserve">would be responsible for complying with the </w:t>
      </w:r>
      <w:r w:rsidR="008E6A56" w:rsidRPr="008A3740">
        <w:rPr>
          <w:rFonts w:ascii="Verdana" w:hAnsi="Verdana"/>
          <w:snapToGrid w:val="0"/>
          <w:sz w:val="20"/>
          <w:szCs w:val="20"/>
          <w:lang w:val="en-US"/>
        </w:rPr>
        <w:t xml:space="preserve">judicial </w:t>
      </w:r>
      <w:r w:rsidRPr="008A3740">
        <w:rPr>
          <w:rFonts w:ascii="Verdana" w:hAnsi="Verdana"/>
          <w:snapToGrid w:val="0"/>
          <w:sz w:val="20"/>
          <w:szCs w:val="20"/>
          <w:lang w:val="en-US"/>
        </w:rPr>
        <w:t xml:space="preserve">ruling issued </w:t>
      </w:r>
      <w:r w:rsidR="00FC072E" w:rsidRPr="008A3740">
        <w:rPr>
          <w:rFonts w:ascii="Verdana" w:hAnsi="Verdana"/>
          <w:snapToGrid w:val="0"/>
          <w:sz w:val="20"/>
          <w:szCs w:val="20"/>
          <w:lang w:val="en-US"/>
        </w:rPr>
        <w:t xml:space="preserve">prior to the </w:t>
      </w:r>
      <w:r w:rsidR="008E6A56" w:rsidRPr="008A3740">
        <w:rPr>
          <w:rFonts w:ascii="Verdana" w:hAnsi="Verdana"/>
          <w:snapToGrid w:val="0"/>
          <w:sz w:val="20"/>
          <w:szCs w:val="20"/>
          <w:lang w:val="en-US"/>
        </w:rPr>
        <w:t>privatization</w:t>
      </w:r>
      <w:r w:rsidR="00FC072E" w:rsidRPr="008A3740">
        <w:rPr>
          <w:rFonts w:ascii="Verdana" w:hAnsi="Verdana"/>
          <w:snapToGrid w:val="0"/>
          <w:sz w:val="20"/>
          <w:szCs w:val="20"/>
          <w:lang w:val="en-US"/>
        </w:rPr>
        <w:t xml:space="preserve"> process</w:t>
      </w:r>
      <w:r w:rsidR="008E6A56" w:rsidRPr="008A3740">
        <w:rPr>
          <w:rFonts w:ascii="Verdana" w:hAnsi="Verdana"/>
          <w:snapToGrid w:val="0"/>
          <w:sz w:val="20"/>
          <w:szCs w:val="20"/>
          <w:lang w:val="en-US"/>
        </w:rPr>
        <w:t xml:space="preserve">, </w:t>
      </w:r>
      <w:r w:rsidR="00FC072E" w:rsidRPr="008A3740">
        <w:rPr>
          <w:rFonts w:ascii="Verdana" w:hAnsi="Verdana"/>
          <w:snapToGrid w:val="0"/>
          <w:sz w:val="20"/>
          <w:szCs w:val="20"/>
          <w:lang w:val="en-US"/>
        </w:rPr>
        <w:t xml:space="preserve">clarifying the matter </w:t>
      </w:r>
      <w:r w:rsidRPr="008A3740">
        <w:rPr>
          <w:rFonts w:ascii="Verdana" w:hAnsi="Verdana"/>
          <w:i/>
          <w:snapToGrid w:val="0"/>
          <w:sz w:val="20"/>
          <w:szCs w:val="20"/>
          <w:lang w:val="en-US"/>
        </w:rPr>
        <w:t>ex officio</w:t>
      </w:r>
      <w:r w:rsidR="00FC072E" w:rsidRPr="008A3740">
        <w:rPr>
          <w:rFonts w:ascii="Verdana" w:hAnsi="Verdana"/>
          <w:snapToGrid w:val="0"/>
          <w:sz w:val="20"/>
          <w:szCs w:val="20"/>
          <w:lang w:val="en-US"/>
        </w:rPr>
        <w:t xml:space="preserve"> and redirecting</w:t>
      </w:r>
      <w:r w:rsidR="0032230F" w:rsidRPr="008A3740">
        <w:rPr>
          <w:rFonts w:ascii="Verdana" w:hAnsi="Verdana"/>
          <w:snapToGrid w:val="0"/>
          <w:sz w:val="20"/>
          <w:szCs w:val="20"/>
          <w:lang w:val="en-US"/>
        </w:rPr>
        <w:t xml:space="preserve"> the proce</w:t>
      </w:r>
      <w:r w:rsidR="00FC072E" w:rsidRPr="008A3740">
        <w:rPr>
          <w:rFonts w:ascii="Verdana" w:hAnsi="Verdana"/>
          <w:snapToGrid w:val="0"/>
          <w:sz w:val="20"/>
          <w:szCs w:val="20"/>
          <w:lang w:val="en-US"/>
        </w:rPr>
        <w:t>dure t</w:t>
      </w:r>
      <w:r w:rsidR="0032230F" w:rsidRPr="008A3740">
        <w:rPr>
          <w:rFonts w:ascii="Verdana" w:hAnsi="Verdana"/>
          <w:snapToGrid w:val="0"/>
          <w:sz w:val="20"/>
          <w:szCs w:val="20"/>
          <w:lang w:val="en-US"/>
        </w:rPr>
        <w:t>o</w:t>
      </w:r>
      <w:r w:rsidR="008E6A56" w:rsidRPr="008A3740">
        <w:rPr>
          <w:rFonts w:ascii="Verdana" w:hAnsi="Verdana"/>
          <w:snapToGrid w:val="0"/>
          <w:sz w:val="20"/>
          <w:szCs w:val="20"/>
          <w:lang w:val="en-US"/>
        </w:rPr>
        <w:t xml:space="preserve"> the </w:t>
      </w:r>
      <w:r w:rsidR="0032230F" w:rsidRPr="008A3740">
        <w:rPr>
          <w:rFonts w:ascii="Verdana" w:hAnsi="Verdana"/>
          <w:snapToGrid w:val="0"/>
          <w:sz w:val="20"/>
          <w:szCs w:val="20"/>
          <w:lang w:val="en-US"/>
        </w:rPr>
        <w:t xml:space="preserve">State </w:t>
      </w:r>
      <w:r w:rsidR="008E6A56" w:rsidRPr="008A3740">
        <w:rPr>
          <w:rFonts w:ascii="Verdana" w:hAnsi="Verdana"/>
          <w:snapToGrid w:val="0"/>
          <w:sz w:val="20"/>
          <w:szCs w:val="20"/>
          <w:lang w:val="en-US"/>
        </w:rPr>
        <w:t xml:space="preserve">entity that </w:t>
      </w:r>
      <w:r w:rsidR="0032230F" w:rsidRPr="008A3740">
        <w:rPr>
          <w:rFonts w:ascii="Verdana" w:hAnsi="Verdana"/>
          <w:snapToGrid w:val="0"/>
          <w:sz w:val="20"/>
          <w:szCs w:val="20"/>
          <w:lang w:val="en-US"/>
        </w:rPr>
        <w:t xml:space="preserve">would be responsible for making </w:t>
      </w:r>
      <w:r w:rsidR="008E6A56" w:rsidRPr="008A3740">
        <w:rPr>
          <w:rFonts w:ascii="Verdana" w:hAnsi="Verdana"/>
          <w:snapToGrid w:val="0"/>
          <w:sz w:val="20"/>
          <w:szCs w:val="20"/>
          <w:lang w:val="en-US"/>
        </w:rPr>
        <w:t xml:space="preserve">the </w:t>
      </w:r>
      <w:r w:rsidR="0032230F" w:rsidRPr="008A3740">
        <w:rPr>
          <w:rFonts w:ascii="Verdana" w:hAnsi="Verdana"/>
          <w:snapToGrid w:val="0"/>
          <w:sz w:val="20"/>
          <w:szCs w:val="20"/>
          <w:lang w:val="en-US"/>
        </w:rPr>
        <w:t xml:space="preserve">corresponding </w:t>
      </w:r>
      <w:r w:rsidR="008E6A56" w:rsidRPr="008A3740">
        <w:rPr>
          <w:rFonts w:ascii="Verdana" w:hAnsi="Verdana"/>
          <w:snapToGrid w:val="0"/>
          <w:sz w:val="20"/>
          <w:szCs w:val="20"/>
          <w:lang w:val="en-US"/>
        </w:rPr>
        <w:t>payment</w:t>
      </w:r>
      <w:r w:rsidR="00FC072E" w:rsidRPr="008A3740">
        <w:rPr>
          <w:rFonts w:ascii="Verdana" w:hAnsi="Verdana"/>
          <w:snapToGrid w:val="0"/>
          <w:sz w:val="20"/>
          <w:szCs w:val="20"/>
          <w:lang w:val="en-US"/>
        </w:rPr>
        <w:t>s</w:t>
      </w:r>
      <w:r w:rsidR="008E6A56" w:rsidRPr="008A3740">
        <w:rPr>
          <w:rFonts w:ascii="Verdana" w:hAnsi="Verdana"/>
          <w:snapToGrid w:val="0"/>
          <w:sz w:val="20"/>
          <w:szCs w:val="20"/>
          <w:lang w:val="en-US"/>
        </w:rPr>
        <w:t>. This did not occur in the instant case; on the contrary, that responsibility was transferred to the victim.</w:t>
      </w:r>
    </w:p>
    <w:p w14:paraId="27541A8A" w14:textId="77777777" w:rsidR="008E6A56" w:rsidRPr="008A3740" w:rsidRDefault="008E6A56" w:rsidP="008E6A56">
      <w:pPr>
        <w:pStyle w:val="Prrafodelista"/>
        <w:rPr>
          <w:rFonts w:ascii="Verdana" w:hAnsi="Verdana"/>
          <w:snapToGrid w:val="0"/>
          <w:sz w:val="20"/>
          <w:szCs w:val="20"/>
          <w:lang w:val="en-US"/>
        </w:rPr>
      </w:pPr>
    </w:p>
    <w:p w14:paraId="608AD52E" w14:textId="77777777" w:rsidR="008E6A56" w:rsidRPr="008A3740" w:rsidRDefault="00FC072E" w:rsidP="00D17A65">
      <w:pPr>
        <w:widowControl/>
        <w:numPr>
          <w:ilvl w:val="0"/>
          <w:numId w:val="3"/>
        </w:numPr>
        <w:tabs>
          <w:tab w:val="left" w:pos="567"/>
          <w:tab w:val="left" w:pos="720"/>
        </w:tabs>
        <w:adjustRightInd/>
        <w:ind w:left="0" w:firstLine="0"/>
        <w:textAlignment w:val="auto"/>
        <w:rPr>
          <w:rFonts w:ascii="Verdana" w:hAnsi="Verdana"/>
          <w:sz w:val="20"/>
          <w:szCs w:val="20"/>
          <w:lang w:val="en-US"/>
        </w:rPr>
      </w:pPr>
      <w:r w:rsidRPr="008A3740">
        <w:rPr>
          <w:rFonts w:ascii="Verdana" w:hAnsi="Verdana"/>
          <w:snapToGrid w:val="0"/>
          <w:sz w:val="20"/>
          <w:szCs w:val="20"/>
          <w:lang w:val="en-US"/>
        </w:rPr>
        <w:t>T</w:t>
      </w:r>
      <w:r w:rsidR="008E6A56" w:rsidRPr="008A3740">
        <w:rPr>
          <w:rFonts w:ascii="Verdana" w:hAnsi="Verdana"/>
          <w:snapToGrid w:val="0"/>
          <w:sz w:val="20"/>
          <w:szCs w:val="20"/>
          <w:lang w:val="en-US"/>
        </w:rPr>
        <w:t xml:space="preserve">he State </w:t>
      </w:r>
      <w:r w:rsidRPr="008A3740">
        <w:rPr>
          <w:rFonts w:ascii="Verdana" w:hAnsi="Verdana"/>
          <w:snapToGrid w:val="0"/>
          <w:sz w:val="20"/>
          <w:szCs w:val="20"/>
          <w:lang w:val="en-US"/>
        </w:rPr>
        <w:t xml:space="preserve">also </w:t>
      </w:r>
      <w:r w:rsidR="008E6A56" w:rsidRPr="008A3740">
        <w:rPr>
          <w:rFonts w:ascii="Verdana" w:hAnsi="Verdana"/>
          <w:snapToGrid w:val="0"/>
          <w:sz w:val="20"/>
          <w:szCs w:val="20"/>
          <w:lang w:val="en-US"/>
        </w:rPr>
        <w:t xml:space="preserve">indicated that </w:t>
      </w:r>
      <w:r w:rsidR="00886E7C" w:rsidRPr="008A3740">
        <w:rPr>
          <w:rFonts w:ascii="Verdana" w:hAnsi="Verdana"/>
          <w:snapToGrid w:val="0"/>
          <w:sz w:val="20"/>
          <w:szCs w:val="20"/>
          <w:lang w:val="en-US"/>
        </w:rPr>
        <w:t xml:space="preserve">from May </w:t>
      </w:r>
      <w:r w:rsidR="008E6A56" w:rsidRPr="008A3740">
        <w:rPr>
          <w:rFonts w:ascii="Verdana" w:hAnsi="Verdana"/>
          <w:snapToGrid w:val="0"/>
          <w:sz w:val="20"/>
          <w:szCs w:val="20"/>
          <w:lang w:val="en-US"/>
        </w:rPr>
        <w:t xml:space="preserve">2002, with the </w:t>
      </w:r>
      <w:r w:rsidR="000F1D66" w:rsidRPr="008A3740">
        <w:rPr>
          <w:rFonts w:ascii="Verdana" w:hAnsi="Verdana"/>
          <w:snapToGrid w:val="0"/>
          <w:sz w:val="20"/>
          <w:szCs w:val="20"/>
          <w:lang w:val="en-US"/>
        </w:rPr>
        <w:t xml:space="preserve">enactment </w:t>
      </w:r>
      <w:r w:rsidR="0032230F" w:rsidRPr="008A3740">
        <w:rPr>
          <w:rFonts w:ascii="Verdana" w:hAnsi="Verdana"/>
          <w:snapToGrid w:val="0"/>
          <w:sz w:val="20"/>
          <w:szCs w:val="20"/>
          <w:lang w:val="en-US"/>
        </w:rPr>
        <w:t>of Law</w:t>
      </w:r>
      <w:r w:rsidR="008E6A56" w:rsidRPr="008A3740">
        <w:rPr>
          <w:rFonts w:ascii="Verdana" w:hAnsi="Verdana"/>
          <w:snapToGrid w:val="0"/>
          <w:sz w:val="20"/>
          <w:szCs w:val="20"/>
          <w:lang w:val="en-US"/>
        </w:rPr>
        <w:t xml:space="preserve"> No. 27719 and </w:t>
      </w:r>
      <w:r w:rsidR="00886E7C" w:rsidRPr="008A3740">
        <w:rPr>
          <w:rFonts w:ascii="Verdana" w:hAnsi="Verdana"/>
          <w:snapToGrid w:val="0"/>
          <w:sz w:val="20"/>
          <w:szCs w:val="20"/>
          <w:lang w:val="en-US"/>
        </w:rPr>
        <w:t xml:space="preserve">subsequent </w:t>
      </w:r>
      <w:r w:rsidR="000F1D66" w:rsidRPr="008A3740">
        <w:rPr>
          <w:rFonts w:ascii="Verdana" w:hAnsi="Verdana"/>
          <w:snapToGrid w:val="0"/>
          <w:sz w:val="20"/>
          <w:szCs w:val="20"/>
          <w:lang w:val="en-US"/>
        </w:rPr>
        <w:t xml:space="preserve">laws </w:t>
      </w:r>
      <w:r w:rsidR="008E6A56" w:rsidRPr="008A3740">
        <w:rPr>
          <w:rFonts w:ascii="Verdana" w:hAnsi="Verdana"/>
          <w:snapToGrid w:val="0"/>
          <w:sz w:val="20"/>
          <w:szCs w:val="20"/>
          <w:lang w:val="en-US"/>
        </w:rPr>
        <w:t xml:space="preserve">that </w:t>
      </w:r>
      <w:r w:rsidR="00886E7C" w:rsidRPr="008A3740">
        <w:rPr>
          <w:rFonts w:ascii="Verdana" w:hAnsi="Verdana"/>
          <w:snapToGrid w:val="0"/>
          <w:sz w:val="20"/>
          <w:szCs w:val="20"/>
          <w:lang w:val="en-US"/>
        </w:rPr>
        <w:t>expanded and/or modified it (Law</w:t>
      </w:r>
      <w:r w:rsidR="008E6A56" w:rsidRPr="008A3740">
        <w:rPr>
          <w:rFonts w:ascii="Verdana" w:hAnsi="Verdana"/>
          <w:snapToGrid w:val="0"/>
          <w:sz w:val="20"/>
          <w:szCs w:val="20"/>
          <w:lang w:val="en-US"/>
        </w:rPr>
        <w:t>s No. 28115 an</w:t>
      </w:r>
      <w:r w:rsidR="004046C9" w:rsidRPr="008A3740">
        <w:rPr>
          <w:rFonts w:ascii="Verdana" w:hAnsi="Verdana"/>
          <w:snapToGrid w:val="0"/>
          <w:sz w:val="20"/>
          <w:szCs w:val="20"/>
          <w:lang w:val="en-US"/>
        </w:rPr>
        <w:t xml:space="preserve">d No. 28449), “the payment of </w:t>
      </w:r>
      <w:r w:rsidR="00886E7C" w:rsidRPr="008A3740">
        <w:rPr>
          <w:rFonts w:ascii="Verdana" w:hAnsi="Verdana"/>
          <w:snapToGrid w:val="0"/>
          <w:sz w:val="20"/>
          <w:szCs w:val="20"/>
          <w:lang w:val="en-US"/>
        </w:rPr>
        <w:t xml:space="preserve">pensions </w:t>
      </w:r>
      <w:r w:rsidR="000F1D66" w:rsidRPr="008A3740">
        <w:rPr>
          <w:rFonts w:ascii="Verdana" w:hAnsi="Verdana"/>
          <w:snapToGrid w:val="0"/>
          <w:sz w:val="20"/>
          <w:szCs w:val="20"/>
          <w:lang w:val="en-US"/>
        </w:rPr>
        <w:t xml:space="preserve">originating from an </w:t>
      </w:r>
      <w:r w:rsidR="00886E7C" w:rsidRPr="008A3740">
        <w:rPr>
          <w:rFonts w:ascii="Verdana" w:hAnsi="Verdana"/>
          <w:snapToGrid w:val="0"/>
          <w:sz w:val="20"/>
          <w:szCs w:val="20"/>
          <w:lang w:val="en-US"/>
        </w:rPr>
        <w:t xml:space="preserve">entity </w:t>
      </w:r>
      <w:r w:rsidR="000F1D66" w:rsidRPr="008A3740">
        <w:rPr>
          <w:rFonts w:ascii="Verdana" w:hAnsi="Verdana"/>
          <w:snapToGrid w:val="0"/>
          <w:sz w:val="20"/>
          <w:szCs w:val="20"/>
          <w:lang w:val="en-US"/>
        </w:rPr>
        <w:t xml:space="preserve">that has been </w:t>
      </w:r>
      <w:r w:rsidR="008E6A56" w:rsidRPr="008A3740">
        <w:rPr>
          <w:rFonts w:ascii="Verdana" w:hAnsi="Verdana"/>
          <w:snapToGrid w:val="0"/>
          <w:sz w:val="20"/>
          <w:szCs w:val="20"/>
          <w:lang w:val="en-US"/>
        </w:rPr>
        <w:t xml:space="preserve">privatized </w:t>
      </w:r>
      <w:r w:rsidR="004046C9" w:rsidRPr="008A3740">
        <w:rPr>
          <w:rFonts w:ascii="Verdana" w:hAnsi="Verdana"/>
          <w:snapToGrid w:val="0"/>
          <w:sz w:val="20"/>
          <w:szCs w:val="20"/>
          <w:lang w:val="en-US"/>
        </w:rPr>
        <w:t xml:space="preserve">[would be] under the responsibility of </w:t>
      </w:r>
      <w:r w:rsidR="008E6A56" w:rsidRPr="008A3740">
        <w:rPr>
          <w:rFonts w:ascii="Verdana" w:hAnsi="Verdana"/>
          <w:snapToGrid w:val="0"/>
          <w:sz w:val="20"/>
          <w:szCs w:val="20"/>
          <w:lang w:val="en-US"/>
        </w:rPr>
        <w:t>the Ministry of Economy and Finance”</w:t>
      </w:r>
      <w:r w:rsidR="008E6A56" w:rsidRPr="008A3740">
        <w:rPr>
          <w:rStyle w:val="Refdenotaalpie"/>
          <w:szCs w:val="20"/>
          <w:lang w:val="en-US"/>
        </w:rPr>
        <w:footnoteReference w:id="153"/>
      </w:r>
      <w:r w:rsidR="008E6A56" w:rsidRPr="008A3740">
        <w:rPr>
          <w:rFonts w:ascii="Verdana" w:hAnsi="Verdana"/>
          <w:snapToGrid w:val="0"/>
          <w:sz w:val="20"/>
          <w:szCs w:val="20"/>
          <w:lang w:val="en-US"/>
        </w:rPr>
        <w:t xml:space="preserve"> (</w:t>
      </w:r>
      <w:r w:rsidR="008E6A56" w:rsidRPr="008A3740">
        <w:rPr>
          <w:rFonts w:ascii="Verdana" w:hAnsi="Verdana"/>
          <w:i/>
          <w:snapToGrid w:val="0"/>
          <w:sz w:val="20"/>
          <w:szCs w:val="20"/>
          <w:lang w:val="en-US"/>
        </w:rPr>
        <w:t>supra</w:t>
      </w:r>
      <w:r w:rsidR="00886E7C" w:rsidRPr="008A3740">
        <w:rPr>
          <w:rFonts w:ascii="Verdana" w:hAnsi="Verdana"/>
          <w:snapToGrid w:val="0"/>
          <w:sz w:val="20"/>
          <w:szCs w:val="20"/>
          <w:lang w:val="en-US"/>
        </w:rPr>
        <w:t xml:space="preserve"> paras. 101). I</w:t>
      </w:r>
      <w:r w:rsidR="008E6A56" w:rsidRPr="008A3740">
        <w:rPr>
          <w:rFonts w:ascii="Verdana" w:hAnsi="Verdana"/>
          <w:snapToGrid w:val="0"/>
          <w:sz w:val="20"/>
          <w:szCs w:val="20"/>
          <w:lang w:val="en-US"/>
        </w:rPr>
        <w:t xml:space="preserve">n this </w:t>
      </w:r>
      <w:r w:rsidR="00F67656" w:rsidRPr="008A3740">
        <w:rPr>
          <w:rFonts w:ascii="Verdana" w:hAnsi="Verdana"/>
          <w:snapToGrid w:val="0"/>
          <w:sz w:val="20"/>
          <w:szCs w:val="20"/>
          <w:lang w:val="en-US"/>
        </w:rPr>
        <w:t>regard, the</w:t>
      </w:r>
      <w:r w:rsidR="000F1D66" w:rsidRPr="008A3740">
        <w:rPr>
          <w:rFonts w:ascii="Verdana" w:hAnsi="Verdana"/>
          <w:snapToGrid w:val="0"/>
          <w:sz w:val="20"/>
          <w:szCs w:val="20"/>
          <w:lang w:val="en-US"/>
        </w:rPr>
        <w:t xml:space="preserve"> State considered that it had</w:t>
      </w:r>
      <w:r w:rsidR="008E6A56" w:rsidRPr="008A3740">
        <w:rPr>
          <w:rFonts w:ascii="Verdana" w:hAnsi="Verdana"/>
          <w:snapToGrid w:val="0"/>
          <w:sz w:val="20"/>
          <w:szCs w:val="20"/>
          <w:lang w:val="en-US"/>
        </w:rPr>
        <w:t xml:space="preserve"> </w:t>
      </w:r>
      <w:r w:rsidR="000F1D66" w:rsidRPr="008A3740">
        <w:rPr>
          <w:rFonts w:ascii="Verdana" w:hAnsi="Verdana"/>
          <w:snapToGrid w:val="0"/>
          <w:sz w:val="20"/>
          <w:szCs w:val="20"/>
          <w:lang w:val="en-US"/>
        </w:rPr>
        <w:t xml:space="preserve">indeed </w:t>
      </w:r>
      <w:r w:rsidR="008E6A56" w:rsidRPr="008A3740">
        <w:rPr>
          <w:rFonts w:ascii="Verdana" w:hAnsi="Verdana"/>
          <w:snapToGrid w:val="0"/>
          <w:sz w:val="20"/>
          <w:szCs w:val="20"/>
          <w:lang w:val="en-US"/>
        </w:rPr>
        <w:t>adopt</w:t>
      </w:r>
      <w:r w:rsidR="000F1D66" w:rsidRPr="008A3740">
        <w:rPr>
          <w:rFonts w:ascii="Verdana" w:hAnsi="Verdana"/>
          <w:snapToGrid w:val="0"/>
          <w:sz w:val="20"/>
          <w:szCs w:val="20"/>
          <w:lang w:val="en-US"/>
        </w:rPr>
        <w:t>ed</w:t>
      </w:r>
      <w:r w:rsidR="008E6A56" w:rsidRPr="008A3740">
        <w:rPr>
          <w:rFonts w:ascii="Verdana" w:hAnsi="Verdana"/>
          <w:snapToGrid w:val="0"/>
          <w:sz w:val="20"/>
          <w:szCs w:val="20"/>
          <w:lang w:val="en-US"/>
        </w:rPr>
        <w:t xml:space="preserve"> measures to pro</w:t>
      </w:r>
      <w:r w:rsidR="00886E7C" w:rsidRPr="008A3740">
        <w:rPr>
          <w:rFonts w:ascii="Verdana" w:hAnsi="Verdana"/>
          <w:snapToGrid w:val="0"/>
          <w:sz w:val="20"/>
          <w:szCs w:val="20"/>
          <w:lang w:val="en-US"/>
        </w:rPr>
        <w:t xml:space="preserve">tect the pension rights of former employees of </w:t>
      </w:r>
      <w:r w:rsidR="008E6A56" w:rsidRPr="008A3740">
        <w:rPr>
          <w:rFonts w:ascii="Verdana" w:hAnsi="Verdana"/>
          <w:snapToGrid w:val="0"/>
          <w:sz w:val="20"/>
          <w:szCs w:val="20"/>
          <w:lang w:val="en-US"/>
        </w:rPr>
        <w:t xml:space="preserve">privatized companies. </w:t>
      </w:r>
      <w:r w:rsidR="00886E7C" w:rsidRPr="008A3740">
        <w:rPr>
          <w:rFonts w:ascii="Verdana" w:hAnsi="Verdana"/>
          <w:snapToGrid w:val="0"/>
          <w:sz w:val="20"/>
          <w:szCs w:val="20"/>
          <w:lang w:val="en-US"/>
        </w:rPr>
        <w:t>Nevertheless</w:t>
      </w:r>
      <w:r w:rsidR="008E6A56" w:rsidRPr="008A3740">
        <w:rPr>
          <w:rFonts w:ascii="Verdana" w:hAnsi="Verdana"/>
          <w:snapToGrid w:val="0"/>
          <w:sz w:val="20"/>
          <w:szCs w:val="20"/>
          <w:lang w:val="en-US"/>
        </w:rPr>
        <w:t xml:space="preserve">, </w:t>
      </w:r>
      <w:r w:rsidR="00886E7C" w:rsidRPr="008A3740">
        <w:rPr>
          <w:rFonts w:ascii="Verdana" w:hAnsi="Verdana"/>
          <w:snapToGrid w:val="0"/>
          <w:sz w:val="20"/>
          <w:szCs w:val="20"/>
          <w:lang w:val="en-US"/>
        </w:rPr>
        <w:t xml:space="preserve">it </w:t>
      </w:r>
      <w:r w:rsidR="008E6A56" w:rsidRPr="008A3740">
        <w:rPr>
          <w:rFonts w:ascii="Verdana" w:hAnsi="Verdana"/>
          <w:snapToGrid w:val="0"/>
          <w:sz w:val="20"/>
          <w:szCs w:val="20"/>
          <w:lang w:val="en-US"/>
        </w:rPr>
        <w:t>reco</w:t>
      </w:r>
      <w:r w:rsidR="00886E7C" w:rsidRPr="008A3740">
        <w:rPr>
          <w:rFonts w:ascii="Verdana" w:hAnsi="Verdana"/>
          <w:snapToGrid w:val="0"/>
          <w:sz w:val="20"/>
          <w:szCs w:val="20"/>
          <w:lang w:val="en-US"/>
        </w:rPr>
        <w:t xml:space="preserve">gnized </w:t>
      </w:r>
      <w:r w:rsidR="008E6A56" w:rsidRPr="008A3740">
        <w:rPr>
          <w:rFonts w:ascii="Verdana" w:hAnsi="Verdana"/>
          <w:snapToGrid w:val="0"/>
          <w:sz w:val="20"/>
          <w:szCs w:val="20"/>
          <w:lang w:val="en-US"/>
        </w:rPr>
        <w:t xml:space="preserve">that these measures </w:t>
      </w:r>
      <w:r w:rsidR="00886E7C" w:rsidRPr="008A3740">
        <w:rPr>
          <w:rFonts w:ascii="Verdana" w:hAnsi="Verdana"/>
          <w:snapToGrid w:val="0"/>
          <w:sz w:val="20"/>
          <w:szCs w:val="20"/>
          <w:lang w:val="en-US"/>
        </w:rPr>
        <w:t>had not been</w:t>
      </w:r>
      <w:r w:rsidR="000F1D66" w:rsidRPr="008A3740">
        <w:rPr>
          <w:rFonts w:ascii="Verdana" w:hAnsi="Verdana"/>
          <w:snapToGrid w:val="0"/>
          <w:sz w:val="20"/>
          <w:szCs w:val="20"/>
          <w:lang w:val="en-US"/>
        </w:rPr>
        <w:t xml:space="preserve"> applied in this</w:t>
      </w:r>
      <w:r w:rsidR="008E6A56" w:rsidRPr="008A3740">
        <w:rPr>
          <w:rFonts w:ascii="Verdana" w:hAnsi="Verdana"/>
          <w:snapToGrid w:val="0"/>
          <w:sz w:val="20"/>
          <w:szCs w:val="20"/>
          <w:lang w:val="en-US"/>
        </w:rPr>
        <w:t xml:space="preserve"> specific case. </w:t>
      </w:r>
      <w:r w:rsidR="000F1D66" w:rsidRPr="008A3740">
        <w:rPr>
          <w:rFonts w:ascii="Verdana" w:hAnsi="Verdana"/>
          <w:snapToGrid w:val="0"/>
          <w:sz w:val="20"/>
          <w:szCs w:val="20"/>
          <w:lang w:val="en-US"/>
        </w:rPr>
        <w:t>A</w:t>
      </w:r>
      <w:r w:rsidR="008E6A56" w:rsidRPr="008A3740">
        <w:rPr>
          <w:rFonts w:ascii="Verdana" w:hAnsi="Verdana"/>
          <w:snapToGrid w:val="0"/>
          <w:sz w:val="20"/>
          <w:szCs w:val="20"/>
          <w:lang w:val="en-US"/>
        </w:rPr>
        <w:t>lthough the Court considers positive the regulatory change</w:t>
      </w:r>
      <w:r w:rsidR="000F1D66" w:rsidRPr="008A3740">
        <w:rPr>
          <w:rFonts w:ascii="Verdana" w:hAnsi="Verdana"/>
          <w:snapToGrid w:val="0"/>
          <w:sz w:val="20"/>
          <w:szCs w:val="20"/>
          <w:lang w:val="en-US"/>
        </w:rPr>
        <w:t>s</w:t>
      </w:r>
      <w:r w:rsidR="008E6A56" w:rsidRPr="008A3740">
        <w:rPr>
          <w:rFonts w:ascii="Verdana" w:hAnsi="Verdana"/>
          <w:snapToGrid w:val="0"/>
          <w:sz w:val="20"/>
          <w:szCs w:val="20"/>
          <w:lang w:val="en-US"/>
        </w:rPr>
        <w:t xml:space="preserve"> ado</w:t>
      </w:r>
      <w:r w:rsidR="00F67656" w:rsidRPr="008A3740">
        <w:rPr>
          <w:rFonts w:ascii="Verdana" w:hAnsi="Verdana"/>
          <w:snapToGrid w:val="0"/>
          <w:sz w:val="20"/>
          <w:szCs w:val="20"/>
          <w:lang w:val="en-US"/>
        </w:rPr>
        <w:t>pted in 2002, it notes that these</w:t>
      </w:r>
      <w:r w:rsidR="008E6A56" w:rsidRPr="008A3740">
        <w:rPr>
          <w:rFonts w:ascii="Verdana" w:hAnsi="Verdana"/>
          <w:snapToGrid w:val="0"/>
          <w:sz w:val="20"/>
          <w:szCs w:val="20"/>
          <w:lang w:val="en-US"/>
        </w:rPr>
        <w:t xml:space="preserve"> occurred nearly eight years after the privatization, and no</w:t>
      </w:r>
      <w:r w:rsidR="0032230F" w:rsidRPr="008A3740">
        <w:rPr>
          <w:rFonts w:ascii="Verdana" w:hAnsi="Verdana"/>
          <w:snapToGrid w:val="0"/>
          <w:sz w:val="20"/>
          <w:szCs w:val="20"/>
          <w:lang w:val="en-US"/>
        </w:rPr>
        <w:t>t prior to that process</w:t>
      </w:r>
      <w:r w:rsidR="008E6A56" w:rsidRPr="008A3740">
        <w:rPr>
          <w:rFonts w:ascii="Verdana" w:hAnsi="Verdana"/>
          <w:snapToGrid w:val="0"/>
          <w:sz w:val="20"/>
          <w:szCs w:val="20"/>
          <w:lang w:val="en-US"/>
        </w:rPr>
        <w:t xml:space="preserve">. </w:t>
      </w:r>
      <w:r w:rsidR="0032230F" w:rsidRPr="008A3740">
        <w:rPr>
          <w:rFonts w:ascii="Verdana" w:hAnsi="Verdana"/>
          <w:snapToGrid w:val="0"/>
          <w:sz w:val="20"/>
          <w:szCs w:val="20"/>
          <w:lang w:val="en-US"/>
        </w:rPr>
        <w:t>Similarly</w:t>
      </w:r>
      <w:r w:rsidR="008E6A56" w:rsidRPr="008A3740">
        <w:rPr>
          <w:rFonts w:ascii="Verdana" w:hAnsi="Verdana"/>
          <w:snapToGrid w:val="0"/>
          <w:sz w:val="20"/>
          <w:szCs w:val="20"/>
          <w:lang w:val="en-US"/>
        </w:rPr>
        <w:t xml:space="preserve">, </w:t>
      </w:r>
      <w:r w:rsidR="0032230F" w:rsidRPr="008A3740">
        <w:rPr>
          <w:rFonts w:ascii="Verdana" w:hAnsi="Verdana"/>
          <w:snapToGrid w:val="0"/>
          <w:sz w:val="20"/>
          <w:szCs w:val="20"/>
          <w:lang w:val="en-US"/>
        </w:rPr>
        <w:t xml:space="preserve">despite </w:t>
      </w:r>
      <w:r w:rsidR="008E6A56" w:rsidRPr="008A3740">
        <w:rPr>
          <w:rFonts w:ascii="Verdana" w:hAnsi="Verdana"/>
          <w:snapToGrid w:val="0"/>
          <w:sz w:val="20"/>
          <w:szCs w:val="20"/>
          <w:lang w:val="en-US"/>
        </w:rPr>
        <w:t>the regulatory change</w:t>
      </w:r>
      <w:r w:rsidR="000F1D66" w:rsidRPr="008A3740">
        <w:rPr>
          <w:rFonts w:ascii="Verdana" w:hAnsi="Verdana"/>
          <w:snapToGrid w:val="0"/>
          <w:sz w:val="20"/>
          <w:szCs w:val="20"/>
          <w:lang w:val="en-US"/>
        </w:rPr>
        <w:t>s</w:t>
      </w:r>
      <w:r w:rsidR="008E6A56" w:rsidRPr="008A3740">
        <w:rPr>
          <w:rFonts w:ascii="Verdana" w:hAnsi="Verdana"/>
          <w:snapToGrid w:val="0"/>
          <w:sz w:val="20"/>
          <w:szCs w:val="20"/>
          <w:lang w:val="en-US"/>
        </w:rPr>
        <w:t xml:space="preserve">, the MEF did not assume the payment of Mr. Muelle Flores’ pension but, on the contrary, </w:t>
      </w:r>
      <w:r w:rsidR="0032230F" w:rsidRPr="008A3740">
        <w:rPr>
          <w:rFonts w:ascii="Verdana" w:hAnsi="Verdana"/>
          <w:snapToGrid w:val="0"/>
          <w:sz w:val="20"/>
          <w:szCs w:val="20"/>
          <w:lang w:val="en-US"/>
        </w:rPr>
        <w:t xml:space="preserve">stated </w:t>
      </w:r>
      <w:r w:rsidR="008E6A56" w:rsidRPr="008A3740">
        <w:rPr>
          <w:rFonts w:ascii="Verdana" w:hAnsi="Verdana"/>
          <w:snapToGrid w:val="0"/>
          <w:sz w:val="20"/>
          <w:szCs w:val="20"/>
          <w:lang w:val="en-US"/>
        </w:rPr>
        <w:t xml:space="preserve">that it was not obliged </w:t>
      </w:r>
      <w:r w:rsidR="0032230F" w:rsidRPr="008A3740">
        <w:rPr>
          <w:rFonts w:ascii="Verdana" w:hAnsi="Verdana"/>
          <w:snapToGrid w:val="0"/>
          <w:sz w:val="20"/>
          <w:szCs w:val="20"/>
          <w:lang w:val="en-US"/>
        </w:rPr>
        <w:t xml:space="preserve">to do so, since the </w:t>
      </w:r>
      <w:r w:rsidR="00AF1AFF" w:rsidRPr="008A3740">
        <w:rPr>
          <w:rFonts w:ascii="Verdana" w:hAnsi="Verdana"/>
          <w:snapToGrid w:val="0"/>
          <w:sz w:val="20"/>
          <w:szCs w:val="20"/>
          <w:lang w:val="en-US"/>
        </w:rPr>
        <w:t xml:space="preserve">ruling </w:t>
      </w:r>
      <w:r w:rsidR="0032230F" w:rsidRPr="008A3740">
        <w:rPr>
          <w:rFonts w:ascii="Verdana" w:hAnsi="Verdana"/>
          <w:snapToGrid w:val="0"/>
          <w:sz w:val="20"/>
          <w:szCs w:val="20"/>
          <w:lang w:val="en-US"/>
        </w:rPr>
        <w:t xml:space="preserve">of the </w:t>
      </w:r>
      <w:r w:rsidR="008E6A56" w:rsidRPr="008A3740">
        <w:rPr>
          <w:rFonts w:ascii="Verdana" w:hAnsi="Verdana"/>
          <w:snapToGrid w:val="0"/>
          <w:sz w:val="20"/>
          <w:szCs w:val="20"/>
          <w:lang w:val="en-US"/>
        </w:rPr>
        <w:t xml:space="preserve">Constitutional Court </w:t>
      </w:r>
      <w:r w:rsidR="0032230F" w:rsidRPr="008A3740">
        <w:rPr>
          <w:rFonts w:ascii="Verdana" w:hAnsi="Verdana"/>
          <w:snapToGrid w:val="0"/>
          <w:sz w:val="20"/>
          <w:szCs w:val="20"/>
          <w:lang w:val="en-US"/>
        </w:rPr>
        <w:t xml:space="preserve">judgment </w:t>
      </w:r>
      <w:r w:rsidR="008E6A56" w:rsidRPr="008A3740">
        <w:rPr>
          <w:rFonts w:ascii="Verdana" w:hAnsi="Verdana"/>
          <w:snapToGrid w:val="0"/>
          <w:sz w:val="20"/>
          <w:szCs w:val="20"/>
          <w:lang w:val="en-US"/>
        </w:rPr>
        <w:t xml:space="preserve">of 1999 had been directed against a private company. Therefore, the Court </w:t>
      </w:r>
      <w:r w:rsidR="0032230F" w:rsidRPr="008A3740">
        <w:rPr>
          <w:rFonts w:ascii="Verdana" w:hAnsi="Verdana"/>
          <w:snapToGrid w:val="0"/>
          <w:sz w:val="20"/>
          <w:szCs w:val="20"/>
          <w:lang w:val="en-US"/>
        </w:rPr>
        <w:t xml:space="preserve">considers that the adoption of </w:t>
      </w:r>
      <w:r w:rsidR="008E6A56" w:rsidRPr="008A3740">
        <w:rPr>
          <w:rFonts w:ascii="Verdana" w:hAnsi="Verdana"/>
          <w:snapToGrid w:val="0"/>
          <w:sz w:val="20"/>
          <w:szCs w:val="20"/>
          <w:lang w:val="en-US"/>
        </w:rPr>
        <w:t xml:space="preserve">the </w:t>
      </w:r>
      <w:r w:rsidR="0032230F" w:rsidRPr="008A3740">
        <w:rPr>
          <w:rFonts w:ascii="Verdana" w:hAnsi="Verdana"/>
          <w:snapToGrid w:val="0"/>
          <w:sz w:val="20"/>
          <w:szCs w:val="20"/>
          <w:lang w:val="en-US"/>
        </w:rPr>
        <w:t xml:space="preserve">regulations </w:t>
      </w:r>
      <w:r w:rsidR="008E6A56" w:rsidRPr="008A3740">
        <w:rPr>
          <w:rFonts w:ascii="Verdana" w:hAnsi="Verdana"/>
          <w:snapToGrid w:val="0"/>
          <w:sz w:val="20"/>
          <w:szCs w:val="20"/>
          <w:lang w:val="en-US"/>
        </w:rPr>
        <w:t>cited did not result in the payment of the corresponding pension.</w:t>
      </w:r>
    </w:p>
    <w:p w14:paraId="492136A1"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rPr>
      </w:pPr>
    </w:p>
    <w:p w14:paraId="1A398E1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In view of the foregoing, the Court considers t</w:t>
      </w:r>
      <w:r w:rsidR="00D85D67" w:rsidRPr="008A3740">
        <w:rPr>
          <w:rFonts w:ascii="Verdana" w:hAnsi="Verdana"/>
          <w:snapToGrid w:val="0"/>
          <w:sz w:val="20"/>
          <w:szCs w:val="20"/>
          <w:lang w:val="en-US"/>
        </w:rPr>
        <w:t xml:space="preserve">hat the State’s failure to </w:t>
      </w:r>
      <w:r w:rsidR="00F67656" w:rsidRPr="008A3740">
        <w:rPr>
          <w:rFonts w:ascii="Verdana" w:hAnsi="Verdana"/>
          <w:snapToGrid w:val="0"/>
          <w:sz w:val="20"/>
          <w:szCs w:val="20"/>
          <w:lang w:val="en-US"/>
        </w:rPr>
        <w:t xml:space="preserve">adopt </w:t>
      </w:r>
      <w:r w:rsidRPr="008A3740">
        <w:rPr>
          <w:rFonts w:ascii="Verdana" w:hAnsi="Verdana"/>
          <w:snapToGrid w:val="0"/>
          <w:sz w:val="20"/>
          <w:szCs w:val="20"/>
          <w:lang w:val="en-US"/>
        </w:rPr>
        <w:t>regulatory or other types of safeguards to prevent a violation of Mr. Muelle Flores’ rights as a consequence of the privatization</w:t>
      </w:r>
      <w:r w:rsidR="00D85D67" w:rsidRPr="008A3740">
        <w:rPr>
          <w:rFonts w:ascii="Verdana" w:hAnsi="Verdana"/>
          <w:snapToGrid w:val="0"/>
          <w:sz w:val="20"/>
          <w:szCs w:val="20"/>
          <w:lang w:val="en-US"/>
        </w:rPr>
        <w:t xml:space="preserve"> process</w:t>
      </w:r>
      <w:r w:rsidRPr="008A3740">
        <w:rPr>
          <w:rFonts w:ascii="Verdana" w:hAnsi="Verdana"/>
          <w:snapToGrid w:val="0"/>
          <w:sz w:val="20"/>
          <w:szCs w:val="20"/>
          <w:lang w:val="en-US"/>
        </w:rPr>
        <w:t>, created an obstacle that prevented the victim from obtaining his legally recognized pen</w:t>
      </w:r>
      <w:r w:rsidR="0032230F" w:rsidRPr="008A3740">
        <w:rPr>
          <w:rFonts w:ascii="Verdana" w:hAnsi="Verdana"/>
          <w:snapToGrid w:val="0"/>
          <w:sz w:val="20"/>
          <w:szCs w:val="20"/>
          <w:lang w:val="en-US"/>
        </w:rPr>
        <w:t xml:space="preserve">sion and </w:t>
      </w:r>
      <w:r w:rsidR="00D85D67" w:rsidRPr="008A3740">
        <w:rPr>
          <w:rFonts w:ascii="Verdana" w:hAnsi="Verdana"/>
          <w:snapToGrid w:val="0"/>
          <w:sz w:val="20"/>
          <w:szCs w:val="20"/>
          <w:lang w:val="en-US"/>
        </w:rPr>
        <w:t xml:space="preserve">hindered the </w:t>
      </w:r>
      <w:r w:rsidR="0032230F" w:rsidRPr="008A3740">
        <w:rPr>
          <w:rFonts w:ascii="Verdana" w:hAnsi="Verdana"/>
          <w:snapToGrid w:val="0"/>
          <w:sz w:val="20"/>
          <w:szCs w:val="20"/>
          <w:lang w:val="en-US"/>
        </w:rPr>
        <w:t xml:space="preserve">execution of </w:t>
      </w:r>
      <w:r w:rsidRPr="008A3740">
        <w:rPr>
          <w:rFonts w:ascii="Verdana" w:hAnsi="Verdana"/>
          <w:snapToGrid w:val="0"/>
          <w:sz w:val="20"/>
          <w:szCs w:val="20"/>
          <w:lang w:val="en-US"/>
        </w:rPr>
        <w:t xml:space="preserve">the </w:t>
      </w:r>
      <w:r w:rsidRPr="008A3740">
        <w:rPr>
          <w:rFonts w:ascii="Verdana" w:hAnsi="Verdana"/>
          <w:i/>
          <w:snapToGrid w:val="0"/>
          <w:sz w:val="20"/>
          <w:szCs w:val="20"/>
          <w:lang w:val="en-US"/>
        </w:rPr>
        <w:t>amparo</w:t>
      </w:r>
      <w:r w:rsidRPr="008A3740">
        <w:rPr>
          <w:rFonts w:ascii="Verdana" w:hAnsi="Verdana"/>
          <w:snapToGrid w:val="0"/>
          <w:sz w:val="20"/>
          <w:szCs w:val="20"/>
          <w:lang w:val="en-US"/>
        </w:rPr>
        <w:t xml:space="preserve"> judgments. This </w:t>
      </w:r>
      <w:r w:rsidR="0032230F" w:rsidRPr="008A3740">
        <w:rPr>
          <w:rFonts w:ascii="Verdana" w:hAnsi="Verdana"/>
          <w:snapToGrid w:val="0"/>
          <w:sz w:val="20"/>
          <w:szCs w:val="20"/>
          <w:lang w:val="en-US"/>
        </w:rPr>
        <w:t xml:space="preserve">resulted in </w:t>
      </w:r>
      <w:r w:rsidRPr="008A3740">
        <w:rPr>
          <w:rFonts w:ascii="Verdana" w:hAnsi="Verdana"/>
          <w:snapToGrid w:val="0"/>
          <w:sz w:val="20"/>
          <w:szCs w:val="20"/>
          <w:lang w:val="en-US"/>
        </w:rPr>
        <w:t>Mr. Muelle Flores</w:t>
      </w:r>
      <w:r w:rsidR="0032230F" w:rsidRPr="008A3740">
        <w:rPr>
          <w:rFonts w:ascii="Verdana" w:hAnsi="Verdana"/>
          <w:snapToGrid w:val="0"/>
          <w:sz w:val="20"/>
          <w:szCs w:val="20"/>
          <w:lang w:val="en-US"/>
        </w:rPr>
        <w:t xml:space="preserve"> being unable to enjoy</w:t>
      </w:r>
      <w:r w:rsidRPr="008A3740">
        <w:rPr>
          <w:rFonts w:ascii="Verdana" w:hAnsi="Verdana"/>
          <w:snapToGrid w:val="0"/>
          <w:sz w:val="20"/>
          <w:szCs w:val="20"/>
          <w:lang w:val="en-US"/>
        </w:rPr>
        <w:t xml:space="preserve">, </w:t>
      </w:r>
      <w:r w:rsidR="0032230F" w:rsidRPr="008A3740">
        <w:rPr>
          <w:rFonts w:ascii="Verdana" w:hAnsi="Verdana"/>
          <w:snapToGrid w:val="0"/>
          <w:sz w:val="20"/>
          <w:szCs w:val="20"/>
          <w:lang w:val="en-US"/>
        </w:rPr>
        <w:t xml:space="preserve">even to this day, the pension </w:t>
      </w:r>
      <w:r w:rsidRPr="008A3740">
        <w:rPr>
          <w:rFonts w:ascii="Verdana" w:hAnsi="Verdana"/>
          <w:snapToGrid w:val="0"/>
          <w:sz w:val="20"/>
          <w:szCs w:val="20"/>
          <w:lang w:val="en-US"/>
        </w:rPr>
        <w:t xml:space="preserve">to which he </w:t>
      </w:r>
      <w:r w:rsidR="00D85D67" w:rsidRPr="008A3740">
        <w:rPr>
          <w:rFonts w:ascii="Verdana" w:hAnsi="Verdana"/>
          <w:snapToGrid w:val="0"/>
          <w:sz w:val="20"/>
          <w:szCs w:val="20"/>
          <w:lang w:val="en-US"/>
        </w:rPr>
        <w:t xml:space="preserve">had </w:t>
      </w:r>
      <w:r w:rsidRPr="008A3740">
        <w:rPr>
          <w:rFonts w:ascii="Verdana" w:hAnsi="Verdana"/>
          <w:snapToGrid w:val="0"/>
          <w:sz w:val="20"/>
          <w:szCs w:val="20"/>
          <w:lang w:val="en-US"/>
        </w:rPr>
        <w:t xml:space="preserve">contributed and </w:t>
      </w:r>
      <w:r w:rsidR="0032230F" w:rsidRPr="008A3740">
        <w:rPr>
          <w:rFonts w:ascii="Verdana" w:hAnsi="Verdana"/>
          <w:snapToGrid w:val="0"/>
          <w:sz w:val="20"/>
          <w:szCs w:val="20"/>
          <w:lang w:val="en-US"/>
        </w:rPr>
        <w:t xml:space="preserve">to which he </w:t>
      </w:r>
      <w:r w:rsidRPr="008A3740">
        <w:rPr>
          <w:rFonts w:ascii="Verdana" w:hAnsi="Verdana"/>
          <w:snapToGrid w:val="0"/>
          <w:sz w:val="20"/>
          <w:szCs w:val="20"/>
          <w:lang w:val="en-US"/>
        </w:rPr>
        <w:t xml:space="preserve">had acquired full rights. Therefore, the State is responsible for the violation of Article 2 of the Convention for the failure to adopt measures, at least until 2002. </w:t>
      </w:r>
    </w:p>
    <w:p w14:paraId="2D0BD1E8" w14:textId="77777777" w:rsidR="008E6A56" w:rsidRPr="008A3740" w:rsidRDefault="008E6A56" w:rsidP="00D17A65">
      <w:pPr>
        <w:pStyle w:val="Ttulo4"/>
        <w:numPr>
          <w:ilvl w:val="0"/>
          <w:numId w:val="8"/>
        </w:numPr>
        <w:rPr>
          <w:lang w:val="en-US"/>
        </w:rPr>
      </w:pPr>
      <w:r w:rsidRPr="008A3740">
        <w:rPr>
          <w:lang w:val="en-US"/>
        </w:rPr>
        <w:t xml:space="preserve">Lack of effectiveness of the execution </w:t>
      </w:r>
      <w:r w:rsidR="00623FA2" w:rsidRPr="008A3740">
        <w:rPr>
          <w:lang w:val="en-US"/>
        </w:rPr>
        <w:t>of judgment proceedings</w:t>
      </w:r>
      <w:r w:rsidR="0032230F" w:rsidRPr="008A3740">
        <w:rPr>
          <w:lang w:val="en-US"/>
        </w:rPr>
        <w:t xml:space="preserve">: lack of </w:t>
      </w:r>
      <w:r w:rsidRPr="008A3740">
        <w:rPr>
          <w:lang w:val="en-US"/>
        </w:rPr>
        <w:t>coercive me</w:t>
      </w:r>
      <w:r w:rsidR="00F67656" w:rsidRPr="008A3740">
        <w:rPr>
          <w:lang w:val="en-US"/>
        </w:rPr>
        <w:t xml:space="preserve">chanisms </w:t>
      </w:r>
      <w:r w:rsidRPr="008A3740">
        <w:rPr>
          <w:lang w:val="en-US"/>
        </w:rPr>
        <w:t>and measures to reverse the effects of privatization</w:t>
      </w:r>
    </w:p>
    <w:p w14:paraId="39807FCF" w14:textId="77777777" w:rsidR="008E6A56" w:rsidRPr="008A3740" w:rsidRDefault="008E6A56" w:rsidP="008E6A56">
      <w:pPr>
        <w:rPr>
          <w:rFonts w:ascii="Verdana" w:hAnsi="Verdana"/>
          <w:sz w:val="20"/>
          <w:szCs w:val="20"/>
          <w:lang w:val="en-US" w:eastAsia="en-US"/>
        </w:rPr>
      </w:pPr>
    </w:p>
    <w:p w14:paraId="11B3E977" w14:textId="77777777" w:rsidR="008E6A56" w:rsidRPr="008A3740" w:rsidRDefault="00623FA2"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A</w:t>
      </w:r>
      <w:r w:rsidR="008E6A56" w:rsidRPr="008A3740">
        <w:rPr>
          <w:rFonts w:ascii="Verdana" w:hAnsi="Verdana"/>
          <w:snapToGrid w:val="0"/>
          <w:sz w:val="20"/>
          <w:szCs w:val="20"/>
          <w:lang w:val="en-US"/>
        </w:rPr>
        <w:t>s this Court has already es</w:t>
      </w:r>
      <w:r w:rsidR="00982F9E" w:rsidRPr="008A3740">
        <w:rPr>
          <w:rFonts w:ascii="Verdana" w:hAnsi="Verdana"/>
          <w:snapToGrid w:val="0"/>
          <w:sz w:val="20"/>
          <w:szCs w:val="20"/>
          <w:lang w:val="en-US"/>
        </w:rPr>
        <w:t xml:space="preserve">tablished, compliance with </w:t>
      </w:r>
      <w:r w:rsidR="008E6A56" w:rsidRPr="008A3740">
        <w:rPr>
          <w:rFonts w:ascii="Verdana" w:hAnsi="Verdana"/>
          <w:snapToGrid w:val="0"/>
          <w:sz w:val="20"/>
          <w:szCs w:val="20"/>
          <w:lang w:val="en-US"/>
        </w:rPr>
        <w:t xml:space="preserve">and enforcement of judgments </w:t>
      </w:r>
      <w:r w:rsidR="00982F9E" w:rsidRPr="008A3740">
        <w:rPr>
          <w:rFonts w:ascii="Verdana" w:hAnsi="Verdana"/>
          <w:snapToGrid w:val="0"/>
          <w:sz w:val="20"/>
          <w:szCs w:val="20"/>
          <w:lang w:val="en-US"/>
        </w:rPr>
        <w:t xml:space="preserve">are both </w:t>
      </w:r>
      <w:r w:rsidR="008E6A56" w:rsidRPr="008A3740">
        <w:rPr>
          <w:rFonts w:ascii="Verdana" w:hAnsi="Verdana"/>
          <w:snapToGrid w:val="0"/>
          <w:sz w:val="20"/>
          <w:szCs w:val="20"/>
          <w:lang w:val="en-US"/>
        </w:rPr>
        <w:t xml:space="preserve">components of the right of access to justice and to effective judicial protection. Likewise, the </w:t>
      </w:r>
      <w:r w:rsidR="008E6A56" w:rsidRPr="008A3740">
        <w:rPr>
          <w:rFonts w:ascii="Verdana" w:hAnsi="Verdana"/>
          <w:spacing w:val="-2"/>
          <w:sz w:val="20"/>
          <w:szCs w:val="20"/>
          <w:lang w:val="en-US"/>
        </w:rPr>
        <w:t>effectiveness of judgments depends on their execution</w:t>
      </w:r>
      <w:r w:rsidR="008E6A56" w:rsidRPr="008A3740">
        <w:rPr>
          <w:rFonts w:ascii="Verdana" w:hAnsi="Verdana"/>
          <w:snapToGrid w:val="0"/>
          <w:sz w:val="20"/>
          <w:szCs w:val="20"/>
          <w:lang w:val="en-US"/>
        </w:rPr>
        <w:t xml:space="preserve">, given that the </w:t>
      </w:r>
      <w:r w:rsidR="008E6A56" w:rsidRPr="008A3740">
        <w:rPr>
          <w:rFonts w:ascii="Verdana" w:hAnsi="Verdana"/>
          <w:sz w:val="20"/>
          <w:szCs w:val="20"/>
          <w:lang w:val="en-US"/>
        </w:rPr>
        <w:t xml:space="preserve">right to judicial protection would be illusory if the State’s domestic legal system were to allow a final and </w:t>
      </w:r>
      <w:r w:rsidR="00982F9E" w:rsidRPr="008A3740">
        <w:rPr>
          <w:rFonts w:ascii="Verdana" w:hAnsi="Verdana"/>
          <w:sz w:val="20"/>
          <w:szCs w:val="20"/>
          <w:lang w:val="en-US"/>
        </w:rPr>
        <w:t xml:space="preserve">binding </w:t>
      </w:r>
      <w:r w:rsidR="008E6A56" w:rsidRPr="008A3740">
        <w:rPr>
          <w:rFonts w:ascii="Verdana" w:hAnsi="Verdana"/>
          <w:sz w:val="20"/>
          <w:szCs w:val="20"/>
          <w:lang w:val="en-US"/>
        </w:rPr>
        <w:t>judicial decision to remain in</w:t>
      </w:r>
      <w:r w:rsidR="00982F9E" w:rsidRPr="008A3740">
        <w:rPr>
          <w:rFonts w:ascii="Verdana" w:hAnsi="Verdana"/>
          <w:sz w:val="20"/>
          <w:szCs w:val="20"/>
          <w:lang w:val="en-US"/>
        </w:rPr>
        <w:t xml:space="preserve">operative </w:t>
      </w:r>
      <w:r w:rsidR="008E6A56" w:rsidRPr="008A3740">
        <w:rPr>
          <w:rFonts w:ascii="Verdana" w:hAnsi="Verdana"/>
          <w:sz w:val="20"/>
          <w:szCs w:val="20"/>
          <w:lang w:val="en-US"/>
        </w:rPr>
        <w:t xml:space="preserve">to the detriment of </w:t>
      </w:r>
      <w:r w:rsidR="00982F9E" w:rsidRPr="008A3740">
        <w:rPr>
          <w:rFonts w:ascii="Verdana" w:hAnsi="Verdana"/>
          <w:sz w:val="20"/>
          <w:szCs w:val="20"/>
          <w:lang w:val="en-US"/>
        </w:rPr>
        <w:t xml:space="preserve">one </w:t>
      </w:r>
      <w:r w:rsidR="008E6A56" w:rsidRPr="008A3740">
        <w:rPr>
          <w:rFonts w:ascii="Verdana" w:hAnsi="Verdana"/>
          <w:sz w:val="20"/>
          <w:szCs w:val="20"/>
          <w:lang w:val="en-US"/>
        </w:rPr>
        <w:t>of the parties.</w:t>
      </w:r>
      <w:r w:rsidR="008E6A56" w:rsidRPr="008A3740">
        <w:rPr>
          <w:rStyle w:val="Refdenotaalpie"/>
          <w:szCs w:val="20"/>
          <w:lang w:val="en-US"/>
        </w:rPr>
        <w:footnoteReference w:id="154"/>
      </w:r>
      <w:r w:rsidR="009B57BA" w:rsidRPr="008A3740">
        <w:rPr>
          <w:rFonts w:ascii="Verdana" w:hAnsi="Verdana"/>
          <w:sz w:val="20"/>
          <w:szCs w:val="20"/>
          <w:lang w:val="en-US"/>
        </w:rPr>
        <w:t xml:space="preserve"> The Court considers</w:t>
      </w:r>
      <w:r w:rsidR="008E6A56" w:rsidRPr="008A3740">
        <w:rPr>
          <w:rFonts w:ascii="Verdana" w:hAnsi="Verdana"/>
          <w:sz w:val="20"/>
          <w:szCs w:val="20"/>
          <w:lang w:val="en-US"/>
        </w:rPr>
        <w:t xml:space="preserve"> that as part of the </w:t>
      </w:r>
      <w:r w:rsidR="008E6A56" w:rsidRPr="008A3740">
        <w:rPr>
          <w:rFonts w:ascii="Verdana" w:hAnsi="Verdana" w:cs="Verdana"/>
          <w:bCs/>
          <w:iCs/>
          <w:sz w:val="20"/>
          <w:szCs w:val="20"/>
          <w:lang w:val="en-US"/>
        </w:rPr>
        <w:t>duty to ensure effective means and mechanisms to execute final decisions,</w:t>
      </w:r>
      <w:r w:rsidR="009B57BA" w:rsidRPr="008A3740">
        <w:rPr>
          <w:rFonts w:ascii="Verdana" w:hAnsi="Verdana" w:cs="Verdana"/>
          <w:bCs/>
          <w:iCs/>
          <w:sz w:val="20"/>
          <w:szCs w:val="20"/>
          <w:lang w:val="en-US"/>
        </w:rPr>
        <w:t xml:space="preserve"> the States</w:t>
      </w:r>
      <w:r w:rsidR="008E6A56" w:rsidRPr="008A3740">
        <w:rPr>
          <w:rFonts w:ascii="Verdana" w:hAnsi="Verdana" w:cs="Verdana"/>
          <w:bCs/>
          <w:iCs/>
          <w:sz w:val="20"/>
          <w:szCs w:val="20"/>
          <w:lang w:val="en-US"/>
        </w:rPr>
        <w:t xml:space="preserve"> “</w:t>
      </w:r>
      <w:r w:rsidR="0032230F" w:rsidRPr="008A3740">
        <w:rPr>
          <w:rFonts w:ascii="Verdana" w:hAnsi="Verdana" w:cs="Verdana"/>
          <w:bCs/>
          <w:iCs/>
          <w:sz w:val="20"/>
          <w:szCs w:val="20"/>
          <w:lang w:val="en-US"/>
        </w:rPr>
        <w:t xml:space="preserve">must </w:t>
      </w:r>
      <w:r w:rsidR="008E6A56" w:rsidRPr="008A3740">
        <w:rPr>
          <w:rFonts w:ascii="Verdana" w:hAnsi="Verdana" w:cs="Verdana"/>
          <w:bCs/>
          <w:iCs/>
          <w:sz w:val="20"/>
          <w:szCs w:val="20"/>
          <w:lang w:val="en-US"/>
        </w:rPr>
        <w:t xml:space="preserve">establish monitoring </w:t>
      </w:r>
      <w:r w:rsidR="009B57BA" w:rsidRPr="008A3740">
        <w:rPr>
          <w:rFonts w:ascii="Verdana" w:hAnsi="Verdana" w:cs="Verdana"/>
          <w:bCs/>
          <w:iCs/>
          <w:sz w:val="20"/>
          <w:szCs w:val="20"/>
          <w:lang w:val="en-US"/>
        </w:rPr>
        <w:t xml:space="preserve">and enforcement of compliance </w:t>
      </w:r>
      <w:r w:rsidR="008E6A56" w:rsidRPr="008A3740">
        <w:rPr>
          <w:rFonts w:ascii="Verdana" w:hAnsi="Verdana" w:cs="Verdana"/>
          <w:bCs/>
          <w:iCs/>
          <w:sz w:val="20"/>
          <w:szCs w:val="20"/>
          <w:lang w:val="en-US"/>
        </w:rPr>
        <w:t>mechanisms that are available and accessible in practice […] [such as different types</w:t>
      </w:r>
      <w:r w:rsidR="00692A2E" w:rsidRPr="008A3740">
        <w:rPr>
          <w:rFonts w:ascii="Verdana" w:hAnsi="Verdana" w:cs="Verdana"/>
          <w:bCs/>
          <w:iCs/>
          <w:sz w:val="20"/>
          <w:szCs w:val="20"/>
          <w:lang w:val="en-US"/>
        </w:rPr>
        <w:t xml:space="preserve"> of coercive measures</w:t>
      </w:r>
      <w:r w:rsidR="008E6A56" w:rsidRPr="008A3740">
        <w:rPr>
          <w:rFonts w:ascii="Verdana" w:hAnsi="Verdana" w:cs="Verdana"/>
          <w:bCs/>
          <w:iCs/>
          <w:sz w:val="20"/>
          <w:szCs w:val="20"/>
          <w:lang w:val="en-US"/>
        </w:rPr>
        <w:t xml:space="preserve">, including,] sanctions against those who hinder </w:t>
      </w:r>
      <w:r w:rsidR="008E6A56" w:rsidRPr="008A3740">
        <w:rPr>
          <w:rFonts w:ascii="Verdana" w:hAnsi="Verdana" w:cs="Verdana"/>
          <w:bCs/>
          <w:iCs/>
          <w:sz w:val="20"/>
          <w:szCs w:val="20"/>
          <w:lang w:val="en-US"/>
        </w:rPr>
        <w:lastRenderedPageBreak/>
        <w:t>the effective exercise of rights […].”</w:t>
      </w:r>
      <w:r w:rsidR="008E6A56" w:rsidRPr="008A3740">
        <w:rPr>
          <w:rStyle w:val="Refdenotaalpie"/>
          <w:bCs/>
          <w:iCs/>
          <w:szCs w:val="20"/>
          <w:lang w:val="en-US"/>
        </w:rPr>
        <w:footnoteReference w:id="155"/>
      </w:r>
      <w:r w:rsidR="008E6A56" w:rsidRPr="008A3740">
        <w:rPr>
          <w:rFonts w:ascii="Verdana" w:hAnsi="Verdana" w:cs="Verdana"/>
          <w:bCs/>
          <w:iCs/>
          <w:sz w:val="20"/>
          <w:szCs w:val="20"/>
          <w:lang w:val="en-US"/>
        </w:rPr>
        <w:t xml:space="preserve"> This would contribute to </w:t>
      </w:r>
      <w:r w:rsidR="00692A2E" w:rsidRPr="008A3740">
        <w:rPr>
          <w:rFonts w:ascii="Verdana" w:hAnsi="Verdana" w:cs="Verdana"/>
          <w:bCs/>
          <w:iCs/>
          <w:sz w:val="20"/>
          <w:szCs w:val="20"/>
          <w:lang w:val="en-US"/>
        </w:rPr>
        <w:t xml:space="preserve">ensure that </w:t>
      </w:r>
      <w:r w:rsidR="008E6A56" w:rsidRPr="008A3740">
        <w:rPr>
          <w:rFonts w:ascii="Verdana" w:hAnsi="Verdana" w:cs="Verdana"/>
          <w:bCs/>
          <w:iCs/>
          <w:sz w:val="20"/>
          <w:szCs w:val="20"/>
          <w:lang w:val="en-US"/>
        </w:rPr>
        <w:t xml:space="preserve">the right protected by the decision </w:t>
      </w:r>
      <w:r w:rsidR="00692A2E" w:rsidRPr="008A3740">
        <w:rPr>
          <w:rFonts w:ascii="Verdana" w:hAnsi="Verdana" w:cs="Verdana"/>
          <w:bCs/>
          <w:iCs/>
          <w:sz w:val="20"/>
          <w:szCs w:val="20"/>
          <w:lang w:val="en-US"/>
        </w:rPr>
        <w:t>is implemented</w:t>
      </w:r>
      <w:r w:rsidR="008E6A56" w:rsidRPr="008A3740">
        <w:rPr>
          <w:rFonts w:ascii="Verdana" w:hAnsi="Verdana" w:cs="Verdana"/>
          <w:bCs/>
          <w:iCs/>
          <w:sz w:val="20"/>
          <w:szCs w:val="20"/>
          <w:lang w:val="en-US"/>
        </w:rPr>
        <w:t>.</w:t>
      </w:r>
    </w:p>
    <w:p w14:paraId="3E1035B9" w14:textId="77777777" w:rsidR="008E6A56" w:rsidRPr="008A3740" w:rsidRDefault="008E6A56" w:rsidP="008E6A56">
      <w:pPr>
        <w:pStyle w:val="Prrafodelista"/>
        <w:ind w:left="0"/>
        <w:rPr>
          <w:rFonts w:ascii="Verdana" w:hAnsi="Verdana" w:cs="Verdana"/>
          <w:bCs/>
          <w:iCs/>
          <w:sz w:val="20"/>
          <w:szCs w:val="20"/>
          <w:lang w:val="en-US"/>
        </w:rPr>
      </w:pPr>
    </w:p>
    <w:p w14:paraId="0EE9DC97"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New Roman" w:hAnsi="Verdana"/>
          <w:snapToGrid w:val="0"/>
          <w:sz w:val="20"/>
          <w:szCs w:val="20"/>
          <w:lang w:val="en-US"/>
        </w:rPr>
      </w:pPr>
      <w:r w:rsidRPr="008A3740">
        <w:rPr>
          <w:rFonts w:ascii="Verdana" w:hAnsi="Verdana" w:cs="Verdana"/>
          <w:bCs/>
          <w:iCs/>
          <w:sz w:val="20"/>
          <w:szCs w:val="20"/>
          <w:lang w:val="en-US"/>
        </w:rPr>
        <w:t xml:space="preserve">In this regard, the State </w:t>
      </w:r>
      <w:r w:rsidR="00343765" w:rsidRPr="008A3740">
        <w:rPr>
          <w:rFonts w:ascii="Verdana" w:hAnsi="Verdana" w:cs="Verdana"/>
          <w:bCs/>
          <w:iCs/>
          <w:sz w:val="20"/>
          <w:szCs w:val="20"/>
          <w:lang w:val="en-US"/>
        </w:rPr>
        <w:t xml:space="preserve">of Peru </w:t>
      </w:r>
      <w:r w:rsidRPr="008A3740">
        <w:rPr>
          <w:rFonts w:ascii="Verdana" w:hAnsi="Verdana" w:cs="Verdana"/>
          <w:bCs/>
          <w:iCs/>
          <w:sz w:val="20"/>
          <w:szCs w:val="20"/>
          <w:lang w:val="en-US"/>
        </w:rPr>
        <w:t>argued that its domestic legislation includes var</w:t>
      </w:r>
      <w:r w:rsidR="00343765" w:rsidRPr="008A3740">
        <w:rPr>
          <w:rFonts w:ascii="Verdana" w:hAnsi="Verdana" w:cs="Verdana"/>
          <w:bCs/>
          <w:iCs/>
          <w:sz w:val="20"/>
          <w:szCs w:val="20"/>
          <w:lang w:val="en-US"/>
        </w:rPr>
        <w:t>ious laws that regulate coercive measures to ensure that the</w:t>
      </w:r>
      <w:r w:rsidRPr="008A3740">
        <w:rPr>
          <w:rFonts w:ascii="Verdana" w:hAnsi="Verdana" w:cs="Verdana"/>
          <w:bCs/>
          <w:iCs/>
          <w:sz w:val="20"/>
          <w:szCs w:val="20"/>
          <w:lang w:val="en-US"/>
        </w:rPr>
        <w:t xml:space="preserve"> ju</w:t>
      </w:r>
      <w:r w:rsidR="00343765" w:rsidRPr="008A3740">
        <w:rPr>
          <w:rFonts w:ascii="Verdana" w:hAnsi="Verdana" w:cs="Verdana"/>
          <w:bCs/>
          <w:iCs/>
          <w:sz w:val="20"/>
          <w:szCs w:val="20"/>
          <w:lang w:val="en-US"/>
        </w:rPr>
        <w:t xml:space="preserve">dicial </w:t>
      </w:r>
      <w:r w:rsidR="00847D9C" w:rsidRPr="008A3740">
        <w:rPr>
          <w:rFonts w:ascii="Verdana" w:hAnsi="Verdana" w:cs="Verdana"/>
          <w:bCs/>
          <w:iCs/>
          <w:sz w:val="20"/>
          <w:szCs w:val="20"/>
          <w:lang w:val="en-US"/>
        </w:rPr>
        <w:t>authorities execute</w:t>
      </w:r>
      <w:r w:rsidRPr="008A3740">
        <w:rPr>
          <w:rFonts w:ascii="Verdana" w:hAnsi="Verdana" w:cs="Verdana"/>
          <w:bCs/>
          <w:iCs/>
          <w:sz w:val="20"/>
          <w:szCs w:val="20"/>
          <w:lang w:val="en-US"/>
        </w:rPr>
        <w:t xml:space="preserve"> judgments and </w:t>
      </w:r>
      <w:r w:rsidR="00847D9C" w:rsidRPr="008A3740">
        <w:rPr>
          <w:rFonts w:ascii="Verdana" w:hAnsi="Verdana" w:cs="Verdana"/>
          <w:bCs/>
          <w:iCs/>
          <w:sz w:val="20"/>
          <w:szCs w:val="20"/>
          <w:lang w:val="en-US"/>
        </w:rPr>
        <w:t xml:space="preserve">judicial </w:t>
      </w:r>
      <w:r w:rsidR="00343765" w:rsidRPr="008A3740">
        <w:rPr>
          <w:rFonts w:ascii="Verdana" w:hAnsi="Verdana" w:cs="Verdana"/>
          <w:bCs/>
          <w:iCs/>
          <w:sz w:val="20"/>
          <w:szCs w:val="20"/>
          <w:lang w:val="en-US"/>
        </w:rPr>
        <w:t>decisions</w:t>
      </w:r>
      <w:r w:rsidRPr="008A3740">
        <w:rPr>
          <w:rFonts w:ascii="Verdana" w:hAnsi="Verdana" w:cs="Verdana"/>
          <w:bCs/>
          <w:iCs/>
          <w:sz w:val="20"/>
          <w:szCs w:val="20"/>
          <w:lang w:val="en-US"/>
        </w:rPr>
        <w:t xml:space="preserve">. The State </w:t>
      </w:r>
      <w:r w:rsidR="00D26D2C" w:rsidRPr="008A3740">
        <w:rPr>
          <w:rFonts w:ascii="Verdana" w:hAnsi="Verdana" w:cs="Verdana"/>
          <w:bCs/>
          <w:iCs/>
          <w:sz w:val="20"/>
          <w:szCs w:val="20"/>
          <w:lang w:val="en-US"/>
        </w:rPr>
        <w:t xml:space="preserve">pointed out </w:t>
      </w:r>
      <w:r w:rsidRPr="008A3740">
        <w:rPr>
          <w:rFonts w:ascii="Verdana" w:hAnsi="Verdana" w:cs="Verdana"/>
          <w:bCs/>
          <w:iCs/>
          <w:sz w:val="20"/>
          <w:szCs w:val="20"/>
          <w:lang w:val="en-US"/>
        </w:rPr>
        <w:t xml:space="preserve">that </w:t>
      </w:r>
      <w:r w:rsidRPr="008A3740">
        <w:rPr>
          <w:rFonts w:ascii="Verdana" w:hAnsi="Verdana"/>
          <w:sz w:val="20"/>
          <w:szCs w:val="20"/>
          <w:lang w:val="en-US"/>
        </w:rPr>
        <w:t>Article 139</w:t>
      </w:r>
      <w:r w:rsidR="00A30219" w:rsidRPr="008A3740">
        <w:rPr>
          <w:rFonts w:ascii="Verdana" w:hAnsi="Verdana"/>
          <w:sz w:val="20"/>
          <w:szCs w:val="20"/>
          <w:lang w:val="en-US"/>
        </w:rPr>
        <w:t xml:space="preserve">, </w:t>
      </w:r>
      <w:r w:rsidR="00A30219" w:rsidRPr="008A3740">
        <w:rPr>
          <w:rFonts w:ascii="Verdana" w:hAnsi="Verdana" w:cs="Verdana"/>
          <w:bCs/>
          <w:iCs/>
          <w:sz w:val="20"/>
          <w:szCs w:val="20"/>
          <w:lang w:val="en-US"/>
        </w:rPr>
        <w:t xml:space="preserve">subparagraph </w:t>
      </w:r>
      <w:r w:rsidR="00A30219" w:rsidRPr="008A3740">
        <w:rPr>
          <w:rFonts w:ascii="Verdana" w:hAnsi="Verdana"/>
          <w:sz w:val="20"/>
          <w:szCs w:val="20"/>
          <w:lang w:val="en-US"/>
        </w:rPr>
        <w:t xml:space="preserve">2 of </w:t>
      </w:r>
      <w:r w:rsidRPr="008A3740">
        <w:rPr>
          <w:rFonts w:ascii="Verdana" w:hAnsi="Verdana"/>
          <w:sz w:val="20"/>
          <w:szCs w:val="20"/>
          <w:lang w:val="en-US"/>
        </w:rPr>
        <w:t xml:space="preserve">the </w:t>
      </w:r>
      <w:r w:rsidR="00343765" w:rsidRPr="008A3740">
        <w:rPr>
          <w:rFonts w:ascii="Verdana" w:hAnsi="Verdana"/>
          <w:sz w:val="20"/>
          <w:szCs w:val="20"/>
          <w:lang w:val="en-US"/>
        </w:rPr>
        <w:t xml:space="preserve">Peruvian Constitution establishes </w:t>
      </w:r>
      <w:r w:rsidRPr="008A3740">
        <w:rPr>
          <w:rFonts w:ascii="Verdana" w:hAnsi="Verdana"/>
          <w:sz w:val="20"/>
          <w:szCs w:val="20"/>
          <w:lang w:val="en-US"/>
        </w:rPr>
        <w:t xml:space="preserve">that </w:t>
      </w:r>
      <w:r w:rsidR="00D26D2C" w:rsidRPr="008A3740">
        <w:rPr>
          <w:rFonts w:ascii="Verdana" w:hAnsi="Verdana"/>
          <w:iCs/>
          <w:sz w:val="20"/>
          <w:szCs w:val="20"/>
          <w:lang w:val="en-US"/>
        </w:rPr>
        <w:t>“</w:t>
      </w:r>
      <w:r w:rsidR="00343765" w:rsidRPr="008A3740">
        <w:rPr>
          <w:rFonts w:ascii="Verdana" w:hAnsi="Verdana"/>
          <w:iCs/>
          <w:sz w:val="20"/>
          <w:szCs w:val="20"/>
          <w:lang w:val="en-US"/>
        </w:rPr>
        <w:t>N</w:t>
      </w:r>
      <w:r w:rsidRPr="008A3740">
        <w:rPr>
          <w:rFonts w:ascii="Verdana" w:hAnsi="Verdana"/>
          <w:iCs/>
          <w:sz w:val="20"/>
          <w:szCs w:val="20"/>
          <w:lang w:val="en-US"/>
        </w:rPr>
        <w:t xml:space="preserve">o authority </w:t>
      </w:r>
      <w:r w:rsidR="00343765" w:rsidRPr="008A3740">
        <w:rPr>
          <w:rFonts w:ascii="Verdana" w:hAnsi="Verdana"/>
          <w:iCs/>
          <w:sz w:val="20"/>
          <w:szCs w:val="20"/>
          <w:lang w:val="en-US"/>
        </w:rPr>
        <w:t xml:space="preserve">shall </w:t>
      </w:r>
      <w:r w:rsidRPr="008A3740">
        <w:rPr>
          <w:rFonts w:ascii="Verdana" w:hAnsi="Verdana"/>
          <w:iCs/>
          <w:sz w:val="20"/>
          <w:szCs w:val="20"/>
          <w:lang w:val="en-US"/>
        </w:rPr>
        <w:t>[…]</w:t>
      </w:r>
      <w:r w:rsidRPr="008A3740">
        <w:rPr>
          <w:rFonts w:ascii="Verdana" w:hAnsi="Verdana"/>
          <w:sz w:val="20"/>
          <w:szCs w:val="20"/>
          <w:lang w:val="en-US"/>
        </w:rPr>
        <w:t xml:space="preserve"> </w:t>
      </w:r>
      <w:r w:rsidR="00343765" w:rsidRPr="008A3740">
        <w:rPr>
          <w:rFonts w:ascii="Verdana" w:hAnsi="Verdana"/>
          <w:sz w:val="20"/>
          <w:szCs w:val="20"/>
          <w:lang w:val="en-US"/>
        </w:rPr>
        <w:t xml:space="preserve">invalidate orders </w:t>
      </w:r>
      <w:r w:rsidR="00D26D2C" w:rsidRPr="008A3740">
        <w:rPr>
          <w:rFonts w:ascii="Verdana" w:hAnsi="Verdana"/>
          <w:sz w:val="20"/>
          <w:szCs w:val="20"/>
          <w:lang w:val="en-US"/>
        </w:rPr>
        <w:t xml:space="preserve">under </w:t>
      </w:r>
      <w:r w:rsidRPr="008A3740">
        <w:rPr>
          <w:rFonts w:ascii="Verdana" w:hAnsi="Verdana"/>
          <w:i/>
          <w:iCs/>
          <w:sz w:val="20"/>
          <w:szCs w:val="20"/>
          <w:lang w:val="en-US"/>
        </w:rPr>
        <w:t>res judicata</w:t>
      </w:r>
      <w:r w:rsidRPr="008A3740">
        <w:rPr>
          <w:rFonts w:ascii="Verdana" w:hAnsi="Verdana"/>
          <w:iCs/>
          <w:sz w:val="20"/>
          <w:szCs w:val="20"/>
          <w:lang w:val="en-US"/>
        </w:rPr>
        <w:t xml:space="preserve"> […] or delay </w:t>
      </w:r>
      <w:r w:rsidR="00D26D2C" w:rsidRPr="008A3740">
        <w:rPr>
          <w:rFonts w:ascii="Verdana" w:hAnsi="Verdana"/>
          <w:iCs/>
          <w:sz w:val="20"/>
          <w:szCs w:val="20"/>
          <w:lang w:val="en-US"/>
        </w:rPr>
        <w:t xml:space="preserve">their </w:t>
      </w:r>
      <w:r w:rsidRPr="008A3740">
        <w:rPr>
          <w:rFonts w:ascii="Verdana" w:hAnsi="Verdana"/>
          <w:iCs/>
          <w:sz w:val="20"/>
          <w:szCs w:val="20"/>
          <w:lang w:val="en-US"/>
        </w:rPr>
        <w:t>execution</w:t>
      </w:r>
      <w:r w:rsidR="00A30219" w:rsidRPr="008A3740">
        <w:rPr>
          <w:rFonts w:ascii="Verdana" w:hAnsi="Verdana"/>
          <w:iCs/>
          <w:sz w:val="20"/>
          <w:szCs w:val="20"/>
          <w:lang w:val="en-US"/>
        </w:rPr>
        <w:t>.</w:t>
      </w:r>
      <w:r w:rsidR="00D26D2C" w:rsidRPr="008A3740">
        <w:rPr>
          <w:rFonts w:ascii="Verdana" w:hAnsi="Verdana"/>
          <w:sz w:val="20"/>
          <w:szCs w:val="20"/>
          <w:lang w:val="en-US"/>
        </w:rPr>
        <w:t>”</w:t>
      </w:r>
      <w:r w:rsidRPr="008A3740">
        <w:rPr>
          <w:rFonts w:ascii="Verdana" w:hAnsi="Verdana"/>
          <w:sz w:val="20"/>
          <w:szCs w:val="20"/>
          <w:lang w:val="en-US"/>
        </w:rPr>
        <w:t xml:space="preserve"> Likewise, </w:t>
      </w:r>
      <w:r w:rsidR="00847D9C" w:rsidRPr="008A3740">
        <w:rPr>
          <w:rFonts w:ascii="Verdana" w:hAnsi="Verdana"/>
          <w:sz w:val="20"/>
          <w:szCs w:val="20"/>
          <w:lang w:val="en-US"/>
        </w:rPr>
        <w:t xml:space="preserve">it stressed </w:t>
      </w:r>
      <w:r w:rsidR="00D26D2C" w:rsidRPr="008A3740">
        <w:rPr>
          <w:rFonts w:ascii="Verdana" w:hAnsi="Verdana"/>
          <w:sz w:val="20"/>
          <w:szCs w:val="20"/>
          <w:lang w:val="en-US"/>
        </w:rPr>
        <w:t xml:space="preserve">that the </w:t>
      </w:r>
      <w:r w:rsidRPr="008A3740">
        <w:rPr>
          <w:rFonts w:ascii="Verdana" w:eastAsia="Times" w:hAnsi="Verdana"/>
          <w:sz w:val="20"/>
          <w:szCs w:val="20"/>
          <w:lang w:val="en-US"/>
        </w:rPr>
        <w:t xml:space="preserve">Organic Law of the </w:t>
      </w:r>
      <w:r w:rsidR="000E0D7D" w:rsidRPr="008A3740">
        <w:rPr>
          <w:rFonts w:ascii="Verdana" w:eastAsia="Times" w:hAnsi="Verdana"/>
          <w:sz w:val="20"/>
          <w:szCs w:val="20"/>
          <w:lang w:val="en-US"/>
        </w:rPr>
        <w:t>Judiciary</w:t>
      </w:r>
      <w:r w:rsidR="00847D9C" w:rsidRPr="008A3740">
        <w:rPr>
          <w:rFonts w:ascii="Verdana" w:eastAsia="Times" w:hAnsi="Verdana"/>
          <w:sz w:val="20"/>
          <w:szCs w:val="20"/>
          <w:lang w:val="en-US"/>
        </w:rPr>
        <w:t>,</w:t>
      </w:r>
      <w:r w:rsidRPr="008A3740">
        <w:rPr>
          <w:rStyle w:val="Refdenotaalpie"/>
          <w:rFonts w:eastAsia="Times"/>
          <w:szCs w:val="20"/>
          <w:lang w:val="en-US"/>
        </w:rPr>
        <w:footnoteReference w:id="156"/>
      </w:r>
      <w:r w:rsidRPr="008A3740">
        <w:rPr>
          <w:rFonts w:ascii="Verdana" w:eastAsia="Times" w:hAnsi="Verdana"/>
          <w:sz w:val="20"/>
          <w:szCs w:val="20"/>
          <w:lang w:val="en-US"/>
        </w:rPr>
        <w:t xml:space="preserve"> the Code of Constitutional Procedure</w:t>
      </w:r>
      <w:r w:rsidR="00A30219" w:rsidRPr="008A3740">
        <w:rPr>
          <w:rFonts w:ascii="Verdana" w:eastAsia="Times" w:hAnsi="Verdana"/>
          <w:sz w:val="20"/>
          <w:szCs w:val="20"/>
          <w:lang w:val="en-US"/>
        </w:rPr>
        <w:t>,</w:t>
      </w:r>
      <w:r w:rsidRPr="008A3740">
        <w:rPr>
          <w:rStyle w:val="Refdenotaalpie"/>
          <w:rFonts w:eastAsia="Times"/>
          <w:szCs w:val="20"/>
          <w:lang w:val="en-US"/>
        </w:rPr>
        <w:footnoteReference w:id="157"/>
      </w:r>
      <w:r w:rsidRPr="008A3740">
        <w:rPr>
          <w:rFonts w:ascii="Verdana" w:eastAsia="Times" w:hAnsi="Verdana"/>
          <w:sz w:val="20"/>
          <w:szCs w:val="20"/>
          <w:lang w:val="en-US"/>
        </w:rPr>
        <w:t xml:space="preserve"> the Code </w:t>
      </w:r>
      <w:r w:rsidR="00847D9C" w:rsidRPr="008A3740">
        <w:rPr>
          <w:rFonts w:ascii="Verdana" w:eastAsia="Times" w:hAnsi="Verdana"/>
          <w:sz w:val="20"/>
          <w:szCs w:val="20"/>
          <w:lang w:val="en-US"/>
        </w:rPr>
        <w:t xml:space="preserve">of Civil </w:t>
      </w:r>
      <w:r w:rsidRPr="008A3740">
        <w:rPr>
          <w:rFonts w:ascii="Verdana" w:eastAsia="Times" w:hAnsi="Verdana"/>
          <w:sz w:val="20"/>
          <w:szCs w:val="20"/>
          <w:lang w:val="en-US"/>
        </w:rPr>
        <w:t>Procedur</w:t>
      </w:r>
      <w:r w:rsidR="00847D9C" w:rsidRPr="008A3740">
        <w:rPr>
          <w:rFonts w:ascii="Verdana" w:eastAsia="Times" w:hAnsi="Verdana"/>
          <w:sz w:val="20"/>
          <w:szCs w:val="20"/>
          <w:lang w:val="en-US"/>
        </w:rPr>
        <w:t>e,</w:t>
      </w:r>
      <w:r w:rsidRPr="008A3740">
        <w:rPr>
          <w:rStyle w:val="Refdenotaalpie"/>
          <w:rFonts w:eastAsia="Times"/>
          <w:szCs w:val="20"/>
          <w:lang w:val="en-US"/>
        </w:rPr>
        <w:footnoteReference w:id="158"/>
      </w:r>
      <w:r w:rsidR="00847D9C" w:rsidRPr="008A3740">
        <w:rPr>
          <w:rFonts w:ascii="Verdana" w:eastAsia="Times" w:hAnsi="Verdana"/>
          <w:sz w:val="20"/>
          <w:szCs w:val="20"/>
          <w:lang w:val="en-US"/>
        </w:rPr>
        <w:t xml:space="preserve"> the case law </w:t>
      </w:r>
      <w:r w:rsidRPr="008A3740">
        <w:rPr>
          <w:rFonts w:ascii="Verdana" w:eastAsia="Times" w:hAnsi="Verdana"/>
          <w:sz w:val="20"/>
          <w:szCs w:val="20"/>
          <w:lang w:val="en-US"/>
        </w:rPr>
        <w:t>of the Constitutional Court</w:t>
      </w:r>
      <w:r w:rsidRPr="008A3740">
        <w:rPr>
          <w:rStyle w:val="Refdenotaalpie"/>
          <w:rFonts w:eastAsia="Times"/>
          <w:szCs w:val="20"/>
          <w:lang w:val="en-US"/>
        </w:rPr>
        <w:footnoteReference w:id="159"/>
      </w:r>
      <w:r w:rsidRPr="008A3740">
        <w:rPr>
          <w:rFonts w:ascii="Verdana" w:eastAsia="Times" w:hAnsi="Verdana"/>
          <w:sz w:val="20"/>
          <w:szCs w:val="20"/>
          <w:lang w:val="en-US"/>
        </w:rPr>
        <w:t xml:space="preserve"> and administrative</w:t>
      </w:r>
      <w:r w:rsidR="00847D9C" w:rsidRPr="008A3740">
        <w:rPr>
          <w:rFonts w:ascii="Verdana" w:eastAsia="Times" w:hAnsi="Verdana"/>
          <w:sz w:val="20"/>
          <w:szCs w:val="20"/>
          <w:lang w:val="en-US"/>
        </w:rPr>
        <w:t xml:space="preserve"> resolutions</w:t>
      </w:r>
      <w:r w:rsidRPr="008A3740">
        <w:rPr>
          <w:rFonts w:ascii="Verdana" w:eastAsia="Times" w:hAnsi="Verdana"/>
          <w:sz w:val="20"/>
          <w:szCs w:val="20"/>
          <w:lang w:val="en-US"/>
        </w:rPr>
        <w:t>, establish coercive me</w:t>
      </w:r>
      <w:r w:rsidR="009B6AA6" w:rsidRPr="008A3740">
        <w:rPr>
          <w:rFonts w:ascii="Verdana" w:eastAsia="Times" w:hAnsi="Verdana"/>
          <w:sz w:val="20"/>
          <w:szCs w:val="20"/>
          <w:lang w:val="en-US"/>
        </w:rPr>
        <w:t>chanisms</w:t>
      </w:r>
      <w:r w:rsidR="00D26D2C" w:rsidRPr="008A3740">
        <w:rPr>
          <w:rFonts w:ascii="Verdana" w:eastAsia="Times" w:hAnsi="Verdana"/>
          <w:sz w:val="20"/>
          <w:szCs w:val="20"/>
          <w:lang w:val="en-US"/>
        </w:rPr>
        <w:t xml:space="preserve">, ranging from the imposition of </w:t>
      </w:r>
      <w:r w:rsidRPr="008A3740">
        <w:rPr>
          <w:rFonts w:ascii="Verdana" w:eastAsia="Times" w:hAnsi="Verdana"/>
          <w:sz w:val="20"/>
          <w:szCs w:val="20"/>
          <w:lang w:val="en-US"/>
        </w:rPr>
        <w:t>fines t</w:t>
      </w:r>
      <w:r w:rsidR="00D26D2C" w:rsidRPr="008A3740">
        <w:rPr>
          <w:rFonts w:ascii="Verdana" w:eastAsia="Times" w:hAnsi="Verdana"/>
          <w:sz w:val="20"/>
          <w:szCs w:val="20"/>
          <w:lang w:val="en-US"/>
        </w:rPr>
        <w:t>o arrest for up to 24 hours, as well as</w:t>
      </w:r>
      <w:r w:rsidRPr="008A3740">
        <w:rPr>
          <w:rFonts w:ascii="Verdana" w:eastAsia="Times" w:hAnsi="Verdana"/>
          <w:sz w:val="20"/>
          <w:szCs w:val="20"/>
          <w:lang w:val="en-US"/>
        </w:rPr>
        <w:t xml:space="preserve"> criteria </w:t>
      </w:r>
      <w:r w:rsidR="00970253" w:rsidRPr="008A3740">
        <w:rPr>
          <w:rFonts w:ascii="Verdana" w:eastAsia="Times" w:hAnsi="Verdana"/>
          <w:sz w:val="20"/>
          <w:szCs w:val="20"/>
          <w:lang w:val="en-US"/>
        </w:rPr>
        <w:t xml:space="preserve">for </w:t>
      </w:r>
      <w:r w:rsidR="00D26D2C" w:rsidRPr="008A3740">
        <w:rPr>
          <w:rFonts w:ascii="Verdana" w:eastAsia="Times" w:hAnsi="Verdana"/>
          <w:sz w:val="20"/>
          <w:szCs w:val="20"/>
          <w:lang w:val="en-US"/>
        </w:rPr>
        <w:t xml:space="preserve">the execution of </w:t>
      </w:r>
      <w:r w:rsidRPr="008A3740">
        <w:rPr>
          <w:rFonts w:ascii="Verdana" w:eastAsia="Times" w:hAnsi="Verdana"/>
          <w:sz w:val="20"/>
          <w:szCs w:val="20"/>
          <w:lang w:val="en-US"/>
        </w:rPr>
        <w:t>judicial decisions.</w:t>
      </w:r>
      <w:r w:rsidRPr="008A3740">
        <w:rPr>
          <w:rStyle w:val="Refdenotaalpie"/>
          <w:rFonts w:eastAsia="Times"/>
          <w:szCs w:val="20"/>
          <w:lang w:val="en-US"/>
        </w:rPr>
        <w:footnoteReference w:id="160"/>
      </w:r>
      <w:r w:rsidRPr="008A3740">
        <w:rPr>
          <w:rFonts w:ascii="Verdana" w:eastAsia="Times" w:hAnsi="Verdana"/>
          <w:sz w:val="20"/>
          <w:szCs w:val="20"/>
          <w:lang w:val="en-US"/>
        </w:rPr>
        <w:t xml:space="preserve"> Regarding the latter, the State reported that Law No. 30137</w:t>
      </w:r>
      <w:r w:rsidR="00D26D2C" w:rsidRPr="008A3740">
        <w:rPr>
          <w:rFonts w:ascii="Verdana" w:eastAsia="Times" w:hAnsi="Verdana"/>
          <w:sz w:val="20"/>
          <w:szCs w:val="20"/>
          <w:lang w:val="en-US"/>
        </w:rPr>
        <w:t>,</w:t>
      </w:r>
      <w:r w:rsidRPr="008A3740">
        <w:rPr>
          <w:rFonts w:ascii="Verdana" w:eastAsia="Times" w:hAnsi="Verdana"/>
          <w:sz w:val="20"/>
          <w:szCs w:val="20"/>
          <w:lang w:val="en-US"/>
        </w:rPr>
        <w:t xml:space="preserve"> published</w:t>
      </w:r>
      <w:r w:rsidR="00D26D2C" w:rsidRPr="008A3740">
        <w:rPr>
          <w:rFonts w:ascii="Verdana" w:eastAsia="Times" w:hAnsi="Verdana"/>
          <w:sz w:val="20"/>
          <w:szCs w:val="20"/>
          <w:lang w:val="en-US"/>
        </w:rPr>
        <w:t xml:space="preserve"> in December 2013</w:t>
      </w:r>
      <w:r w:rsidRPr="008A3740">
        <w:rPr>
          <w:rFonts w:ascii="Verdana" w:eastAsia="Times" w:hAnsi="Verdana"/>
          <w:sz w:val="20"/>
          <w:szCs w:val="20"/>
          <w:lang w:val="en-US"/>
        </w:rPr>
        <w:t>, establish</w:t>
      </w:r>
      <w:r w:rsidR="00D26D2C" w:rsidRPr="008A3740">
        <w:rPr>
          <w:rFonts w:ascii="Verdana" w:eastAsia="Times" w:hAnsi="Verdana"/>
          <w:sz w:val="20"/>
          <w:szCs w:val="20"/>
          <w:lang w:val="en-US"/>
        </w:rPr>
        <w:t xml:space="preserve">es </w:t>
      </w:r>
      <w:r w:rsidRPr="008A3740">
        <w:rPr>
          <w:rFonts w:ascii="Verdana" w:eastAsia="Times" w:hAnsi="Verdana"/>
          <w:sz w:val="20"/>
          <w:szCs w:val="20"/>
          <w:lang w:val="en-US"/>
        </w:rPr>
        <w:t xml:space="preserve">criteria </w:t>
      </w:r>
      <w:r w:rsidR="00590F27" w:rsidRPr="008A3740">
        <w:rPr>
          <w:rFonts w:ascii="Verdana" w:eastAsia="Times" w:hAnsi="Verdana"/>
          <w:sz w:val="20"/>
          <w:szCs w:val="20"/>
          <w:lang w:val="en-US"/>
        </w:rPr>
        <w:t xml:space="preserve">for the prioritization of payments arising from judicial decisions, </w:t>
      </w:r>
      <w:r w:rsidRPr="008A3740">
        <w:rPr>
          <w:rFonts w:ascii="Verdana" w:eastAsia="Times" w:hAnsi="Verdana"/>
          <w:sz w:val="20"/>
          <w:szCs w:val="20"/>
          <w:lang w:val="en-US"/>
        </w:rPr>
        <w:t>one of the</w:t>
      </w:r>
      <w:r w:rsidR="00590F27" w:rsidRPr="008A3740">
        <w:rPr>
          <w:rFonts w:ascii="Verdana" w:eastAsia="Times" w:hAnsi="Verdana"/>
          <w:sz w:val="20"/>
          <w:szCs w:val="20"/>
          <w:lang w:val="en-US"/>
        </w:rPr>
        <w:t>se</w:t>
      </w:r>
      <w:r w:rsidRPr="008A3740">
        <w:rPr>
          <w:rFonts w:ascii="Verdana" w:eastAsia="Times" w:hAnsi="Verdana"/>
          <w:sz w:val="20"/>
          <w:szCs w:val="20"/>
          <w:lang w:val="en-US"/>
        </w:rPr>
        <w:t xml:space="preserve"> </w:t>
      </w:r>
      <w:r w:rsidR="00590F27" w:rsidRPr="008A3740">
        <w:rPr>
          <w:rFonts w:ascii="Verdana" w:eastAsia="Times" w:hAnsi="Verdana"/>
          <w:sz w:val="20"/>
          <w:szCs w:val="20"/>
          <w:lang w:val="en-US"/>
        </w:rPr>
        <w:t xml:space="preserve">being related to </w:t>
      </w:r>
      <w:r w:rsidR="003C4E2D" w:rsidRPr="008A3740">
        <w:rPr>
          <w:rFonts w:ascii="Verdana" w:eastAsia="Times" w:hAnsi="Verdana"/>
          <w:sz w:val="20"/>
          <w:szCs w:val="20"/>
          <w:lang w:val="en-US"/>
        </w:rPr>
        <w:t xml:space="preserve">the payment of </w:t>
      </w:r>
      <w:r w:rsidR="00590F27" w:rsidRPr="008A3740">
        <w:rPr>
          <w:rFonts w:ascii="Verdana" w:eastAsia="Times" w:hAnsi="Verdana"/>
          <w:sz w:val="20"/>
          <w:szCs w:val="20"/>
          <w:lang w:val="en-US"/>
        </w:rPr>
        <w:t>pensions</w:t>
      </w:r>
      <w:r w:rsidRPr="008A3740">
        <w:rPr>
          <w:rFonts w:ascii="Verdana" w:eastAsia="Times" w:hAnsi="Verdana"/>
          <w:sz w:val="20"/>
          <w:szCs w:val="20"/>
          <w:lang w:val="en-US"/>
        </w:rPr>
        <w:t>.</w:t>
      </w:r>
      <w:r w:rsidRPr="008A3740">
        <w:rPr>
          <w:rStyle w:val="Refdenotaalpie"/>
          <w:rFonts w:eastAsia="Times"/>
          <w:szCs w:val="20"/>
          <w:lang w:val="en-US"/>
        </w:rPr>
        <w:footnoteReference w:id="161"/>
      </w:r>
    </w:p>
    <w:p w14:paraId="3CC0534A" w14:textId="77777777" w:rsidR="008E6A56" w:rsidRPr="008A3740" w:rsidRDefault="008E6A56" w:rsidP="008E6A56">
      <w:pPr>
        <w:rPr>
          <w:snapToGrid w:val="0"/>
          <w:sz w:val="20"/>
          <w:szCs w:val="20"/>
          <w:lang w:val="en-US"/>
        </w:rPr>
      </w:pPr>
    </w:p>
    <w:p w14:paraId="39480DD5" w14:textId="77777777" w:rsidR="008E6A56" w:rsidRPr="008A3740" w:rsidRDefault="003C4E2D"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T</w:t>
      </w:r>
      <w:r w:rsidR="008E6A56" w:rsidRPr="008A3740">
        <w:rPr>
          <w:rFonts w:ascii="Verdana" w:hAnsi="Verdana"/>
          <w:snapToGrid w:val="0"/>
          <w:sz w:val="20"/>
          <w:szCs w:val="20"/>
          <w:lang w:val="en-US"/>
        </w:rPr>
        <w:t xml:space="preserve">he Court </w:t>
      </w:r>
      <w:r w:rsidRPr="008A3740">
        <w:rPr>
          <w:rFonts w:ascii="Verdana" w:hAnsi="Verdana"/>
          <w:snapToGrid w:val="0"/>
          <w:sz w:val="20"/>
          <w:szCs w:val="20"/>
          <w:lang w:val="en-US"/>
        </w:rPr>
        <w:t xml:space="preserve">indeed </w:t>
      </w:r>
      <w:r w:rsidR="008E6A56" w:rsidRPr="008A3740">
        <w:rPr>
          <w:rFonts w:ascii="Verdana" w:hAnsi="Verdana"/>
          <w:snapToGrid w:val="0"/>
          <w:sz w:val="20"/>
          <w:szCs w:val="20"/>
          <w:lang w:val="en-US"/>
        </w:rPr>
        <w:t xml:space="preserve">confirms the existence of </w:t>
      </w:r>
      <w:r w:rsidRPr="008A3740">
        <w:rPr>
          <w:rFonts w:ascii="Verdana" w:hAnsi="Verdana"/>
          <w:snapToGrid w:val="0"/>
          <w:sz w:val="20"/>
          <w:szCs w:val="20"/>
          <w:lang w:val="en-US"/>
        </w:rPr>
        <w:t xml:space="preserve">such </w:t>
      </w:r>
      <w:r w:rsidR="004046C9" w:rsidRPr="008A3740">
        <w:rPr>
          <w:rFonts w:ascii="Verdana" w:hAnsi="Verdana"/>
          <w:snapToGrid w:val="0"/>
          <w:sz w:val="20"/>
          <w:szCs w:val="20"/>
          <w:lang w:val="en-US"/>
        </w:rPr>
        <w:t xml:space="preserve">laws </w:t>
      </w:r>
      <w:r w:rsidR="00847D9C" w:rsidRPr="008A3740">
        <w:rPr>
          <w:rFonts w:ascii="Verdana" w:hAnsi="Verdana"/>
          <w:snapToGrid w:val="0"/>
          <w:sz w:val="20"/>
          <w:szCs w:val="20"/>
          <w:lang w:val="en-US"/>
        </w:rPr>
        <w:t xml:space="preserve">and of a range of </w:t>
      </w:r>
      <w:r w:rsidR="008E6A56" w:rsidRPr="008A3740">
        <w:rPr>
          <w:rFonts w:ascii="Verdana" w:hAnsi="Verdana"/>
          <w:snapToGrid w:val="0"/>
          <w:sz w:val="20"/>
          <w:szCs w:val="20"/>
          <w:lang w:val="en-US"/>
        </w:rPr>
        <w:t xml:space="preserve">coercive </w:t>
      </w:r>
      <w:r w:rsidR="003C7C65" w:rsidRPr="008A3740">
        <w:rPr>
          <w:rFonts w:ascii="Verdana" w:hAnsi="Verdana"/>
          <w:snapToGrid w:val="0"/>
          <w:sz w:val="20"/>
          <w:szCs w:val="20"/>
          <w:lang w:val="en-US"/>
        </w:rPr>
        <w:t xml:space="preserve">mechanisms for </w:t>
      </w:r>
      <w:r w:rsidR="004046C9" w:rsidRPr="008A3740">
        <w:rPr>
          <w:rFonts w:ascii="Verdana" w:hAnsi="Verdana"/>
          <w:snapToGrid w:val="0"/>
          <w:sz w:val="20"/>
          <w:szCs w:val="20"/>
          <w:lang w:val="en-US"/>
        </w:rPr>
        <w:t>e</w:t>
      </w:r>
      <w:r w:rsidR="00D32943" w:rsidRPr="008A3740">
        <w:rPr>
          <w:rFonts w:ascii="Verdana" w:hAnsi="Verdana"/>
          <w:snapToGrid w:val="0"/>
          <w:sz w:val="20"/>
          <w:szCs w:val="20"/>
          <w:lang w:val="en-US"/>
        </w:rPr>
        <w:t xml:space="preserve">xecuting </w:t>
      </w:r>
      <w:r w:rsidR="008E6A56" w:rsidRPr="008A3740">
        <w:rPr>
          <w:rFonts w:ascii="Verdana" w:hAnsi="Verdana"/>
          <w:snapToGrid w:val="0"/>
          <w:sz w:val="20"/>
          <w:szCs w:val="20"/>
          <w:lang w:val="en-US"/>
        </w:rPr>
        <w:t xml:space="preserve">judicial decisions. However, it </w:t>
      </w:r>
      <w:r w:rsidRPr="008A3740">
        <w:rPr>
          <w:rFonts w:ascii="Verdana" w:hAnsi="Verdana"/>
          <w:snapToGrid w:val="0"/>
          <w:sz w:val="20"/>
          <w:szCs w:val="20"/>
          <w:lang w:val="en-US"/>
        </w:rPr>
        <w:t xml:space="preserve">also </w:t>
      </w:r>
      <w:r w:rsidR="008E6A56" w:rsidRPr="008A3740">
        <w:rPr>
          <w:rFonts w:ascii="Verdana" w:hAnsi="Verdana"/>
          <w:snapToGrid w:val="0"/>
          <w:sz w:val="20"/>
          <w:szCs w:val="20"/>
          <w:lang w:val="en-US"/>
        </w:rPr>
        <w:t xml:space="preserve">notes that many of those rules were adopted many years after the first </w:t>
      </w:r>
      <w:r w:rsidR="008E6A56" w:rsidRPr="008A3740">
        <w:rPr>
          <w:rFonts w:ascii="Verdana" w:hAnsi="Verdana"/>
          <w:i/>
          <w:snapToGrid w:val="0"/>
          <w:sz w:val="20"/>
          <w:szCs w:val="20"/>
          <w:lang w:val="en-US"/>
        </w:rPr>
        <w:t>amparo</w:t>
      </w:r>
      <w:r w:rsidR="008E6A56" w:rsidRPr="008A3740">
        <w:rPr>
          <w:rFonts w:ascii="Verdana" w:hAnsi="Verdana"/>
          <w:snapToGrid w:val="0"/>
          <w:sz w:val="20"/>
          <w:szCs w:val="20"/>
          <w:lang w:val="en-US"/>
        </w:rPr>
        <w:t xml:space="preserve"> judgment of Februar</w:t>
      </w:r>
      <w:r w:rsidR="004046C9" w:rsidRPr="008A3740">
        <w:rPr>
          <w:rFonts w:ascii="Verdana" w:hAnsi="Verdana"/>
          <w:snapToGrid w:val="0"/>
          <w:sz w:val="20"/>
          <w:szCs w:val="20"/>
          <w:lang w:val="en-US"/>
        </w:rPr>
        <w:t>y 2, 1993, though it emphasiz</w:t>
      </w:r>
      <w:r w:rsidR="008E6A56" w:rsidRPr="008A3740">
        <w:rPr>
          <w:rFonts w:ascii="Verdana" w:hAnsi="Verdana"/>
          <w:snapToGrid w:val="0"/>
          <w:sz w:val="20"/>
          <w:szCs w:val="20"/>
          <w:lang w:val="en-US"/>
        </w:rPr>
        <w:t xml:space="preserve">es that several were in force during and after that date. Likewise, from the body of evidence contained in the file, the Court finds that the State, through its enforcement courts, did not employ any of the mechanisms available to compel the State authorities to </w:t>
      </w:r>
      <w:r w:rsidRPr="008A3740">
        <w:rPr>
          <w:rFonts w:ascii="Verdana" w:hAnsi="Verdana"/>
          <w:snapToGrid w:val="0"/>
          <w:sz w:val="20"/>
          <w:szCs w:val="20"/>
          <w:lang w:val="en-US"/>
        </w:rPr>
        <w:t xml:space="preserve">execute </w:t>
      </w:r>
      <w:r w:rsidR="008E6A56" w:rsidRPr="008A3740">
        <w:rPr>
          <w:rFonts w:ascii="Verdana" w:hAnsi="Verdana"/>
          <w:snapToGrid w:val="0"/>
          <w:sz w:val="20"/>
          <w:szCs w:val="20"/>
          <w:lang w:val="en-US"/>
        </w:rPr>
        <w:t xml:space="preserve">the payment of Mr. Muelle Flores’ pension in order to </w:t>
      </w:r>
      <w:r w:rsidRPr="008A3740">
        <w:rPr>
          <w:rFonts w:ascii="Verdana" w:hAnsi="Verdana"/>
          <w:snapToGrid w:val="0"/>
          <w:sz w:val="20"/>
          <w:szCs w:val="20"/>
          <w:lang w:val="en-US"/>
        </w:rPr>
        <w:t xml:space="preserve">realize </w:t>
      </w:r>
      <w:r w:rsidR="008E6A56" w:rsidRPr="008A3740">
        <w:rPr>
          <w:rFonts w:ascii="Verdana" w:hAnsi="Verdana"/>
          <w:snapToGrid w:val="0"/>
          <w:sz w:val="20"/>
          <w:szCs w:val="20"/>
          <w:lang w:val="en-US"/>
        </w:rPr>
        <w:t xml:space="preserve">his right. </w:t>
      </w:r>
      <w:r w:rsidR="001A56E4" w:rsidRPr="008A3740">
        <w:rPr>
          <w:rFonts w:ascii="Verdana" w:hAnsi="Verdana"/>
          <w:snapToGrid w:val="0"/>
          <w:sz w:val="20"/>
          <w:szCs w:val="20"/>
          <w:lang w:val="en-US"/>
        </w:rPr>
        <w:t xml:space="preserve">While it is true that </w:t>
      </w:r>
      <w:r w:rsidR="004046C9" w:rsidRPr="008A3740">
        <w:rPr>
          <w:rFonts w:ascii="Verdana" w:hAnsi="Verdana"/>
          <w:snapToGrid w:val="0"/>
          <w:sz w:val="20"/>
          <w:szCs w:val="20"/>
          <w:lang w:val="en-US"/>
        </w:rPr>
        <w:t xml:space="preserve">the </w:t>
      </w:r>
      <w:r w:rsidR="001A56E4" w:rsidRPr="008A3740">
        <w:rPr>
          <w:rFonts w:ascii="Verdana" w:hAnsi="Verdana"/>
          <w:snapToGrid w:val="0"/>
          <w:sz w:val="20"/>
          <w:szCs w:val="20"/>
          <w:lang w:val="en-US"/>
        </w:rPr>
        <w:t xml:space="preserve">judicial authorities </w:t>
      </w:r>
      <w:r w:rsidR="004046C9" w:rsidRPr="008A3740">
        <w:rPr>
          <w:rFonts w:ascii="Verdana" w:eastAsia="Times" w:hAnsi="Verdana"/>
          <w:sz w:val="20"/>
          <w:szCs w:val="20"/>
          <w:lang w:val="en-US"/>
        </w:rPr>
        <w:t xml:space="preserve">required </w:t>
      </w:r>
      <w:r w:rsidR="008E6A56" w:rsidRPr="008A3740">
        <w:rPr>
          <w:rFonts w:ascii="Verdana" w:eastAsia="Times" w:hAnsi="Verdana"/>
          <w:sz w:val="20"/>
          <w:szCs w:val="20"/>
          <w:lang w:val="en-US"/>
        </w:rPr>
        <w:t xml:space="preserve">the private company </w:t>
      </w:r>
      <w:r w:rsidR="004046C9" w:rsidRPr="008A3740">
        <w:rPr>
          <w:rFonts w:ascii="Verdana" w:eastAsia="Times" w:hAnsi="Verdana"/>
          <w:sz w:val="20"/>
          <w:szCs w:val="20"/>
          <w:lang w:val="en-US"/>
        </w:rPr>
        <w:t xml:space="preserve">to comply with </w:t>
      </w:r>
      <w:r w:rsidR="008E6A56" w:rsidRPr="008A3740">
        <w:rPr>
          <w:rFonts w:ascii="Verdana" w:eastAsia="Times" w:hAnsi="Verdana"/>
          <w:sz w:val="20"/>
          <w:szCs w:val="20"/>
          <w:lang w:val="en-US"/>
        </w:rPr>
        <w:t>the judicial ruling (</w:t>
      </w:r>
      <w:r w:rsidR="008E6A56" w:rsidRPr="008A3740">
        <w:rPr>
          <w:rFonts w:ascii="Verdana" w:eastAsia="Times" w:hAnsi="Verdana"/>
          <w:i/>
          <w:sz w:val="20"/>
          <w:szCs w:val="20"/>
          <w:lang w:val="en-US"/>
        </w:rPr>
        <w:t>supra</w:t>
      </w:r>
      <w:r w:rsidR="008E6A56" w:rsidRPr="008A3740">
        <w:rPr>
          <w:rFonts w:ascii="Verdana" w:eastAsia="Times" w:hAnsi="Verdana"/>
          <w:sz w:val="20"/>
          <w:szCs w:val="20"/>
          <w:lang w:val="en-US"/>
        </w:rPr>
        <w:t xml:space="preserve"> para. 83), on the </w:t>
      </w:r>
      <w:r w:rsidR="00D83AA1" w:rsidRPr="008A3740">
        <w:rPr>
          <w:rFonts w:ascii="Verdana" w:eastAsia="Times" w:hAnsi="Verdana"/>
          <w:sz w:val="20"/>
          <w:szCs w:val="20"/>
          <w:lang w:val="en-US"/>
        </w:rPr>
        <w:t xml:space="preserve">uncertain </w:t>
      </w:r>
      <w:r w:rsidR="008E6A56" w:rsidRPr="008A3740">
        <w:rPr>
          <w:rFonts w:ascii="Verdana" w:eastAsia="Times" w:hAnsi="Verdana"/>
          <w:sz w:val="20"/>
          <w:szCs w:val="20"/>
          <w:lang w:val="en-US"/>
        </w:rPr>
        <w:t xml:space="preserve">understanding that the private company </w:t>
      </w:r>
      <w:r w:rsidR="00D83AA1" w:rsidRPr="008A3740">
        <w:rPr>
          <w:rFonts w:ascii="Verdana" w:eastAsia="Times" w:hAnsi="Verdana"/>
          <w:sz w:val="20"/>
          <w:szCs w:val="20"/>
          <w:lang w:val="en-US"/>
        </w:rPr>
        <w:t xml:space="preserve">was </w:t>
      </w:r>
      <w:r w:rsidR="008E6A56" w:rsidRPr="008A3740">
        <w:rPr>
          <w:rFonts w:ascii="Verdana" w:eastAsia="Times" w:hAnsi="Verdana"/>
          <w:sz w:val="20"/>
          <w:szCs w:val="20"/>
          <w:lang w:val="en-US"/>
        </w:rPr>
        <w:t xml:space="preserve">the </w:t>
      </w:r>
      <w:r w:rsidR="00D83AA1" w:rsidRPr="008A3740">
        <w:rPr>
          <w:rFonts w:ascii="Verdana" w:eastAsia="Times" w:hAnsi="Verdana"/>
          <w:sz w:val="20"/>
          <w:szCs w:val="20"/>
          <w:lang w:val="en-US"/>
        </w:rPr>
        <w:t xml:space="preserve">entity </w:t>
      </w:r>
      <w:r w:rsidR="008E6A56" w:rsidRPr="008A3740">
        <w:rPr>
          <w:rFonts w:ascii="Verdana" w:eastAsia="Times" w:hAnsi="Verdana"/>
          <w:sz w:val="20"/>
          <w:szCs w:val="20"/>
          <w:lang w:val="en-US"/>
        </w:rPr>
        <w:t>obliga</w:t>
      </w:r>
      <w:r w:rsidR="001E1731" w:rsidRPr="008A3740">
        <w:rPr>
          <w:rFonts w:ascii="Verdana" w:eastAsia="Times" w:hAnsi="Verdana"/>
          <w:sz w:val="20"/>
          <w:szCs w:val="20"/>
          <w:lang w:val="en-US"/>
        </w:rPr>
        <w:t xml:space="preserve">ted to </w:t>
      </w:r>
      <w:r w:rsidR="00D83AA1" w:rsidRPr="008A3740">
        <w:rPr>
          <w:rFonts w:ascii="Verdana" w:eastAsia="Times" w:hAnsi="Verdana"/>
          <w:sz w:val="20"/>
          <w:szCs w:val="20"/>
          <w:lang w:val="en-US"/>
        </w:rPr>
        <w:t xml:space="preserve">comply with </w:t>
      </w:r>
      <w:r w:rsidR="001E1731" w:rsidRPr="008A3740">
        <w:rPr>
          <w:rFonts w:ascii="Verdana" w:eastAsia="Times" w:hAnsi="Verdana"/>
          <w:sz w:val="20"/>
          <w:szCs w:val="20"/>
          <w:lang w:val="en-US"/>
        </w:rPr>
        <w:t xml:space="preserve">the </w:t>
      </w:r>
      <w:r w:rsidR="008E6A56" w:rsidRPr="008A3740">
        <w:rPr>
          <w:rFonts w:ascii="Verdana" w:eastAsia="Times" w:hAnsi="Verdana"/>
          <w:sz w:val="20"/>
          <w:szCs w:val="20"/>
          <w:lang w:val="en-US"/>
        </w:rPr>
        <w:t xml:space="preserve">payment, the Court </w:t>
      </w:r>
      <w:r w:rsidR="00D83AA1" w:rsidRPr="008A3740">
        <w:rPr>
          <w:rFonts w:ascii="Verdana" w:eastAsia="Times" w:hAnsi="Verdana"/>
          <w:sz w:val="20"/>
          <w:szCs w:val="20"/>
          <w:lang w:val="en-US"/>
        </w:rPr>
        <w:t xml:space="preserve">finds no evidence that </w:t>
      </w:r>
      <w:r w:rsidR="008E6A56" w:rsidRPr="008A3740">
        <w:rPr>
          <w:rFonts w:ascii="Verdana" w:eastAsia="Times" w:hAnsi="Verdana"/>
          <w:sz w:val="20"/>
          <w:szCs w:val="20"/>
          <w:lang w:val="en-US"/>
        </w:rPr>
        <w:t xml:space="preserve">effective coercive measures were adopted against the company. </w:t>
      </w:r>
      <w:r w:rsidR="00F107B5" w:rsidRPr="008A3740">
        <w:rPr>
          <w:rFonts w:ascii="Verdana" w:eastAsia="Times" w:hAnsi="Verdana"/>
          <w:sz w:val="20"/>
          <w:szCs w:val="20"/>
          <w:lang w:val="en-US"/>
        </w:rPr>
        <w:t xml:space="preserve">Despite the fact that </w:t>
      </w:r>
      <w:r w:rsidR="008E6A56" w:rsidRPr="008A3740">
        <w:rPr>
          <w:rFonts w:ascii="Verdana" w:eastAsia="Times" w:hAnsi="Verdana"/>
          <w:sz w:val="20"/>
          <w:szCs w:val="20"/>
          <w:lang w:val="en-US"/>
        </w:rPr>
        <w:t xml:space="preserve">from the </w:t>
      </w:r>
      <w:r w:rsidR="00E80EB0" w:rsidRPr="008A3740">
        <w:rPr>
          <w:rFonts w:ascii="Verdana" w:eastAsia="Times" w:hAnsi="Verdana"/>
          <w:sz w:val="20"/>
          <w:szCs w:val="20"/>
          <w:lang w:val="en-US"/>
        </w:rPr>
        <w:t xml:space="preserve">time of the </w:t>
      </w:r>
      <w:r w:rsidR="008E6A56" w:rsidRPr="008A3740">
        <w:rPr>
          <w:rFonts w:ascii="Verdana" w:eastAsia="Times" w:hAnsi="Verdana"/>
          <w:sz w:val="20"/>
          <w:szCs w:val="20"/>
          <w:lang w:val="en-US"/>
        </w:rPr>
        <w:t xml:space="preserve">privatization until the </w:t>
      </w:r>
      <w:r w:rsidR="00E80EB0" w:rsidRPr="008A3740">
        <w:rPr>
          <w:rFonts w:ascii="Verdana" w:eastAsia="Times" w:hAnsi="Verdana"/>
          <w:sz w:val="20"/>
          <w:szCs w:val="20"/>
          <w:lang w:val="en-US"/>
        </w:rPr>
        <w:t>present</w:t>
      </w:r>
      <w:r w:rsidR="008E6A56" w:rsidRPr="008A3740">
        <w:rPr>
          <w:rFonts w:ascii="Verdana" w:eastAsia="Times" w:hAnsi="Verdana"/>
          <w:sz w:val="20"/>
          <w:szCs w:val="20"/>
          <w:lang w:val="en-US"/>
        </w:rPr>
        <w:t xml:space="preserve">, the judicial authorities </w:t>
      </w:r>
      <w:r w:rsidR="00F36B11" w:rsidRPr="008A3740">
        <w:rPr>
          <w:rFonts w:ascii="Verdana" w:eastAsia="Times" w:hAnsi="Verdana"/>
          <w:sz w:val="20"/>
          <w:szCs w:val="20"/>
          <w:lang w:val="en-US"/>
        </w:rPr>
        <w:t xml:space="preserve">could not </w:t>
      </w:r>
      <w:r w:rsidR="00F107B5" w:rsidRPr="008A3740">
        <w:rPr>
          <w:rFonts w:ascii="Verdana" w:eastAsia="Times" w:hAnsi="Verdana"/>
          <w:sz w:val="20"/>
          <w:szCs w:val="20"/>
          <w:lang w:val="en-US"/>
        </w:rPr>
        <w:t xml:space="preserve">settle </w:t>
      </w:r>
      <w:r w:rsidR="00F36B11" w:rsidRPr="008A3740">
        <w:rPr>
          <w:rFonts w:ascii="Verdana" w:eastAsia="Times" w:hAnsi="Verdana"/>
          <w:sz w:val="20"/>
          <w:szCs w:val="20"/>
          <w:lang w:val="en-US"/>
        </w:rPr>
        <w:t xml:space="preserve">the </w:t>
      </w:r>
      <w:r w:rsidR="008E6A56" w:rsidRPr="008A3740">
        <w:rPr>
          <w:rFonts w:ascii="Verdana" w:eastAsia="Times" w:hAnsi="Verdana"/>
          <w:sz w:val="20"/>
          <w:szCs w:val="20"/>
          <w:lang w:val="en-US"/>
        </w:rPr>
        <w:t xml:space="preserve">debate </w:t>
      </w:r>
      <w:r w:rsidR="00F107B5" w:rsidRPr="008A3740">
        <w:rPr>
          <w:rFonts w:ascii="Verdana" w:eastAsia="Times" w:hAnsi="Verdana"/>
          <w:sz w:val="20"/>
          <w:szCs w:val="20"/>
          <w:lang w:val="en-US"/>
        </w:rPr>
        <w:t xml:space="preserve">as to </w:t>
      </w:r>
      <w:r w:rsidR="008E6A56" w:rsidRPr="008A3740">
        <w:rPr>
          <w:rFonts w:ascii="Verdana" w:eastAsia="Times" w:hAnsi="Verdana"/>
          <w:sz w:val="20"/>
          <w:szCs w:val="20"/>
          <w:lang w:val="en-US"/>
        </w:rPr>
        <w:t xml:space="preserve">who </w:t>
      </w:r>
      <w:r w:rsidR="00F36B11" w:rsidRPr="008A3740">
        <w:rPr>
          <w:rFonts w:ascii="Verdana" w:eastAsia="Times" w:hAnsi="Verdana"/>
          <w:sz w:val="20"/>
          <w:szCs w:val="20"/>
          <w:lang w:val="en-US"/>
        </w:rPr>
        <w:t xml:space="preserve">had </w:t>
      </w:r>
      <w:r w:rsidR="008E6A56" w:rsidRPr="008A3740">
        <w:rPr>
          <w:rFonts w:ascii="Verdana" w:eastAsia="Times" w:hAnsi="Verdana"/>
          <w:sz w:val="20"/>
          <w:szCs w:val="20"/>
          <w:lang w:val="en-US"/>
        </w:rPr>
        <w:t xml:space="preserve">the obligation </w:t>
      </w:r>
      <w:r w:rsidR="00F36B11" w:rsidRPr="008A3740">
        <w:rPr>
          <w:rFonts w:ascii="Verdana" w:eastAsia="Times" w:hAnsi="Verdana"/>
          <w:sz w:val="20"/>
          <w:szCs w:val="20"/>
          <w:lang w:val="en-US"/>
        </w:rPr>
        <w:t>to pay the pension</w:t>
      </w:r>
      <w:r w:rsidR="008E6A56" w:rsidRPr="008A3740">
        <w:rPr>
          <w:rFonts w:ascii="Verdana" w:eastAsia="Times" w:hAnsi="Verdana"/>
          <w:sz w:val="20"/>
          <w:szCs w:val="20"/>
          <w:lang w:val="en-US"/>
        </w:rPr>
        <w:t xml:space="preserve">, </w:t>
      </w:r>
      <w:r w:rsidR="00F107B5" w:rsidRPr="008A3740">
        <w:rPr>
          <w:rFonts w:ascii="Verdana" w:eastAsia="Times" w:hAnsi="Verdana"/>
          <w:sz w:val="20"/>
          <w:szCs w:val="20"/>
          <w:lang w:val="en-US"/>
        </w:rPr>
        <w:t>it is important to emphasize that</w:t>
      </w:r>
      <w:r w:rsidR="008E6A56" w:rsidRPr="008A3740">
        <w:rPr>
          <w:rFonts w:ascii="Verdana" w:eastAsia="Times" w:hAnsi="Verdana"/>
          <w:sz w:val="20"/>
          <w:szCs w:val="20"/>
          <w:lang w:val="en-US"/>
        </w:rPr>
        <w:t>, a</w:t>
      </w:r>
      <w:r w:rsidR="007530A6" w:rsidRPr="008A3740">
        <w:rPr>
          <w:rFonts w:ascii="Verdana" w:eastAsia="Times" w:hAnsi="Verdana"/>
          <w:sz w:val="20"/>
          <w:szCs w:val="20"/>
          <w:lang w:val="en-US"/>
        </w:rPr>
        <w:t xml:space="preserve">lthough that </w:t>
      </w:r>
      <w:r w:rsidR="008E6A56" w:rsidRPr="008A3740">
        <w:rPr>
          <w:rFonts w:ascii="Verdana" w:eastAsia="Times" w:hAnsi="Verdana"/>
          <w:sz w:val="20"/>
          <w:szCs w:val="20"/>
          <w:lang w:val="en-US"/>
        </w:rPr>
        <w:t xml:space="preserve">responsibility </w:t>
      </w:r>
      <w:r w:rsidR="00F107B5" w:rsidRPr="008A3740">
        <w:rPr>
          <w:rFonts w:ascii="Verdana" w:eastAsia="Times" w:hAnsi="Verdana"/>
          <w:sz w:val="20"/>
          <w:szCs w:val="20"/>
          <w:lang w:val="en-US"/>
        </w:rPr>
        <w:t>fell on</w:t>
      </w:r>
      <w:r w:rsidR="00F36B11" w:rsidRPr="008A3740">
        <w:rPr>
          <w:rFonts w:ascii="Verdana" w:eastAsia="Times" w:hAnsi="Verdana"/>
          <w:sz w:val="20"/>
          <w:szCs w:val="20"/>
          <w:lang w:val="en-US"/>
        </w:rPr>
        <w:t xml:space="preserve"> </w:t>
      </w:r>
      <w:r w:rsidR="008E6A56" w:rsidRPr="008A3740">
        <w:rPr>
          <w:rFonts w:ascii="Verdana" w:eastAsia="Times" w:hAnsi="Verdana"/>
          <w:sz w:val="20"/>
          <w:szCs w:val="20"/>
          <w:lang w:val="en-US"/>
        </w:rPr>
        <w:t>the pr</w:t>
      </w:r>
      <w:r w:rsidR="00F107B5" w:rsidRPr="008A3740">
        <w:rPr>
          <w:rFonts w:ascii="Verdana" w:eastAsia="Times" w:hAnsi="Verdana"/>
          <w:sz w:val="20"/>
          <w:szCs w:val="20"/>
          <w:lang w:val="en-US"/>
        </w:rPr>
        <w:t>ivate company, the State retained</w:t>
      </w:r>
      <w:r w:rsidR="008E6A56" w:rsidRPr="008A3740">
        <w:rPr>
          <w:rFonts w:ascii="Verdana" w:eastAsia="Times" w:hAnsi="Verdana"/>
          <w:sz w:val="20"/>
          <w:szCs w:val="20"/>
          <w:lang w:val="en-US"/>
        </w:rPr>
        <w:t xml:space="preserve"> its obligation to execute judgments </w:t>
      </w:r>
      <w:r w:rsidR="00F107B5" w:rsidRPr="008A3740">
        <w:rPr>
          <w:rFonts w:ascii="Verdana" w:eastAsia="Times" w:hAnsi="Verdana"/>
          <w:sz w:val="20"/>
          <w:szCs w:val="20"/>
          <w:lang w:val="en-US"/>
        </w:rPr>
        <w:t>issued against private entities</w:t>
      </w:r>
      <w:r w:rsidR="008E6A56" w:rsidRPr="008A3740">
        <w:rPr>
          <w:rFonts w:ascii="Verdana" w:eastAsia="Times" w:hAnsi="Verdana"/>
          <w:sz w:val="20"/>
          <w:szCs w:val="20"/>
          <w:lang w:val="en-US"/>
        </w:rPr>
        <w:t>, pursuant to Article 25(2)(c).</w:t>
      </w:r>
    </w:p>
    <w:p w14:paraId="1C4776F4"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7CAB288F" w14:textId="77777777" w:rsidR="008E6A56" w:rsidRPr="008A3740" w:rsidRDefault="0022501A"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eastAsia="Times" w:hAnsi="Verdana"/>
          <w:sz w:val="20"/>
          <w:szCs w:val="20"/>
          <w:lang w:val="en-US"/>
        </w:rPr>
        <w:t xml:space="preserve">Furthermore, </w:t>
      </w:r>
      <w:r w:rsidR="00E80EB0" w:rsidRPr="008A3740">
        <w:rPr>
          <w:rFonts w:ascii="Verdana" w:eastAsia="Times" w:hAnsi="Verdana"/>
          <w:sz w:val="20"/>
          <w:szCs w:val="20"/>
          <w:lang w:val="en-US"/>
        </w:rPr>
        <w:t xml:space="preserve">by not specifying who would be </w:t>
      </w:r>
      <w:r w:rsidR="008E6A56" w:rsidRPr="008A3740">
        <w:rPr>
          <w:rFonts w:ascii="Verdana" w:eastAsia="Times" w:hAnsi="Verdana"/>
          <w:sz w:val="20"/>
          <w:szCs w:val="20"/>
          <w:lang w:val="en-US"/>
        </w:rPr>
        <w:t xml:space="preserve">responsible </w:t>
      </w:r>
      <w:r w:rsidR="00E80EB0" w:rsidRPr="008A3740">
        <w:rPr>
          <w:rFonts w:ascii="Verdana" w:eastAsia="Times" w:hAnsi="Verdana"/>
          <w:sz w:val="20"/>
          <w:szCs w:val="20"/>
          <w:lang w:val="en-US"/>
        </w:rPr>
        <w:t xml:space="preserve">for paying </w:t>
      </w:r>
      <w:r w:rsidR="008E6A56" w:rsidRPr="008A3740">
        <w:rPr>
          <w:rFonts w:ascii="Verdana" w:eastAsia="Times" w:hAnsi="Verdana"/>
          <w:sz w:val="20"/>
          <w:szCs w:val="20"/>
          <w:lang w:val="en-US"/>
        </w:rPr>
        <w:t>Mr. Muelle Flores</w:t>
      </w:r>
      <w:r w:rsidR="00E80EB0" w:rsidRPr="008A3740">
        <w:rPr>
          <w:rFonts w:ascii="Verdana" w:eastAsia="Times" w:hAnsi="Verdana"/>
          <w:sz w:val="20"/>
          <w:szCs w:val="20"/>
          <w:lang w:val="en-US"/>
        </w:rPr>
        <w:t>’ pension</w:t>
      </w:r>
      <w:r w:rsidR="008E6A56" w:rsidRPr="008A3740">
        <w:rPr>
          <w:rFonts w:ascii="Verdana" w:eastAsia="Times" w:hAnsi="Verdana"/>
          <w:sz w:val="20"/>
          <w:szCs w:val="20"/>
          <w:lang w:val="en-US"/>
        </w:rPr>
        <w:t xml:space="preserve">, </w:t>
      </w:r>
      <w:r w:rsidR="00BF31FD" w:rsidRPr="008A3740">
        <w:rPr>
          <w:rFonts w:ascii="Verdana" w:eastAsia="Times" w:hAnsi="Verdana"/>
          <w:sz w:val="20"/>
          <w:szCs w:val="20"/>
          <w:lang w:val="en-US"/>
        </w:rPr>
        <w:t xml:space="preserve">the State created obstacles to compliance with the judgments that </w:t>
      </w:r>
      <w:r w:rsidR="008E6A56" w:rsidRPr="008A3740">
        <w:rPr>
          <w:rFonts w:ascii="Verdana" w:eastAsia="Times" w:hAnsi="Verdana"/>
          <w:sz w:val="20"/>
          <w:szCs w:val="20"/>
          <w:lang w:val="en-US"/>
        </w:rPr>
        <w:t xml:space="preserve">were </w:t>
      </w:r>
      <w:r w:rsidR="00E80EB0" w:rsidRPr="008A3740">
        <w:rPr>
          <w:rFonts w:ascii="Verdana" w:eastAsia="Times" w:hAnsi="Verdana"/>
          <w:sz w:val="20"/>
          <w:szCs w:val="20"/>
          <w:lang w:val="en-US"/>
        </w:rPr>
        <w:t xml:space="preserve">not </w:t>
      </w:r>
      <w:r w:rsidR="00F5291D" w:rsidRPr="008A3740">
        <w:rPr>
          <w:rFonts w:ascii="Verdana" w:eastAsia="Times" w:hAnsi="Verdana"/>
          <w:sz w:val="20"/>
          <w:szCs w:val="20"/>
          <w:lang w:val="en-US"/>
        </w:rPr>
        <w:t xml:space="preserve">resolved </w:t>
      </w:r>
      <w:r w:rsidR="008E6A56" w:rsidRPr="008A3740">
        <w:rPr>
          <w:rFonts w:ascii="Verdana" w:eastAsia="Times" w:hAnsi="Verdana"/>
          <w:sz w:val="20"/>
          <w:szCs w:val="20"/>
          <w:lang w:val="en-US"/>
        </w:rPr>
        <w:t xml:space="preserve">by the </w:t>
      </w:r>
      <w:r w:rsidR="000E0D7D" w:rsidRPr="008A3740">
        <w:rPr>
          <w:rFonts w:ascii="Verdana" w:eastAsia="Times" w:hAnsi="Verdana"/>
          <w:sz w:val="20"/>
          <w:szCs w:val="20"/>
          <w:lang w:val="en-US"/>
        </w:rPr>
        <w:t>Judiciary</w:t>
      </w:r>
      <w:r w:rsidR="008E6A56" w:rsidRPr="008A3740">
        <w:rPr>
          <w:rFonts w:ascii="Verdana" w:eastAsia="Times" w:hAnsi="Verdana"/>
          <w:sz w:val="20"/>
          <w:szCs w:val="20"/>
          <w:lang w:val="en-US"/>
        </w:rPr>
        <w:t xml:space="preserve"> during the execution</w:t>
      </w:r>
      <w:r w:rsidR="00E80EB0" w:rsidRPr="008A3740">
        <w:rPr>
          <w:rFonts w:ascii="Verdana" w:eastAsia="Times" w:hAnsi="Verdana"/>
          <w:sz w:val="20"/>
          <w:szCs w:val="20"/>
          <w:lang w:val="en-US"/>
        </w:rPr>
        <w:t xml:space="preserve"> process. T</w:t>
      </w:r>
      <w:r w:rsidR="008E6A56" w:rsidRPr="008A3740">
        <w:rPr>
          <w:rFonts w:ascii="Verdana" w:eastAsia="Times" w:hAnsi="Verdana"/>
          <w:sz w:val="20"/>
          <w:szCs w:val="20"/>
          <w:lang w:val="en-US"/>
        </w:rPr>
        <w:t xml:space="preserve">he </w:t>
      </w:r>
      <w:r w:rsidR="00E80EB0" w:rsidRPr="008A3740">
        <w:rPr>
          <w:rFonts w:ascii="Verdana" w:eastAsia="Times" w:hAnsi="Verdana"/>
          <w:sz w:val="20"/>
          <w:szCs w:val="20"/>
          <w:lang w:val="en-US"/>
        </w:rPr>
        <w:t xml:space="preserve">negative </w:t>
      </w:r>
      <w:r w:rsidR="008E6A56" w:rsidRPr="008A3740">
        <w:rPr>
          <w:rFonts w:ascii="Verdana" w:eastAsia="Times" w:hAnsi="Verdana"/>
          <w:sz w:val="20"/>
          <w:szCs w:val="20"/>
          <w:lang w:val="en-US"/>
        </w:rPr>
        <w:t xml:space="preserve">effects </w:t>
      </w:r>
      <w:r w:rsidR="00E80EB0" w:rsidRPr="008A3740">
        <w:rPr>
          <w:rFonts w:ascii="Verdana" w:eastAsia="Times" w:hAnsi="Verdana"/>
          <w:sz w:val="20"/>
          <w:szCs w:val="20"/>
          <w:lang w:val="en-US"/>
        </w:rPr>
        <w:t>of the privatization o</w:t>
      </w:r>
      <w:r w:rsidR="008E6A56" w:rsidRPr="008A3740">
        <w:rPr>
          <w:rFonts w:ascii="Verdana" w:eastAsia="Times" w:hAnsi="Verdana"/>
          <w:sz w:val="20"/>
          <w:szCs w:val="20"/>
          <w:lang w:val="en-US"/>
        </w:rPr>
        <w:t>n Mr. Muelle Flores</w:t>
      </w:r>
      <w:r w:rsidR="00E80EB0" w:rsidRPr="008A3740">
        <w:rPr>
          <w:rFonts w:ascii="Verdana" w:eastAsia="Times" w:hAnsi="Verdana"/>
          <w:sz w:val="20"/>
          <w:szCs w:val="20"/>
          <w:lang w:val="en-US"/>
        </w:rPr>
        <w:t>’ right to a pension</w:t>
      </w:r>
      <w:r w:rsidR="008E6A56" w:rsidRPr="008A3740">
        <w:rPr>
          <w:rFonts w:ascii="Verdana" w:eastAsia="Times" w:hAnsi="Verdana"/>
          <w:sz w:val="20"/>
          <w:szCs w:val="20"/>
          <w:lang w:val="en-US"/>
        </w:rPr>
        <w:t xml:space="preserve"> were not reversed in </w:t>
      </w:r>
      <w:r w:rsidR="007530A6" w:rsidRPr="008A3740">
        <w:rPr>
          <w:rFonts w:ascii="Verdana" w:eastAsia="Times" w:hAnsi="Verdana"/>
          <w:sz w:val="20"/>
          <w:szCs w:val="20"/>
          <w:lang w:val="en-US"/>
        </w:rPr>
        <w:t>court</w:t>
      </w:r>
      <w:r w:rsidR="009B6AA6" w:rsidRPr="008A3740">
        <w:rPr>
          <w:rFonts w:ascii="Verdana" w:eastAsia="Times" w:hAnsi="Verdana"/>
          <w:sz w:val="20"/>
          <w:szCs w:val="20"/>
          <w:lang w:val="en-US"/>
        </w:rPr>
        <w:t>,</w:t>
      </w:r>
      <w:r w:rsidR="007530A6" w:rsidRPr="008A3740">
        <w:rPr>
          <w:rFonts w:ascii="Verdana" w:eastAsia="Times" w:hAnsi="Verdana"/>
          <w:sz w:val="20"/>
          <w:szCs w:val="20"/>
          <w:lang w:val="en-US"/>
        </w:rPr>
        <w:t xml:space="preserve"> </w:t>
      </w:r>
      <w:r w:rsidR="008E6A56" w:rsidRPr="008A3740">
        <w:rPr>
          <w:rFonts w:ascii="Verdana" w:eastAsia="Times" w:hAnsi="Verdana"/>
          <w:sz w:val="20"/>
          <w:szCs w:val="20"/>
          <w:lang w:val="en-US"/>
        </w:rPr>
        <w:t>since the judges</w:t>
      </w:r>
      <w:r w:rsidR="00F36B11" w:rsidRPr="008A3740">
        <w:rPr>
          <w:rFonts w:ascii="Verdana" w:eastAsia="Times" w:hAnsi="Verdana"/>
          <w:sz w:val="20"/>
          <w:szCs w:val="20"/>
          <w:lang w:val="en-US"/>
        </w:rPr>
        <w:t xml:space="preserve"> did not </w:t>
      </w:r>
      <w:r w:rsidR="00BF31FD" w:rsidRPr="008A3740">
        <w:rPr>
          <w:rFonts w:ascii="Verdana" w:eastAsia="Times" w:hAnsi="Verdana"/>
          <w:sz w:val="20"/>
          <w:szCs w:val="20"/>
          <w:lang w:val="en-US"/>
        </w:rPr>
        <w:t>conduct a detailed analysis</w:t>
      </w:r>
      <w:r w:rsidR="00F36B11" w:rsidRPr="008A3740">
        <w:rPr>
          <w:rFonts w:ascii="Verdana" w:eastAsia="Times" w:hAnsi="Verdana"/>
          <w:sz w:val="20"/>
          <w:szCs w:val="20"/>
          <w:lang w:val="en-US"/>
        </w:rPr>
        <w:t xml:space="preserve"> </w:t>
      </w:r>
      <w:r w:rsidR="00BF31FD" w:rsidRPr="008A3740">
        <w:rPr>
          <w:rFonts w:ascii="Verdana" w:eastAsia="Times" w:hAnsi="Verdana"/>
          <w:sz w:val="20"/>
          <w:szCs w:val="20"/>
          <w:lang w:val="en-US"/>
        </w:rPr>
        <w:t xml:space="preserve">of </w:t>
      </w:r>
      <w:r w:rsidR="008E6A56" w:rsidRPr="008A3740">
        <w:rPr>
          <w:rFonts w:ascii="Verdana" w:eastAsia="Times" w:hAnsi="Verdana"/>
          <w:sz w:val="20"/>
          <w:szCs w:val="20"/>
          <w:lang w:val="en-US"/>
        </w:rPr>
        <w:t xml:space="preserve">the </w:t>
      </w:r>
      <w:r w:rsidR="00F36B11" w:rsidRPr="008A3740">
        <w:rPr>
          <w:rFonts w:ascii="Verdana" w:eastAsia="Times" w:hAnsi="Verdana"/>
          <w:sz w:val="20"/>
          <w:szCs w:val="20"/>
          <w:lang w:val="en-US"/>
        </w:rPr>
        <w:t xml:space="preserve">victim’s </w:t>
      </w:r>
      <w:r w:rsidR="008E6A56" w:rsidRPr="008A3740">
        <w:rPr>
          <w:rFonts w:ascii="Verdana" w:eastAsia="Times" w:hAnsi="Verdana"/>
          <w:sz w:val="20"/>
          <w:szCs w:val="20"/>
          <w:lang w:val="en-US"/>
        </w:rPr>
        <w:t xml:space="preserve">situation </w:t>
      </w:r>
      <w:r w:rsidR="00641D65" w:rsidRPr="008A3740">
        <w:rPr>
          <w:rFonts w:ascii="Verdana" w:eastAsia="Times" w:hAnsi="Verdana"/>
          <w:sz w:val="20"/>
          <w:szCs w:val="20"/>
          <w:lang w:val="en-US"/>
        </w:rPr>
        <w:t xml:space="preserve">and did not take steps to </w:t>
      </w:r>
      <w:r w:rsidR="00F36B11" w:rsidRPr="008A3740">
        <w:rPr>
          <w:rFonts w:ascii="Verdana" w:eastAsia="Times" w:hAnsi="Verdana"/>
          <w:sz w:val="20"/>
          <w:szCs w:val="20"/>
          <w:lang w:val="en-US"/>
        </w:rPr>
        <w:t xml:space="preserve">effectively decide </w:t>
      </w:r>
      <w:r w:rsidR="008E6A56" w:rsidRPr="008A3740">
        <w:rPr>
          <w:rFonts w:ascii="Verdana" w:eastAsia="Times" w:hAnsi="Verdana"/>
          <w:sz w:val="20"/>
          <w:szCs w:val="20"/>
          <w:lang w:val="en-US"/>
        </w:rPr>
        <w:t xml:space="preserve">who </w:t>
      </w:r>
      <w:r w:rsidR="00641D65" w:rsidRPr="008A3740">
        <w:rPr>
          <w:rFonts w:ascii="Verdana" w:eastAsia="Times" w:hAnsi="Verdana"/>
          <w:sz w:val="20"/>
          <w:szCs w:val="20"/>
          <w:lang w:val="en-US"/>
        </w:rPr>
        <w:t xml:space="preserve">was responsible for </w:t>
      </w:r>
      <w:r w:rsidR="008E6A56" w:rsidRPr="008A3740">
        <w:rPr>
          <w:rFonts w:ascii="Verdana" w:eastAsia="Times" w:hAnsi="Verdana"/>
          <w:sz w:val="20"/>
          <w:szCs w:val="20"/>
          <w:lang w:val="en-US"/>
        </w:rPr>
        <w:t>the payment</w:t>
      </w:r>
      <w:r w:rsidR="00641D65" w:rsidRPr="008A3740">
        <w:rPr>
          <w:rFonts w:ascii="Verdana" w:eastAsia="Times" w:hAnsi="Verdana"/>
          <w:sz w:val="20"/>
          <w:szCs w:val="20"/>
          <w:lang w:val="en-US"/>
        </w:rPr>
        <w:t>s</w:t>
      </w:r>
      <w:r w:rsidRPr="008A3740">
        <w:rPr>
          <w:rFonts w:ascii="Verdana" w:eastAsia="Times" w:hAnsi="Verdana"/>
          <w:sz w:val="20"/>
          <w:szCs w:val="20"/>
          <w:lang w:val="en-US"/>
        </w:rPr>
        <w:t>. T</w:t>
      </w:r>
      <w:r w:rsidR="008E6A56" w:rsidRPr="008A3740">
        <w:rPr>
          <w:rFonts w:ascii="Verdana" w:eastAsia="Times" w:hAnsi="Verdana"/>
          <w:sz w:val="20"/>
          <w:szCs w:val="20"/>
          <w:lang w:val="en-US"/>
        </w:rPr>
        <w:t xml:space="preserve">he Court notes that </w:t>
      </w:r>
      <w:r w:rsidR="00641D65" w:rsidRPr="008A3740">
        <w:rPr>
          <w:rFonts w:ascii="Verdana" w:eastAsia="Times" w:hAnsi="Verdana"/>
          <w:sz w:val="20"/>
          <w:szCs w:val="20"/>
          <w:lang w:val="en-US"/>
        </w:rPr>
        <w:t xml:space="preserve">several </w:t>
      </w:r>
      <w:r w:rsidR="008E6A56" w:rsidRPr="008A3740">
        <w:rPr>
          <w:rFonts w:ascii="Verdana" w:eastAsia="Times" w:hAnsi="Verdana"/>
          <w:sz w:val="20"/>
          <w:szCs w:val="20"/>
          <w:lang w:val="en-US"/>
        </w:rPr>
        <w:t xml:space="preserve">resolutions </w:t>
      </w:r>
      <w:r w:rsidR="00641D65" w:rsidRPr="008A3740">
        <w:rPr>
          <w:rFonts w:ascii="Verdana" w:eastAsia="Times" w:hAnsi="Verdana"/>
          <w:sz w:val="20"/>
          <w:szCs w:val="20"/>
          <w:lang w:val="en-US"/>
        </w:rPr>
        <w:t xml:space="preserve">determined that </w:t>
      </w:r>
      <w:r w:rsidR="008E6A56" w:rsidRPr="008A3740">
        <w:rPr>
          <w:rFonts w:ascii="Verdana" w:eastAsia="Times" w:hAnsi="Verdana"/>
          <w:sz w:val="20"/>
          <w:szCs w:val="20"/>
          <w:lang w:val="en-US"/>
        </w:rPr>
        <w:t xml:space="preserve">the private company was responsible </w:t>
      </w:r>
      <w:r w:rsidR="00641D65" w:rsidRPr="008A3740">
        <w:rPr>
          <w:rFonts w:ascii="Verdana" w:eastAsia="Times" w:hAnsi="Verdana"/>
          <w:sz w:val="20"/>
          <w:szCs w:val="20"/>
          <w:lang w:val="en-US"/>
        </w:rPr>
        <w:t xml:space="preserve">for </w:t>
      </w:r>
      <w:r w:rsidR="008E6A56" w:rsidRPr="008A3740">
        <w:rPr>
          <w:rFonts w:ascii="Verdana" w:eastAsia="Times" w:hAnsi="Verdana"/>
          <w:sz w:val="20"/>
          <w:szCs w:val="20"/>
          <w:lang w:val="en-US"/>
        </w:rPr>
        <w:t>the payment</w:t>
      </w:r>
      <w:r w:rsidR="00641D65" w:rsidRPr="008A3740">
        <w:rPr>
          <w:rFonts w:ascii="Verdana" w:eastAsia="Times" w:hAnsi="Verdana"/>
          <w:sz w:val="20"/>
          <w:szCs w:val="20"/>
          <w:lang w:val="en-US"/>
        </w:rPr>
        <w:t>s</w:t>
      </w:r>
      <w:r w:rsidR="00BF31FD" w:rsidRPr="008A3740">
        <w:rPr>
          <w:rFonts w:ascii="Verdana" w:eastAsia="Times" w:hAnsi="Verdana"/>
          <w:sz w:val="20"/>
          <w:szCs w:val="20"/>
          <w:lang w:val="en-US"/>
        </w:rPr>
        <w:t xml:space="preserve">; however, these decisions were </w:t>
      </w:r>
      <w:r w:rsidR="00641D65" w:rsidRPr="008A3740">
        <w:rPr>
          <w:rFonts w:ascii="Verdana" w:eastAsia="Times" w:hAnsi="Verdana"/>
          <w:sz w:val="20"/>
          <w:szCs w:val="20"/>
          <w:lang w:val="en-US"/>
        </w:rPr>
        <w:t xml:space="preserve">subsequently </w:t>
      </w:r>
      <w:r w:rsidR="008E6A56" w:rsidRPr="008A3740">
        <w:rPr>
          <w:rFonts w:ascii="Verdana" w:eastAsia="Times" w:hAnsi="Verdana"/>
          <w:sz w:val="20"/>
          <w:szCs w:val="20"/>
          <w:lang w:val="en-US"/>
        </w:rPr>
        <w:t>rever</w:t>
      </w:r>
      <w:r w:rsidR="007530A6" w:rsidRPr="008A3740">
        <w:rPr>
          <w:rFonts w:ascii="Verdana" w:eastAsia="Times" w:hAnsi="Verdana"/>
          <w:sz w:val="20"/>
          <w:szCs w:val="20"/>
          <w:lang w:val="en-US"/>
        </w:rPr>
        <w:t>sed</w:t>
      </w:r>
      <w:r w:rsidR="00BF31FD" w:rsidRPr="008A3740">
        <w:rPr>
          <w:rFonts w:ascii="Verdana" w:eastAsia="Times" w:hAnsi="Verdana"/>
          <w:sz w:val="20"/>
          <w:szCs w:val="20"/>
          <w:lang w:val="en-US"/>
        </w:rPr>
        <w:t>, with the courts</w:t>
      </w:r>
      <w:r w:rsidR="007530A6" w:rsidRPr="008A3740">
        <w:rPr>
          <w:rFonts w:ascii="Verdana" w:eastAsia="Times" w:hAnsi="Verdana"/>
          <w:sz w:val="20"/>
          <w:szCs w:val="20"/>
          <w:lang w:val="en-US"/>
        </w:rPr>
        <w:t xml:space="preserve"> </w:t>
      </w:r>
      <w:r w:rsidR="00BF31FD" w:rsidRPr="008A3740">
        <w:rPr>
          <w:rFonts w:ascii="Verdana" w:eastAsia="Times" w:hAnsi="Verdana"/>
          <w:sz w:val="20"/>
          <w:szCs w:val="20"/>
          <w:lang w:val="en-US"/>
        </w:rPr>
        <w:t xml:space="preserve">concluding to the contrary, </w:t>
      </w:r>
      <w:r w:rsidR="008E6A56" w:rsidRPr="008A3740">
        <w:rPr>
          <w:rFonts w:ascii="Verdana" w:eastAsia="Times" w:hAnsi="Verdana"/>
          <w:sz w:val="20"/>
          <w:szCs w:val="20"/>
          <w:lang w:val="en-US"/>
        </w:rPr>
        <w:t xml:space="preserve">but without </w:t>
      </w:r>
      <w:r w:rsidR="00BF31FD" w:rsidRPr="008A3740">
        <w:rPr>
          <w:rFonts w:ascii="Verdana" w:eastAsia="Times" w:hAnsi="Verdana"/>
          <w:sz w:val="20"/>
          <w:szCs w:val="20"/>
          <w:lang w:val="en-US"/>
        </w:rPr>
        <w:t xml:space="preserve">having proved whether or not the </w:t>
      </w:r>
      <w:r w:rsidR="008E6A56" w:rsidRPr="008A3740">
        <w:rPr>
          <w:rFonts w:ascii="Verdana" w:eastAsia="Times" w:hAnsi="Verdana"/>
          <w:sz w:val="20"/>
          <w:szCs w:val="20"/>
          <w:lang w:val="en-US"/>
        </w:rPr>
        <w:t>private company ha</w:t>
      </w:r>
      <w:r w:rsidR="007530A6" w:rsidRPr="008A3740">
        <w:rPr>
          <w:rFonts w:ascii="Verdana" w:eastAsia="Times" w:hAnsi="Verdana"/>
          <w:sz w:val="20"/>
          <w:szCs w:val="20"/>
          <w:lang w:val="en-US"/>
        </w:rPr>
        <w:t xml:space="preserve">d </w:t>
      </w:r>
      <w:r w:rsidR="00BF31FD" w:rsidRPr="008A3740">
        <w:rPr>
          <w:rFonts w:ascii="Verdana" w:eastAsia="Times" w:hAnsi="Verdana"/>
          <w:sz w:val="20"/>
          <w:szCs w:val="20"/>
          <w:lang w:val="en-US"/>
        </w:rPr>
        <w:t xml:space="preserve">indeed </w:t>
      </w:r>
      <w:r w:rsidR="007530A6" w:rsidRPr="008A3740">
        <w:rPr>
          <w:rFonts w:ascii="Verdana" w:eastAsia="Times" w:hAnsi="Verdana"/>
          <w:sz w:val="20"/>
          <w:szCs w:val="20"/>
          <w:lang w:val="en-US"/>
        </w:rPr>
        <w:t xml:space="preserve">assumed </w:t>
      </w:r>
      <w:r w:rsidR="008E6A56" w:rsidRPr="008A3740">
        <w:rPr>
          <w:rFonts w:ascii="Verdana" w:eastAsia="Times" w:hAnsi="Verdana"/>
          <w:sz w:val="20"/>
          <w:szCs w:val="20"/>
          <w:lang w:val="en-US"/>
        </w:rPr>
        <w:t>the liabilities of Tintaya S.A.</w:t>
      </w:r>
      <w:r w:rsidR="00BF31FD" w:rsidRPr="008A3740">
        <w:rPr>
          <w:rFonts w:ascii="Verdana" w:eastAsia="Times" w:hAnsi="Verdana"/>
          <w:sz w:val="20"/>
          <w:szCs w:val="20"/>
          <w:lang w:val="en-US"/>
        </w:rPr>
        <w:t xml:space="preserve"> T</w:t>
      </w:r>
      <w:r w:rsidR="008E6A56" w:rsidRPr="008A3740">
        <w:rPr>
          <w:rFonts w:ascii="Verdana" w:eastAsia="Times" w:hAnsi="Verdana"/>
          <w:sz w:val="20"/>
          <w:szCs w:val="20"/>
          <w:lang w:val="en-US"/>
        </w:rPr>
        <w:t xml:space="preserve">his conduct </w:t>
      </w:r>
      <w:r w:rsidR="00BF31FD" w:rsidRPr="008A3740">
        <w:rPr>
          <w:rFonts w:ascii="Verdana" w:eastAsia="Times" w:hAnsi="Verdana"/>
          <w:sz w:val="20"/>
          <w:szCs w:val="20"/>
          <w:lang w:val="en-US"/>
        </w:rPr>
        <w:t xml:space="preserve">by </w:t>
      </w:r>
      <w:r w:rsidR="008E6A56" w:rsidRPr="008A3740">
        <w:rPr>
          <w:rFonts w:ascii="Verdana" w:eastAsia="Times" w:hAnsi="Verdana"/>
          <w:sz w:val="20"/>
          <w:szCs w:val="20"/>
          <w:lang w:val="en-US"/>
        </w:rPr>
        <w:t xml:space="preserve">the judges </w:t>
      </w:r>
      <w:r w:rsidR="00BF31FD" w:rsidRPr="008A3740">
        <w:rPr>
          <w:rFonts w:ascii="Verdana" w:eastAsia="Times" w:hAnsi="Verdana"/>
          <w:sz w:val="20"/>
          <w:szCs w:val="20"/>
          <w:lang w:val="en-US"/>
        </w:rPr>
        <w:t xml:space="preserve">responsible for enforcement </w:t>
      </w:r>
      <w:r w:rsidR="008E6A56" w:rsidRPr="008A3740">
        <w:rPr>
          <w:rFonts w:ascii="Verdana" w:eastAsia="Times" w:hAnsi="Verdana"/>
          <w:sz w:val="20"/>
          <w:szCs w:val="20"/>
          <w:lang w:val="en-US"/>
        </w:rPr>
        <w:t xml:space="preserve">contributed to the delay </w:t>
      </w:r>
      <w:r w:rsidR="0050127E" w:rsidRPr="008A3740">
        <w:rPr>
          <w:rFonts w:ascii="Verdana" w:eastAsia="Times" w:hAnsi="Verdana"/>
          <w:sz w:val="20"/>
          <w:szCs w:val="20"/>
          <w:lang w:val="en-US"/>
        </w:rPr>
        <w:t>in the proce</w:t>
      </w:r>
      <w:r w:rsidR="00BF31FD" w:rsidRPr="008A3740">
        <w:rPr>
          <w:rFonts w:ascii="Verdana" w:eastAsia="Times" w:hAnsi="Verdana"/>
          <w:sz w:val="20"/>
          <w:szCs w:val="20"/>
          <w:lang w:val="en-US"/>
        </w:rPr>
        <w:t xml:space="preserve">edings </w:t>
      </w:r>
      <w:r w:rsidR="008E6A56" w:rsidRPr="008A3740">
        <w:rPr>
          <w:rFonts w:ascii="Verdana" w:eastAsia="Times" w:hAnsi="Verdana"/>
          <w:sz w:val="20"/>
          <w:szCs w:val="20"/>
          <w:lang w:val="en-US"/>
        </w:rPr>
        <w:t xml:space="preserve">and aggravated the non-compliance with the domestic rulings. </w:t>
      </w:r>
    </w:p>
    <w:p w14:paraId="4D3FDF73"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266C0F07"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eastAsia="Times" w:hAnsi="Verdana"/>
          <w:sz w:val="20"/>
          <w:szCs w:val="20"/>
          <w:lang w:val="en-US"/>
        </w:rPr>
        <w:t xml:space="preserve">From the information available to the Court, it was not until 2013 that the Second Civil </w:t>
      </w:r>
      <w:r w:rsidR="00811092" w:rsidRPr="008A3740">
        <w:rPr>
          <w:rFonts w:ascii="Verdana" w:eastAsia="Times" w:hAnsi="Verdana"/>
          <w:sz w:val="20"/>
          <w:szCs w:val="20"/>
          <w:lang w:val="en-US"/>
        </w:rPr>
        <w:t>Chamber</w:t>
      </w:r>
      <w:r w:rsidRPr="008A3740">
        <w:rPr>
          <w:rFonts w:ascii="Verdana" w:eastAsia="Times" w:hAnsi="Verdana"/>
          <w:sz w:val="20"/>
          <w:szCs w:val="20"/>
          <w:lang w:val="en-US"/>
        </w:rPr>
        <w:t xml:space="preserve"> </w:t>
      </w:r>
      <w:r w:rsidR="005C4A34" w:rsidRPr="008A3740">
        <w:rPr>
          <w:rFonts w:ascii="Verdana" w:eastAsia="Times" w:hAnsi="Verdana"/>
          <w:sz w:val="20"/>
          <w:szCs w:val="20"/>
          <w:lang w:val="en-US"/>
        </w:rPr>
        <w:t xml:space="preserve">assessed </w:t>
      </w:r>
      <w:r w:rsidRPr="008A3740">
        <w:rPr>
          <w:rFonts w:ascii="Verdana" w:eastAsia="Times" w:hAnsi="Verdana"/>
          <w:sz w:val="20"/>
          <w:szCs w:val="20"/>
          <w:lang w:val="en-US"/>
        </w:rPr>
        <w:t xml:space="preserve">the </w:t>
      </w:r>
      <w:r w:rsidR="00F36B11" w:rsidRPr="008A3740">
        <w:rPr>
          <w:rFonts w:ascii="Verdana" w:eastAsia="Times" w:hAnsi="Verdana"/>
          <w:sz w:val="20"/>
          <w:szCs w:val="20"/>
          <w:lang w:val="en-US"/>
        </w:rPr>
        <w:t xml:space="preserve">1994 </w:t>
      </w:r>
      <w:r w:rsidR="00F21287" w:rsidRPr="008A3740">
        <w:rPr>
          <w:rFonts w:ascii="Verdana" w:eastAsia="Times" w:hAnsi="Verdana"/>
          <w:sz w:val="20"/>
          <w:szCs w:val="20"/>
          <w:lang w:val="en-US"/>
        </w:rPr>
        <w:t xml:space="preserve">sale </w:t>
      </w:r>
      <w:r w:rsidRPr="008A3740">
        <w:rPr>
          <w:rFonts w:ascii="Verdana" w:eastAsia="Times" w:hAnsi="Verdana"/>
          <w:sz w:val="20"/>
          <w:szCs w:val="20"/>
          <w:lang w:val="en-US"/>
        </w:rPr>
        <w:t xml:space="preserve">contract and determined that the private </w:t>
      </w:r>
      <w:r w:rsidR="00BF31FD" w:rsidRPr="008A3740">
        <w:rPr>
          <w:rFonts w:ascii="Verdana" w:eastAsia="Times" w:hAnsi="Verdana"/>
          <w:sz w:val="20"/>
          <w:szCs w:val="20"/>
          <w:lang w:val="en-US"/>
        </w:rPr>
        <w:t>purchaser ha</w:t>
      </w:r>
      <w:r w:rsidR="00F36B11" w:rsidRPr="008A3740">
        <w:rPr>
          <w:rFonts w:ascii="Verdana" w:eastAsia="Times" w:hAnsi="Verdana"/>
          <w:sz w:val="20"/>
          <w:szCs w:val="20"/>
          <w:lang w:val="en-US"/>
        </w:rPr>
        <w:t>d not assume</w:t>
      </w:r>
      <w:r w:rsidR="00BF31FD" w:rsidRPr="008A3740">
        <w:rPr>
          <w:rFonts w:ascii="Verdana" w:eastAsia="Times" w:hAnsi="Verdana"/>
          <w:sz w:val="20"/>
          <w:szCs w:val="20"/>
          <w:lang w:val="en-US"/>
        </w:rPr>
        <w:t>d</w:t>
      </w:r>
      <w:r w:rsidR="00F36B11" w:rsidRPr="008A3740">
        <w:rPr>
          <w:rFonts w:ascii="Verdana" w:eastAsia="Times" w:hAnsi="Verdana"/>
          <w:sz w:val="20"/>
          <w:szCs w:val="20"/>
          <w:lang w:val="en-US"/>
        </w:rPr>
        <w:t xml:space="preserve"> the liabilities of </w:t>
      </w:r>
      <w:r w:rsidRPr="008A3740">
        <w:rPr>
          <w:rFonts w:ascii="Verdana" w:eastAsia="Times" w:hAnsi="Verdana"/>
          <w:sz w:val="20"/>
          <w:szCs w:val="20"/>
          <w:lang w:val="en-US"/>
        </w:rPr>
        <w:t>Tintaya S.A.</w:t>
      </w:r>
      <w:r w:rsidR="00BF31FD" w:rsidRPr="008A3740">
        <w:rPr>
          <w:rFonts w:ascii="Verdana" w:eastAsia="Times" w:hAnsi="Verdana"/>
          <w:sz w:val="20"/>
          <w:szCs w:val="20"/>
          <w:lang w:val="en-US"/>
        </w:rPr>
        <w:t xml:space="preserve"> </w:t>
      </w:r>
      <w:r w:rsidR="005C4A34" w:rsidRPr="008A3740">
        <w:rPr>
          <w:rFonts w:ascii="Verdana" w:eastAsia="Times" w:hAnsi="Verdana"/>
          <w:sz w:val="20"/>
          <w:szCs w:val="20"/>
          <w:lang w:val="en-US"/>
        </w:rPr>
        <w:t xml:space="preserve">Despite this, and despite </w:t>
      </w:r>
      <w:r w:rsidRPr="008A3740">
        <w:rPr>
          <w:rFonts w:ascii="Verdana" w:eastAsia="Times" w:hAnsi="Verdana"/>
          <w:sz w:val="20"/>
          <w:szCs w:val="20"/>
          <w:lang w:val="en-US"/>
        </w:rPr>
        <w:t xml:space="preserve">the </w:t>
      </w:r>
      <w:r w:rsidR="00641D65" w:rsidRPr="008A3740">
        <w:rPr>
          <w:rFonts w:ascii="Verdana" w:eastAsia="Times" w:hAnsi="Verdana"/>
          <w:sz w:val="20"/>
          <w:szCs w:val="20"/>
          <w:lang w:val="en-US"/>
        </w:rPr>
        <w:t xml:space="preserve">regulatory </w:t>
      </w:r>
      <w:r w:rsidRPr="008A3740">
        <w:rPr>
          <w:rFonts w:ascii="Verdana" w:eastAsia="Times" w:hAnsi="Verdana"/>
          <w:sz w:val="20"/>
          <w:szCs w:val="20"/>
          <w:lang w:val="en-US"/>
        </w:rPr>
        <w:t xml:space="preserve">changes </w:t>
      </w:r>
      <w:r w:rsidR="00641D65" w:rsidRPr="008A3740">
        <w:rPr>
          <w:rFonts w:ascii="Verdana" w:eastAsia="Times" w:hAnsi="Verdana"/>
          <w:sz w:val="20"/>
          <w:szCs w:val="20"/>
          <w:lang w:val="en-US"/>
        </w:rPr>
        <w:t xml:space="preserve">that </w:t>
      </w:r>
      <w:r w:rsidR="007530A6" w:rsidRPr="008A3740">
        <w:rPr>
          <w:rFonts w:ascii="Verdana" w:eastAsia="Times" w:hAnsi="Verdana"/>
          <w:sz w:val="20"/>
          <w:szCs w:val="20"/>
          <w:lang w:val="en-US"/>
        </w:rPr>
        <w:t xml:space="preserve">gave the </w:t>
      </w:r>
      <w:r w:rsidRPr="008A3740">
        <w:rPr>
          <w:rFonts w:ascii="Verdana" w:eastAsia="Times" w:hAnsi="Verdana"/>
          <w:sz w:val="20"/>
          <w:szCs w:val="20"/>
          <w:lang w:val="en-US"/>
        </w:rPr>
        <w:t xml:space="preserve">MEF responsibility </w:t>
      </w:r>
      <w:r w:rsidR="007530A6" w:rsidRPr="008A3740">
        <w:rPr>
          <w:rFonts w:ascii="Verdana" w:eastAsia="Times" w:hAnsi="Verdana"/>
          <w:sz w:val="20"/>
          <w:szCs w:val="20"/>
          <w:lang w:val="en-US"/>
        </w:rPr>
        <w:t xml:space="preserve">for </w:t>
      </w:r>
      <w:r w:rsidRPr="008A3740">
        <w:rPr>
          <w:rFonts w:ascii="Verdana" w:eastAsia="Times" w:hAnsi="Verdana"/>
          <w:sz w:val="20"/>
          <w:szCs w:val="20"/>
          <w:lang w:val="en-US"/>
        </w:rPr>
        <w:t xml:space="preserve">the payments in cases </w:t>
      </w:r>
      <w:r w:rsidR="00641D65" w:rsidRPr="008A3740">
        <w:rPr>
          <w:rFonts w:ascii="Verdana" w:eastAsia="Times" w:hAnsi="Verdana"/>
          <w:sz w:val="20"/>
          <w:szCs w:val="20"/>
          <w:lang w:val="en-US"/>
        </w:rPr>
        <w:t xml:space="preserve">such as </w:t>
      </w:r>
      <w:r w:rsidR="00BF31FD" w:rsidRPr="008A3740">
        <w:rPr>
          <w:rFonts w:ascii="Verdana" w:eastAsia="Times" w:hAnsi="Verdana"/>
          <w:sz w:val="20"/>
          <w:szCs w:val="20"/>
          <w:lang w:val="en-US"/>
        </w:rPr>
        <w:t>this</w:t>
      </w:r>
      <w:r w:rsidRPr="008A3740">
        <w:rPr>
          <w:rFonts w:ascii="Verdana" w:eastAsia="Times" w:hAnsi="Verdana"/>
          <w:sz w:val="20"/>
          <w:szCs w:val="20"/>
          <w:lang w:val="en-US"/>
        </w:rPr>
        <w:t>, and</w:t>
      </w:r>
      <w:r w:rsidR="00BF31FD"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the </w:t>
      </w:r>
      <w:r w:rsidR="007530A6" w:rsidRPr="008A3740">
        <w:rPr>
          <w:rFonts w:ascii="Verdana" w:eastAsia="Times" w:hAnsi="Verdana"/>
          <w:sz w:val="20"/>
          <w:szCs w:val="20"/>
          <w:lang w:val="en-US"/>
        </w:rPr>
        <w:t xml:space="preserve">fact </w:t>
      </w:r>
      <w:r w:rsidRPr="008A3740">
        <w:rPr>
          <w:rFonts w:ascii="Verdana" w:eastAsia="Times" w:hAnsi="Verdana"/>
          <w:sz w:val="20"/>
          <w:szCs w:val="20"/>
          <w:lang w:val="en-US"/>
        </w:rPr>
        <w:t xml:space="preserve">that the pensions system under Decree Law No. 20530 is a system administered by the State, </w:t>
      </w:r>
      <w:r w:rsidR="007530A6" w:rsidRPr="008A3740">
        <w:rPr>
          <w:rFonts w:ascii="Verdana" w:eastAsia="Times" w:hAnsi="Verdana"/>
          <w:sz w:val="20"/>
          <w:szCs w:val="20"/>
          <w:lang w:val="en-US"/>
        </w:rPr>
        <w:t xml:space="preserve">that </w:t>
      </w:r>
      <w:r w:rsidRPr="008A3740">
        <w:rPr>
          <w:rFonts w:ascii="Verdana" w:eastAsia="Times" w:hAnsi="Verdana"/>
          <w:sz w:val="20"/>
          <w:szCs w:val="20"/>
          <w:lang w:val="en-US"/>
        </w:rPr>
        <w:t xml:space="preserve">decision was </w:t>
      </w:r>
      <w:r w:rsidR="007530A6" w:rsidRPr="008A3740">
        <w:rPr>
          <w:rFonts w:ascii="Verdana" w:eastAsia="Times" w:hAnsi="Verdana"/>
          <w:sz w:val="20"/>
          <w:szCs w:val="20"/>
          <w:lang w:val="en-US"/>
        </w:rPr>
        <w:t xml:space="preserve">overturned </w:t>
      </w:r>
      <w:r w:rsidRPr="008A3740">
        <w:rPr>
          <w:rFonts w:ascii="Verdana" w:eastAsia="Times" w:hAnsi="Verdana"/>
          <w:sz w:val="20"/>
          <w:szCs w:val="20"/>
          <w:lang w:val="en-US"/>
        </w:rPr>
        <w:t>in subsequent resolutions</w:t>
      </w:r>
      <w:r w:rsidR="005C4A34" w:rsidRPr="008A3740">
        <w:rPr>
          <w:rFonts w:ascii="Verdana" w:eastAsia="Times" w:hAnsi="Verdana"/>
          <w:sz w:val="20"/>
          <w:szCs w:val="20"/>
          <w:lang w:val="en-US"/>
        </w:rPr>
        <w:t xml:space="preserve">. </w:t>
      </w:r>
      <w:r w:rsidR="0062154B" w:rsidRPr="008A3740">
        <w:rPr>
          <w:rFonts w:ascii="Verdana" w:eastAsia="Times" w:hAnsi="Verdana"/>
          <w:sz w:val="20"/>
          <w:szCs w:val="20"/>
          <w:lang w:val="en-US"/>
        </w:rPr>
        <w:t xml:space="preserve">However </w:t>
      </w:r>
      <w:r w:rsidRPr="008A3740">
        <w:rPr>
          <w:rFonts w:ascii="Verdana" w:eastAsia="Times" w:hAnsi="Verdana"/>
          <w:sz w:val="20"/>
          <w:szCs w:val="20"/>
          <w:lang w:val="en-US"/>
        </w:rPr>
        <w:t>to date</w:t>
      </w:r>
      <w:r w:rsidR="005C4A34" w:rsidRPr="008A3740">
        <w:rPr>
          <w:rFonts w:ascii="Verdana" w:eastAsia="Times" w:hAnsi="Verdana"/>
          <w:sz w:val="20"/>
          <w:szCs w:val="20"/>
          <w:lang w:val="en-US"/>
        </w:rPr>
        <w:t>,</w:t>
      </w:r>
      <w:r w:rsidRPr="008A3740">
        <w:rPr>
          <w:rFonts w:ascii="Verdana" w:eastAsia="Times" w:hAnsi="Verdana"/>
          <w:sz w:val="20"/>
          <w:szCs w:val="20"/>
          <w:lang w:val="en-US"/>
        </w:rPr>
        <w:t xml:space="preserve"> the execution</w:t>
      </w:r>
      <w:r w:rsidR="007530A6" w:rsidRPr="008A3740">
        <w:rPr>
          <w:rFonts w:ascii="Verdana" w:eastAsia="Times" w:hAnsi="Verdana"/>
          <w:sz w:val="20"/>
          <w:szCs w:val="20"/>
          <w:lang w:val="en-US"/>
        </w:rPr>
        <w:t xml:space="preserve"> of </w:t>
      </w:r>
      <w:r w:rsidRPr="008A3740">
        <w:rPr>
          <w:rFonts w:ascii="Verdana" w:eastAsia="Times" w:hAnsi="Verdana"/>
          <w:sz w:val="20"/>
          <w:szCs w:val="20"/>
          <w:lang w:val="en-US"/>
        </w:rPr>
        <w:t xml:space="preserve">judgment </w:t>
      </w:r>
      <w:r w:rsidR="007530A6" w:rsidRPr="008A3740">
        <w:rPr>
          <w:rFonts w:ascii="Verdana" w:eastAsia="Times" w:hAnsi="Verdana"/>
          <w:sz w:val="20"/>
          <w:szCs w:val="20"/>
          <w:lang w:val="en-US"/>
        </w:rPr>
        <w:t xml:space="preserve">process </w:t>
      </w:r>
      <w:r w:rsidR="00641D65" w:rsidRPr="008A3740">
        <w:rPr>
          <w:rFonts w:ascii="Verdana" w:eastAsia="Times" w:hAnsi="Verdana"/>
          <w:sz w:val="20"/>
          <w:szCs w:val="20"/>
          <w:lang w:val="en-US"/>
        </w:rPr>
        <w:t xml:space="preserve">has </w:t>
      </w:r>
      <w:r w:rsidR="0062154B" w:rsidRPr="008A3740">
        <w:rPr>
          <w:rFonts w:ascii="Verdana" w:eastAsia="Times" w:hAnsi="Verdana"/>
          <w:sz w:val="20"/>
          <w:szCs w:val="20"/>
          <w:lang w:val="en-US"/>
        </w:rPr>
        <w:t xml:space="preserve">still </w:t>
      </w:r>
      <w:r w:rsidR="00641D65" w:rsidRPr="008A3740">
        <w:rPr>
          <w:rFonts w:ascii="Verdana" w:eastAsia="Times" w:hAnsi="Verdana"/>
          <w:sz w:val="20"/>
          <w:szCs w:val="20"/>
          <w:lang w:val="en-US"/>
        </w:rPr>
        <w:t xml:space="preserve">not </w:t>
      </w:r>
      <w:r w:rsidRPr="008A3740">
        <w:rPr>
          <w:rFonts w:ascii="Verdana" w:eastAsia="Times" w:hAnsi="Verdana"/>
          <w:sz w:val="20"/>
          <w:szCs w:val="20"/>
          <w:lang w:val="en-US"/>
        </w:rPr>
        <w:t>conclu</w:t>
      </w:r>
      <w:r w:rsidR="00641D65" w:rsidRPr="008A3740">
        <w:rPr>
          <w:rFonts w:ascii="Verdana" w:eastAsia="Times" w:hAnsi="Verdana"/>
          <w:sz w:val="20"/>
          <w:szCs w:val="20"/>
          <w:lang w:val="en-US"/>
        </w:rPr>
        <w:t>ded</w:t>
      </w:r>
      <w:r w:rsidR="005C4A34" w:rsidRPr="008A3740">
        <w:rPr>
          <w:rFonts w:ascii="Verdana" w:eastAsia="Times" w:hAnsi="Verdana"/>
          <w:sz w:val="20"/>
          <w:szCs w:val="20"/>
          <w:lang w:val="en-US"/>
        </w:rPr>
        <w:t xml:space="preserve"> –</w:t>
      </w:r>
      <w:r w:rsidR="00641D65" w:rsidRPr="008A3740">
        <w:rPr>
          <w:rFonts w:ascii="Verdana" w:eastAsia="Times" w:hAnsi="Verdana"/>
          <w:sz w:val="20"/>
          <w:szCs w:val="20"/>
          <w:lang w:val="en-US"/>
        </w:rPr>
        <w:t xml:space="preserve"> </w:t>
      </w:r>
      <w:r w:rsidR="0062154B" w:rsidRPr="008A3740">
        <w:rPr>
          <w:rFonts w:ascii="Verdana" w:eastAsia="Times" w:hAnsi="Verdana"/>
          <w:sz w:val="20"/>
          <w:szCs w:val="20"/>
          <w:lang w:val="en-US"/>
        </w:rPr>
        <w:t>that is</w:t>
      </w:r>
      <w:r w:rsidR="005C4A34"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25 years </w:t>
      </w:r>
      <w:r w:rsidR="00641D65" w:rsidRPr="008A3740">
        <w:rPr>
          <w:rFonts w:ascii="Verdana" w:eastAsia="Times" w:hAnsi="Verdana"/>
          <w:sz w:val="20"/>
          <w:szCs w:val="20"/>
          <w:lang w:val="en-US"/>
        </w:rPr>
        <w:t xml:space="preserve">after </w:t>
      </w:r>
      <w:r w:rsidR="005C4A34" w:rsidRPr="008A3740">
        <w:rPr>
          <w:rFonts w:ascii="Verdana" w:eastAsia="Times" w:hAnsi="Verdana"/>
          <w:sz w:val="20"/>
          <w:szCs w:val="20"/>
          <w:lang w:val="en-US"/>
        </w:rPr>
        <w:t>t</w:t>
      </w:r>
      <w:r w:rsidRPr="008A3740">
        <w:rPr>
          <w:rFonts w:ascii="Verdana" w:eastAsia="Times" w:hAnsi="Verdana"/>
          <w:sz w:val="20"/>
          <w:szCs w:val="20"/>
          <w:lang w:val="en-US"/>
        </w:rPr>
        <w:t xml:space="preserve">he first </w:t>
      </w:r>
      <w:r w:rsidRPr="008A3740">
        <w:rPr>
          <w:rFonts w:ascii="Verdana" w:eastAsia="Times" w:hAnsi="Verdana"/>
          <w:i/>
          <w:sz w:val="20"/>
          <w:szCs w:val="20"/>
          <w:lang w:val="en-US"/>
        </w:rPr>
        <w:t>amparo</w:t>
      </w:r>
      <w:r w:rsidRPr="008A3740">
        <w:rPr>
          <w:rFonts w:ascii="Verdana" w:eastAsia="Times" w:hAnsi="Verdana"/>
          <w:sz w:val="20"/>
          <w:szCs w:val="20"/>
          <w:lang w:val="en-US"/>
        </w:rPr>
        <w:t xml:space="preserve"> judgment </w:t>
      </w:r>
      <w:r w:rsidR="00641D65" w:rsidRPr="008A3740">
        <w:rPr>
          <w:rFonts w:ascii="Verdana" w:eastAsia="Times" w:hAnsi="Verdana"/>
          <w:sz w:val="20"/>
          <w:szCs w:val="20"/>
          <w:lang w:val="en-US"/>
        </w:rPr>
        <w:t>issued by the Supreme Court. T</w:t>
      </w:r>
      <w:r w:rsidRPr="008A3740">
        <w:rPr>
          <w:rFonts w:ascii="Verdana" w:eastAsia="Times" w:hAnsi="Verdana"/>
          <w:sz w:val="20"/>
          <w:szCs w:val="20"/>
          <w:lang w:val="en-US"/>
        </w:rPr>
        <w:t xml:space="preserve">he Court </w:t>
      </w:r>
      <w:r w:rsidR="00641D65" w:rsidRPr="008A3740">
        <w:rPr>
          <w:rFonts w:ascii="Verdana" w:eastAsia="Times" w:hAnsi="Verdana"/>
          <w:sz w:val="20"/>
          <w:szCs w:val="20"/>
          <w:lang w:val="en-US"/>
        </w:rPr>
        <w:t xml:space="preserve">also </w:t>
      </w:r>
      <w:r w:rsidRPr="008A3740">
        <w:rPr>
          <w:rFonts w:ascii="Verdana" w:eastAsia="Times" w:hAnsi="Verdana"/>
          <w:sz w:val="20"/>
          <w:szCs w:val="20"/>
          <w:lang w:val="en-US"/>
        </w:rPr>
        <w:t xml:space="preserve">notes that it was not until 2014 and 2015 that the </w:t>
      </w:r>
      <w:r w:rsidR="005A49D4" w:rsidRPr="008A3740">
        <w:rPr>
          <w:rFonts w:ascii="Verdana" w:eastAsia="Times" w:hAnsi="Verdana"/>
          <w:sz w:val="20"/>
          <w:szCs w:val="20"/>
          <w:lang w:val="en-US"/>
        </w:rPr>
        <w:t>Thirty-third</w:t>
      </w:r>
      <w:r w:rsidRPr="008A3740">
        <w:rPr>
          <w:rFonts w:ascii="Verdana" w:eastAsia="Times" w:hAnsi="Verdana"/>
          <w:sz w:val="20"/>
          <w:szCs w:val="20"/>
          <w:lang w:val="en-US"/>
        </w:rPr>
        <w:t xml:space="preserve"> C</w:t>
      </w:r>
      <w:r w:rsidR="005C4A34" w:rsidRPr="008A3740">
        <w:rPr>
          <w:rFonts w:ascii="Verdana" w:eastAsia="Times" w:hAnsi="Verdana"/>
          <w:sz w:val="20"/>
          <w:szCs w:val="20"/>
          <w:lang w:val="en-US"/>
        </w:rPr>
        <w:t>ivil C</w:t>
      </w:r>
      <w:r w:rsidRPr="008A3740">
        <w:rPr>
          <w:rFonts w:ascii="Verdana" w:eastAsia="Times" w:hAnsi="Verdana"/>
          <w:sz w:val="20"/>
          <w:szCs w:val="20"/>
          <w:lang w:val="en-US"/>
        </w:rPr>
        <w:t xml:space="preserve">ourt of Lima requested information from </w:t>
      </w:r>
      <w:r w:rsidR="005C4A34" w:rsidRPr="008A3740">
        <w:rPr>
          <w:rFonts w:ascii="Verdana" w:eastAsia="Times" w:hAnsi="Verdana"/>
          <w:sz w:val="20"/>
          <w:szCs w:val="20"/>
          <w:lang w:val="en-US"/>
        </w:rPr>
        <w:t xml:space="preserve">the </w:t>
      </w:r>
      <w:r w:rsidRPr="008A3740">
        <w:rPr>
          <w:rFonts w:ascii="Verdana" w:eastAsia="Times" w:hAnsi="Verdana"/>
          <w:sz w:val="20"/>
          <w:szCs w:val="20"/>
          <w:lang w:val="en-US"/>
        </w:rPr>
        <w:t xml:space="preserve">MEF and other State bodies in order to clarify which assets and liabilities the private company had assumed, in other words, more than 20 years after privatization. </w:t>
      </w:r>
      <w:r w:rsidR="005C4A34" w:rsidRPr="008A3740">
        <w:rPr>
          <w:rFonts w:ascii="Verdana" w:eastAsia="Times" w:hAnsi="Verdana"/>
          <w:sz w:val="20"/>
          <w:szCs w:val="20"/>
          <w:lang w:val="en-US"/>
        </w:rPr>
        <w:t>Accordingly</w:t>
      </w:r>
      <w:r w:rsidRPr="008A3740">
        <w:rPr>
          <w:rFonts w:ascii="Verdana" w:eastAsia="Times" w:hAnsi="Verdana"/>
          <w:sz w:val="20"/>
          <w:szCs w:val="20"/>
          <w:lang w:val="en-US"/>
        </w:rPr>
        <w:t xml:space="preserve">, the Court considers that </w:t>
      </w:r>
      <w:r w:rsidR="005C4A34" w:rsidRPr="008A3740">
        <w:rPr>
          <w:rFonts w:ascii="Verdana" w:eastAsia="Times" w:hAnsi="Verdana"/>
          <w:sz w:val="20"/>
          <w:szCs w:val="20"/>
          <w:lang w:val="en-US"/>
        </w:rPr>
        <w:t xml:space="preserve">the State failed to adopt effective measures to </w:t>
      </w:r>
      <w:r w:rsidRPr="008A3740">
        <w:rPr>
          <w:rFonts w:ascii="Verdana" w:eastAsia="Times" w:hAnsi="Verdana"/>
          <w:sz w:val="20"/>
          <w:szCs w:val="20"/>
          <w:lang w:val="en-US"/>
        </w:rPr>
        <w:t xml:space="preserve">ascertain which </w:t>
      </w:r>
      <w:r w:rsidR="005C4A34" w:rsidRPr="008A3740">
        <w:rPr>
          <w:rFonts w:ascii="Verdana" w:eastAsia="Times" w:hAnsi="Verdana"/>
          <w:sz w:val="20"/>
          <w:szCs w:val="20"/>
          <w:lang w:val="en-US"/>
        </w:rPr>
        <w:t xml:space="preserve">government </w:t>
      </w:r>
      <w:r w:rsidRPr="008A3740">
        <w:rPr>
          <w:rFonts w:ascii="Verdana" w:eastAsia="Times" w:hAnsi="Verdana"/>
          <w:sz w:val="20"/>
          <w:szCs w:val="20"/>
          <w:lang w:val="en-US"/>
        </w:rPr>
        <w:t>authority should c</w:t>
      </w:r>
      <w:r w:rsidR="007530A6" w:rsidRPr="008A3740">
        <w:rPr>
          <w:rFonts w:ascii="Verdana" w:eastAsia="Times" w:hAnsi="Verdana"/>
          <w:sz w:val="20"/>
          <w:szCs w:val="20"/>
          <w:lang w:val="en-US"/>
        </w:rPr>
        <w:t xml:space="preserve">omply </w:t>
      </w:r>
      <w:r w:rsidRPr="008A3740">
        <w:rPr>
          <w:rFonts w:ascii="Verdana" w:eastAsia="Times" w:hAnsi="Verdana"/>
          <w:sz w:val="20"/>
          <w:szCs w:val="20"/>
          <w:lang w:val="en-US"/>
        </w:rPr>
        <w:t xml:space="preserve">with </w:t>
      </w:r>
      <w:r w:rsidR="005C4A34" w:rsidRPr="008A3740">
        <w:rPr>
          <w:rFonts w:ascii="Verdana" w:eastAsia="Times" w:hAnsi="Verdana"/>
          <w:sz w:val="20"/>
          <w:szCs w:val="20"/>
          <w:lang w:val="en-US"/>
        </w:rPr>
        <w:t xml:space="preserve">the </w:t>
      </w:r>
      <w:r w:rsidRPr="008A3740">
        <w:rPr>
          <w:rFonts w:ascii="Verdana" w:eastAsia="Times" w:hAnsi="Verdana"/>
          <w:sz w:val="20"/>
          <w:szCs w:val="20"/>
          <w:lang w:val="en-US"/>
        </w:rPr>
        <w:t xml:space="preserve">judicial </w:t>
      </w:r>
      <w:r w:rsidR="005C4A34" w:rsidRPr="008A3740">
        <w:rPr>
          <w:rFonts w:ascii="Verdana" w:eastAsia="Times" w:hAnsi="Verdana"/>
          <w:sz w:val="20"/>
          <w:szCs w:val="20"/>
          <w:lang w:val="en-US"/>
        </w:rPr>
        <w:t xml:space="preserve">rulings or </w:t>
      </w:r>
      <w:r w:rsidRPr="008A3740">
        <w:rPr>
          <w:rFonts w:ascii="Verdana" w:eastAsia="Times" w:hAnsi="Verdana"/>
          <w:sz w:val="20"/>
          <w:szCs w:val="20"/>
          <w:lang w:val="en-US"/>
        </w:rPr>
        <w:t xml:space="preserve">if, on the contrary, that responsibility </w:t>
      </w:r>
      <w:r w:rsidR="007530A6" w:rsidRPr="008A3740">
        <w:rPr>
          <w:rFonts w:ascii="Verdana" w:eastAsia="Times" w:hAnsi="Verdana"/>
          <w:sz w:val="20"/>
          <w:szCs w:val="20"/>
          <w:lang w:val="en-US"/>
        </w:rPr>
        <w:t>f</w:t>
      </w:r>
      <w:r w:rsidR="005C4A34" w:rsidRPr="008A3740">
        <w:rPr>
          <w:rFonts w:ascii="Verdana" w:eastAsia="Times" w:hAnsi="Verdana"/>
          <w:sz w:val="20"/>
          <w:szCs w:val="20"/>
          <w:lang w:val="en-US"/>
        </w:rPr>
        <w:t>ell on</w:t>
      </w:r>
      <w:r w:rsidR="007530A6" w:rsidRPr="008A3740">
        <w:rPr>
          <w:rFonts w:ascii="Verdana" w:eastAsia="Times" w:hAnsi="Verdana"/>
          <w:sz w:val="20"/>
          <w:szCs w:val="20"/>
          <w:lang w:val="en-US"/>
        </w:rPr>
        <w:t xml:space="preserve"> </w:t>
      </w:r>
      <w:r w:rsidRPr="008A3740">
        <w:rPr>
          <w:rFonts w:ascii="Verdana" w:eastAsia="Times" w:hAnsi="Verdana"/>
          <w:sz w:val="20"/>
          <w:szCs w:val="20"/>
          <w:lang w:val="en-US"/>
        </w:rPr>
        <w:t xml:space="preserve">the private company, in order to reverse the negative effects of the privatization caused by the State itself. </w:t>
      </w:r>
    </w:p>
    <w:p w14:paraId="1A8947A0"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1F8D94ED"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z w:val="20"/>
          <w:szCs w:val="20"/>
          <w:lang w:val="en-US"/>
        </w:rPr>
        <w:t>In this re</w:t>
      </w:r>
      <w:r w:rsidR="005C4A34" w:rsidRPr="008A3740">
        <w:rPr>
          <w:rFonts w:ascii="Verdana" w:hAnsi="Verdana"/>
          <w:sz w:val="20"/>
          <w:szCs w:val="20"/>
          <w:lang w:val="en-US"/>
        </w:rPr>
        <w:t>gard</w:t>
      </w:r>
      <w:r w:rsidRPr="008A3740">
        <w:rPr>
          <w:rFonts w:ascii="Verdana" w:hAnsi="Verdana"/>
          <w:sz w:val="20"/>
          <w:szCs w:val="20"/>
          <w:lang w:val="en-US"/>
        </w:rPr>
        <w:t>, the Court notes that the State not only failed to comply with t</w:t>
      </w:r>
      <w:r w:rsidR="00A64F6C" w:rsidRPr="008A3740">
        <w:rPr>
          <w:rFonts w:ascii="Verdana" w:hAnsi="Verdana"/>
          <w:sz w:val="20"/>
          <w:szCs w:val="20"/>
          <w:lang w:val="en-US"/>
        </w:rPr>
        <w:t>he domestic rulings, but also</w:t>
      </w:r>
      <w:r w:rsidRPr="008A3740">
        <w:rPr>
          <w:rFonts w:ascii="Verdana" w:hAnsi="Verdana"/>
          <w:sz w:val="20"/>
          <w:szCs w:val="20"/>
          <w:lang w:val="en-US"/>
        </w:rPr>
        <w:t xml:space="preserve"> </w:t>
      </w:r>
      <w:r w:rsidR="00A64F6C" w:rsidRPr="008A3740">
        <w:rPr>
          <w:rFonts w:ascii="Verdana" w:hAnsi="Verdana"/>
          <w:sz w:val="20"/>
          <w:szCs w:val="20"/>
          <w:lang w:val="en-US"/>
        </w:rPr>
        <w:t xml:space="preserve">that </w:t>
      </w:r>
      <w:r w:rsidRPr="008A3740">
        <w:rPr>
          <w:rFonts w:ascii="Verdana" w:hAnsi="Verdana"/>
          <w:sz w:val="20"/>
          <w:szCs w:val="20"/>
          <w:lang w:val="en-US"/>
        </w:rPr>
        <w:t xml:space="preserve">the judicial authorities </w:t>
      </w:r>
      <w:r w:rsidR="007530A6" w:rsidRPr="008A3740">
        <w:rPr>
          <w:rFonts w:ascii="Verdana" w:hAnsi="Verdana"/>
          <w:sz w:val="20"/>
          <w:szCs w:val="20"/>
          <w:lang w:val="en-US"/>
        </w:rPr>
        <w:t xml:space="preserve">did not ensure </w:t>
      </w:r>
      <w:r w:rsidRPr="008A3740">
        <w:rPr>
          <w:rFonts w:ascii="Verdana" w:hAnsi="Verdana"/>
          <w:sz w:val="20"/>
          <w:szCs w:val="20"/>
          <w:lang w:val="en-US"/>
        </w:rPr>
        <w:t xml:space="preserve">compliance with </w:t>
      </w:r>
      <w:r w:rsidR="000C4188" w:rsidRPr="008A3740">
        <w:rPr>
          <w:rFonts w:ascii="Verdana" w:hAnsi="Verdana"/>
          <w:sz w:val="20"/>
          <w:szCs w:val="20"/>
          <w:lang w:val="en-US"/>
        </w:rPr>
        <w:t xml:space="preserve">either of the two </w:t>
      </w:r>
      <w:r w:rsidR="000C4188" w:rsidRPr="008A3740">
        <w:rPr>
          <w:rFonts w:ascii="Verdana" w:hAnsi="Verdana"/>
          <w:i/>
          <w:sz w:val="20"/>
          <w:szCs w:val="20"/>
          <w:lang w:val="en-US"/>
        </w:rPr>
        <w:t>amparo</w:t>
      </w:r>
      <w:r w:rsidR="000C4188" w:rsidRPr="008A3740">
        <w:rPr>
          <w:rFonts w:ascii="Verdana" w:hAnsi="Verdana"/>
          <w:sz w:val="20"/>
          <w:szCs w:val="20"/>
          <w:lang w:val="en-US"/>
        </w:rPr>
        <w:t xml:space="preserve"> judgments</w:t>
      </w:r>
      <w:r w:rsidR="00A64F6C" w:rsidRPr="008A3740">
        <w:rPr>
          <w:rFonts w:ascii="Verdana" w:hAnsi="Verdana"/>
          <w:sz w:val="20"/>
          <w:szCs w:val="20"/>
          <w:lang w:val="en-US"/>
        </w:rPr>
        <w:t xml:space="preserve"> during the execution process.</w:t>
      </w:r>
      <w:r w:rsidRPr="008A3740">
        <w:rPr>
          <w:rFonts w:ascii="Verdana" w:hAnsi="Verdana"/>
          <w:sz w:val="20"/>
          <w:szCs w:val="20"/>
          <w:lang w:val="en-US"/>
        </w:rPr>
        <w:t xml:space="preserve"> </w:t>
      </w:r>
      <w:r w:rsidR="00A64F6C" w:rsidRPr="008A3740">
        <w:rPr>
          <w:rFonts w:ascii="Verdana" w:hAnsi="Verdana"/>
          <w:sz w:val="20"/>
          <w:szCs w:val="20"/>
          <w:lang w:val="en-US"/>
        </w:rPr>
        <w:t>Moreover, t</w:t>
      </w:r>
      <w:r w:rsidRPr="008A3740">
        <w:rPr>
          <w:rFonts w:ascii="Verdana" w:hAnsi="Verdana"/>
          <w:sz w:val="20"/>
          <w:szCs w:val="20"/>
          <w:lang w:val="en-US"/>
        </w:rPr>
        <w:t>he State did not adopt the safeguards necessary to clearly establish which entity would be responsible for pa</w:t>
      </w:r>
      <w:r w:rsidR="007530A6" w:rsidRPr="008A3740">
        <w:rPr>
          <w:rFonts w:ascii="Verdana" w:hAnsi="Verdana"/>
          <w:sz w:val="20"/>
          <w:szCs w:val="20"/>
          <w:lang w:val="en-US"/>
        </w:rPr>
        <w:t>ying Mr. Muelle Flores’ pension</w:t>
      </w:r>
      <w:r w:rsidRPr="008A3740">
        <w:rPr>
          <w:rFonts w:ascii="Verdana" w:hAnsi="Verdana"/>
          <w:sz w:val="20"/>
          <w:szCs w:val="20"/>
          <w:lang w:val="en-US"/>
        </w:rPr>
        <w:t xml:space="preserve">, a problem that </w:t>
      </w:r>
      <w:r w:rsidR="007530A6" w:rsidRPr="008A3740">
        <w:rPr>
          <w:rFonts w:ascii="Verdana" w:hAnsi="Verdana"/>
          <w:sz w:val="20"/>
          <w:szCs w:val="20"/>
          <w:lang w:val="en-US"/>
        </w:rPr>
        <w:t xml:space="preserve">was not resolved by </w:t>
      </w:r>
      <w:r w:rsidRPr="008A3740">
        <w:rPr>
          <w:rFonts w:ascii="Verdana" w:hAnsi="Verdana"/>
          <w:sz w:val="20"/>
          <w:szCs w:val="20"/>
          <w:lang w:val="en-US"/>
        </w:rPr>
        <w:t xml:space="preserve">the judicial authorities, </w:t>
      </w:r>
      <w:r w:rsidR="00D01AB7" w:rsidRPr="008A3740">
        <w:rPr>
          <w:rFonts w:ascii="Verdana" w:hAnsi="Verdana"/>
          <w:sz w:val="20"/>
          <w:szCs w:val="20"/>
          <w:lang w:val="en-US"/>
        </w:rPr>
        <w:t xml:space="preserve">either </w:t>
      </w:r>
      <w:r w:rsidR="00A64F6C" w:rsidRPr="008A3740">
        <w:rPr>
          <w:rFonts w:ascii="Verdana" w:eastAsia="Times" w:hAnsi="Verdana"/>
          <w:sz w:val="20"/>
          <w:szCs w:val="20"/>
          <w:lang w:val="en-US"/>
        </w:rPr>
        <w:t>before or after privatization, and it also failed to adopt</w:t>
      </w:r>
      <w:r w:rsidRPr="008A3740">
        <w:rPr>
          <w:rFonts w:ascii="Verdana" w:eastAsia="Times" w:hAnsi="Verdana"/>
          <w:sz w:val="20"/>
          <w:szCs w:val="20"/>
          <w:lang w:val="en-US"/>
        </w:rPr>
        <w:t xml:space="preserve"> coercive mechanisms </w:t>
      </w:r>
      <w:r w:rsidR="007530A6" w:rsidRPr="008A3740">
        <w:rPr>
          <w:rFonts w:ascii="Verdana" w:eastAsia="Times" w:hAnsi="Verdana"/>
          <w:sz w:val="20"/>
          <w:szCs w:val="20"/>
          <w:lang w:val="en-US"/>
        </w:rPr>
        <w:t xml:space="preserve">to ensure </w:t>
      </w:r>
      <w:r w:rsidR="00A64F6C" w:rsidRPr="008A3740">
        <w:rPr>
          <w:rFonts w:ascii="Verdana" w:eastAsia="Times" w:hAnsi="Verdana"/>
          <w:sz w:val="20"/>
          <w:szCs w:val="20"/>
          <w:lang w:val="en-US"/>
        </w:rPr>
        <w:t xml:space="preserve">compliance with </w:t>
      </w:r>
      <w:r w:rsidRPr="008A3740">
        <w:rPr>
          <w:rFonts w:ascii="Verdana" w:eastAsia="Times" w:hAnsi="Verdana"/>
          <w:sz w:val="20"/>
          <w:szCs w:val="20"/>
          <w:lang w:val="en-US"/>
        </w:rPr>
        <w:t>the rulings. The failure to e</w:t>
      </w:r>
      <w:r w:rsidR="00A64F6C" w:rsidRPr="008A3740">
        <w:rPr>
          <w:rFonts w:ascii="Verdana" w:eastAsia="Times" w:hAnsi="Verdana"/>
          <w:sz w:val="20"/>
          <w:szCs w:val="20"/>
          <w:lang w:val="en-US"/>
        </w:rPr>
        <w:t xml:space="preserve">xecute </w:t>
      </w:r>
      <w:r w:rsidRPr="008A3740">
        <w:rPr>
          <w:rFonts w:ascii="Verdana" w:eastAsia="Times" w:hAnsi="Verdana"/>
          <w:sz w:val="20"/>
          <w:szCs w:val="20"/>
          <w:lang w:val="en-US"/>
        </w:rPr>
        <w:t>the judgm</w:t>
      </w:r>
      <w:r w:rsidR="007530A6" w:rsidRPr="008A3740">
        <w:rPr>
          <w:rFonts w:ascii="Verdana" w:eastAsia="Times" w:hAnsi="Verdana"/>
          <w:sz w:val="20"/>
          <w:szCs w:val="20"/>
          <w:lang w:val="en-US"/>
        </w:rPr>
        <w:t>ents</w:t>
      </w:r>
      <w:r w:rsidR="00A64F6C" w:rsidRPr="008A3740">
        <w:rPr>
          <w:rFonts w:ascii="Verdana" w:eastAsia="Times" w:hAnsi="Verdana"/>
          <w:sz w:val="20"/>
          <w:szCs w:val="20"/>
          <w:lang w:val="en-US"/>
        </w:rPr>
        <w:t>, which continues to this day</w:t>
      </w:r>
      <w:r w:rsidR="007530A6" w:rsidRPr="008A3740">
        <w:rPr>
          <w:rFonts w:ascii="Verdana" w:eastAsia="Times" w:hAnsi="Verdana"/>
          <w:sz w:val="20"/>
          <w:szCs w:val="20"/>
          <w:lang w:val="en-US"/>
        </w:rPr>
        <w:t xml:space="preserve">, and </w:t>
      </w:r>
      <w:r w:rsidR="00837416" w:rsidRPr="008A3740">
        <w:rPr>
          <w:rFonts w:ascii="Verdana" w:hAnsi="Verdana"/>
          <w:sz w:val="20"/>
          <w:szCs w:val="20"/>
          <w:lang w:val="en-US"/>
        </w:rPr>
        <w:t>the Judiciary</w:t>
      </w:r>
      <w:r w:rsidR="007530A6" w:rsidRPr="008A3740">
        <w:rPr>
          <w:rFonts w:ascii="Verdana" w:hAnsi="Verdana"/>
          <w:sz w:val="20"/>
          <w:szCs w:val="20"/>
          <w:lang w:val="en-US"/>
        </w:rPr>
        <w:t>’s inefficacy</w:t>
      </w:r>
      <w:r w:rsidR="00837416" w:rsidRPr="008A3740">
        <w:rPr>
          <w:rFonts w:ascii="Verdana" w:hAnsi="Verdana"/>
          <w:sz w:val="20"/>
          <w:szCs w:val="20"/>
          <w:lang w:val="en-US"/>
        </w:rPr>
        <w:t xml:space="preserve"> in </w:t>
      </w:r>
      <w:r w:rsidR="00A64F6C" w:rsidRPr="008A3740">
        <w:rPr>
          <w:rFonts w:ascii="Verdana" w:hAnsi="Verdana"/>
          <w:sz w:val="20"/>
          <w:szCs w:val="20"/>
          <w:lang w:val="en-US"/>
        </w:rPr>
        <w:t xml:space="preserve">addressing </w:t>
      </w:r>
      <w:r w:rsidRPr="008A3740">
        <w:rPr>
          <w:rFonts w:ascii="Verdana" w:hAnsi="Verdana"/>
          <w:sz w:val="20"/>
          <w:szCs w:val="20"/>
          <w:lang w:val="en-US"/>
        </w:rPr>
        <w:t xml:space="preserve">the obstacles </w:t>
      </w:r>
      <w:r w:rsidR="00A64F6C" w:rsidRPr="008A3740">
        <w:rPr>
          <w:rFonts w:ascii="Verdana" w:hAnsi="Verdana"/>
          <w:sz w:val="20"/>
          <w:szCs w:val="20"/>
          <w:lang w:val="en-US"/>
        </w:rPr>
        <w:lastRenderedPageBreak/>
        <w:t xml:space="preserve">that arose in the compliance </w:t>
      </w:r>
      <w:r w:rsidR="00D01AB7" w:rsidRPr="008A3740">
        <w:rPr>
          <w:rFonts w:ascii="Verdana" w:hAnsi="Verdana"/>
          <w:sz w:val="20"/>
          <w:szCs w:val="20"/>
          <w:lang w:val="en-US"/>
        </w:rPr>
        <w:t xml:space="preserve">process </w:t>
      </w:r>
      <w:r w:rsidR="00A64F6C" w:rsidRPr="008A3740">
        <w:rPr>
          <w:rFonts w:ascii="Verdana" w:hAnsi="Verdana"/>
          <w:sz w:val="20"/>
          <w:szCs w:val="20"/>
          <w:lang w:val="en-US"/>
        </w:rPr>
        <w:t xml:space="preserve">stemming </w:t>
      </w:r>
      <w:r w:rsidRPr="008A3740">
        <w:rPr>
          <w:rFonts w:ascii="Verdana" w:hAnsi="Verdana"/>
          <w:sz w:val="20"/>
          <w:szCs w:val="20"/>
          <w:lang w:val="en-US"/>
        </w:rPr>
        <w:t xml:space="preserve">from the privatization, violated </w:t>
      </w:r>
      <w:r w:rsidR="00A64F6C" w:rsidRPr="008A3740">
        <w:rPr>
          <w:rFonts w:ascii="Verdana" w:hAnsi="Verdana"/>
          <w:sz w:val="20"/>
          <w:szCs w:val="20"/>
          <w:lang w:val="en-US"/>
        </w:rPr>
        <w:t xml:space="preserve">Mr. Muelle Flores’ </w:t>
      </w:r>
      <w:r w:rsidRPr="008A3740">
        <w:rPr>
          <w:rFonts w:ascii="Verdana" w:hAnsi="Verdana"/>
          <w:sz w:val="20"/>
          <w:szCs w:val="20"/>
          <w:lang w:val="en-US"/>
        </w:rPr>
        <w:t>right to effective judicial protection and prevented</w:t>
      </w:r>
      <w:r w:rsidR="00A64F6C" w:rsidRPr="008A3740">
        <w:rPr>
          <w:rFonts w:ascii="Verdana" w:hAnsi="Verdana"/>
          <w:sz w:val="20"/>
          <w:szCs w:val="20"/>
          <w:lang w:val="en-US"/>
        </w:rPr>
        <w:t xml:space="preserve"> the realization of his right to a</w:t>
      </w:r>
      <w:r w:rsidRPr="008A3740">
        <w:rPr>
          <w:rFonts w:ascii="Verdana" w:hAnsi="Verdana"/>
          <w:sz w:val="20"/>
          <w:szCs w:val="20"/>
          <w:lang w:val="en-US"/>
        </w:rPr>
        <w:t xml:space="preserve"> pension.</w:t>
      </w:r>
    </w:p>
    <w:p w14:paraId="15970CBC"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5ED04A75" w14:textId="77777777" w:rsidR="008E6A56" w:rsidRPr="008A3740" w:rsidRDefault="00A60F8D"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eastAsia="Times" w:hAnsi="Verdana"/>
          <w:sz w:val="20"/>
          <w:szCs w:val="20"/>
          <w:lang w:val="en-US"/>
        </w:rPr>
        <w:t>I</w:t>
      </w:r>
      <w:r w:rsidR="008E6A56" w:rsidRPr="008A3740">
        <w:rPr>
          <w:rFonts w:ascii="Verdana" w:eastAsia="Times" w:hAnsi="Verdana"/>
          <w:sz w:val="20"/>
          <w:szCs w:val="20"/>
          <w:lang w:val="en-US"/>
        </w:rPr>
        <w:t>n relation to the partial payments disbursed to Mr. Muelle Flores, the Court observes that these were made by the private company (</w:t>
      </w:r>
      <w:r w:rsidR="008E6A56" w:rsidRPr="008A3740">
        <w:rPr>
          <w:rFonts w:ascii="Verdana" w:eastAsia="Times" w:hAnsi="Verdana"/>
          <w:i/>
          <w:sz w:val="20"/>
          <w:szCs w:val="20"/>
          <w:lang w:val="en-US"/>
        </w:rPr>
        <w:t>supra</w:t>
      </w:r>
      <w:r w:rsidR="008E6A56" w:rsidRPr="008A3740">
        <w:rPr>
          <w:rFonts w:ascii="Verdana" w:eastAsia="Times" w:hAnsi="Verdana"/>
          <w:sz w:val="20"/>
          <w:szCs w:val="20"/>
          <w:lang w:val="en-US"/>
        </w:rPr>
        <w:t xml:space="preserve"> para. 80) and not by the State</w:t>
      </w:r>
      <w:r w:rsidR="008C42BA" w:rsidRPr="008A3740">
        <w:rPr>
          <w:rFonts w:ascii="Verdana" w:eastAsia="Times" w:hAnsi="Verdana"/>
          <w:sz w:val="20"/>
          <w:szCs w:val="20"/>
          <w:lang w:val="en-US"/>
        </w:rPr>
        <w:t xml:space="preserve"> of Peru</w:t>
      </w:r>
      <w:r w:rsidR="008E6A56" w:rsidRPr="008A3740">
        <w:rPr>
          <w:rFonts w:ascii="Verdana" w:eastAsia="Times" w:hAnsi="Verdana"/>
          <w:sz w:val="20"/>
          <w:szCs w:val="20"/>
          <w:lang w:val="en-US"/>
        </w:rPr>
        <w:t xml:space="preserve">. Furthermore, the Court notes that the payments were made without </w:t>
      </w:r>
      <w:r w:rsidR="0062154B" w:rsidRPr="008A3740">
        <w:rPr>
          <w:rFonts w:ascii="Verdana" w:eastAsia="Times" w:hAnsi="Verdana"/>
          <w:sz w:val="20"/>
          <w:szCs w:val="20"/>
          <w:lang w:val="en-US"/>
        </w:rPr>
        <w:t xml:space="preserve">taking into account </w:t>
      </w:r>
      <w:r w:rsidR="008E6A56" w:rsidRPr="008A3740">
        <w:rPr>
          <w:rFonts w:ascii="Verdana" w:eastAsia="Times" w:hAnsi="Verdana"/>
          <w:sz w:val="20"/>
          <w:szCs w:val="20"/>
          <w:lang w:val="en-US"/>
        </w:rPr>
        <w:t xml:space="preserve">the </w:t>
      </w:r>
      <w:r w:rsidR="008C42BA" w:rsidRPr="008A3740">
        <w:rPr>
          <w:rFonts w:ascii="Verdana" w:eastAsia="Times" w:hAnsi="Verdana"/>
          <w:sz w:val="20"/>
          <w:szCs w:val="20"/>
          <w:lang w:val="en-US"/>
        </w:rPr>
        <w:t xml:space="preserve">equalization </w:t>
      </w:r>
      <w:r w:rsidR="008E6A56" w:rsidRPr="008A3740">
        <w:rPr>
          <w:rFonts w:ascii="Verdana" w:eastAsia="Times" w:hAnsi="Verdana"/>
          <w:sz w:val="20"/>
          <w:szCs w:val="20"/>
          <w:lang w:val="en-US"/>
        </w:rPr>
        <w:t xml:space="preserve">of Mr. Muelle Flores’ pension, in accordance with the regulations in force at the time. </w:t>
      </w:r>
      <w:r w:rsidR="000C4188" w:rsidRPr="008A3740">
        <w:rPr>
          <w:rFonts w:ascii="Verdana" w:eastAsia="Times" w:hAnsi="Verdana"/>
          <w:sz w:val="20"/>
          <w:szCs w:val="20"/>
          <w:lang w:val="en-US"/>
        </w:rPr>
        <w:t>Nevertheless</w:t>
      </w:r>
      <w:r w:rsidR="008E6A56" w:rsidRPr="008A3740">
        <w:rPr>
          <w:rFonts w:ascii="Verdana" w:eastAsia="Times" w:hAnsi="Verdana"/>
          <w:sz w:val="20"/>
          <w:szCs w:val="20"/>
          <w:lang w:val="en-US"/>
        </w:rPr>
        <w:t xml:space="preserve">, the Court will take into </w:t>
      </w:r>
      <w:r w:rsidR="0062154B" w:rsidRPr="008A3740">
        <w:rPr>
          <w:rFonts w:ascii="Verdana" w:eastAsia="Times" w:hAnsi="Verdana"/>
          <w:sz w:val="20"/>
          <w:szCs w:val="20"/>
          <w:lang w:val="en-US"/>
        </w:rPr>
        <w:t xml:space="preserve">consideration </w:t>
      </w:r>
      <w:r w:rsidR="008E6A56" w:rsidRPr="008A3740">
        <w:rPr>
          <w:rFonts w:ascii="Verdana" w:eastAsia="Times" w:hAnsi="Verdana"/>
          <w:sz w:val="20"/>
          <w:szCs w:val="20"/>
          <w:lang w:val="en-US"/>
        </w:rPr>
        <w:t xml:space="preserve">the amounts paid </w:t>
      </w:r>
      <w:r w:rsidR="00837416" w:rsidRPr="008A3740">
        <w:rPr>
          <w:rFonts w:ascii="Verdana" w:eastAsia="Times" w:hAnsi="Verdana"/>
          <w:sz w:val="20"/>
          <w:szCs w:val="20"/>
          <w:lang w:val="en-US"/>
        </w:rPr>
        <w:t xml:space="preserve">when it orders </w:t>
      </w:r>
      <w:r w:rsidR="008E6A56" w:rsidRPr="008A3740">
        <w:rPr>
          <w:rFonts w:ascii="Verdana" w:eastAsia="Times" w:hAnsi="Verdana"/>
          <w:sz w:val="20"/>
          <w:szCs w:val="20"/>
          <w:lang w:val="en-US"/>
        </w:rPr>
        <w:t>the measures of reparation in this case (</w:t>
      </w:r>
      <w:r w:rsidR="008E6A56" w:rsidRPr="008A3740">
        <w:rPr>
          <w:rFonts w:ascii="Verdana" w:eastAsia="Times" w:hAnsi="Verdana"/>
          <w:i/>
          <w:sz w:val="20"/>
          <w:szCs w:val="20"/>
          <w:lang w:val="en-US"/>
        </w:rPr>
        <w:t>infra</w:t>
      </w:r>
      <w:r w:rsidR="008E6A56" w:rsidRPr="008A3740">
        <w:rPr>
          <w:rFonts w:ascii="Verdana" w:eastAsia="Times" w:hAnsi="Verdana"/>
          <w:sz w:val="20"/>
          <w:szCs w:val="20"/>
          <w:lang w:val="en-US"/>
        </w:rPr>
        <w:t xml:space="preserve"> para. 254).</w:t>
      </w:r>
    </w:p>
    <w:p w14:paraId="77C55340"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6817BBE7" w14:textId="77777777" w:rsidR="008E6A56" w:rsidRPr="008A3740" w:rsidRDefault="00D01AB7"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In addition to the foregoing</w:t>
      </w:r>
      <w:r w:rsidR="008E6A56" w:rsidRPr="008A3740">
        <w:rPr>
          <w:rFonts w:ascii="Verdana" w:hAnsi="Verdana"/>
          <w:snapToGrid w:val="0"/>
          <w:sz w:val="20"/>
          <w:szCs w:val="20"/>
          <w:lang w:val="en-US"/>
        </w:rPr>
        <w:t>, the Court considers it important to emphasize the point made by the expert witness Christian Courtis</w:t>
      </w:r>
      <w:r w:rsidR="00884841" w:rsidRPr="008A3740">
        <w:rPr>
          <w:rFonts w:ascii="Verdana" w:hAnsi="Verdana"/>
          <w:snapToGrid w:val="0"/>
          <w:sz w:val="20"/>
          <w:szCs w:val="20"/>
          <w:lang w:val="en-US"/>
        </w:rPr>
        <w:t>, as follows</w:t>
      </w:r>
      <w:r w:rsidR="008E6A56" w:rsidRPr="008A3740">
        <w:rPr>
          <w:rFonts w:ascii="Verdana" w:hAnsi="Verdana"/>
          <w:snapToGrid w:val="0"/>
          <w:sz w:val="20"/>
          <w:szCs w:val="20"/>
          <w:lang w:val="en-US"/>
        </w:rPr>
        <w:t>:</w:t>
      </w:r>
    </w:p>
    <w:p w14:paraId="71907E48" w14:textId="77777777" w:rsidR="008E6A56" w:rsidRPr="008A3740" w:rsidRDefault="008E6A56" w:rsidP="008E6A56">
      <w:pPr>
        <w:pStyle w:val="Prrafodelista"/>
        <w:rPr>
          <w:rFonts w:ascii="Verdana" w:hAnsi="Verdana"/>
          <w:snapToGrid w:val="0"/>
          <w:sz w:val="20"/>
          <w:szCs w:val="20"/>
          <w:lang w:val="en-US"/>
        </w:rPr>
      </w:pPr>
    </w:p>
    <w:p w14:paraId="4F49898A" w14:textId="77777777" w:rsidR="008E6A56" w:rsidRPr="008A3740" w:rsidRDefault="008E6A56" w:rsidP="008E6A56">
      <w:pPr>
        <w:autoSpaceDE w:val="0"/>
        <w:autoSpaceDN w:val="0"/>
        <w:ind w:left="720" w:right="720"/>
        <w:rPr>
          <w:rFonts w:ascii="Verdana" w:hAnsi="Verdana"/>
          <w:b/>
          <w:strike/>
          <w:sz w:val="18"/>
          <w:szCs w:val="18"/>
          <w:lang w:val="en-US"/>
        </w:rPr>
      </w:pPr>
      <w:r w:rsidRPr="008A3740">
        <w:rPr>
          <w:rFonts w:ascii="Verdana" w:hAnsi="Verdana"/>
          <w:snapToGrid w:val="0"/>
          <w:sz w:val="18"/>
          <w:szCs w:val="18"/>
          <w:lang w:val="en-US"/>
        </w:rPr>
        <w:t>“</w:t>
      </w:r>
      <w:r w:rsidR="005A4738" w:rsidRPr="008A3740">
        <w:rPr>
          <w:rFonts w:ascii="Verdana" w:hAnsi="Verdana"/>
          <w:sz w:val="18"/>
          <w:szCs w:val="18"/>
          <w:lang w:val="en-US"/>
        </w:rPr>
        <w:t>E</w:t>
      </w:r>
      <w:r w:rsidRPr="008A3740">
        <w:rPr>
          <w:rFonts w:ascii="Verdana" w:hAnsi="Verdana"/>
          <w:sz w:val="18"/>
          <w:szCs w:val="18"/>
          <w:lang w:val="en-US"/>
        </w:rPr>
        <w:t>ffectiv</w:t>
      </w:r>
      <w:r w:rsidR="00837416" w:rsidRPr="008A3740">
        <w:rPr>
          <w:rFonts w:ascii="Verdana" w:hAnsi="Verdana"/>
          <w:sz w:val="18"/>
          <w:szCs w:val="18"/>
          <w:lang w:val="en-US"/>
        </w:rPr>
        <w:t xml:space="preserve">e compliance with </w:t>
      </w:r>
      <w:r w:rsidRPr="008A3740">
        <w:rPr>
          <w:rFonts w:ascii="Verdana" w:hAnsi="Verdana"/>
          <w:sz w:val="18"/>
          <w:szCs w:val="18"/>
          <w:lang w:val="en-US"/>
        </w:rPr>
        <w:t xml:space="preserve">judicial </w:t>
      </w:r>
      <w:r w:rsidR="00837416" w:rsidRPr="008A3740">
        <w:rPr>
          <w:rFonts w:ascii="Verdana" w:hAnsi="Verdana"/>
          <w:sz w:val="18"/>
          <w:szCs w:val="18"/>
          <w:lang w:val="en-US"/>
        </w:rPr>
        <w:t>rulings acquires even greater importance when the type</w:t>
      </w:r>
      <w:r w:rsidRPr="008A3740">
        <w:rPr>
          <w:rFonts w:ascii="Verdana" w:hAnsi="Verdana"/>
          <w:sz w:val="18"/>
          <w:szCs w:val="18"/>
          <w:lang w:val="en-US"/>
        </w:rPr>
        <w:t xml:space="preserve"> of </w:t>
      </w:r>
      <w:r w:rsidR="00837416" w:rsidRPr="008A3740">
        <w:rPr>
          <w:rFonts w:ascii="Verdana" w:hAnsi="Verdana"/>
          <w:sz w:val="18"/>
          <w:szCs w:val="18"/>
          <w:lang w:val="en-US"/>
        </w:rPr>
        <w:t xml:space="preserve">benefit </w:t>
      </w:r>
      <w:r w:rsidR="005A4738" w:rsidRPr="008A3740">
        <w:rPr>
          <w:rFonts w:ascii="Verdana" w:hAnsi="Verdana"/>
          <w:sz w:val="18"/>
          <w:szCs w:val="18"/>
          <w:lang w:val="en-US"/>
        </w:rPr>
        <w:t>is of an alimentary and income-substituting nature</w:t>
      </w:r>
      <w:r w:rsidRPr="008A3740">
        <w:rPr>
          <w:rFonts w:ascii="Verdana" w:hAnsi="Verdana"/>
          <w:sz w:val="18"/>
          <w:szCs w:val="18"/>
          <w:lang w:val="en-US"/>
        </w:rPr>
        <w:t xml:space="preserve">, since the right to a </w:t>
      </w:r>
      <w:r w:rsidR="00837416" w:rsidRPr="008A3740">
        <w:rPr>
          <w:rFonts w:ascii="Verdana" w:hAnsi="Verdana"/>
          <w:sz w:val="18"/>
          <w:szCs w:val="18"/>
          <w:lang w:val="en-US"/>
        </w:rPr>
        <w:t xml:space="preserve">life with dignity </w:t>
      </w:r>
      <w:r w:rsidRPr="008A3740">
        <w:rPr>
          <w:rFonts w:ascii="Verdana" w:hAnsi="Verdana"/>
          <w:sz w:val="18"/>
          <w:szCs w:val="18"/>
          <w:lang w:val="en-US"/>
        </w:rPr>
        <w:t xml:space="preserve">or a decent standard of living </w:t>
      </w:r>
      <w:r w:rsidR="005A4738" w:rsidRPr="008A3740">
        <w:rPr>
          <w:rFonts w:ascii="Verdana" w:hAnsi="Verdana"/>
          <w:sz w:val="18"/>
          <w:szCs w:val="18"/>
          <w:lang w:val="en-US"/>
        </w:rPr>
        <w:t xml:space="preserve">depends on it, </w:t>
      </w:r>
      <w:r w:rsidR="0062154B" w:rsidRPr="008A3740">
        <w:rPr>
          <w:rFonts w:ascii="Verdana" w:hAnsi="Verdana"/>
          <w:sz w:val="18"/>
          <w:szCs w:val="18"/>
          <w:lang w:val="en-US"/>
        </w:rPr>
        <w:t xml:space="preserve">along with </w:t>
      </w:r>
      <w:r w:rsidRPr="008A3740">
        <w:rPr>
          <w:rFonts w:ascii="Verdana" w:hAnsi="Verdana"/>
          <w:sz w:val="18"/>
          <w:szCs w:val="18"/>
          <w:lang w:val="en-US"/>
        </w:rPr>
        <w:t xml:space="preserve">the </w:t>
      </w:r>
      <w:r w:rsidR="00837416" w:rsidRPr="008A3740">
        <w:rPr>
          <w:rFonts w:ascii="Verdana" w:hAnsi="Verdana"/>
          <w:sz w:val="18"/>
          <w:szCs w:val="18"/>
          <w:lang w:val="en-US"/>
        </w:rPr>
        <w:t>rights that are interdependent</w:t>
      </w:r>
      <w:r w:rsidRPr="008A3740">
        <w:rPr>
          <w:rFonts w:ascii="Verdana" w:hAnsi="Verdana"/>
          <w:sz w:val="18"/>
          <w:szCs w:val="18"/>
          <w:lang w:val="en-US"/>
        </w:rPr>
        <w:t xml:space="preserve"> […]. </w:t>
      </w:r>
      <w:r w:rsidR="005A4738" w:rsidRPr="008A3740">
        <w:rPr>
          <w:rFonts w:ascii="Verdana" w:hAnsi="Verdana"/>
          <w:sz w:val="18"/>
          <w:szCs w:val="18"/>
          <w:lang w:val="en-US"/>
        </w:rPr>
        <w:t>In addition to this, there is a special need to protect</w:t>
      </w:r>
      <w:r w:rsidR="00837416" w:rsidRPr="008A3740">
        <w:rPr>
          <w:rFonts w:ascii="Verdana" w:hAnsi="Verdana"/>
          <w:sz w:val="18"/>
          <w:szCs w:val="18"/>
          <w:lang w:val="en-US"/>
        </w:rPr>
        <w:t xml:space="preserve"> </w:t>
      </w:r>
      <w:r w:rsidRPr="008A3740">
        <w:rPr>
          <w:rFonts w:ascii="Verdana" w:hAnsi="Verdana"/>
          <w:sz w:val="18"/>
          <w:szCs w:val="18"/>
          <w:lang w:val="en-US"/>
        </w:rPr>
        <w:t>older persons and persons with disabilities, whose pos</w:t>
      </w:r>
      <w:r w:rsidR="00886E7C" w:rsidRPr="008A3740">
        <w:rPr>
          <w:rFonts w:ascii="Verdana" w:hAnsi="Verdana"/>
          <w:sz w:val="18"/>
          <w:szCs w:val="18"/>
          <w:lang w:val="en-US"/>
        </w:rPr>
        <w:t>sibilities of obtain</w:t>
      </w:r>
      <w:r w:rsidR="005A4738" w:rsidRPr="008A3740">
        <w:rPr>
          <w:rFonts w:ascii="Verdana" w:hAnsi="Verdana"/>
          <w:sz w:val="18"/>
          <w:szCs w:val="18"/>
          <w:lang w:val="en-US"/>
        </w:rPr>
        <w:t>ing</w:t>
      </w:r>
      <w:r w:rsidR="00886E7C" w:rsidRPr="008A3740">
        <w:rPr>
          <w:rFonts w:ascii="Verdana" w:hAnsi="Verdana"/>
          <w:sz w:val="18"/>
          <w:szCs w:val="18"/>
          <w:lang w:val="en-US"/>
        </w:rPr>
        <w:t xml:space="preserve"> an alternative </w:t>
      </w:r>
      <w:r w:rsidR="005A4738" w:rsidRPr="008A3740">
        <w:rPr>
          <w:rFonts w:ascii="Verdana" w:hAnsi="Verdana"/>
          <w:sz w:val="18"/>
          <w:szCs w:val="18"/>
          <w:lang w:val="en-US"/>
        </w:rPr>
        <w:t xml:space="preserve">source of </w:t>
      </w:r>
      <w:r w:rsidR="00886E7C" w:rsidRPr="008A3740">
        <w:rPr>
          <w:rFonts w:ascii="Verdana" w:hAnsi="Verdana"/>
          <w:sz w:val="18"/>
          <w:szCs w:val="18"/>
          <w:lang w:val="en-US"/>
        </w:rPr>
        <w:t>income</w:t>
      </w:r>
      <w:r w:rsidR="00837416" w:rsidRPr="008A3740">
        <w:rPr>
          <w:rFonts w:ascii="Verdana" w:hAnsi="Verdana"/>
          <w:sz w:val="18"/>
          <w:szCs w:val="18"/>
          <w:lang w:val="en-US"/>
        </w:rPr>
        <w:t xml:space="preserve"> in the </w:t>
      </w:r>
      <w:r w:rsidR="00AD3F8A" w:rsidRPr="008A3740">
        <w:rPr>
          <w:rFonts w:ascii="Verdana" w:hAnsi="Verdana"/>
          <w:sz w:val="18"/>
          <w:szCs w:val="18"/>
          <w:lang w:val="en-US"/>
        </w:rPr>
        <w:t xml:space="preserve">labor market </w:t>
      </w:r>
      <w:r w:rsidRPr="008A3740">
        <w:rPr>
          <w:rFonts w:ascii="Verdana" w:hAnsi="Verdana"/>
          <w:sz w:val="18"/>
          <w:szCs w:val="18"/>
          <w:lang w:val="en-US"/>
        </w:rPr>
        <w:t>are drastically reduced.”</w:t>
      </w:r>
      <w:r w:rsidRPr="008A3740">
        <w:rPr>
          <w:rStyle w:val="Refdenotaalpie"/>
          <w:sz w:val="18"/>
          <w:szCs w:val="18"/>
          <w:lang w:val="en-US"/>
        </w:rPr>
        <w:footnoteReference w:id="162"/>
      </w:r>
      <w:r w:rsidRPr="008A3740">
        <w:rPr>
          <w:rFonts w:ascii="Verdana" w:hAnsi="Verdana"/>
          <w:sz w:val="18"/>
          <w:szCs w:val="18"/>
          <w:lang w:val="en-US"/>
        </w:rPr>
        <w:t xml:space="preserve"> </w:t>
      </w:r>
    </w:p>
    <w:p w14:paraId="532E56DD" w14:textId="77777777" w:rsidR="008E6A56" w:rsidRPr="008A3740" w:rsidRDefault="008E6A56" w:rsidP="008E6A56">
      <w:pPr>
        <w:autoSpaceDE w:val="0"/>
        <w:autoSpaceDN w:val="0"/>
        <w:rPr>
          <w:rFonts w:ascii="Verdana" w:hAnsi="Verdana"/>
          <w:sz w:val="20"/>
          <w:szCs w:val="20"/>
          <w:lang w:val="en-US"/>
        </w:rPr>
      </w:pPr>
    </w:p>
    <w:p w14:paraId="33C72D0F" w14:textId="77777777" w:rsidR="008E6A56" w:rsidRPr="008A3740" w:rsidRDefault="009B6571" w:rsidP="00D17A65">
      <w:pPr>
        <w:widowControl/>
        <w:numPr>
          <w:ilvl w:val="0"/>
          <w:numId w:val="3"/>
        </w:numPr>
        <w:tabs>
          <w:tab w:val="left" w:pos="567"/>
          <w:tab w:val="left" w:pos="720"/>
        </w:tabs>
        <w:adjustRightInd/>
        <w:ind w:left="0" w:firstLine="0"/>
        <w:textAlignment w:val="auto"/>
        <w:rPr>
          <w:rFonts w:ascii="Verdana" w:hAnsi="Verdana"/>
          <w:snapToGrid w:val="0"/>
          <w:sz w:val="20"/>
          <w:szCs w:val="20"/>
          <w:lang w:val="en-US"/>
        </w:rPr>
      </w:pPr>
      <w:r w:rsidRPr="008A3740">
        <w:rPr>
          <w:rFonts w:ascii="Verdana" w:hAnsi="Verdana"/>
          <w:sz w:val="20"/>
          <w:szCs w:val="20"/>
          <w:lang w:val="en-US"/>
        </w:rPr>
        <w:t>Accordingly</w:t>
      </w:r>
      <w:r w:rsidR="008E6A56" w:rsidRPr="008A3740">
        <w:rPr>
          <w:rFonts w:ascii="Verdana" w:hAnsi="Verdana"/>
          <w:sz w:val="20"/>
          <w:szCs w:val="20"/>
          <w:lang w:val="en-US"/>
        </w:rPr>
        <w:t xml:space="preserve">, the Court </w:t>
      </w:r>
      <w:r w:rsidRPr="008A3740">
        <w:rPr>
          <w:rFonts w:ascii="Verdana" w:hAnsi="Verdana"/>
          <w:sz w:val="20"/>
          <w:szCs w:val="20"/>
          <w:lang w:val="en-US"/>
        </w:rPr>
        <w:t>considers that</w:t>
      </w:r>
      <w:r w:rsidR="008E6A56" w:rsidRPr="008A3740">
        <w:rPr>
          <w:rFonts w:ascii="Verdana" w:hAnsi="Verdana"/>
          <w:sz w:val="20"/>
          <w:szCs w:val="20"/>
          <w:lang w:val="en-US"/>
        </w:rPr>
        <w:t xml:space="preserve">, in the </w:t>
      </w:r>
      <w:r w:rsidRPr="008A3740">
        <w:rPr>
          <w:rFonts w:ascii="Verdana" w:hAnsi="Verdana"/>
          <w:sz w:val="20"/>
          <w:szCs w:val="20"/>
          <w:lang w:val="en-US"/>
        </w:rPr>
        <w:t xml:space="preserve">instant </w:t>
      </w:r>
      <w:r w:rsidR="008E6A56" w:rsidRPr="008A3740">
        <w:rPr>
          <w:rFonts w:ascii="Verdana" w:hAnsi="Verdana"/>
          <w:sz w:val="20"/>
          <w:szCs w:val="20"/>
          <w:lang w:val="en-US"/>
        </w:rPr>
        <w:t xml:space="preserve">case, the State should have acted with special diligence and </w:t>
      </w:r>
      <w:r w:rsidR="00837416" w:rsidRPr="008A3740">
        <w:rPr>
          <w:rFonts w:ascii="Verdana" w:hAnsi="Verdana"/>
          <w:sz w:val="20"/>
          <w:szCs w:val="20"/>
          <w:lang w:val="en-US"/>
        </w:rPr>
        <w:t xml:space="preserve">promptness </w:t>
      </w:r>
      <w:r w:rsidR="008377FC" w:rsidRPr="008A3740">
        <w:rPr>
          <w:rFonts w:ascii="Verdana" w:hAnsi="Verdana"/>
          <w:sz w:val="20"/>
          <w:szCs w:val="20"/>
          <w:lang w:val="en-US"/>
        </w:rPr>
        <w:t>to ensure</w:t>
      </w:r>
      <w:r w:rsidR="008E6A56" w:rsidRPr="008A3740">
        <w:rPr>
          <w:rFonts w:ascii="Verdana" w:hAnsi="Verdana"/>
          <w:sz w:val="20"/>
          <w:szCs w:val="20"/>
          <w:lang w:val="en-US"/>
        </w:rPr>
        <w:t xml:space="preserve"> compliance with </w:t>
      </w:r>
      <w:r w:rsidR="008377FC" w:rsidRPr="008A3740">
        <w:rPr>
          <w:rFonts w:ascii="Verdana" w:hAnsi="Verdana"/>
          <w:sz w:val="20"/>
          <w:szCs w:val="20"/>
          <w:lang w:val="en-US"/>
        </w:rPr>
        <w:t xml:space="preserve">the </w:t>
      </w:r>
      <w:r w:rsidR="008E6A56" w:rsidRPr="008A3740">
        <w:rPr>
          <w:rFonts w:ascii="Verdana" w:hAnsi="Verdana"/>
          <w:sz w:val="20"/>
          <w:szCs w:val="20"/>
          <w:lang w:val="en-US"/>
        </w:rPr>
        <w:t>domestic judgments, as</w:t>
      </w:r>
      <w:r w:rsidR="00837416" w:rsidRPr="008A3740">
        <w:rPr>
          <w:rFonts w:ascii="Verdana" w:hAnsi="Verdana"/>
          <w:sz w:val="20"/>
          <w:szCs w:val="20"/>
          <w:lang w:val="en-US"/>
        </w:rPr>
        <w:t xml:space="preserve"> well as the implementation of </w:t>
      </w:r>
      <w:r w:rsidR="008E6A56" w:rsidRPr="008A3740">
        <w:rPr>
          <w:rFonts w:ascii="Verdana" w:hAnsi="Verdana"/>
          <w:sz w:val="20"/>
          <w:szCs w:val="20"/>
          <w:lang w:val="en-US"/>
        </w:rPr>
        <w:t xml:space="preserve">the </w:t>
      </w:r>
      <w:r w:rsidR="00837416" w:rsidRPr="008A3740">
        <w:rPr>
          <w:rFonts w:ascii="Verdana" w:hAnsi="Verdana"/>
          <w:sz w:val="20"/>
          <w:szCs w:val="20"/>
          <w:lang w:val="en-US"/>
        </w:rPr>
        <w:t xml:space="preserve">pension </w:t>
      </w:r>
      <w:r w:rsidR="008E6A56" w:rsidRPr="008A3740">
        <w:rPr>
          <w:rFonts w:ascii="Verdana" w:hAnsi="Verdana"/>
          <w:sz w:val="20"/>
          <w:szCs w:val="20"/>
          <w:lang w:val="en-US"/>
        </w:rPr>
        <w:t>payment</w:t>
      </w:r>
      <w:r w:rsidR="00837416" w:rsidRPr="008A3740">
        <w:rPr>
          <w:rFonts w:ascii="Verdana" w:hAnsi="Verdana"/>
          <w:sz w:val="20"/>
          <w:szCs w:val="20"/>
          <w:lang w:val="en-US"/>
        </w:rPr>
        <w:t>s</w:t>
      </w:r>
      <w:r w:rsidR="008E6A56" w:rsidRPr="008A3740">
        <w:rPr>
          <w:rFonts w:ascii="Verdana" w:hAnsi="Verdana"/>
          <w:sz w:val="20"/>
          <w:szCs w:val="20"/>
          <w:lang w:val="en-US"/>
        </w:rPr>
        <w:t xml:space="preserve">. </w:t>
      </w:r>
      <w:r w:rsidR="005273B4" w:rsidRPr="008A3740">
        <w:rPr>
          <w:rFonts w:ascii="Verdana" w:hAnsi="Verdana"/>
          <w:sz w:val="20"/>
          <w:szCs w:val="20"/>
          <w:lang w:val="en-US"/>
        </w:rPr>
        <w:t xml:space="preserve">This, </w:t>
      </w:r>
      <w:r w:rsidR="008377FC" w:rsidRPr="008A3740">
        <w:rPr>
          <w:rFonts w:ascii="Verdana" w:hAnsi="Verdana"/>
          <w:sz w:val="20"/>
          <w:szCs w:val="20"/>
          <w:lang w:val="en-US"/>
        </w:rPr>
        <w:t xml:space="preserve">in consideration of </w:t>
      </w:r>
      <w:r w:rsidR="005273B4" w:rsidRPr="008A3740">
        <w:rPr>
          <w:rFonts w:ascii="Verdana" w:hAnsi="Verdana"/>
          <w:sz w:val="20"/>
          <w:szCs w:val="20"/>
          <w:lang w:val="en-US"/>
        </w:rPr>
        <w:t>the nature of the</w:t>
      </w:r>
      <w:r w:rsidRPr="008A3740">
        <w:rPr>
          <w:rFonts w:ascii="Verdana" w:hAnsi="Verdana"/>
          <w:sz w:val="20"/>
          <w:szCs w:val="20"/>
          <w:lang w:val="en-US"/>
        </w:rPr>
        <w:t xml:space="preserve"> </w:t>
      </w:r>
      <w:r w:rsidR="00837416" w:rsidRPr="008A3740">
        <w:rPr>
          <w:rFonts w:ascii="Verdana" w:hAnsi="Verdana"/>
          <w:sz w:val="20"/>
          <w:szCs w:val="20"/>
          <w:lang w:val="en-US"/>
        </w:rPr>
        <w:t>benefit</w:t>
      </w:r>
      <w:r w:rsidRPr="008A3740">
        <w:rPr>
          <w:rFonts w:ascii="Verdana" w:hAnsi="Verdana"/>
          <w:sz w:val="20"/>
          <w:szCs w:val="20"/>
          <w:lang w:val="en-US"/>
        </w:rPr>
        <w:t xml:space="preserve"> </w:t>
      </w:r>
      <w:r w:rsidR="00837416" w:rsidRPr="008A3740">
        <w:rPr>
          <w:rFonts w:ascii="Verdana" w:hAnsi="Verdana"/>
          <w:sz w:val="20"/>
          <w:szCs w:val="20"/>
          <w:lang w:val="en-US"/>
        </w:rPr>
        <w:t xml:space="preserve">at stake </w:t>
      </w:r>
      <w:r w:rsidRPr="008A3740">
        <w:rPr>
          <w:rFonts w:ascii="Verdana" w:hAnsi="Verdana"/>
          <w:sz w:val="20"/>
          <w:szCs w:val="20"/>
          <w:lang w:val="en-US"/>
        </w:rPr>
        <w:t>and “the</w:t>
      </w:r>
      <w:r w:rsidR="008E6A56" w:rsidRPr="008A3740">
        <w:rPr>
          <w:rFonts w:ascii="Verdana" w:hAnsi="Verdana"/>
          <w:sz w:val="20"/>
          <w:szCs w:val="20"/>
          <w:lang w:val="en-US"/>
        </w:rPr>
        <w:t xml:space="preserve"> need for </w:t>
      </w:r>
      <w:r w:rsidR="00837416" w:rsidRPr="008A3740">
        <w:rPr>
          <w:rFonts w:ascii="Verdana" w:hAnsi="Verdana"/>
          <w:sz w:val="20"/>
          <w:szCs w:val="20"/>
          <w:lang w:val="en-US"/>
        </w:rPr>
        <w:t>promptness</w:t>
      </w:r>
      <w:r w:rsidR="008E6A56" w:rsidRPr="008A3740">
        <w:rPr>
          <w:rFonts w:ascii="Verdana" w:hAnsi="Verdana"/>
          <w:sz w:val="20"/>
          <w:szCs w:val="20"/>
          <w:lang w:val="en-US"/>
        </w:rPr>
        <w:t xml:space="preserve">, procedural </w:t>
      </w:r>
      <w:r w:rsidRPr="008A3740">
        <w:rPr>
          <w:rFonts w:ascii="Verdana" w:hAnsi="Verdana"/>
          <w:sz w:val="20"/>
          <w:szCs w:val="20"/>
          <w:lang w:val="en-US"/>
        </w:rPr>
        <w:t xml:space="preserve">simplification </w:t>
      </w:r>
      <w:r w:rsidR="008E6A56" w:rsidRPr="008A3740">
        <w:rPr>
          <w:rFonts w:ascii="Verdana" w:hAnsi="Verdana"/>
          <w:sz w:val="20"/>
          <w:szCs w:val="20"/>
          <w:lang w:val="en-US"/>
        </w:rPr>
        <w:t>and effectiveness”</w:t>
      </w:r>
      <w:r w:rsidR="008E6A56" w:rsidRPr="008A3740">
        <w:rPr>
          <w:rStyle w:val="Refdenotaalpie"/>
          <w:szCs w:val="20"/>
          <w:lang w:val="en-US"/>
        </w:rPr>
        <w:footnoteReference w:id="163"/>
      </w:r>
      <w:r w:rsidR="008E6A56" w:rsidRPr="008A3740">
        <w:rPr>
          <w:rFonts w:ascii="Verdana" w:hAnsi="Verdana"/>
          <w:sz w:val="20"/>
          <w:szCs w:val="20"/>
          <w:lang w:val="en-US"/>
        </w:rPr>
        <w:t xml:space="preserve"> in cases </w:t>
      </w:r>
      <w:r w:rsidR="008377FC" w:rsidRPr="008A3740">
        <w:rPr>
          <w:rFonts w:ascii="Verdana" w:hAnsi="Verdana"/>
          <w:sz w:val="20"/>
          <w:szCs w:val="20"/>
          <w:lang w:val="en-US"/>
        </w:rPr>
        <w:t xml:space="preserve">where the claim before the courts concerns </w:t>
      </w:r>
      <w:r w:rsidR="008E6A56" w:rsidRPr="008A3740">
        <w:rPr>
          <w:rFonts w:ascii="Verdana" w:hAnsi="Verdana"/>
          <w:sz w:val="20"/>
          <w:szCs w:val="20"/>
          <w:lang w:val="en-US"/>
        </w:rPr>
        <w:t>social security, especially th</w:t>
      </w:r>
      <w:r w:rsidR="00AD3F8A" w:rsidRPr="008A3740">
        <w:rPr>
          <w:rFonts w:ascii="Verdana" w:hAnsi="Verdana"/>
          <w:sz w:val="20"/>
          <w:szCs w:val="20"/>
          <w:lang w:val="en-US"/>
        </w:rPr>
        <w:t>at of an older person</w:t>
      </w:r>
      <w:r w:rsidR="008E6A56" w:rsidRPr="008A3740">
        <w:rPr>
          <w:rFonts w:ascii="Verdana" w:hAnsi="Verdana"/>
          <w:sz w:val="20"/>
          <w:szCs w:val="20"/>
          <w:lang w:val="en-US"/>
        </w:rPr>
        <w:t xml:space="preserve">. In the instant case, the State did not take into </w:t>
      </w:r>
      <w:r w:rsidR="008377FC" w:rsidRPr="008A3740">
        <w:rPr>
          <w:rFonts w:ascii="Verdana" w:hAnsi="Verdana"/>
          <w:sz w:val="20"/>
          <w:szCs w:val="20"/>
          <w:lang w:val="en-US"/>
        </w:rPr>
        <w:t xml:space="preserve">account </w:t>
      </w:r>
      <w:r w:rsidR="008E6A56" w:rsidRPr="008A3740">
        <w:rPr>
          <w:rFonts w:ascii="Verdana" w:hAnsi="Verdana"/>
          <w:sz w:val="20"/>
          <w:szCs w:val="20"/>
          <w:lang w:val="en-US"/>
        </w:rPr>
        <w:t xml:space="preserve">the content of the </w:t>
      </w:r>
      <w:r w:rsidR="005273B4" w:rsidRPr="008A3740">
        <w:rPr>
          <w:rFonts w:ascii="Verdana" w:hAnsi="Verdana"/>
          <w:sz w:val="20"/>
          <w:szCs w:val="20"/>
          <w:lang w:val="en-US"/>
        </w:rPr>
        <w:t>claim</w:t>
      </w:r>
      <w:r w:rsidR="008377FC" w:rsidRPr="008A3740">
        <w:rPr>
          <w:rFonts w:ascii="Verdana" w:hAnsi="Verdana"/>
          <w:sz w:val="20"/>
          <w:szCs w:val="20"/>
          <w:lang w:val="en-US"/>
        </w:rPr>
        <w:t>;</w:t>
      </w:r>
      <w:r w:rsidR="008E6A56" w:rsidRPr="008A3740">
        <w:rPr>
          <w:rFonts w:ascii="Verdana" w:hAnsi="Verdana"/>
          <w:sz w:val="20"/>
          <w:szCs w:val="20"/>
          <w:lang w:val="en-US"/>
        </w:rPr>
        <w:t xml:space="preserve"> on the contrary </w:t>
      </w:r>
      <w:r w:rsidR="008377FC" w:rsidRPr="008A3740">
        <w:rPr>
          <w:rFonts w:ascii="Verdana" w:hAnsi="Verdana"/>
          <w:sz w:val="20"/>
          <w:szCs w:val="20"/>
          <w:lang w:val="en-US"/>
        </w:rPr>
        <w:t>it has failed to execute</w:t>
      </w:r>
      <w:r w:rsidR="008E6A56" w:rsidRPr="008A3740">
        <w:rPr>
          <w:rFonts w:ascii="Verdana" w:hAnsi="Verdana"/>
          <w:sz w:val="20"/>
          <w:szCs w:val="20"/>
          <w:lang w:val="en-US"/>
        </w:rPr>
        <w:t xml:space="preserve"> the judgments </w:t>
      </w:r>
      <w:r w:rsidR="0020551B" w:rsidRPr="008A3740">
        <w:rPr>
          <w:rFonts w:ascii="Verdana" w:hAnsi="Verdana"/>
          <w:sz w:val="20"/>
          <w:szCs w:val="20"/>
          <w:lang w:val="en-US"/>
        </w:rPr>
        <w:t xml:space="preserve">delivered </w:t>
      </w:r>
      <w:r w:rsidR="008E6A56" w:rsidRPr="008A3740">
        <w:rPr>
          <w:rFonts w:ascii="Verdana" w:hAnsi="Verdana"/>
          <w:sz w:val="20"/>
          <w:szCs w:val="20"/>
          <w:lang w:val="en-US"/>
        </w:rPr>
        <w:t>25 and 19 years ago.</w:t>
      </w:r>
    </w:p>
    <w:p w14:paraId="7B186AF1" w14:textId="77777777" w:rsidR="008E6A56" w:rsidRPr="008A3740" w:rsidRDefault="008E6A56" w:rsidP="008E6A56">
      <w:pPr>
        <w:pStyle w:val="Ttulo3"/>
        <w:rPr>
          <w:lang w:val="en-US"/>
        </w:rPr>
      </w:pPr>
      <w:bookmarkStart w:id="99" w:name="_Toc5009881"/>
      <w:r w:rsidRPr="008A3740">
        <w:rPr>
          <w:lang w:val="en-US"/>
        </w:rPr>
        <w:t>A.3 Conclusion</w:t>
      </w:r>
      <w:bookmarkEnd w:id="99"/>
    </w:p>
    <w:p w14:paraId="72CB9F3A" w14:textId="77777777" w:rsidR="008E6A56" w:rsidRPr="008A3740" w:rsidRDefault="008E6A56" w:rsidP="008E6A56">
      <w:pPr>
        <w:pStyle w:val="Prrafodelista"/>
        <w:ind w:left="0"/>
        <w:rPr>
          <w:rFonts w:ascii="Verdana" w:hAnsi="Verdana"/>
          <w:sz w:val="20"/>
          <w:szCs w:val="20"/>
          <w:lang w:val="en-US"/>
        </w:rPr>
      </w:pPr>
    </w:p>
    <w:p w14:paraId="08A861B2" w14:textId="77777777" w:rsidR="008E6A56" w:rsidRPr="008A3740" w:rsidRDefault="008D5425"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hAnsi="Verdana"/>
          <w:sz w:val="20"/>
          <w:szCs w:val="20"/>
          <w:lang w:val="en-US"/>
        </w:rPr>
        <w:t>Based on the foregoing</w:t>
      </w:r>
      <w:r w:rsidR="008E6A56" w:rsidRPr="008A3740">
        <w:rPr>
          <w:rFonts w:ascii="Verdana" w:hAnsi="Verdana"/>
          <w:sz w:val="20"/>
          <w:szCs w:val="20"/>
          <w:lang w:val="en-US"/>
        </w:rPr>
        <w:t>, this Court concludes that the State</w:t>
      </w:r>
      <w:r w:rsidR="008E6A56" w:rsidRPr="008A3740">
        <w:rPr>
          <w:rFonts w:ascii="Verdana" w:eastAsia="Times" w:hAnsi="Verdana"/>
          <w:sz w:val="20"/>
          <w:szCs w:val="20"/>
          <w:lang w:val="en-US"/>
        </w:rPr>
        <w:t xml:space="preserve"> is responsible for failing to comply with the judgments issued in favor of Mr. Muelle Flores, by creating obstacles </w:t>
      </w:r>
      <w:r w:rsidR="0020551B" w:rsidRPr="008A3740">
        <w:rPr>
          <w:rFonts w:ascii="Verdana" w:eastAsia="Times" w:hAnsi="Verdana"/>
          <w:sz w:val="20"/>
          <w:szCs w:val="20"/>
          <w:lang w:val="en-US"/>
        </w:rPr>
        <w:t xml:space="preserve">stemming </w:t>
      </w:r>
      <w:r w:rsidR="008E6A56" w:rsidRPr="008A3740">
        <w:rPr>
          <w:rFonts w:ascii="Verdana" w:eastAsia="Times" w:hAnsi="Verdana"/>
          <w:sz w:val="20"/>
          <w:szCs w:val="20"/>
          <w:lang w:val="en-US"/>
        </w:rPr>
        <w:t>from the privatization</w:t>
      </w:r>
      <w:r w:rsidR="0020551B" w:rsidRPr="008A3740">
        <w:rPr>
          <w:rFonts w:ascii="Verdana" w:eastAsia="Times" w:hAnsi="Verdana"/>
          <w:sz w:val="20"/>
          <w:szCs w:val="20"/>
          <w:lang w:val="en-US"/>
        </w:rPr>
        <w:t xml:space="preserve"> process;</w:t>
      </w:r>
      <w:r w:rsidR="008E6A56" w:rsidRPr="008A3740">
        <w:rPr>
          <w:rFonts w:ascii="Verdana" w:eastAsia="Times" w:hAnsi="Verdana"/>
          <w:sz w:val="20"/>
          <w:szCs w:val="20"/>
          <w:lang w:val="en-US"/>
        </w:rPr>
        <w:t xml:space="preserve"> </w:t>
      </w:r>
      <w:r w:rsidR="0020551B" w:rsidRPr="008A3740">
        <w:rPr>
          <w:rFonts w:ascii="Verdana" w:eastAsia="Times" w:hAnsi="Verdana"/>
          <w:sz w:val="20"/>
          <w:szCs w:val="20"/>
          <w:lang w:val="en-US"/>
        </w:rPr>
        <w:t xml:space="preserve">for </w:t>
      </w:r>
      <w:r w:rsidR="008E6A56" w:rsidRPr="008A3740">
        <w:rPr>
          <w:rFonts w:ascii="Verdana" w:eastAsia="Times" w:hAnsi="Verdana"/>
          <w:sz w:val="20"/>
          <w:szCs w:val="20"/>
          <w:lang w:val="en-US"/>
        </w:rPr>
        <w:t xml:space="preserve">the inefficacy of the Judiciary </w:t>
      </w:r>
      <w:r w:rsidR="0020551B" w:rsidRPr="008A3740">
        <w:rPr>
          <w:rFonts w:ascii="Verdana" w:eastAsia="Times" w:hAnsi="Verdana"/>
          <w:sz w:val="20"/>
          <w:szCs w:val="20"/>
          <w:lang w:val="en-US"/>
        </w:rPr>
        <w:t xml:space="preserve">in ensuring such </w:t>
      </w:r>
      <w:r w:rsidR="008E6A56" w:rsidRPr="008A3740">
        <w:rPr>
          <w:rFonts w:ascii="Verdana" w:eastAsia="Times" w:hAnsi="Verdana"/>
          <w:sz w:val="20"/>
          <w:szCs w:val="20"/>
          <w:lang w:val="en-US"/>
        </w:rPr>
        <w:t xml:space="preserve">compliance and </w:t>
      </w:r>
      <w:r w:rsidR="0020551B" w:rsidRPr="008A3740">
        <w:rPr>
          <w:rFonts w:ascii="Verdana" w:eastAsia="Times" w:hAnsi="Verdana"/>
          <w:sz w:val="20"/>
          <w:szCs w:val="20"/>
          <w:lang w:val="en-US"/>
        </w:rPr>
        <w:t>reversing</w:t>
      </w:r>
      <w:r w:rsidR="008E6A56" w:rsidRPr="008A3740">
        <w:rPr>
          <w:rFonts w:ascii="Verdana" w:eastAsia="Times" w:hAnsi="Verdana"/>
          <w:sz w:val="20"/>
          <w:szCs w:val="20"/>
          <w:lang w:val="en-US"/>
        </w:rPr>
        <w:t xml:space="preserve"> the negative effects of privati</w:t>
      </w:r>
      <w:r w:rsidR="0020551B" w:rsidRPr="008A3740">
        <w:rPr>
          <w:rFonts w:ascii="Verdana" w:eastAsia="Times" w:hAnsi="Verdana"/>
          <w:sz w:val="20"/>
          <w:szCs w:val="20"/>
          <w:lang w:val="en-US"/>
        </w:rPr>
        <w:t>zation;</w:t>
      </w:r>
      <w:r w:rsidRPr="008A3740">
        <w:rPr>
          <w:rFonts w:ascii="Verdana" w:eastAsia="Times" w:hAnsi="Verdana"/>
          <w:sz w:val="20"/>
          <w:szCs w:val="20"/>
          <w:lang w:val="en-US"/>
        </w:rPr>
        <w:t xml:space="preserve"> and for its failure to </w:t>
      </w:r>
      <w:r w:rsidR="008E6A56" w:rsidRPr="008A3740">
        <w:rPr>
          <w:rFonts w:ascii="Verdana" w:eastAsia="Times" w:hAnsi="Verdana"/>
          <w:sz w:val="20"/>
          <w:szCs w:val="20"/>
          <w:lang w:val="en-US"/>
        </w:rPr>
        <w:t xml:space="preserve">implement measures to remedy that situation for a prolonged period of time. </w:t>
      </w:r>
      <w:r w:rsidR="0020551B" w:rsidRPr="008A3740">
        <w:rPr>
          <w:rFonts w:ascii="Verdana" w:eastAsia="Times" w:hAnsi="Verdana"/>
          <w:sz w:val="20"/>
          <w:szCs w:val="20"/>
          <w:lang w:val="en-US"/>
        </w:rPr>
        <w:t>Consequently</w:t>
      </w:r>
      <w:r w:rsidR="008E6A56" w:rsidRPr="008A3740">
        <w:rPr>
          <w:rFonts w:ascii="Verdana" w:eastAsia="Times" w:hAnsi="Verdana"/>
          <w:sz w:val="20"/>
          <w:szCs w:val="20"/>
          <w:lang w:val="en-US"/>
        </w:rPr>
        <w:t>, the State violated the right to effective judicial protection</w:t>
      </w:r>
      <w:r w:rsidR="007A3047" w:rsidRPr="008A3740">
        <w:rPr>
          <w:rFonts w:ascii="Verdana" w:eastAsia="Times" w:hAnsi="Verdana"/>
          <w:sz w:val="20"/>
          <w:szCs w:val="20"/>
          <w:lang w:val="en-US"/>
        </w:rPr>
        <w:t xml:space="preserve"> recognized</w:t>
      </w:r>
      <w:r w:rsidR="008E6A56" w:rsidRPr="008A3740">
        <w:rPr>
          <w:rFonts w:ascii="Verdana" w:hAnsi="Verdana"/>
          <w:sz w:val="20"/>
          <w:szCs w:val="20"/>
          <w:lang w:val="en-US"/>
        </w:rPr>
        <w:t xml:space="preserve"> in Articles 25(1) and 25(2)</w:t>
      </w:r>
      <w:r w:rsidR="005273B4" w:rsidRPr="008A3740">
        <w:rPr>
          <w:rFonts w:ascii="Verdana" w:hAnsi="Verdana"/>
          <w:sz w:val="20"/>
          <w:szCs w:val="20"/>
          <w:lang w:val="en-US"/>
        </w:rPr>
        <w:t>(c</w:t>
      </w:r>
      <w:r w:rsidR="008E6A56" w:rsidRPr="008A3740">
        <w:rPr>
          <w:rFonts w:ascii="Verdana" w:hAnsi="Verdana"/>
          <w:sz w:val="20"/>
          <w:szCs w:val="20"/>
          <w:lang w:val="en-US"/>
        </w:rPr>
        <w:t>) of the American Convention, in relation to Article 1(1) thereof, and of Article 2 of the American Convention, to the detriment of Mr. Oscar Muelle Flores.</w:t>
      </w:r>
    </w:p>
    <w:p w14:paraId="3EB89340" w14:textId="77777777" w:rsidR="008E6A56" w:rsidRPr="008A3740" w:rsidRDefault="008E6A56" w:rsidP="008E6A56">
      <w:pPr>
        <w:widowControl/>
        <w:tabs>
          <w:tab w:val="left" w:pos="567"/>
          <w:tab w:val="left" w:pos="720"/>
        </w:tabs>
        <w:adjustRightInd/>
        <w:textAlignment w:val="auto"/>
        <w:rPr>
          <w:rFonts w:ascii="Verdana" w:eastAsia="Times" w:hAnsi="Verdana"/>
          <w:sz w:val="20"/>
          <w:szCs w:val="20"/>
          <w:lang w:val="en-US"/>
        </w:rPr>
      </w:pPr>
    </w:p>
    <w:p w14:paraId="49F5D0D2" w14:textId="77777777" w:rsidR="008E6A56" w:rsidRPr="008A3740" w:rsidRDefault="005E5FED" w:rsidP="008E6A56">
      <w:pPr>
        <w:pStyle w:val="Ttulo2"/>
        <w:tabs>
          <w:tab w:val="clear" w:pos="360"/>
        </w:tabs>
        <w:ind w:hanging="360"/>
        <w:rPr>
          <w:lang w:val="en-US"/>
        </w:rPr>
      </w:pPr>
      <w:r w:rsidRPr="008A3740">
        <w:rPr>
          <w:lang w:val="en-US"/>
        </w:rPr>
        <w:t>Reasonable time</w:t>
      </w:r>
    </w:p>
    <w:p w14:paraId="7658E892" w14:textId="77777777" w:rsidR="008E6A56" w:rsidRPr="008A3740" w:rsidRDefault="008E6A56" w:rsidP="008E6A56">
      <w:pPr>
        <w:rPr>
          <w:lang w:val="en-US"/>
        </w:rPr>
      </w:pPr>
    </w:p>
    <w:p w14:paraId="4BDF128A" w14:textId="77777777" w:rsidR="008E6A56" w:rsidRPr="008A3740" w:rsidRDefault="008E6A56" w:rsidP="008E6A56">
      <w:pPr>
        <w:pStyle w:val="Ttulo3"/>
        <w:rPr>
          <w:lang w:val="en-US"/>
        </w:rPr>
      </w:pPr>
      <w:bookmarkStart w:id="100" w:name="_Toc532545809"/>
      <w:bookmarkStart w:id="101" w:name="_Toc5009883"/>
      <w:r w:rsidRPr="008A3740">
        <w:rPr>
          <w:lang w:val="en-US"/>
        </w:rPr>
        <w:t>B.1 Arguments of the parties and of the Commission</w:t>
      </w:r>
      <w:bookmarkEnd w:id="100"/>
      <w:bookmarkEnd w:id="101"/>
      <w:r w:rsidRPr="008A3740">
        <w:rPr>
          <w:lang w:val="en-US"/>
        </w:rPr>
        <w:t xml:space="preserve"> </w:t>
      </w:r>
    </w:p>
    <w:p w14:paraId="47D70862" w14:textId="77777777" w:rsidR="008E6A56" w:rsidRPr="008A3740" w:rsidRDefault="008E6A56" w:rsidP="008E6A56">
      <w:pPr>
        <w:rPr>
          <w:lang w:val="en-US"/>
        </w:rPr>
      </w:pPr>
    </w:p>
    <w:p w14:paraId="1F695FAF"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cs="Arial"/>
          <w:i/>
          <w:sz w:val="20"/>
          <w:szCs w:val="20"/>
          <w:lang w:val="en-US"/>
        </w:rPr>
      </w:pPr>
      <w:r w:rsidRPr="008A3740">
        <w:rPr>
          <w:rFonts w:ascii="Verdana" w:eastAsia="Times" w:hAnsi="Verdana" w:cs="Arial"/>
          <w:sz w:val="20"/>
          <w:szCs w:val="20"/>
          <w:lang w:val="en-US"/>
        </w:rPr>
        <w:t xml:space="preserve">The </w:t>
      </w:r>
      <w:r w:rsidRPr="008A3740">
        <w:rPr>
          <w:rFonts w:ascii="Verdana" w:eastAsia="Times" w:hAnsi="Verdana" w:cs="Arial"/>
          <w:b/>
          <w:i/>
          <w:sz w:val="20"/>
          <w:szCs w:val="20"/>
          <w:lang w:val="en-US"/>
        </w:rPr>
        <w:t>Commission</w:t>
      </w:r>
      <w:r w:rsidRPr="008A3740">
        <w:rPr>
          <w:rFonts w:ascii="Verdana" w:eastAsia="Times" w:hAnsi="Verdana" w:cs="Arial"/>
          <w:b/>
          <w:sz w:val="20"/>
          <w:szCs w:val="20"/>
          <w:lang w:val="en-US"/>
        </w:rPr>
        <w:t xml:space="preserve"> </w:t>
      </w:r>
      <w:r w:rsidR="00076DFB" w:rsidRPr="008A3740">
        <w:rPr>
          <w:rFonts w:ascii="Verdana" w:eastAsia="Times" w:hAnsi="Verdana" w:cs="Arial"/>
          <w:sz w:val="20"/>
          <w:szCs w:val="20"/>
          <w:lang w:val="en-US"/>
        </w:rPr>
        <w:t>a</w:t>
      </w:r>
      <w:r w:rsidR="0062154B" w:rsidRPr="008A3740">
        <w:rPr>
          <w:rFonts w:ascii="Verdana" w:eastAsia="Times" w:hAnsi="Verdana" w:cs="Arial"/>
          <w:sz w:val="20"/>
          <w:szCs w:val="20"/>
          <w:lang w:val="en-US"/>
        </w:rPr>
        <w:t xml:space="preserve">rgued </w:t>
      </w:r>
      <w:r w:rsidRPr="008A3740">
        <w:rPr>
          <w:rFonts w:ascii="Verdana" w:eastAsia="Times" w:hAnsi="Verdana" w:cs="Arial"/>
          <w:sz w:val="20"/>
          <w:szCs w:val="20"/>
          <w:lang w:val="en-US"/>
        </w:rPr>
        <w:t xml:space="preserve">that </w:t>
      </w:r>
      <w:r w:rsidR="00076DFB" w:rsidRPr="008A3740">
        <w:rPr>
          <w:rFonts w:ascii="Verdana" w:eastAsia="Times" w:hAnsi="Verdana" w:cs="Arial"/>
          <w:sz w:val="20"/>
          <w:szCs w:val="20"/>
          <w:lang w:val="en-US"/>
        </w:rPr>
        <w:t xml:space="preserve">the issue of </w:t>
      </w:r>
      <w:r w:rsidR="005E5FED" w:rsidRPr="008A3740">
        <w:rPr>
          <w:rFonts w:ascii="Verdana" w:eastAsia="Times" w:hAnsi="Verdana" w:cs="Arial"/>
          <w:sz w:val="20"/>
          <w:szCs w:val="20"/>
          <w:lang w:val="en-US"/>
        </w:rPr>
        <w:t>reasonable time</w:t>
      </w:r>
      <w:r w:rsidRPr="008A3740">
        <w:rPr>
          <w:rFonts w:ascii="Verdana" w:eastAsia="Times" w:hAnsi="Verdana" w:cs="Arial"/>
          <w:sz w:val="20"/>
          <w:szCs w:val="20"/>
          <w:lang w:val="en-US"/>
        </w:rPr>
        <w:t xml:space="preserve"> could also be applied to the execution </w:t>
      </w:r>
      <w:r w:rsidR="005273B4" w:rsidRPr="008A3740">
        <w:rPr>
          <w:rFonts w:ascii="Verdana" w:eastAsia="Times" w:hAnsi="Verdana" w:cs="Arial"/>
          <w:sz w:val="20"/>
          <w:szCs w:val="20"/>
          <w:lang w:val="en-US"/>
        </w:rPr>
        <w:t>of a</w:t>
      </w:r>
      <w:r w:rsidRPr="008A3740">
        <w:rPr>
          <w:rFonts w:ascii="Verdana" w:eastAsia="Times" w:hAnsi="Verdana" w:cs="Arial"/>
          <w:sz w:val="20"/>
          <w:szCs w:val="20"/>
          <w:lang w:val="en-US"/>
        </w:rPr>
        <w:t xml:space="preserve"> </w:t>
      </w:r>
      <w:r w:rsidR="00D433AC" w:rsidRPr="008A3740">
        <w:rPr>
          <w:rFonts w:ascii="Verdana" w:eastAsia="Times" w:hAnsi="Verdana" w:cs="Arial"/>
          <w:sz w:val="20"/>
          <w:szCs w:val="20"/>
          <w:lang w:val="en-US"/>
        </w:rPr>
        <w:t xml:space="preserve">final </w:t>
      </w:r>
      <w:r w:rsidRPr="008A3740">
        <w:rPr>
          <w:rFonts w:ascii="Verdana" w:eastAsia="Times" w:hAnsi="Verdana" w:cs="Arial"/>
          <w:sz w:val="20"/>
          <w:szCs w:val="20"/>
          <w:lang w:val="en-US"/>
        </w:rPr>
        <w:t>jud</w:t>
      </w:r>
      <w:r w:rsidR="00076DFB" w:rsidRPr="008A3740">
        <w:rPr>
          <w:rFonts w:ascii="Verdana" w:eastAsia="Times" w:hAnsi="Verdana" w:cs="Arial"/>
          <w:sz w:val="20"/>
          <w:szCs w:val="20"/>
          <w:lang w:val="en-US"/>
        </w:rPr>
        <w:t>icial decision</w:t>
      </w:r>
      <w:r w:rsidRPr="008A3740">
        <w:rPr>
          <w:rFonts w:ascii="Verdana" w:eastAsia="Times" w:hAnsi="Verdana" w:cs="Arial"/>
          <w:sz w:val="20"/>
          <w:szCs w:val="20"/>
          <w:lang w:val="en-US"/>
        </w:rPr>
        <w:t xml:space="preserve">. </w:t>
      </w:r>
      <w:r w:rsidR="00EF1702" w:rsidRPr="008A3740">
        <w:rPr>
          <w:rFonts w:ascii="Verdana" w:eastAsia="Times" w:hAnsi="Verdana" w:cs="Arial"/>
          <w:sz w:val="20"/>
          <w:szCs w:val="20"/>
          <w:lang w:val="en-US"/>
        </w:rPr>
        <w:t>R</w:t>
      </w:r>
      <w:r w:rsidR="00076DFB" w:rsidRPr="008A3740">
        <w:rPr>
          <w:rFonts w:ascii="Verdana" w:eastAsia="Times" w:hAnsi="Verdana" w:cs="Arial"/>
          <w:sz w:val="20"/>
          <w:szCs w:val="20"/>
          <w:lang w:val="en-US"/>
        </w:rPr>
        <w:t>egard</w:t>
      </w:r>
      <w:r w:rsidR="00EF1702" w:rsidRPr="008A3740">
        <w:rPr>
          <w:rFonts w:ascii="Verdana" w:eastAsia="Times" w:hAnsi="Verdana" w:cs="Arial"/>
          <w:sz w:val="20"/>
          <w:szCs w:val="20"/>
          <w:lang w:val="en-US"/>
        </w:rPr>
        <w:t>ing</w:t>
      </w:r>
      <w:r w:rsidR="00076DFB" w:rsidRPr="008A3740">
        <w:rPr>
          <w:rFonts w:ascii="Verdana" w:eastAsia="Times" w:hAnsi="Verdana" w:cs="Arial"/>
          <w:sz w:val="20"/>
          <w:szCs w:val="20"/>
          <w:lang w:val="en-US"/>
        </w:rPr>
        <w:t xml:space="preserve"> </w:t>
      </w:r>
      <w:r w:rsidRPr="008A3740">
        <w:rPr>
          <w:rFonts w:ascii="Verdana" w:eastAsia="Times" w:hAnsi="Verdana" w:cs="Arial"/>
          <w:sz w:val="20"/>
          <w:szCs w:val="20"/>
          <w:lang w:val="en-US"/>
        </w:rPr>
        <w:t xml:space="preserve">the complexity of the case, the Commission </w:t>
      </w:r>
      <w:r w:rsidR="0062154B" w:rsidRPr="008A3740">
        <w:rPr>
          <w:rFonts w:ascii="Verdana" w:eastAsia="Times" w:hAnsi="Verdana" w:cs="Arial"/>
          <w:sz w:val="20"/>
          <w:szCs w:val="20"/>
          <w:lang w:val="en-US"/>
        </w:rPr>
        <w:t xml:space="preserve">stressed </w:t>
      </w:r>
      <w:r w:rsidRPr="008A3740">
        <w:rPr>
          <w:rFonts w:ascii="Verdana" w:eastAsia="Times" w:hAnsi="Verdana" w:cs="Arial"/>
          <w:sz w:val="20"/>
          <w:szCs w:val="20"/>
          <w:lang w:val="en-US"/>
        </w:rPr>
        <w:t xml:space="preserve">that the </w:t>
      </w:r>
      <w:r w:rsidR="00EF1702" w:rsidRPr="008A3740">
        <w:rPr>
          <w:rFonts w:ascii="Verdana" w:eastAsia="Times" w:hAnsi="Verdana" w:cs="Arial"/>
          <w:sz w:val="20"/>
          <w:szCs w:val="20"/>
          <w:lang w:val="en-US"/>
        </w:rPr>
        <w:t xml:space="preserve">matter </w:t>
      </w:r>
      <w:r w:rsidRPr="008A3740">
        <w:rPr>
          <w:rFonts w:ascii="Verdana" w:eastAsia="Times" w:hAnsi="Verdana" w:cs="Arial"/>
          <w:sz w:val="20"/>
          <w:szCs w:val="20"/>
          <w:lang w:val="en-US"/>
        </w:rPr>
        <w:t xml:space="preserve">was not complex </w:t>
      </w:r>
      <w:r w:rsidR="00316B52" w:rsidRPr="008A3740">
        <w:rPr>
          <w:rFonts w:ascii="Verdana" w:eastAsia="Times" w:hAnsi="Verdana" w:cs="Arial"/>
          <w:sz w:val="20"/>
          <w:szCs w:val="20"/>
          <w:lang w:val="en-US"/>
        </w:rPr>
        <w:t xml:space="preserve">given that </w:t>
      </w:r>
      <w:r w:rsidRPr="008A3740">
        <w:rPr>
          <w:rFonts w:ascii="Verdana" w:eastAsia="Times" w:hAnsi="Verdana" w:cs="Arial"/>
          <w:sz w:val="20"/>
          <w:szCs w:val="20"/>
          <w:lang w:val="en-US"/>
        </w:rPr>
        <w:t xml:space="preserve">a </w:t>
      </w:r>
      <w:r w:rsidR="00D433AC" w:rsidRPr="008A3740">
        <w:rPr>
          <w:rFonts w:ascii="Verdana" w:eastAsia="Times" w:hAnsi="Verdana" w:cs="Arial"/>
          <w:sz w:val="20"/>
          <w:szCs w:val="20"/>
          <w:lang w:val="en-US"/>
        </w:rPr>
        <w:t xml:space="preserve">final judicial </w:t>
      </w:r>
      <w:r w:rsidRPr="008A3740">
        <w:rPr>
          <w:rFonts w:ascii="Verdana" w:eastAsia="Times" w:hAnsi="Verdana" w:cs="Arial"/>
          <w:sz w:val="20"/>
          <w:szCs w:val="20"/>
          <w:lang w:val="en-US"/>
        </w:rPr>
        <w:t xml:space="preserve">decision </w:t>
      </w:r>
      <w:r w:rsidR="00316B52" w:rsidRPr="008A3740">
        <w:rPr>
          <w:rFonts w:ascii="Verdana" w:eastAsia="Times" w:hAnsi="Verdana" w:cs="Arial"/>
          <w:sz w:val="20"/>
          <w:szCs w:val="20"/>
          <w:lang w:val="en-US"/>
        </w:rPr>
        <w:t xml:space="preserve">had already been handed down </w:t>
      </w:r>
      <w:r w:rsidRPr="008A3740">
        <w:rPr>
          <w:rFonts w:ascii="Verdana" w:eastAsia="Times" w:hAnsi="Verdana" w:cs="Arial"/>
          <w:sz w:val="20"/>
          <w:szCs w:val="20"/>
          <w:lang w:val="en-US"/>
        </w:rPr>
        <w:t xml:space="preserve">that </w:t>
      </w:r>
      <w:r w:rsidR="00316B52" w:rsidRPr="008A3740">
        <w:rPr>
          <w:rFonts w:ascii="Verdana" w:eastAsia="Times" w:hAnsi="Verdana" w:cs="Arial"/>
          <w:sz w:val="20"/>
          <w:szCs w:val="20"/>
          <w:lang w:val="en-US"/>
        </w:rPr>
        <w:t xml:space="preserve">was </w:t>
      </w:r>
      <w:r w:rsidR="00076DFB" w:rsidRPr="008A3740">
        <w:rPr>
          <w:rFonts w:ascii="Verdana" w:eastAsia="Times" w:hAnsi="Verdana" w:cs="Arial"/>
          <w:sz w:val="20"/>
          <w:szCs w:val="20"/>
          <w:lang w:val="en-US"/>
        </w:rPr>
        <w:t xml:space="preserve">to </w:t>
      </w:r>
      <w:r w:rsidR="009B6571" w:rsidRPr="008A3740">
        <w:rPr>
          <w:rFonts w:ascii="Verdana" w:eastAsia="Times" w:hAnsi="Verdana" w:cs="Arial"/>
          <w:sz w:val="20"/>
          <w:szCs w:val="20"/>
          <w:lang w:val="en-US"/>
        </w:rPr>
        <w:t>be</w:t>
      </w:r>
      <w:r w:rsidRPr="008A3740">
        <w:rPr>
          <w:rFonts w:ascii="Verdana" w:eastAsia="Times" w:hAnsi="Verdana" w:cs="Arial"/>
          <w:sz w:val="20"/>
          <w:szCs w:val="20"/>
          <w:lang w:val="en-US"/>
        </w:rPr>
        <w:t xml:space="preserve"> executed. </w:t>
      </w:r>
      <w:r w:rsidR="00316B52" w:rsidRPr="008A3740">
        <w:rPr>
          <w:rFonts w:ascii="Verdana" w:eastAsia="Times" w:hAnsi="Verdana" w:cs="Arial"/>
          <w:sz w:val="20"/>
          <w:szCs w:val="20"/>
          <w:lang w:val="en-US"/>
        </w:rPr>
        <w:t>I</w:t>
      </w:r>
      <w:r w:rsidRPr="008A3740">
        <w:rPr>
          <w:rFonts w:ascii="Verdana" w:eastAsia="Times" w:hAnsi="Verdana" w:cs="Arial"/>
          <w:sz w:val="20"/>
          <w:szCs w:val="20"/>
          <w:lang w:val="en-US"/>
        </w:rPr>
        <w:t xml:space="preserve">n relation to the </w:t>
      </w:r>
      <w:r w:rsidR="00316B52" w:rsidRPr="008A3740">
        <w:rPr>
          <w:rFonts w:ascii="Verdana" w:eastAsia="Times" w:hAnsi="Verdana" w:cs="Arial"/>
          <w:sz w:val="20"/>
          <w:szCs w:val="20"/>
          <w:lang w:val="en-US"/>
        </w:rPr>
        <w:t xml:space="preserve">involvement </w:t>
      </w:r>
      <w:r w:rsidRPr="008A3740">
        <w:rPr>
          <w:rFonts w:ascii="Verdana" w:eastAsia="Times" w:hAnsi="Verdana" w:cs="Arial"/>
          <w:sz w:val="20"/>
          <w:szCs w:val="20"/>
          <w:lang w:val="en-US"/>
        </w:rPr>
        <w:t xml:space="preserve">of the interested party, </w:t>
      </w:r>
      <w:r w:rsidR="00076DFB" w:rsidRPr="008A3740">
        <w:rPr>
          <w:rFonts w:ascii="Verdana" w:eastAsia="Times" w:hAnsi="Verdana" w:cs="Arial"/>
          <w:sz w:val="20"/>
          <w:szCs w:val="20"/>
          <w:lang w:val="en-US"/>
        </w:rPr>
        <w:t xml:space="preserve">it held that </w:t>
      </w:r>
      <w:r w:rsidRPr="008A3740">
        <w:rPr>
          <w:rFonts w:ascii="Verdana" w:eastAsia="Times" w:hAnsi="Verdana" w:cs="Arial"/>
          <w:sz w:val="20"/>
          <w:szCs w:val="20"/>
          <w:lang w:val="en-US"/>
        </w:rPr>
        <w:t xml:space="preserve">Mr. Muelle Flores </w:t>
      </w:r>
      <w:r w:rsidR="00076DFB" w:rsidRPr="008A3740">
        <w:rPr>
          <w:rFonts w:ascii="Verdana" w:eastAsia="Times" w:hAnsi="Verdana" w:cs="Arial"/>
          <w:sz w:val="20"/>
          <w:szCs w:val="20"/>
          <w:lang w:val="en-US"/>
        </w:rPr>
        <w:t xml:space="preserve">had </w:t>
      </w:r>
      <w:r w:rsidR="00316B52" w:rsidRPr="008A3740">
        <w:rPr>
          <w:rFonts w:ascii="Verdana" w:eastAsia="Times" w:hAnsi="Verdana" w:cs="Arial"/>
          <w:sz w:val="20"/>
          <w:szCs w:val="20"/>
          <w:lang w:val="en-US"/>
        </w:rPr>
        <w:t>actively followed up on the case and promoted</w:t>
      </w:r>
      <w:r w:rsidR="00076DFB" w:rsidRPr="008A3740">
        <w:rPr>
          <w:rFonts w:ascii="Verdana" w:eastAsia="Times" w:hAnsi="Verdana" w:cs="Arial"/>
          <w:sz w:val="20"/>
          <w:szCs w:val="20"/>
          <w:lang w:val="en-US"/>
        </w:rPr>
        <w:t xml:space="preserve"> </w:t>
      </w:r>
      <w:r w:rsidR="00316B52" w:rsidRPr="008A3740">
        <w:rPr>
          <w:rFonts w:ascii="Verdana" w:eastAsia="Times" w:hAnsi="Verdana" w:cs="Arial"/>
          <w:sz w:val="20"/>
          <w:szCs w:val="20"/>
          <w:lang w:val="en-US"/>
        </w:rPr>
        <w:t xml:space="preserve">the execution </w:t>
      </w:r>
      <w:r w:rsidRPr="008A3740">
        <w:rPr>
          <w:rFonts w:ascii="Verdana" w:eastAsia="Times" w:hAnsi="Verdana" w:cs="Arial"/>
          <w:sz w:val="20"/>
          <w:szCs w:val="20"/>
          <w:lang w:val="en-US"/>
        </w:rPr>
        <w:t xml:space="preserve">of the </w:t>
      </w:r>
      <w:r w:rsidR="005273B4" w:rsidRPr="008A3740">
        <w:rPr>
          <w:rFonts w:ascii="Verdana" w:eastAsia="Times" w:hAnsi="Verdana" w:cs="Arial"/>
          <w:sz w:val="20"/>
          <w:szCs w:val="20"/>
          <w:lang w:val="en-US"/>
        </w:rPr>
        <w:t>judgment</w:t>
      </w:r>
      <w:r w:rsidRPr="008A3740">
        <w:rPr>
          <w:rFonts w:ascii="Verdana" w:eastAsia="Times" w:hAnsi="Verdana" w:cs="Arial"/>
          <w:sz w:val="20"/>
          <w:szCs w:val="20"/>
          <w:lang w:val="en-US"/>
        </w:rPr>
        <w:t xml:space="preserve">, </w:t>
      </w:r>
      <w:r w:rsidR="00316B52" w:rsidRPr="008A3740">
        <w:rPr>
          <w:rFonts w:ascii="Verdana" w:eastAsia="Times" w:hAnsi="Verdana" w:cs="Arial"/>
          <w:sz w:val="20"/>
          <w:szCs w:val="20"/>
          <w:lang w:val="en-US"/>
        </w:rPr>
        <w:t>complaining</w:t>
      </w:r>
      <w:r w:rsidR="00D433AC" w:rsidRPr="008A3740">
        <w:rPr>
          <w:rFonts w:ascii="Verdana" w:eastAsia="Times" w:hAnsi="Verdana" w:cs="Arial"/>
          <w:sz w:val="20"/>
          <w:szCs w:val="20"/>
          <w:lang w:val="en-US"/>
        </w:rPr>
        <w:t xml:space="preserve"> </w:t>
      </w:r>
      <w:r w:rsidR="009B6571" w:rsidRPr="008A3740">
        <w:rPr>
          <w:rFonts w:ascii="Verdana" w:eastAsia="Times" w:hAnsi="Verdana" w:cs="Arial"/>
          <w:sz w:val="20"/>
          <w:szCs w:val="20"/>
          <w:lang w:val="en-US"/>
        </w:rPr>
        <w:lastRenderedPageBreak/>
        <w:t xml:space="preserve">on several </w:t>
      </w:r>
      <w:r w:rsidRPr="008A3740">
        <w:rPr>
          <w:rFonts w:ascii="Verdana" w:eastAsia="Times" w:hAnsi="Verdana" w:cs="Arial"/>
          <w:sz w:val="20"/>
          <w:szCs w:val="20"/>
          <w:lang w:val="en-US"/>
        </w:rPr>
        <w:t>oc</w:t>
      </w:r>
      <w:r w:rsidR="009B6571" w:rsidRPr="008A3740">
        <w:rPr>
          <w:rFonts w:ascii="Verdana" w:eastAsia="Times" w:hAnsi="Verdana" w:cs="Arial"/>
          <w:sz w:val="20"/>
          <w:szCs w:val="20"/>
          <w:lang w:val="en-US"/>
        </w:rPr>
        <w:t>casion</w:t>
      </w:r>
      <w:r w:rsidRPr="008A3740">
        <w:rPr>
          <w:rFonts w:ascii="Verdana" w:eastAsia="Times" w:hAnsi="Verdana" w:cs="Arial"/>
          <w:sz w:val="20"/>
          <w:szCs w:val="20"/>
          <w:lang w:val="en-US"/>
        </w:rPr>
        <w:t xml:space="preserve">s </w:t>
      </w:r>
      <w:r w:rsidR="00076DFB" w:rsidRPr="008A3740">
        <w:rPr>
          <w:rFonts w:ascii="Verdana" w:eastAsia="Times" w:hAnsi="Verdana" w:cs="Arial"/>
          <w:sz w:val="20"/>
          <w:szCs w:val="20"/>
          <w:lang w:val="en-US"/>
        </w:rPr>
        <w:t xml:space="preserve">about </w:t>
      </w:r>
      <w:r w:rsidRPr="008A3740">
        <w:rPr>
          <w:rFonts w:ascii="Verdana" w:eastAsia="Times" w:hAnsi="Verdana" w:cs="Arial"/>
          <w:sz w:val="20"/>
          <w:szCs w:val="20"/>
          <w:lang w:val="en-US"/>
        </w:rPr>
        <w:t>the delay</w:t>
      </w:r>
      <w:r w:rsidR="00316B52" w:rsidRPr="008A3740">
        <w:rPr>
          <w:rFonts w:ascii="Verdana" w:eastAsia="Times" w:hAnsi="Verdana" w:cs="Arial"/>
          <w:sz w:val="20"/>
          <w:szCs w:val="20"/>
          <w:lang w:val="en-US"/>
        </w:rPr>
        <w:t>s</w:t>
      </w:r>
      <w:r w:rsidRPr="008A3740">
        <w:rPr>
          <w:rFonts w:ascii="Verdana" w:eastAsia="Times" w:hAnsi="Verdana" w:cs="Arial"/>
          <w:sz w:val="20"/>
          <w:szCs w:val="20"/>
          <w:lang w:val="en-US"/>
        </w:rPr>
        <w:t xml:space="preserve"> in </w:t>
      </w:r>
      <w:r w:rsidR="00316B52" w:rsidRPr="008A3740">
        <w:rPr>
          <w:rFonts w:ascii="Verdana" w:eastAsia="Times" w:hAnsi="Verdana" w:cs="Arial"/>
          <w:sz w:val="20"/>
          <w:szCs w:val="20"/>
          <w:lang w:val="en-US"/>
        </w:rPr>
        <w:t>this process</w:t>
      </w:r>
      <w:r w:rsidRPr="008A3740">
        <w:rPr>
          <w:rFonts w:ascii="Verdana" w:eastAsia="Times" w:hAnsi="Verdana" w:cs="Arial"/>
          <w:sz w:val="20"/>
          <w:szCs w:val="20"/>
          <w:lang w:val="en-US"/>
        </w:rPr>
        <w:t xml:space="preserve">. </w:t>
      </w:r>
      <w:r w:rsidR="00316B52" w:rsidRPr="008A3740">
        <w:rPr>
          <w:rFonts w:ascii="Verdana" w:eastAsia="Times" w:hAnsi="Verdana" w:cs="Arial"/>
          <w:sz w:val="20"/>
          <w:szCs w:val="20"/>
          <w:lang w:val="en-US"/>
        </w:rPr>
        <w:t xml:space="preserve">With respect </w:t>
      </w:r>
      <w:r w:rsidRPr="008A3740">
        <w:rPr>
          <w:rFonts w:ascii="Verdana" w:eastAsia="Times" w:hAnsi="Verdana" w:cs="Arial"/>
          <w:sz w:val="20"/>
          <w:szCs w:val="20"/>
          <w:lang w:val="en-US"/>
        </w:rPr>
        <w:t xml:space="preserve">to the </w:t>
      </w:r>
      <w:r w:rsidR="00316B52" w:rsidRPr="008A3740">
        <w:rPr>
          <w:rFonts w:ascii="Verdana" w:eastAsia="Times" w:hAnsi="Verdana" w:cs="Arial"/>
          <w:sz w:val="20"/>
          <w:szCs w:val="20"/>
          <w:lang w:val="en-US"/>
        </w:rPr>
        <w:t xml:space="preserve">conduct </w:t>
      </w:r>
      <w:r w:rsidRPr="008A3740">
        <w:rPr>
          <w:rFonts w:ascii="Verdana" w:eastAsia="Times" w:hAnsi="Verdana" w:cs="Arial"/>
          <w:sz w:val="20"/>
          <w:szCs w:val="20"/>
          <w:lang w:val="en-US"/>
        </w:rPr>
        <w:t xml:space="preserve">of the judicial authorities, </w:t>
      </w:r>
      <w:r w:rsidR="005273B4" w:rsidRPr="008A3740">
        <w:rPr>
          <w:rFonts w:ascii="Verdana" w:eastAsia="Times" w:hAnsi="Verdana" w:cs="Arial"/>
          <w:sz w:val="20"/>
          <w:szCs w:val="20"/>
          <w:lang w:val="en-US"/>
        </w:rPr>
        <w:t xml:space="preserve">it </w:t>
      </w:r>
      <w:r w:rsidR="0062154B" w:rsidRPr="008A3740">
        <w:rPr>
          <w:rFonts w:ascii="Verdana" w:eastAsia="Times" w:hAnsi="Verdana" w:cs="Arial"/>
          <w:sz w:val="20"/>
          <w:szCs w:val="20"/>
          <w:lang w:val="en-US"/>
        </w:rPr>
        <w:t xml:space="preserve">emphasized </w:t>
      </w:r>
      <w:r w:rsidR="00EF1702" w:rsidRPr="008A3740">
        <w:rPr>
          <w:rFonts w:ascii="Verdana" w:eastAsia="Times" w:hAnsi="Verdana" w:cs="Arial"/>
          <w:sz w:val="20"/>
          <w:szCs w:val="20"/>
          <w:lang w:val="en-US"/>
        </w:rPr>
        <w:t xml:space="preserve">that the </w:t>
      </w:r>
      <w:r w:rsidR="00D433AC" w:rsidRPr="008A3740">
        <w:rPr>
          <w:rFonts w:ascii="Verdana" w:eastAsia="Times" w:hAnsi="Verdana" w:cs="Arial"/>
          <w:sz w:val="20"/>
          <w:szCs w:val="20"/>
          <w:lang w:val="en-US"/>
        </w:rPr>
        <w:t xml:space="preserve">rulings </w:t>
      </w:r>
      <w:r w:rsidR="009B6571" w:rsidRPr="008A3740">
        <w:rPr>
          <w:rFonts w:ascii="Verdana" w:eastAsia="Times" w:hAnsi="Verdana" w:cs="Arial"/>
          <w:sz w:val="20"/>
          <w:szCs w:val="20"/>
          <w:lang w:val="en-US"/>
        </w:rPr>
        <w:t xml:space="preserve">issued during the </w:t>
      </w:r>
      <w:r w:rsidRPr="008A3740">
        <w:rPr>
          <w:rFonts w:ascii="Verdana" w:eastAsia="Times" w:hAnsi="Verdana" w:cs="Arial"/>
          <w:sz w:val="20"/>
          <w:szCs w:val="20"/>
          <w:lang w:val="en-US"/>
        </w:rPr>
        <w:t xml:space="preserve">execution </w:t>
      </w:r>
      <w:r w:rsidR="005273B4" w:rsidRPr="008A3740">
        <w:rPr>
          <w:rFonts w:ascii="Verdana" w:eastAsia="Times" w:hAnsi="Verdana" w:cs="Arial"/>
          <w:sz w:val="20"/>
          <w:szCs w:val="20"/>
          <w:lang w:val="en-US"/>
        </w:rPr>
        <w:t>of judgment</w:t>
      </w:r>
      <w:r w:rsidRPr="008A3740">
        <w:rPr>
          <w:rFonts w:ascii="Verdana" w:eastAsia="Times" w:hAnsi="Verdana" w:cs="Arial"/>
          <w:sz w:val="20"/>
          <w:szCs w:val="20"/>
          <w:lang w:val="en-US"/>
        </w:rPr>
        <w:t xml:space="preserve"> </w:t>
      </w:r>
      <w:r w:rsidR="009B6571" w:rsidRPr="008A3740">
        <w:rPr>
          <w:rFonts w:ascii="Verdana" w:eastAsia="Times" w:hAnsi="Verdana" w:cs="Arial"/>
          <w:sz w:val="20"/>
          <w:szCs w:val="20"/>
          <w:lang w:val="en-US"/>
        </w:rPr>
        <w:t xml:space="preserve">stage </w:t>
      </w:r>
      <w:r w:rsidRPr="008A3740">
        <w:rPr>
          <w:rFonts w:ascii="Verdana" w:eastAsia="Times" w:hAnsi="Verdana" w:cs="Arial"/>
          <w:sz w:val="20"/>
          <w:szCs w:val="20"/>
          <w:lang w:val="en-US"/>
        </w:rPr>
        <w:t xml:space="preserve">were ineffective </w:t>
      </w:r>
      <w:r w:rsidR="00076DFB" w:rsidRPr="008A3740">
        <w:rPr>
          <w:rFonts w:ascii="Verdana" w:eastAsia="Times" w:hAnsi="Verdana" w:cs="Arial"/>
          <w:sz w:val="20"/>
          <w:szCs w:val="20"/>
          <w:lang w:val="en-US"/>
        </w:rPr>
        <w:t xml:space="preserve">in achieving </w:t>
      </w:r>
      <w:r w:rsidRPr="008A3740">
        <w:rPr>
          <w:rFonts w:ascii="Verdana" w:eastAsia="Times" w:hAnsi="Verdana" w:cs="Arial"/>
          <w:sz w:val="20"/>
          <w:szCs w:val="20"/>
          <w:lang w:val="en-US"/>
        </w:rPr>
        <w:t xml:space="preserve">compliance </w:t>
      </w:r>
      <w:r w:rsidR="005273B4" w:rsidRPr="008A3740">
        <w:rPr>
          <w:rFonts w:ascii="Verdana" w:eastAsia="Times" w:hAnsi="Verdana" w:cs="Arial"/>
          <w:sz w:val="20"/>
          <w:szCs w:val="20"/>
          <w:lang w:val="en-US"/>
        </w:rPr>
        <w:t>with the</w:t>
      </w:r>
      <w:r w:rsidRPr="008A3740">
        <w:rPr>
          <w:rFonts w:ascii="Verdana" w:eastAsia="Times" w:hAnsi="Verdana" w:cs="Arial"/>
          <w:sz w:val="20"/>
          <w:szCs w:val="20"/>
          <w:lang w:val="en-US"/>
        </w:rPr>
        <w:t xml:space="preserve"> judgments issued, and considered that </w:t>
      </w:r>
      <w:r w:rsidR="008C6C18" w:rsidRPr="008A3740">
        <w:rPr>
          <w:rFonts w:ascii="Verdana" w:eastAsia="Times" w:hAnsi="Verdana" w:cs="Arial"/>
          <w:sz w:val="20"/>
          <w:szCs w:val="20"/>
          <w:lang w:val="en-US"/>
        </w:rPr>
        <w:t xml:space="preserve">there </w:t>
      </w:r>
      <w:r w:rsidR="00076DFB" w:rsidRPr="008A3740">
        <w:rPr>
          <w:rFonts w:ascii="Verdana" w:eastAsia="Times" w:hAnsi="Verdana" w:cs="Arial"/>
          <w:sz w:val="20"/>
          <w:szCs w:val="20"/>
          <w:lang w:val="en-US"/>
        </w:rPr>
        <w:t xml:space="preserve">had been </w:t>
      </w:r>
      <w:r w:rsidRPr="008A3740">
        <w:rPr>
          <w:rFonts w:ascii="Verdana" w:eastAsia="Times" w:hAnsi="Verdana" w:cs="Arial"/>
          <w:sz w:val="20"/>
          <w:szCs w:val="20"/>
          <w:lang w:val="en-US"/>
        </w:rPr>
        <w:t>un</w:t>
      </w:r>
      <w:r w:rsidR="00316B52" w:rsidRPr="008A3740">
        <w:rPr>
          <w:rFonts w:ascii="Verdana" w:eastAsia="Times" w:hAnsi="Verdana" w:cs="Arial"/>
          <w:sz w:val="20"/>
          <w:szCs w:val="20"/>
          <w:lang w:val="en-US"/>
        </w:rPr>
        <w:t xml:space="preserve">warranted </w:t>
      </w:r>
      <w:r w:rsidRPr="008A3740">
        <w:rPr>
          <w:rFonts w:ascii="Verdana" w:eastAsia="Times" w:hAnsi="Verdana" w:cs="Arial"/>
          <w:sz w:val="20"/>
          <w:szCs w:val="20"/>
          <w:lang w:val="en-US"/>
        </w:rPr>
        <w:t xml:space="preserve">delays </w:t>
      </w:r>
      <w:r w:rsidR="008C6C18" w:rsidRPr="008A3740">
        <w:rPr>
          <w:rFonts w:ascii="Verdana" w:eastAsia="Times" w:hAnsi="Verdana" w:cs="Arial"/>
          <w:sz w:val="20"/>
          <w:szCs w:val="20"/>
          <w:lang w:val="en-US"/>
        </w:rPr>
        <w:t xml:space="preserve">by </w:t>
      </w:r>
      <w:r w:rsidRPr="008A3740">
        <w:rPr>
          <w:rFonts w:ascii="Verdana" w:eastAsia="Times" w:hAnsi="Verdana" w:cs="Arial"/>
          <w:sz w:val="20"/>
          <w:szCs w:val="20"/>
          <w:lang w:val="en-US"/>
        </w:rPr>
        <w:t xml:space="preserve">the State in </w:t>
      </w:r>
      <w:r w:rsidR="00316B52" w:rsidRPr="008A3740">
        <w:rPr>
          <w:rFonts w:ascii="Verdana" w:eastAsia="Times" w:hAnsi="Verdana" w:cs="Arial"/>
          <w:sz w:val="20"/>
          <w:szCs w:val="20"/>
          <w:lang w:val="en-US"/>
        </w:rPr>
        <w:t xml:space="preserve">resolving </w:t>
      </w:r>
      <w:r w:rsidRPr="008A3740">
        <w:rPr>
          <w:rFonts w:ascii="Verdana" w:eastAsia="Times" w:hAnsi="Verdana" w:cs="Arial"/>
          <w:sz w:val="20"/>
          <w:szCs w:val="20"/>
          <w:lang w:val="en-US"/>
        </w:rPr>
        <w:t xml:space="preserve">several appeals filed by both parties, as well as long periods </w:t>
      </w:r>
      <w:r w:rsidR="005273B4" w:rsidRPr="008A3740">
        <w:rPr>
          <w:rFonts w:ascii="Verdana" w:eastAsia="Times" w:hAnsi="Verdana" w:cs="Arial"/>
          <w:sz w:val="20"/>
          <w:szCs w:val="20"/>
          <w:lang w:val="en-US"/>
        </w:rPr>
        <w:t>of inactivity</w:t>
      </w:r>
      <w:r w:rsidRPr="008A3740">
        <w:rPr>
          <w:rFonts w:ascii="Verdana" w:eastAsia="Times" w:hAnsi="Verdana" w:cs="Arial"/>
          <w:sz w:val="20"/>
          <w:szCs w:val="20"/>
          <w:lang w:val="en-US"/>
        </w:rPr>
        <w:t xml:space="preserve"> during the execution p</w:t>
      </w:r>
      <w:r w:rsidR="00316B52" w:rsidRPr="008A3740">
        <w:rPr>
          <w:rFonts w:ascii="Verdana" w:eastAsia="Times" w:hAnsi="Verdana" w:cs="Arial"/>
          <w:sz w:val="20"/>
          <w:szCs w:val="20"/>
          <w:lang w:val="en-US"/>
        </w:rPr>
        <w:t>hase</w:t>
      </w:r>
      <w:r w:rsidRPr="008A3740">
        <w:rPr>
          <w:rFonts w:ascii="Verdana" w:eastAsia="Times" w:hAnsi="Verdana" w:cs="Arial"/>
          <w:sz w:val="20"/>
          <w:szCs w:val="20"/>
          <w:lang w:val="en-US"/>
        </w:rPr>
        <w:t xml:space="preserve">. As to the fourth element, the Commission </w:t>
      </w:r>
      <w:r w:rsidR="00076DFB" w:rsidRPr="008A3740">
        <w:rPr>
          <w:rFonts w:ascii="Verdana" w:eastAsia="Times" w:hAnsi="Verdana" w:cs="Arial"/>
          <w:sz w:val="20"/>
          <w:szCs w:val="20"/>
          <w:lang w:val="en-US"/>
        </w:rPr>
        <w:t xml:space="preserve">noted </w:t>
      </w:r>
      <w:r w:rsidRPr="008A3740">
        <w:rPr>
          <w:rFonts w:ascii="Verdana" w:eastAsia="Times" w:hAnsi="Verdana" w:cs="Arial"/>
          <w:sz w:val="20"/>
          <w:szCs w:val="20"/>
          <w:lang w:val="en-US"/>
        </w:rPr>
        <w:t>that a</w:t>
      </w:r>
      <w:r w:rsidR="008C6C18" w:rsidRPr="008A3740">
        <w:rPr>
          <w:rFonts w:ascii="Verdana" w:eastAsia="Times" w:hAnsi="Verdana" w:cs="Arial"/>
          <w:sz w:val="20"/>
          <w:szCs w:val="20"/>
          <w:lang w:val="en-US"/>
        </w:rPr>
        <w:t>n</w:t>
      </w:r>
      <w:r w:rsidR="00316B52" w:rsidRPr="008A3740">
        <w:rPr>
          <w:rFonts w:ascii="Verdana" w:eastAsia="Times" w:hAnsi="Verdana" w:cs="Arial"/>
          <w:sz w:val="20"/>
          <w:szCs w:val="20"/>
          <w:lang w:val="en-US"/>
        </w:rPr>
        <w:t>other</w:t>
      </w:r>
      <w:r w:rsidRPr="008A3740">
        <w:rPr>
          <w:rFonts w:ascii="Verdana" w:eastAsia="Times" w:hAnsi="Verdana" w:cs="Arial"/>
          <w:sz w:val="20"/>
          <w:szCs w:val="20"/>
          <w:lang w:val="en-US"/>
        </w:rPr>
        <w:t xml:space="preserve"> </w:t>
      </w:r>
      <w:r w:rsidR="008C6C18" w:rsidRPr="008A3740">
        <w:rPr>
          <w:rFonts w:ascii="Verdana" w:eastAsia="Times" w:hAnsi="Verdana" w:cs="Arial"/>
          <w:sz w:val="20"/>
          <w:szCs w:val="20"/>
          <w:lang w:val="en-US"/>
        </w:rPr>
        <w:t xml:space="preserve">factor in </w:t>
      </w:r>
      <w:r w:rsidR="00076DFB" w:rsidRPr="008A3740">
        <w:rPr>
          <w:rFonts w:ascii="Verdana" w:eastAsia="Times" w:hAnsi="Verdana" w:cs="Arial"/>
          <w:sz w:val="20"/>
          <w:szCs w:val="20"/>
          <w:lang w:val="en-US"/>
        </w:rPr>
        <w:t xml:space="preserve">determining </w:t>
      </w:r>
      <w:r w:rsidR="00316B52" w:rsidRPr="008A3740">
        <w:rPr>
          <w:rFonts w:ascii="Verdana" w:eastAsia="Times" w:hAnsi="Verdana" w:cs="Arial"/>
          <w:sz w:val="20"/>
          <w:szCs w:val="20"/>
          <w:lang w:val="en-US"/>
        </w:rPr>
        <w:t xml:space="preserve">what constitutes </w:t>
      </w:r>
      <w:r w:rsidR="00076DFB" w:rsidRPr="008A3740">
        <w:rPr>
          <w:rFonts w:ascii="Verdana" w:eastAsia="Times" w:hAnsi="Verdana" w:cs="Arial"/>
          <w:sz w:val="20"/>
          <w:szCs w:val="20"/>
          <w:lang w:val="en-US"/>
        </w:rPr>
        <w:t xml:space="preserve">an </w:t>
      </w:r>
      <w:r w:rsidRPr="008A3740">
        <w:rPr>
          <w:rFonts w:ascii="Verdana" w:eastAsia="Times" w:hAnsi="Verdana" w:cs="Arial"/>
          <w:sz w:val="20"/>
          <w:szCs w:val="20"/>
          <w:lang w:val="en-US"/>
        </w:rPr>
        <w:t>unreasonable</w:t>
      </w:r>
      <w:r w:rsidR="008C6C18" w:rsidRPr="008A3740">
        <w:rPr>
          <w:rFonts w:ascii="Verdana" w:eastAsia="Times" w:hAnsi="Verdana" w:cs="Arial"/>
          <w:sz w:val="20"/>
          <w:szCs w:val="20"/>
          <w:lang w:val="en-US"/>
        </w:rPr>
        <w:t xml:space="preserve"> </w:t>
      </w:r>
      <w:r w:rsidRPr="008A3740">
        <w:rPr>
          <w:rFonts w:ascii="Verdana" w:eastAsia="Times" w:hAnsi="Verdana" w:cs="Arial"/>
          <w:sz w:val="20"/>
          <w:szCs w:val="20"/>
          <w:lang w:val="en-US"/>
        </w:rPr>
        <w:t>t</w:t>
      </w:r>
      <w:r w:rsidR="00076DFB" w:rsidRPr="008A3740">
        <w:rPr>
          <w:rFonts w:ascii="Verdana" w:eastAsia="Times" w:hAnsi="Verdana" w:cs="Arial"/>
          <w:sz w:val="20"/>
          <w:szCs w:val="20"/>
          <w:lang w:val="en-US"/>
        </w:rPr>
        <w:t xml:space="preserve">ime </w:t>
      </w:r>
      <w:r w:rsidR="008C6C18" w:rsidRPr="008A3740">
        <w:rPr>
          <w:rFonts w:ascii="Verdana" w:eastAsia="Times" w:hAnsi="Verdana" w:cs="Arial"/>
          <w:sz w:val="20"/>
          <w:szCs w:val="20"/>
          <w:lang w:val="en-US"/>
        </w:rPr>
        <w:t>w</w:t>
      </w:r>
      <w:r w:rsidR="00076DFB" w:rsidRPr="008A3740">
        <w:rPr>
          <w:rFonts w:ascii="Verdana" w:eastAsia="Times" w:hAnsi="Verdana" w:cs="Arial"/>
          <w:sz w:val="20"/>
          <w:szCs w:val="20"/>
          <w:lang w:val="en-US"/>
        </w:rPr>
        <w:t xml:space="preserve">as </w:t>
      </w:r>
      <w:r w:rsidRPr="008A3740">
        <w:rPr>
          <w:rFonts w:ascii="Verdana" w:eastAsia="Times" w:hAnsi="Verdana" w:cs="Arial"/>
          <w:sz w:val="20"/>
          <w:szCs w:val="20"/>
          <w:lang w:val="en-US"/>
        </w:rPr>
        <w:t xml:space="preserve">the </w:t>
      </w:r>
      <w:r w:rsidR="00316B52" w:rsidRPr="008A3740">
        <w:rPr>
          <w:rFonts w:ascii="Verdana" w:eastAsia="Times" w:hAnsi="Verdana" w:cs="Arial"/>
          <w:sz w:val="20"/>
          <w:szCs w:val="20"/>
          <w:lang w:val="en-US"/>
        </w:rPr>
        <w:t xml:space="preserve">adverse </w:t>
      </w:r>
      <w:r w:rsidR="00076DFB" w:rsidRPr="008A3740">
        <w:rPr>
          <w:rFonts w:ascii="Verdana" w:eastAsia="Times" w:hAnsi="Verdana" w:cs="Arial"/>
          <w:sz w:val="20"/>
          <w:szCs w:val="20"/>
          <w:lang w:val="en-US"/>
        </w:rPr>
        <w:t>effect</w:t>
      </w:r>
      <w:r w:rsidR="009B6571" w:rsidRPr="008A3740">
        <w:rPr>
          <w:rFonts w:ascii="Verdana" w:eastAsia="Times" w:hAnsi="Verdana" w:cs="Arial"/>
          <w:sz w:val="20"/>
          <w:szCs w:val="20"/>
          <w:lang w:val="en-US"/>
        </w:rPr>
        <w:t xml:space="preserve"> </w:t>
      </w:r>
      <w:r w:rsidR="00076DFB" w:rsidRPr="008A3740">
        <w:rPr>
          <w:rFonts w:ascii="Verdana" w:eastAsia="Times" w:hAnsi="Verdana" w:cs="Arial"/>
          <w:sz w:val="20"/>
          <w:szCs w:val="20"/>
          <w:lang w:val="en-US"/>
        </w:rPr>
        <w:t xml:space="preserve">of the </w:t>
      </w:r>
      <w:r w:rsidR="00316B52" w:rsidRPr="008A3740">
        <w:rPr>
          <w:rFonts w:ascii="Verdana" w:eastAsia="Times" w:hAnsi="Verdana" w:cs="Arial"/>
          <w:sz w:val="20"/>
          <w:szCs w:val="20"/>
          <w:lang w:val="en-US"/>
        </w:rPr>
        <w:t xml:space="preserve">lengthy </w:t>
      </w:r>
      <w:r w:rsidR="00076DFB" w:rsidRPr="008A3740">
        <w:rPr>
          <w:rFonts w:ascii="Verdana" w:eastAsia="Times" w:hAnsi="Verdana" w:cs="Arial"/>
          <w:sz w:val="20"/>
          <w:szCs w:val="20"/>
          <w:lang w:val="en-US"/>
        </w:rPr>
        <w:t>proce</w:t>
      </w:r>
      <w:r w:rsidR="00316B52" w:rsidRPr="008A3740">
        <w:rPr>
          <w:rFonts w:ascii="Verdana" w:eastAsia="Times" w:hAnsi="Verdana" w:cs="Arial"/>
          <w:sz w:val="20"/>
          <w:szCs w:val="20"/>
          <w:lang w:val="en-US"/>
        </w:rPr>
        <w:t xml:space="preserve">edings </w:t>
      </w:r>
      <w:r w:rsidR="00076DFB" w:rsidRPr="008A3740">
        <w:rPr>
          <w:rFonts w:ascii="Verdana" w:eastAsia="Times" w:hAnsi="Verdana" w:cs="Arial"/>
          <w:sz w:val="20"/>
          <w:szCs w:val="20"/>
          <w:lang w:val="en-US"/>
        </w:rPr>
        <w:t>o</w:t>
      </w:r>
      <w:r w:rsidRPr="008A3740">
        <w:rPr>
          <w:rFonts w:ascii="Verdana" w:eastAsia="Times" w:hAnsi="Verdana" w:cs="Arial"/>
          <w:sz w:val="20"/>
          <w:szCs w:val="20"/>
          <w:lang w:val="en-US"/>
        </w:rPr>
        <w:t>n Mr. Muelle Flores’ legal situ</w:t>
      </w:r>
      <w:r w:rsidR="00076DFB" w:rsidRPr="008A3740">
        <w:rPr>
          <w:rFonts w:ascii="Verdana" w:eastAsia="Times" w:hAnsi="Verdana" w:cs="Arial"/>
          <w:sz w:val="20"/>
          <w:szCs w:val="20"/>
          <w:lang w:val="en-US"/>
        </w:rPr>
        <w:t>ation.</w:t>
      </w:r>
      <w:r w:rsidR="009B6571" w:rsidRPr="008A3740">
        <w:rPr>
          <w:rFonts w:ascii="Verdana" w:eastAsia="Times" w:hAnsi="Verdana" w:cs="Arial"/>
          <w:sz w:val="20"/>
          <w:szCs w:val="20"/>
          <w:lang w:val="en-US"/>
        </w:rPr>
        <w:t xml:space="preserve"> </w:t>
      </w:r>
      <w:r w:rsidR="00EF1702" w:rsidRPr="008A3740">
        <w:rPr>
          <w:rFonts w:ascii="Verdana" w:eastAsia="Times" w:hAnsi="Verdana" w:cs="Arial"/>
          <w:sz w:val="20"/>
          <w:szCs w:val="20"/>
          <w:lang w:val="en-US"/>
        </w:rPr>
        <w:t xml:space="preserve">The Commission stressed that the victim </w:t>
      </w:r>
      <w:r w:rsidR="001477FB" w:rsidRPr="008A3740">
        <w:rPr>
          <w:rFonts w:ascii="Verdana" w:eastAsia="Times" w:hAnsi="Verdana" w:cs="Arial"/>
          <w:sz w:val="20"/>
          <w:szCs w:val="20"/>
          <w:lang w:val="en-US"/>
        </w:rPr>
        <w:t xml:space="preserve">was more than </w:t>
      </w:r>
      <w:r w:rsidR="009B6571" w:rsidRPr="008A3740">
        <w:rPr>
          <w:rFonts w:ascii="Verdana" w:eastAsia="Times" w:hAnsi="Verdana" w:cs="Arial"/>
          <w:sz w:val="20"/>
          <w:szCs w:val="20"/>
          <w:lang w:val="en-US"/>
        </w:rPr>
        <w:t xml:space="preserve">80 years </w:t>
      </w:r>
      <w:r w:rsidR="001477FB" w:rsidRPr="008A3740">
        <w:rPr>
          <w:rFonts w:ascii="Verdana" w:eastAsia="Times" w:hAnsi="Verdana" w:cs="Arial"/>
          <w:sz w:val="20"/>
          <w:szCs w:val="20"/>
          <w:lang w:val="en-US"/>
        </w:rPr>
        <w:t xml:space="preserve">of age </w:t>
      </w:r>
      <w:r w:rsidR="009B6571" w:rsidRPr="008A3740">
        <w:rPr>
          <w:rFonts w:ascii="Verdana" w:eastAsia="Times" w:hAnsi="Verdana" w:cs="Arial"/>
          <w:sz w:val="20"/>
          <w:szCs w:val="20"/>
          <w:lang w:val="en-US"/>
        </w:rPr>
        <w:t>and in a precarious financial and health</w:t>
      </w:r>
      <w:r w:rsidRPr="008A3740">
        <w:rPr>
          <w:rFonts w:ascii="Verdana" w:eastAsia="Times" w:hAnsi="Verdana" w:cs="Arial"/>
          <w:sz w:val="20"/>
          <w:szCs w:val="20"/>
          <w:lang w:val="en-US"/>
        </w:rPr>
        <w:t xml:space="preserve"> situation, </w:t>
      </w:r>
      <w:r w:rsidR="00EF1702" w:rsidRPr="008A3740">
        <w:rPr>
          <w:rFonts w:ascii="Verdana" w:eastAsia="Times" w:hAnsi="Verdana" w:cs="Arial"/>
          <w:sz w:val="20"/>
          <w:szCs w:val="20"/>
          <w:lang w:val="en-US"/>
        </w:rPr>
        <w:t xml:space="preserve">given that </w:t>
      </w:r>
      <w:r w:rsidR="001477FB" w:rsidRPr="008A3740">
        <w:rPr>
          <w:rFonts w:ascii="Verdana" w:eastAsia="Times" w:hAnsi="Verdana" w:cs="Arial"/>
          <w:sz w:val="20"/>
          <w:szCs w:val="20"/>
          <w:lang w:val="en-US"/>
        </w:rPr>
        <w:t>more than 27 years had</w:t>
      </w:r>
      <w:r w:rsidRPr="008A3740">
        <w:rPr>
          <w:rFonts w:ascii="Verdana" w:eastAsia="Times" w:hAnsi="Verdana" w:cs="Arial"/>
          <w:sz w:val="20"/>
          <w:szCs w:val="20"/>
          <w:lang w:val="en-US"/>
        </w:rPr>
        <w:t xml:space="preserve"> </w:t>
      </w:r>
      <w:r w:rsidR="001477FB" w:rsidRPr="008A3740">
        <w:rPr>
          <w:rFonts w:ascii="Verdana" w:eastAsia="Times" w:hAnsi="Verdana" w:cs="Arial"/>
          <w:sz w:val="20"/>
          <w:szCs w:val="20"/>
          <w:lang w:val="en-US"/>
        </w:rPr>
        <w:t xml:space="preserve">elapsed </w:t>
      </w:r>
      <w:r w:rsidR="009B6571" w:rsidRPr="008A3740">
        <w:rPr>
          <w:rFonts w:ascii="Verdana" w:eastAsia="Times" w:hAnsi="Verdana" w:cs="Arial"/>
          <w:sz w:val="20"/>
          <w:szCs w:val="20"/>
          <w:lang w:val="en-US"/>
        </w:rPr>
        <w:t xml:space="preserve">without being able to enjoy </w:t>
      </w:r>
      <w:r w:rsidR="00EF1702" w:rsidRPr="008A3740">
        <w:rPr>
          <w:rFonts w:ascii="Verdana" w:eastAsia="Times" w:hAnsi="Verdana" w:cs="Arial"/>
          <w:sz w:val="20"/>
          <w:szCs w:val="20"/>
          <w:lang w:val="en-US"/>
        </w:rPr>
        <w:t>his pension under the legally r</w:t>
      </w:r>
      <w:r w:rsidRPr="008A3740">
        <w:rPr>
          <w:rFonts w:ascii="Verdana" w:eastAsia="Times" w:hAnsi="Verdana" w:cs="Arial"/>
          <w:sz w:val="20"/>
          <w:szCs w:val="20"/>
          <w:lang w:val="en-US"/>
        </w:rPr>
        <w:t xml:space="preserve">ecognized </w:t>
      </w:r>
      <w:r w:rsidR="00EF1702" w:rsidRPr="008A3740">
        <w:rPr>
          <w:rFonts w:ascii="Verdana" w:eastAsia="Times" w:hAnsi="Verdana" w:cs="Arial"/>
          <w:sz w:val="20"/>
          <w:szCs w:val="20"/>
          <w:lang w:val="en-US"/>
        </w:rPr>
        <w:t>terms</w:t>
      </w:r>
      <w:r w:rsidRPr="008A3740">
        <w:rPr>
          <w:rFonts w:ascii="Verdana" w:eastAsia="Times" w:hAnsi="Verdana" w:cs="Arial"/>
          <w:sz w:val="20"/>
          <w:szCs w:val="20"/>
          <w:lang w:val="en-US"/>
        </w:rPr>
        <w:t xml:space="preserve">. </w:t>
      </w:r>
      <w:r w:rsidR="001B08A9" w:rsidRPr="008A3740">
        <w:rPr>
          <w:rFonts w:ascii="Verdana" w:eastAsia="Times" w:hAnsi="Verdana" w:cs="Arial"/>
          <w:sz w:val="20"/>
          <w:szCs w:val="20"/>
          <w:lang w:val="en-US"/>
        </w:rPr>
        <w:t>Accordingly</w:t>
      </w:r>
      <w:r w:rsidRPr="008A3740">
        <w:rPr>
          <w:rFonts w:ascii="Verdana" w:eastAsia="Times" w:hAnsi="Verdana" w:cs="Arial"/>
          <w:sz w:val="20"/>
          <w:szCs w:val="20"/>
          <w:lang w:val="en-US"/>
        </w:rPr>
        <w:t xml:space="preserve">, </w:t>
      </w:r>
      <w:r w:rsidR="00EF1702" w:rsidRPr="008A3740">
        <w:rPr>
          <w:rFonts w:ascii="Verdana" w:eastAsia="Times" w:hAnsi="Verdana" w:cs="Arial"/>
          <w:sz w:val="20"/>
          <w:szCs w:val="20"/>
          <w:lang w:val="en-US"/>
        </w:rPr>
        <w:t xml:space="preserve">it </w:t>
      </w:r>
      <w:r w:rsidRPr="008A3740">
        <w:rPr>
          <w:rFonts w:ascii="Verdana" w:eastAsia="Times" w:hAnsi="Verdana" w:cs="Arial"/>
          <w:sz w:val="20"/>
          <w:szCs w:val="20"/>
          <w:lang w:val="en-US"/>
        </w:rPr>
        <w:t xml:space="preserve">concluded that the State was responsible for the violation of the right to a </w:t>
      </w:r>
      <w:r w:rsidR="005E5FED" w:rsidRPr="008A3740">
        <w:rPr>
          <w:rFonts w:ascii="Verdana" w:eastAsia="Times" w:hAnsi="Verdana" w:cs="Arial"/>
          <w:sz w:val="20"/>
          <w:szCs w:val="20"/>
          <w:lang w:val="en-US"/>
        </w:rPr>
        <w:t>reasonable time</w:t>
      </w:r>
      <w:r w:rsidRPr="008A3740">
        <w:rPr>
          <w:rFonts w:ascii="Verdana" w:eastAsia="Times" w:hAnsi="Verdana" w:cs="Arial"/>
          <w:sz w:val="20"/>
          <w:szCs w:val="20"/>
          <w:lang w:val="en-US"/>
        </w:rPr>
        <w:t xml:space="preserve"> established in Article 8(1) in relation to Article 1(1) of the American Convention, to the detriment of Mr. Muelle Flores</w:t>
      </w:r>
      <w:r w:rsidRPr="008A3740">
        <w:rPr>
          <w:rFonts w:ascii="Verdana" w:eastAsia="Times" w:hAnsi="Verdana" w:cs="Arial"/>
          <w:b/>
          <w:sz w:val="20"/>
          <w:szCs w:val="20"/>
          <w:lang w:val="en-US"/>
        </w:rPr>
        <w:t xml:space="preserve">. </w:t>
      </w:r>
    </w:p>
    <w:p w14:paraId="28888C60" w14:textId="77777777" w:rsidR="008E6A56" w:rsidRPr="008A3740" w:rsidRDefault="008E6A56" w:rsidP="008E6A56">
      <w:pPr>
        <w:pStyle w:val="Estilo1"/>
        <w:tabs>
          <w:tab w:val="left" w:pos="709"/>
          <w:tab w:val="left" w:pos="1134"/>
        </w:tabs>
        <w:spacing w:after="0"/>
        <w:ind w:left="0" w:right="0" w:firstLine="0"/>
        <w:rPr>
          <w:rFonts w:eastAsia="Times" w:cs="Arial"/>
          <w:i w:val="0"/>
          <w:szCs w:val="20"/>
          <w:lang w:val="en-US"/>
        </w:rPr>
      </w:pPr>
    </w:p>
    <w:p w14:paraId="197E0383"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cs="Arial"/>
          <w:i/>
          <w:sz w:val="20"/>
          <w:szCs w:val="20"/>
          <w:lang w:val="en-US"/>
        </w:rPr>
      </w:pPr>
      <w:r w:rsidRPr="008A3740">
        <w:rPr>
          <w:rFonts w:ascii="Verdana" w:eastAsia="Times" w:hAnsi="Verdana" w:cs="Arial"/>
          <w:sz w:val="20"/>
          <w:szCs w:val="20"/>
          <w:lang w:val="en-US"/>
        </w:rPr>
        <w:t xml:space="preserve">The </w:t>
      </w:r>
      <w:r w:rsidRPr="008A3740">
        <w:rPr>
          <w:rFonts w:ascii="Verdana" w:eastAsia="Times" w:hAnsi="Verdana" w:cs="Arial"/>
          <w:b/>
          <w:i/>
          <w:sz w:val="20"/>
          <w:szCs w:val="20"/>
          <w:lang w:val="en-US"/>
        </w:rPr>
        <w:t>representatives</w:t>
      </w:r>
      <w:r w:rsidRPr="008A3740">
        <w:rPr>
          <w:rFonts w:ascii="Verdana" w:eastAsia="Times" w:hAnsi="Verdana" w:cs="Arial"/>
          <w:sz w:val="20"/>
          <w:szCs w:val="20"/>
          <w:lang w:val="en-US"/>
        </w:rPr>
        <w:t xml:space="preserve"> agreed </w:t>
      </w:r>
      <w:r w:rsidR="00EF1702" w:rsidRPr="008A3740">
        <w:rPr>
          <w:rFonts w:ascii="Verdana" w:eastAsia="Times" w:hAnsi="Verdana" w:cs="Arial"/>
          <w:sz w:val="20"/>
          <w:szCs w:val="20"/>
          <w:lang w:val="en-US"/>
        </w:rPr>
        <w:t xml:space="preserve">in all respects with </w:t>
      </w:r>
      <w:r w:rsidRPr="008A3740">
        <w:rPr>
          <w:rFonts w:ascii="Verdana" w:eastAsia="Times" w:hAnsi="Verdana" w:cs="Arial"/>
          <w:sz w:val="20"/>
          <w:szCs w:val="20"/>
          <w:lang w:val="en-US"/>
        </w:rPr>
        <w:t xml:space="preserve">the </w:t>
      </w:r>
      <w:r w:rsidR="008C6C18" w:rsidRPr="008A3740">
        <w:rPr>
          <w:rFonts w:ascii="Verdana" w:eastAsia="Times" w:hAnsi="Verdana" w:cs="Arial"/>
          <w:sz w:val="20"/>
          <w:szCs w:val="20"/>
          <w:lang w:val="en-US"/>
        </w:rPr>
        <w:t xml:space="preserve">Commission’s </w:t>
      </w:r>
      <w:r w:rsidRPr="008A3740">
        <w:rPr>
          <w:rFonts w:ascii="Verdana" w:eastAsia="Times" w:hAnsi="Verdana" w:cs="Arial"/>
          <w:sz w:val="20"/>
          <w:szCs w:val="20"/>
          <w:lang w:val="en-US"/>
        </w:rPr>
        <w:t xml:space="preserve">arguments. They </w:t>
      </w:r>
      <w:r w:rsidR="001477FB" w:rsidRPr="008A3740">
        <w:rPr>
          <w:rFonts w:ascii="Verdana" w:eastAsia="Times" w:hAnsi="Verdana" w:cs="Arial"/>
          <w:sz w:val="20"/>
          <w:szCs w:val="20"/>
          <w:lang w:val="en-US"/>
        </w:rPr>
        <w:t xml:space="preserve">added </w:t>
      </w:r>
      <w:r w:rsidRPr="008A3740">
        <w:rPr>
          <w:rFonts w:ascii="Verdana" w:eastAsia="Times" w:hAnsi="Verdana" w:cs="Arial"/>
          <w:sz w:val="20"/>
          <w:szCs w:val="20"/>
          <w:lang w:val="en-US"/>
        </w:rPr>
        <w:t>tha</w:t>
      </w:r>
      <w:r w:rsidR="00142ADE" w:rsidRPr="008A3740">
        <w:rPr>
          <w:rFonts w:ascii="Verdana" w:eastAsia="Times" w:hAnsi="Verdana" w:cs="Arial"/>
          <w:sz w:val="20"/>
          <w:szCs w:val="20"/>
          <w:lang w:val="en-US"/>
        </w:rPr>
        <w:t xml:space="preserve">t the State’s argument that </w:t>
      </w:r>
      <w:r w:rsidRPr="008A3740">
        <w:rPr>
          <w:rFonts w:ascii="Verdana" w:eastAsia="Times" w:hAnsi="Verdana" w:cs="Arial"/>
          <w:sz w:val="20"/>
          <w:szCs w:val="20"/>
          <w:lang w:val="en-US"/>
        </w:rPr>
        <w:t>“</w:t>
      </w:r>
      <w:r w:rsidR="00142ADE" w:rsidRPr="008A3740">
        <w:rPr>
          <w:rFonts w:ascii="Verdana" w:eastAsia="Times" w:hAnsi="Verdana" w:cs="Arial"/>
          <w:sz w:val="20"/>
          <w:szCs w:val="20"/>
          <w:lang w:val="en-US"/>
        </w:rPr>
        <w:t xml:space="preserve">the </w:t>
      </w:r>
      <w:r w:rsidRPr="008A3740">
        <w:rPr>
          <w:rFonts w:ascii="Verdana" w:eastAsia="Times" w:hAnsi="Verdana" w:cs="Arial"/>
          <w:sz w:val="20"/>
          <w:szCs w:val="20"/>
          <w:lang w:val="en-US"/>
        </w:rPr>
        <w:t xml:space="preserve">execution </w:t>
      </w:r>
      <w:r w:rsidR="00EF1702" w:rsidRPr="008A3740">
        <w:rPr>
          <w:rFonts w:ascii="Verdana" w:eastAsia="Times" w:hAnsi="Verdana" w:cs="Arial"/>
          <w:sz w:val="20"/>
          <w:szCs w:val="20"/>
          <w:lang w:val="en-US"/>
        </w:rPr>
        <w:t>of the plaintiff’s claim</w:t>
      </w:r>
      <w:r w:rsidR="00142ADE" w:rsidRPr="008A3740">
        <w:rPr>
          <w:rFonts w:ascii="Verdana" w:eastAsia="Times" w:hAnsi="Verdana" w:cs="Arial"/>
          <w:sz w:val="20"/>
          <w:szCs w:val="20"/>
          <w:lang w:val="en-US"/>
        </w:rPr>
        <w:t xml:space="preserve"> </w:t>
      </w:r>
      <w:r w:rsidR="00EF1702" w:rsidRPr="008A3740">
        <w:rPr>
          <w:rFonts w:ascii="Verdana" w:eastAsia="Times" w:hAnsi="Verdana" w:cs="Arial"/>
          <w:sz w:val="20"/>
          <w:szCs w:val="20"/>
          <w:lang w:val="en-US"/>
        </w:rPr>
        <w:t>[</w:t>
      </w:r>
      <w:r w:rsidR="00142ADE" w:rsidRPr="008A3740">
        <w:rPr>
          <w:rFonts w:ascii="Verdana" w:eastAsia="Times" w:hAnsi="Verdana" w:cs="Arial"/>
          <w:sz w:val="20"/>
          <w:szCs w:val="20"/>
          <w:lang w:val="en-US"/>
        </w:rPr>
        <w:t>was</w:t>
      </w:r>
      <w:r w:rsidR="00EF1702" w:rsidRPr="008A3740">
        <w:rPr>
          <w:rFonts w:ascii="Verdana" w:eastAsia="Times" w:hAnsi="Verdana" w:cs="Arial"/>
          <w:sz w:val="20"/>
          <w:szCs w:val="20"/>
          <w:lang w:val="en-US"/>
        </w:rPr>
        <w:t>]</w:t>
      </w:r>
      <w:r w:rsidR="00142ADE" w:rsidRPr="008A3740">
        <w:rPr>
          <w:rFonts w:ascii="Verdana" w:eastAsia="Times" w:hAnsi="Verdana" w:cs="Arial"/>
          <w:sz w:val="20"/>
          <w:szCs w:val="20"/>
          <w:lang w:val="en-US"/>
        </w:rPr>
        <w:t xml:space="preserve"> no longer viable </w:t>
      </w:r>
      <w:r w:rsidR="00EF1702" w:rsidRPr="008A3740">
        <w:rPr>
          <w:rFonts w:ascii="Verdana" w:eastAsia="Times" w:hAnsi="Verdana" w:cs="Arial"/>
          <w:sz w:val="20"/>
          <w:szCs w:val="20"/>
          <w:lang w:val="en-US"/>
        </w:rPr>
        <w:t>[</w:t>
      </w:r>
      <w:r w:rsidR="00142ADE" w:rsidRPr="008A3740">
        <w:rPr>
          <w:rFonts w:ascii="Verdana" w:eastAsia="Times" w:hAnsi="Verdana" w:cs="Arial"/>
          <w:sz w:val="20"/>
          <w:szCs w:val="20"/>
          <w:lang w:val="en-US"/>
        </w:rPr>
        <w:t>…</w:t>
      </w:r>
      <w:r w:rsidR="00EF1702" w:rsidRPr="008A3740">
        <w:rPr>
          <w:rFonts w:ascii="Verdana" w:eastAsia="Times" w:hAnsi="Verdana" w:cs="Arial"/>
          <w:sz w:val="20"/>
          <w:szCs w:val="20"/>
          <w:lang w:val="en-US"/>
        </w:rPr>
        <w:t>]</w:t>
      </w:r>
      <w:r w:rsidR="00142ADE" w:rsidRPr="008A3740">
        <w:rPr>
          <w:rFonts w:ascii="Verdana" w:eastAsia="Times" w:hAnsi="Verdana" w:cs="Arial"/>
          <w:sz w:val="20"/>
          <w:szCs w:val="20"/>
          <w:lang w:val="en-US"/>
        </w:rPr>
        <w:t xml:space="preserve"> </w:t>
      </w:r>
      <w:r w:rsidR="003C394D" w:rsidRPr="008A3740">
        <w:rPr>
          <w:rFonts w:ascii="Verdana" w:eastAsia="Times" w:hAnsi="Verdana" w:cs="Arial"/>
          <w:sz w:val="20"/>
          <w:szCs w:val="20"/>
          <w:lang w:val="en-US"/>
        </w:rPr>
        <w:t xml:space="preserve">given that </w:t>
      </w:r>
      <w:r w:rsidRPr="008A3740">
        <w:rPr>
          <w:rFonts w:ascii="Verdana" w:eastAsia="Times" w:hAnsi="Verdana" w:cs="Arial"/>
          <w:sz w:val="20"/>
          <w:szCs w:val="20"/>
          <w:lang w:val="en-US"/>
        </w:rPr>
        <w:t xml:space="preserve">the </w:t>
      </w:r>
      <w:r w:rsidR="00142ADE" w:rsidRPr="008A3740">
        <w:rPr>
          <w:rFonts w:ascii="Verdana" w:eastAsia="Times" w:hAnsi="Verdana" w:cs="Arial"/>
          <w:sz w:val="20"/>
          <w:szCs w:val="20"/>
          <w:lang w:val="en-US"/>
        </w:rPr>
        <w:t xml:space="preserve">respondent </w:t>
      </w:r>
      <w:r w:rsidRPr="008A3740">
        <w:rPr>
          <w:rFonts w:ascii="Verdana" w:eastAsia="Times" w:hAnsi="Verdana" w:cs="Arial"/>
          <w:sz w:val="20"/>
          <w:szCs w:val="20"/>
          <w:lang w:val="en-US"/>
        </w:rPr>
        <w:t xml:space="preserve">company was a private company,” was not </w:t>
      </w:r>
      <w:r w:rsidR="00142ADE" w:rsidRPr="008A3740">
        <w:rPr>
          <w:rFonts w:ascii="Verdana" w:eastAsia="Times" w:hAnsi="Verdana" w:cs="Arial"/>
          <w:sz w:val="20"/>
          <w:szCs w:val="20"/>
          <w:lang w:val="en-US"/>
        </w:rPr>
        <w:t>worthy of consideration</w:t>
      </w:r>
      <w:r w:rsidRPr="008A3740">
        <w:rPr>
          <w:rFonts w:ascii="Verdana" w:eastAsia="Times" w:hAnsi="Verdana" w:cs="Arial"/>
          <w:sz w:val="20"/>
          <w:szCs w:val="20"/>
          <w:lang w:val="en-US"/>
        </w:rPr>
        <w:t xml:space="preserve">, since both the ONP and the MEF were aware of </w:t>
      </w:r>
      <w:r w:rsidR="003C394D" w:rsidRPr="008A3740">
        <w:rPr>
          <w:rFonts w:ascii="Verdana" w:eastAsia="Times" w:hAnsi="Verdana" w:cs="Arial"/>
          <w:sz w:val="20"/>
          <w:szCs w:val="20"/>
          <w:lang w:val="en-US"/>
        </w:rPr>
        <w:t xml:space="preserve">the </w:t>
      </w:r>
      <w:r w:rsidRPr="008A3740">
        <w:rPr>
          <w:rFonts w:ascii="Verdana" w:eastAsia="Times" w:hAnsi="Verdana" w:cs="Arial"/>
          <w:sz w:val="20"/>
          <w:szCs w:val="20"/>
          <w:lang w:val="en-US"/>
        </w:rPr>
        <w:t>e</w:t>
      </w:r>
      <w:r w:rsidR="007871BC" w:rsidRPr="008A3740">
        <w:rPr>
          <w:rFonts w:ascii="Verdana" w:eastAsia="Times" w:hAnsi="Verdana" w:cs="Arial"/>
          <w:sz w:val="20"/>
          <w:szCs w:val="20"/>
          <w:lang w:val="en-US"/>
        </w:rPr>
        <w:t xml:space="preserve">xecution </w:t>
      </w:r>
      <w:r w:rsidRPr="008A3740">
        <w:rPr>
          <w:rFonts w:ascii="Verdana" w:eastAsia="Times" w:hAnsi="Verdana" w:cs="Arial"/>
          <w:sz w:val="20"/>
          <w:szCs w:val="20"/>
          <w:lang w:val="en-US"/>
        </w:rPr>
        <w:t>process</w:t>
      </w:r>
      <w:r w:rsidR="005273B4" w:rsidRPr="008A3740">
        <w:rPr>
          <w:rFonts w:ascii="Verdana" w:eastAsia="Times" w:hAnsi="Verdana" w:cs="Arial"/>
          <w:b/>
          <w:sz w:val="20"/>
          <w:szCs w:val="20"/>
          <w:lang w:val="en-US"/>
        </w:rPr>
        <w:t>.</w:t>
      </w:r>
      <w:r w:rsidRPr="008A3740">
        <w:rPr>
          <w:rFonts w:ascii="Verdana" w:eastAsia="Times" w:hAnsi="Verdana" w:cs="Arial"/>
          <w:b/>
          <w:sz w:val="20"/>
          <w:szCs w:val="20"/>
          <w:lang w:val="en-US"/>
        </w:rPr>
        <w:t xml:space="preserve"> </w:t>
      </w:r>
      <w:r w:rsidR="00142ADE" w:rsidRPr="008A3740">
        <w:rPr>
          <w:rFonts w:ascii="Verdana" w:eastAsia="Times" w:hAnsi="Verdana" w:cs="Arial"/>
          <w:sz w:val="20"/>
          <w:szCs w:val="20"/>
          <w:lang w:val="en-US"/>
        </w:rPr>
        <w:t>T</w:t>
      </w:r>
      <w:r w:rsidRPr="008A3740">
        <w:rPr>
          <w:rFonts w:ascii="Verdana" w:eastAsia="Times" w:hAnsi="Verdana" w:cs="Arial"/>
          <w:sz w:val="20"/>
          <w:szCs w:val="20"/>
          <w:lang w:val="en-US"/>
        </w:rPr>
        <w:t xml:space="preserve">hey </w:t>
      </w:r>
      <w:r w:rsidR="00142ADE" w:rsidRPr="008A3740">
        <w:rPr>
          <w:rFonts w:ascii="Verdana" w:eastAsia="Times" w:hAnsi="Verdana" w:cs="Arial"/>
          <w:sz w:val="20"/>
          <w:szCs w:val="20"/>
          <w:lang w:val="en-US"/>
        </w:rPr>
        <w:t xml:space="preserve">also </w:t>
      </w:r>
      <w:r w:rsidRPr="008A3740">
        <w:rPr>
          <w:rFonts w:ascii="Verdana" w:eastAsia="Times" w:hAnsi="Verdana" w:cs="Arial"/>
          <w:sz w:val="20"/>
          <w:szCs w:val="20"/>
          <w:lang w:val="en-US"/>
        </w:rPr>
        <w:t>held that, bearing in mind the provisions of Article 22 of Peru’s Code of Constitutional P</w:t>
      </w:r>
      <w:r w:rsidR="003C394D" w:rsidRPr="008A3740">
        <w:rPr>
          <w:rFonts w:ascii="Verdana" w:eastAsia="Times" w:hAnsi="Verdana" w:cs="Arial"/>
          <w:sz w:val="20"/>
          <w:szCs w:val="20"/>
          <w:lang w:val="en-US"/>
        </w:rPr>
        <w:t>rocedure, which states that “a</w:t>
      </w:r>
      <w:r w:rsidRPr="008A3740">
        <w:rPr>
          <w:rFonts w:ascii="Verdana" w:eastAsia="Times" w:hAnsi="Verdana" w:cs="Arial"/>
          <w:sz w:val="20"/>
          <w:szCs w:val="20"/>
          <w:lang w:val="en-US"/>
        </w:rPr>
        <w:t xml:space="preserve"> judgment that orde</w:t>
      </w:r>
      <w:r w:rsidR="00335181" w:rsidRPr="008A3740">
        <w:rPr>
          <w:rFonts w:ascii="Verdana" w:eastAsia="Times" w:hAnsi="Verdana" w:cs="Arial"/>
          <w:sz w:val="20"/>
          <w:szCs w:val="20"/>
          <w:lang w:val="en-US"/>
        </w:rPr>
        <w:t xml:space="preserve">rs the implementation of a benefit </w:t>
      </w:r>
      <w:r w:rsidR="005F0777" w:rsidRPr="008A3740">
        <w:rPr>
          <w:rFonts w:ascii="Verdana" w:eastAsia="Times" w:hAnsi="Verdana" w:cs="Arial"/>
          <w:sz w:val="20"/>
          <w:szCs w:val="20"/>
          <w:lang w:val="en-US"/>
        </w:rPr>
        <w:t xml:space="preserve">that implies giving, doing or not doing </w:t>
      </w:r>
      <w:r w:rsidRPr="008A3740">
        <w:rPr>
          <w:rFonts w:ascii="Verdana" w:eastAsia="Times" w:hAnsi="Verdana" w:cs="Arial"/>
          <w:sz w:val="20"/>
          <w:szCs w:val="20"/>
          <w:lang w:val="en-US"/>
        </w:rPr>
        <w:t xml:space="preserve">is </w:t>
      </w:r>
      <w:r w:rsidR="00E3775E" w:rsidRPr="008A3740">
        <w:rPr>
          <w:rFonts w:ascii="Verdana" w:eastAsia="Times" w:hAnsi="Verdana" w:cs="Arial"/>
          <w:sz w:val="20"/>
          <w:szCs w:val="20"/>
          <w:lang w:val="en-US"/>
        </w:rPr>
        <w:t>immediate</w:t>
      </w:r>
      <w:r w:rsidR="003C394D" w:rsidRPr="008A3740">
        <w:rPr>
          <w:rFonts w:ascii="Verdana" w:eastAsia="Times" w:hAnsi="Verdana" w:cs="Arial"/>
          <w:sz w:val="20"/>
          <w:szCs w:val="20"/>
          <w:lang w:val="en-US"/>
        </w:rPr>
        <w:t>ly actionable</w:t>
      </w:r>
      <w:r w:rsidR="007871BC" w:rsidRPr="008A3740">
        <w:rPr>
          <w:rFonts w:ascii="Verdana" w:eastAsia="Times" w:hAnsi="Verdana" w:cs="Arial"/>
          <w:sz w:val="20"/>
          <w:szCs w:val="20"/>
          <w:lang w:val="en-US"/>
        </w:rPr>
        <w:t xml:space="preserve"> </w:t>
      </w:r>
      <w:r w:rsidRPr="008A3740">
        <w:rPr>
          <w:rFonts w:ascii="Verdana" w:eastAsia="Times" w:hAnsi="Verdana" w:cs="Arial"/>
          <w:sz w:val="20"/>
          <w:szCs w:val="20"/>
          <w:lang w:val="en-US"/>
        </w:rPr>
        <w:t>[…]”</w:t>
      </w:r>
      <w:r w:rsidR="00E3775E" w:rsidRPr="008A3740">
        <w:rPr>
          <w:rFonts w:ascii="Verdana" w:eastAsia="Times" w:hAnsi="Verdana" w:cs="Arial"/>
          <w:sz w:val="20"/>
          <w:szCs w:val="20"/>
          <w:lang w:val="en-US"/>
        </w:rPr>
        <w:t>, the</w:t>
      </w:r>
      <w:r w:rsidRPr="008A3740">
        <w:rPr>
          <w:rFonts w:ascii="Verdana" w:eastAsia="Times" w:hAnsi="Verdana" w:cs="Arial"/>
          <w:sz w:val="20"/>
          <w:szCs w:val="20"/>
          <w:lang w:val="en-US"/>
        </w:rPr>
        <w:t xml:space="preserve"> long </w:t>
      </w:r>
      <w:r w:rsidR="007A5CCE" w:rsidRPr="008A3740">
        <w:rPr>
          <w:rFonts w:ascii="Verdana" w:eastAsia="Times" w:hAnsi="Verdana" w:cs="Arial"/>
          <w:sz w:val="20"/>
          <w:szCs w:val="20"/>
          <w:lang w:val="en-US"/>
        </w:rPr>
        <w:t xml:space="preserve">period </w:t>
      </w:r>
      <w:r w:rsidRPr="008A3740">
        <w:rPr>
          <w:rFonts w:ascii="Verdana" w:eastAsia="Times" w:hAnsi="Verdana" w:cs="Arial"/>
          <w:sz w:val="20"/>
          <w:szCs w:val="20"/>
          <w:lang w:val="en-US"/>
        </w:rPr>
        <w:t xml:space="preserve">that has elapsed </w:t>
      </w:r>
      <w:r w:rsidR="007A5CCE" w:rsidRPr="008A3740">
        <w:rPr>
          <w:rFonts w:ascii="Verdana" w:eastAsia="Times" w:hAnsi="Verdana" w:cs="Arial"/>
          <w:sz w:val="20"/>
          <w:szCs w:val="20"/>
          <w:lang w:val="en-US"/>
        </w:rPr>
        <w:t xml:space="preserve">without </w:t>
      </w:r>
      <w:r w:rsidR="005F0777" w:rsidRPr="008A3740">
        <w:rPr>
          <w:rFonts w:ascii="Verdana" w:eastAsia="Times" w:hAnsi="Verdana" w:cs="Arial"/>
          <w:sz w:val="20"/>
          <w:szCs w:val="20"/>
          <w:lang w:val="en-US"/>
        </w:rPr>
        <w:t xml:space="preserve">completing </w:t>
      </w:r>
      <w:r w:rsidR="007A5CCE" w:rsidRPr="008A3740">
        <w:rPr>
          <w:rFonts w:ascii="Verdana" w:eastAsia="Times" w:hAnsi="Verdana" w:cs="Arial"/>
          <w:sz w:val="20"/>
          <w:szCs w:val="20"/>
          <w:lang w:val="en-US"/>
        </w:rPr>
        <w:t>the execution process was clearly unreasonable</w:t>
      </w:r>
      <w:r w:rsidRPr="008A3740">
        <w:rPr>
          <w:rFonts w:ascii="Verdana" w:eastAsia="Times" w:hAnsi="Verdana" w:cs="Arial"/>
          <w:b/>
          <w:sz w:val="20"/>
          <w:szCs w:val="20"/>
          <w:lang w:val="en-US"/>
        </w:rPr>
        <w:t xml:space="preserve">. </w:t>
      </w:r>
      <w:r w:rsidRPr="008A3740">
        <w:rPr>
          <w:rFonts w:ascii="Verdana" w:eastAsia="Times" w:hAnsi="Verdana" w:cs="Arial"/>
          <w:sz w:val="20"/>
          <w:szCs w:val="20"/>
          <w:lang w:val="en-US"/>
        </w:rPr>
        <w:t>The representatives a</w:t>
      </w:r>
      <w:r w:rsidR="00F14262" w:rsidRPr="008A3740">
        <w:rPr>
          <w:rFonts w:ascii="Verdana" w:eastAsia="Times" w:hAnsi="Verdana" w:cs="Arial"/>
          <w:sz w:val="20"/>
          <w:szCs w:val="20"/>
          <w:lang w:val="en-US"/>
        </w:rPr>
        <w:t xml:space="preserve">rgued </w:t>
      </w:r>
      <w:r w:rsidR="005F0777" w:rsidRPr="008A3740">
        <w:rPr>
          <w:rFonts w:ascii="Verdana" w:eastAsia="Times" w:hAnsi="Verdana" w:cs="Arial"/>
          <w:sz w:val="20"/>
          <w:szCs w:val="20"/>
          <w:lang w:val="en-US"/>
        </w:rPr>
        <w:t xml:space="preserve">that because </w:t>
      </w:r>
      <w:r w:rsidR="0062154B" w:rsidRPr="008A3740">
        <w:rPr>
          <w:rFonts w:ascii="Verdana" w:eastAsia="Times" w:hAnsi="Verdana" w:cs="Arial"/>
          <w:sz w:val="20"/>
          <w:szCs w:val="20"/>
          <w:lang w:val="en-US"/>
        </w:rPr>
        <w:t xml:space="preserve">neither </w:t>
      </w:r>
      <w:r w:rsidR="005273B4" w:rsidRPr="008A3740">
        <w:rPr>
          <w:rFonts w:ascii="Verdana" w:eastAsia="Times" w:hAnsi="Verdana" w:cs="Arial"/>
          <w:sz w:val="20"/>
          <w:szCs w:val="20"/>
          <w:lang w:val="en-US"/>
        </w:rPr>
        <w:t xml:space="preserve">the </w:t>
      </w:r>
      <w:r w:rsidRPr="008A3740">
        <w:rPr>
          <w:rFonts w:ascii="Verdana" w:eastAsia="Times" w:hAnsi="Verdana" w:cs="Arial"/>
          <w:sz w:val="20"/>
          <w:szCs w:val="20"/>
          <w:lang w:val="en-US"/>
        </w:rPr>
        <w:t xml:space="preserve">Supreme Court </w:t>
      </w:r>
      <w:r w:rsidR="005273B4" w:rsidRPr="008A3740">
        <w:rPr>
          <w:rFonts w:ascii="Verdana" w:eastAsia="Times" w:hAnsi="Verdana" w:cs="Arial"/>
          <w:sz w:val="20"/>
          <w:szCs w:val="20"/>
          <w:lang w:val="en-US"/>
        </w:rPr>
        <w:t xml:space="preserve">judgment of </w:t>
      </w:r>
      <w:r w:rsidRPr="008A3740">
        <w:rPr>
          <w:rFonts w:ascii="Verdana" w:eastAsia="Times" w:hAnsi="Verdana" w:cs="Arial"/>
          <w:sz w:val="20"/>
          <w:szCs w:val="20"/>
          <w:lang w:val="en-US"/>
        </w:rPr>
        <w:t>February 1993</w:t>
      </w:r>
      <w:r w:rsidR="005273B4" w:rsidRPr="008A3740">
        <w:rPr>
          <w:rFonts w:ascii="Verdana" w:eastAsia="Times" w:hAnsi="Verdana" w:cs="Arial"/>
          <w:sz w:val="20"/>
          <w:szCs w:val="20"/>
          <w:lang w:val="en-US"/>
        </w:rPr>
        <w:t xml:space="preserve"> was not executed for</w:t>
      </w:r>
      <w:r w:rsidRPr="008A3740">
        <w:rPr>
          <w:rFonts w:ascii="Verdana" w:eastAsia="Times" w:hAnsi="Verdana" w:cs="Arial"/>
          <w:sz w:val="20"/>
          <w:szCs w:val="20"/>
          <w:lang w:val="en-US"/>
        </w:rPr>
        <w:t xml:space="preserve"> </w:t>
      </w:r>
      <w:r w:rsidR="001F48F2" w:rsidRPr="008A3740">
        <w:rPr>
          <w:rFonts w:ascii="Verdana" w:eastAsia="Times" w:hAnsi="Verdana" w:cs="Arial"/>
          <w:sz w:val="20"/>
          <w:szCs w:val="20"/>
          <w:lang w:val="en-US"/>
        </w:rPr>
        <w:t xml:space="preserve">more than </w:t>
      </w:r>
      <w:r w:rsidR="005273B4" w:rsidRPr="008A3740">
        <w:rPr>
          <w:rFonts w:ascii="Verdana" w:eastAsia="Times" w:hAnsi="Verdana" w:cs="Arial"/>
          <w:sz w:val="20"/>
          <w:szCs w:val="20"/>
          <w:lang w:val="en-US"/>
        </w:rPr>
        <w:t xml:space="preserve">24 years, </w:t>
      </w:r>
      <w:r w:rsidR="001477FB" w:rsidRPr="008A3740">
        <w:rPr>
          <w:rFonts w:ascii="Verdana" w:eastAsia="Times" w:hAnsi="Verdana" w:cs="Arial"/>
          <w:sz w:val="20"/>
          <w:szCs w:val="20"/>
          <w:lang w:val="en-US"/>
        </w:rPr>
        <w:t>n</w:t>
      </w:r>
      <w:r w:rsidR="008F4E20" w:rsidRPr="008A3740">
        <w:rPr>
          <w:rFonts w:ascii="Verdana" w:eastAsia="Times" w:hAnsi="Verdana" w:cs="Arial"/>
          <w:sz w:val="20"/>
          <w:szCs w:val="20"/>
          <w:lang w:val="en-US"/>
        </w:rPr>
        <w:t xml:space="preserve">or </w:t>
      </w:r>
      <w:r w:rsidR="00F14262" w:rsidRPr="008A3740">
        <w:rPr>
          <w:rFonts w:ascii="Verdana" w:eastAsia="Times" w:hAnsi="Verdana" w:cs="Arial"/>
          <w:sz w:val="20"/>
          <w:szCs w:val="20"/>
          <w:lang w:val="en-US"/>
        </w:rPr>
        <w:t xml:space="preserve">the </w:t>
      </w:r>
      <w:r w:rsidR="00AD3F8A" w:rsidRPr="008A3740">
        <w:rPr>
          <w:rFonts w:ascii="Verdana" w:eastAsia="Times" w:hAnsi="Verdana" w:cs="Arial"/>
          <w:sz w:val="20"/>
          <w:szCs w:val="20"/>
          <w:lang w:val="en-US"/>
        </w:rPr>
        <w:t>1</w:t>
      </w:r>
      <w:r w:rsidRPr="008A3740">
        <w:rPr>
          <w:rFonts w:ascii="Verdana" w:eastAsia="Times" w:hAnsi="Verdana" w:cs="Arial"/>
          <w:sz w:val="20"/>
          <w:szCs w:val="20"/>
          <w:lang w:val="en-US"/>
        </w:rPr>
        <w:t>999</w:t>
      </w:r>
      <w:r w:rsidR="00AD3F8A" w:rsidRPr="008A3740">
        <w:rPr>
          <w:rFonts w:ascii="Verdana" w:eastAsia="Times" w:hAnsi="Verdana" w:cs="Arial"/>
          <w:sz w:val="20"/>
          <w:szCs w:val="20"/>
          <w:lang w:val="en-US"/>
        </w:rPr>
        <w:t xml:space="preserve"> judgment</w:t>
      </w:r>
      <w:r w:rsidRPr="008A3740">
        <w:rPr>
          <w:rFonts w:ascii="Verdana" w:eastAsia="Times" w:hAnsi="Verdana" w:cs="Arial"/>
          <w:sz w:val="20"/>
          <w:szCs w:val="20"/>
          <w:lang w:val="en-US"/>
        </w:rPr>
        <w:t xml:space="preserve">, </w:t>
      </w:r>
      <w:r w:rsidR="005273B4" w:rsidRPr="008A3740">
        <w:rPr>
          <w:rFonts w:ascii="Verdana" w:eastAsia="Times" w:hAnsi="Verdana" w:cs="Arial"/>
          <w:sz w:val="20"/>
          <w:szCs w:val="20"/>
          <w:lang w:val="en-US"/>
        </w:rPr>
        <w:t xml:space="preserve">the State had </w:t>
      </w:r>
      <w:r w:rsidRPr="008A3740">
        <w:rPr>
          <w:rFonts w:ascii="Verdana" w:eastAsia="Times" w:hAnsi="Verdana" w:cs="Arial"/>
          <w:sz w:val="20"/>
          <w:szCs w:val="20"/>
          <w:lang w:val="en-US"/>
        </w:rPr>
        <w:t>exce</w:t>
      </w:r>
      <w:r w:rsidR="00F14262" w:rsidRPr="008A3740">
        <w:rPr>
          <w:rFonts w:ascii="Verdana" w:eastAsia="Times" w:hAnsi="Verdana" w:cs="Arial"/>
          <w:sz w:val="20"/>
          <w:szCs w:val="20"/>
          <w:lang w:val="en-US"/>
        </w:rPr>
        <w:t xml:space="preserve">eded </w:t>
      </w:r>
      <w:r w:rsidR="005273B4" w:rsidRPr="008A3740">
        <w:rPr>
          <w:rFonts w:ascii="Verdana" w:eastAsia="Times" w:hAnsi="Verdana" w:cs="Arial"/>
          <w:sz w:val="20"/>
          <w:szCs w:val="20"/>
          <w:lang w:val="en-US"/>
        </w:rPr>
        <w:t xml:space="preserve">what could be considered a </w:t>
      </w:r>
      <w:r w:rsidRPr="008A3740">
        <w:rPr>
          <w:rFonts w:ascii="Verdana" w:eastAsia="Times" w:hAnsi="Verdana" w:cs="Arial"/>
          <w:sz w:val="20"/>
          <w:szCs w:val="20"/>
          <w:lang w:val="en-US"/>
        </w:rPr>
        <w:t xml:space="preserve">reasonable </w:t>
      </w:r>
      <w:r w:rsidR="005273B4" w:rsidRPr="008A3740">
        <w:rPr>
          <w:rFonts w:ascii="Verdana" w:eastAsia="Times" w:hAnsi="Verdana" w:cs="Arial"/>
          <w:sz w:val="20"/>
          <w:szCs w:val="20"/>
          <w:lang w:val="en-US"/>
        </w:rPr>
        <w:t xml:space="preserve">time to effectively execute </w:t>
      </w:r>
      <w:r w:rsidRPr="008A3740">
        <w:rPr>
          <w:rFonts w:ascii="Verdana" w:eastAsia="Times" w:hAnsi="Verdana" w:cs="Arial"/>
          <w:sz w:val="20"/>
          <w:szCs w:val="20"/>
          <w:lang w:val="en-US"/>
        </w:rPr>
        <w:t>th</w:t>
      </w:r>
      <w:r w:rsidR="005273B4" w:rsidRPr="008A3740">
        <w:rPr>
          <w:rFonts w:ascii="Verdana" w:eastAsia="Times" w:hAnsi="Verdana" w:cs="Arial"/>
          <w:sz w:val="20"/>
          <w:szCs w:val="20"/>
          <w:lang w:val="en-US"/>
        </w:rPr>
        <w:t>os</w:t>
      </w:r>
      <w:r w:rsidRPr="008A3740">
        <w:rPr>
          <w:rFonts w:ascii="Verdana" w:eastAsia="Times" w:hAnsi="Verdana" w:cs="Arial"/>
          <w:sz w:val="20"/>
          <w:szCs w:val="20"/>
          <w:lang w:val="en-US"/>
        </w:rPr>
        <w:t>e judgments</w:t>
      </w:r>
      <w:r w:rsidR="005273B4" w:rsidRPr="008A3740">
        <w:rPr>
          <w:rFonts w:ascii="Verdana" w:eastAsia="Times" w:hAnsi="Verdana" w:cs="Arial"/>
          <w:sz w:val="20"/>
          <w:szCs w:val="20"/>
          <w:lang w:val="en-US"/>
        </w:rPr>
        <w:t>.</w:t>
      </w:r>
      <w:r w:rsidR="00F14262" w:rsidRPr="008A3740">
        <w:rPr>
          <w:rFonts w:ascii="Verdana" w:eastAsia="Times" w:hAnsi="Verdana" w:cs="Arial"/>
          <w:sz w:val="20"/>
          <w:szCs w:val="20"/>
          <w:lang w:val="en-US"/>
        </w:rPr>
        <w:t xml:space="preserve"> Consequently, they </w:t>
      </w:r>
      <w:r w:rsidRPr="008A3740">
        <w:rPr>
          <w:rFonts w:ascii="Verdana" w:eastAsia="Times" w:hAnsi="Verdana" w:cs="Arial"/>
          <w:sz w:val="20"/>
          <w:szCs w:val="20"/>
          <w:lang w:val="en-US"/>
        </w:rPr>
        <w:t>concluded that the State was responsible for the violation of Article 8(1) of the American Convention, to the detriment of Mr. Muelle Flores</w:t>
      </w:r>
      <w:r w:rsidRPr="008A3740">
        <w:rPr>
          <w:rFonts w:ascii="Verdana" w:eastAsia="Times" w:hAnsi="Verdana" w:cs="Arial"/>
          <w:b/>
          <w:sz w:val="20"/>
          <w:szCs w:val="20"/>
          <w:lang w:val="en-US"/>
        </w:rPr>
        <w:t xml:space="preserve">. </w:t>
      </w:r>
    </w:p>
    <w:p w14:paraId="12597AC1" w14:textId="77777777" w:rsidR="008E6A56" w:rsidRPr="008A3740" w:rsidRDefault="008E6A56" w:rsidP="008E6A56">
      <w:pPr>
        <w:pStyle w:val="Estilo1"/>
        <w:tabs>
          <w:tab w:val="left" w:pos="709"/>
          <w:tab w:val="left" w:pos="1134"/>
        </w:tabs>
        <w:spacing w:after="0"/>
        <w:ind w:left="0" w:right="0" w:firstLine="0"/>
        <w:rPr>
          <w:rFonts w:eastAsia="Times" w:cs="Arial"/>
          <w:i w:val="0"/>
          <w:szCs w:val="20"/>
          <w:lang w:val="en-US"/>
        </w:rPr>
      </w:pPr>
    </w:p>
    <w:p w14:paraId="0DC7008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cs="Arial"/>
          <w:b/>
          <w:sz w:val="20"/>
          <w:szCs w:val="20"/>
          <w:lang w:val="en-US"/>
        </w:rPr>
      </w:pPr>
      <w:r w:rsidRPr="008A3740">
        <w:rPr>
          <w:rFonts w:ascii="Verdana" w:eastAsia="Times" w:hAnsi="Verdana" w:cs="Arial"/>
          <w:sz w:val="20"/>
          <w:szCs w:val="20"/>
          <w:lang w:val="en-US"/>
        </w:rPr>
        <w:t xml:space="preserve">The </w:t>
      </w:r>
      <w:r w:rsidRPr="008A3740">
        <w:rPr>
          <w:rFonts w:ascii="Verdana" w:eastAsia="Times" w:hAnsi="Verdana" w:cs="Arial"/>
          <w:b/>
          <w:i/>
          <w:sz w:val="20"/>
          <w:szCs w:val="20"/>
          <w:lang w:val="en-US"/>
        </w:rPr>
        <w:t>State</w:t>
      </w:r>
      <w:r w:rsidRPr="008A3740">
        <w:rPr>
          <w:rFonts w:ascii="Verdana" w:eastAsia="Times" w:hAnsi="Verdana" w:cs="Arial"/>
          <w:b/>
          <w:sz w:val="20"/>
          <w:szCs w:val="20"/>
          <w:lang w:val="en-US"/>
        </w:rPr>
        <w:t xml:space="preserve"> </w:t>
      </w:r>
      <w:r w:rsidRPr="008A3740">
        <w:rPr>
          <w:rFonts w:ascii="Verdana" w:eastAsia="Times" w:hAnsi="Verdana" w:cs="Arial"/>
          <w:sz w:val="20"/>
          <w:szCs w:val="20"/>
          <w:lang w:val="en-US"/>
        </w:rPr>
        <w:t>argued that t</w:t>
      </w:r>
      <w:r w:rsidR="008F4E20" w:rsidRPr="008A3740">
        <w:rPr>
          <w:rFonts w:ascii="Verdana" w:eastAsia="Times" w:hAnsi="Verdana" w:cs="Arial"/>
          <w:sz w:val="20"/>
          <w:szCs w:val="20"/>
          <w:lang w:val="en-US"/>
        </w:rPr>
        <w:t xml:space="preserve">he Commission only assessed </w:t>
      </w:r>
      <w:r w:rsidR="005E5FED" w:rsidRPr="008A3740">
        <w:rPr>
          <w:rFonts w:ascii="Verdana" w:eastAsia="Times" w:hAnsi="Verdana" w:cs="Arial"/>
          <w:sz w:val="20"/>
          <w:szCs w:val="20"/>
          <w:lang w:val="en-US"/>
        </w:rPr>
        <w:t>reasonable time</w:t>
      </w:r>
      <w:r w:rsidR="00E3775E" w:rsidRPr="008A3740">
        <w:rPr>
          <w:rFonts w:ascii="Verdana" w:eastAsia="Times" w:hAnsi="Verdana" w:cs="Arial"/>
          <w:sz w:val="20"/>
          <w:szCs w:val="20"/>
          <w:lang w:val="en-US"/>
        </w:rPr>
        <w:t xml:space="preserve"> in relation to the j</w:t>
      </w:r>
      <w:r w:rsidRPr="008A3740">
        <w:rPr>
          <w:rFonts w:ascii="Verdana" w:eastAsia="Times" w:hAnsi="Verdana" w:cs="Arial"/>
          <w:sz w:val="20"/>
          <w:szCs w:val="20"/>
          <w:lang w:val="en-US"/>
        </w:rPr>
        <w:t>udgment of February 2, 1993, and no</w:t>
      </w:r>
      <w:r w:rsidR="009B6571" w:rsidRPr="008A3740">
        <w:rPr>
          <w:rFonts w:ascii="Verdana" w:eastAsia="Times" w:hAnsi="Verdana" w:cs="Arial"/>
          <w:sz w:val="20"/>
          <w:szCs w:val="20"/>
          <w:lang w:val="en-US"/>
        </w:rPr>
        <w:t>t</w:t>
      </w:r>
      <w:r w:rsidRPr="008A3740">
        <w:rPr>
          <w:rFonts w:ascii="Verdana" w:eastAsia="Times" w:hAnsi="Verdana" w:cs="Arial"/>
          <w:sz w:val="20"/>
          <w:szCs w:val="20"/>
          <w:lang w:val="en-US"/>
        </w:rPr>
        <w:t xml:space="preserve"> </w:t>
      </w:r>
      <w:r w:rsidR="009B6571" w:rsidRPr="008A3740">
        <w:rPr>
          <w:rFonts w:ascii="Verdana" w:eastAsia="Times" w:hAnsi="Verdana" w:cs="Arial"/>
          <w:sz w:val="20"/>
          <w:szCs w:val="20"/>
          <w:lang w:val="en-US"/>
        </w:rPr>
        <w:t>in relation to th</w:t>
      </w:r>
      <w:r w:rsidR="00E3775E" w:rsidRPr="008A3740">
        <w:rPr>
          <w:rFonts w:ascii="Verdana" w:eastAsia="Times" w:hAnsi="Verdana" w:cs="Arial"/>
          <w:sz w:val="20"/>
          <w:szCs w:val="20"/>
          <w:lang w:val="en-US"/>
        </w:rPr>
        <w:t xml:space="preserve">e judgment of </w:t>
      </w:r>
      <w:r w:rsidRPr="008A3740">
        <w:rPr>
          <w:rFonts w:ascii="Verdana" w:eastAsia="Times" w:hAnsi="Verdana" w:cs="Arial"/>
          <w:sz w:val="20"/>
          <w:szCs w:val="20"/>
          <w:lang w:val="en-US"/>
        </w:rPr>
        <w:t>the Constituti</w:t>
      </w:r>
      <w:r w:rsidR="00E3775E" w:rsidRPr="008A3740">
        <w:rPr>
          <w:rFonts w:ascii="Verdana" w:eastAsia="Times" w:hAnsi="Verdana" w:cs="Arial"/>
          <w:sz w:val="20"/>
          <w:szCs w:val="20"/>
          <w:lang w:val="en-US"/>
        </w:rPr>
        <w:t>onal Court on December 10, 1999.</w:t>
      </w:r>
      <w:r w:rsidRPr="008A3740">
        <w:rPr>
          <w:rFonts w:ascii="Verdana" w:eastAsia="Times" w:hAnsi="Verdana" w:cs="Arial"/>
          <w:sz w:val="20"/>
          <w:szCs w:val="20"/>
          <w:lang w:val="en-US"/>
        </w:rPr>
        <w:t xml:space="preserve"> </w:t>
      </w:r>
      <w:r w:rsidR="008F4E20" w:rsidRPr="008A3740">
        <w:rPr>
          <w:rFonts w:ascii="Verdana" w:eastAsia="Times" w:hAnsi="Verdana" w:cs="Arial"/>
          <w:sz w:val="20"/>
          <w:szCs w:val="20"/>
          <w:lang w:val="en-US"/>
        </w:rPr>
        <w:t>I</w:t>
      </w:r>
      <w:r w:rsidR="00E3775E" w:rsidRPr="008A3740">
        <w:rPr>
          <w:rFonts w:ascii="Verdana" w:eastAsia="Times" w:hAnsi="Verdana" w:cs="Arial"/>
          <w:sz w:val="20"/>
          <w:szCs w:val="20"/>
          <w:lang w:val="en-US"/>
        </w:rPr>
        <w:t xml:space="preserve">t </w:t>
      </w:r>
      <w:r w:rsidR="008F4E20" w:rsidRPr="008A3740">
        <w:rPr>
          <w:rFonts w:ascii="Verdana" w:eastAsia="Times" w:hAnsi="Verdana" w:cs="Arial"/>
          <w:sz w:val="20"/>
          <w:szCs w:val="20"/>
          <w:lang w:val="en-US"/>
        </w:rPr>
        <w:t xml:space="preserve">therefore </w:t>
      </w:r>
      <w:r w:rsidR="009B6571" w:rsidRPr="008A3740">
        <w:rPr>
          <w:rFonts w:ascii="Verdana" w:eastAsia="Times" w:hAnsi="Verdana" w:cs="Arial"/>
          <w:sz w:val="20"/>
          <w:szCs w:val="20"/>
          <w:lang w:val="en-US"/>
        </w:rPr>
        <w:t>underst</w:t>
      </w:r>
      <w:r w:rsidR="00E3775E" w:rsidRPr="008A3740">
        <w:rPr>
          <w:rFonts w:ascii="Verdana" w:eastAsia="Times" w:hAnsi="Verdana" w:cs="Arial"/>
          <w:sz w:val="20"/>
          <w:szCs w:val="20"/>
          <w:lang w:val="en-US"/>
        </w:rPr>
        <w:t xml:space="preserve">ood </w:t>
      </w:r>
      <w:r w:rsidR="009B6571" w:rsidRPr="008A3740">
        <w:rPr>
          <w:rFonts w:ascii="Verdana" w:eastAsia="Times" w:hAnsi="Verdana" w:cs="Arial"/>
          <w:sz w:val="20"/>
          <w:szCs w:val="20"/>
          <w:lang w:val="en-US"/>
        </w:rPr>
        <w:t xml:space="preserve">that, </w:t>
      </w:r>
      <w:r w:rsidR="007A5CCE" w:rsidRPr="008A3740">
        <w:rPr>
          <w:rFonts w:ascii="Verdana" w:eastAsia="Times" w:hAnsi="Verdana" w:cs="Arial"/>
          <w:sz w:val="20"/>
          <w:szCs w:val="20"/>
          <w:lang w:val="en-US"/>
        </w:rPr>
        <w:t xml:space="preserve">according to </w:t>
      </w:r>
      <w:r w:rsidRPr="008A3740">
        <w:rPr>
          <w:rFonts w:ascii="Verdana" w:eastAsia="Times" w:hAnsi="Verdana" w:cs="Arial"/>
          <w:sz w:val="20"/>
          <w:szCs w:val="20"/>
          <w:lang w:val="en-US"/>
        </w:rPr>
        <w:t xml:space="preserve">the Commission, </w:t>
      </w:r>
      <w:r w:rsidR="00E3775E" w:rsidRPr="008A3740">
        <w:rPr>
          <w:rFonts w:ascii="Verdana" w:eastAsia="Times" w:hAnsi="Verdana" w:cs="Arial"/>
          <w:sz w:val="20"/>
          <w:szCs w:val="20"/>
          <w:lang w:val="en-US"/>
        </w:rPr>
        <w:t xml:space="preserve">there had been no violation of </w:t>
      </w:r>
      <w:r w:rsidR="005E5FED" w:rsidRPr="008A3740">
        <w:rPr>
          <w:rFonts w:ascii="Verdana" w:eastAsia="Times" w:hAnsi="Verdana" w:cs="Arial"/>
          <w:sz w:val="20"/>
          <w:szCs w:val="20"/>
          <w:lang w:val="en-US"/>
        </w:rPr>
        <w:t>reasonable time</w:t>
      </w:r>
      <w:r w:rsidRPr="008A3740">
        <w:rPr>
          <w:rFonts w:ascii="Verdana" w:eastAsia="Times" w:hAnsi="Verdana" w:cs="Arial"/>
          <w:sz w:val="20"/>
          <w:szCs w:val="20"/>
          <w:lang w:val="en-US"/>
        </w:rPr>
        <w:t xml:space="preserve"> </w:t>
      </w:r>
      <w:r w:rsidR="009B6571" w:rsidRPr="008A3740">
        <w:rPr>
          <w:rFonts w:ascii="Verdana" w:eastAsia="Times" w:hAnsi="Verdana" w:cs="Arial"/>
          <w:sz w:val="20"/>
          <w:szCs w:val="20"/>
          <w:lang w:val="en-US"/>
        </w:rPr>
        <w:t xml:space="preserve">regarding the </w:t>
      </w:r>
      <w:r w:rsidRPr="008A3740">
        <w:rPr>
          <w:rFonts w:ascii="Verdana" w:eastAsia="Times" w:hAnsi="Verdana" w:cs="Arial"/>
          <w:sz w:val="20"/>
          <w:szCs w:val="20"/>
          <w:lang w:val="en-US"/>
        </w:rPr>
        <w:t xml:space="preserve">second </w:t>
      </w:r>
      <w:r w:rsidRPr="008A3740">
        <w:rPr>
          <w:rFonts w:ascii="Verdana" w:eastAsia="Times" w:hAnsi="Verdana" w:cs="Arial"/>
          <w:i/>
          <w:sz w:val="20"/>
          <w:szCs w:val="20"/>
          <w:lang w:val="en-US"/>
        </w:rPr>
        <w:t>amparo</w:t>
      </w:r>
      <w:r w:rsidR="009B6571" w:rsidRPr="008A3740">
        <w:rPr>
          <w:rFonts w:ascii="Verdana" w:eastAsia="Times" w:hAnsi="Verdana" w:cs="Arial"/>
          <w:sz w:val="20"/>
          <w:szCs w:val="20"/>
          <w:lang w:val="en-US"/>
        </w:rPr>
        <w:t xml:space="preserve"> proceeding</w:t>
      </w:r>
      <w:r w:rsidRPr="008A3740">
        <w:rPr>
          <w:rFonts w:ascii="Verdana" w:eastAsia="Times" w:hAnsi="Verdana" w:cs="Arial"/>
          <w:sz w:val="20"/>
          <w:szCs w:val="20"/>
          <w:lang w:val="en-US"/>
        </w:rPr>
        <w:t xml:space="preserve">. </w:t>
      </w:r>
      <w:r w:rsidR="00E3775E" w:rsidRPr="008A3740">
        <w:rPr>
          <w:rFonts w:ascii="Verdana" w:eastAsia="Times" w:hAnsi="Verdana" w:cs="Arial"/>
          <w:sz w:val="20"/>
          <w:szCs w:val="20"/>
          <w:lang w:val="en-US"/>
        </w:rPr>
        <w:t xml:space="preserve">It also </w:t>
      </w:r>
      <w:r w:rsidRPr="008A3740">
        <w:rPr>
          <w:rFonts w:ascii="Verdana" w:eastAsia="Times" w:hAnsi="Verdana" w:cs="Arial"/>
          <w:sz w:val="20"/>
          <w:szCs w:val="20"/>
          <w:lang w:val="en-US"/>
        </w:rPr>
        <w:t>considered that the reasonable t</w:t>
      </w:r>
      <w:r w:rsidR="008F4E20" w:rsidRPr="008A3740">
        <w:rPr>
          <w:rFonts w:ascii="Verdana" w:eastAsia="Times" w:hAnsi="Verdana" w:cs="Arial"/>
          <w:sz w:val="20"/>
          <w:szCs w:val="20"/>
          <w:lang w:val="en-US"/>
        </w:rPr>
        <w:t xml:space="preserve">ime </w:t>
      </w:r>
      <w:r w:rsidR="007A5CCE" w:rsidRPr="008A3740">
        <w:rPr>
          <w:rFonts w:ascii="Verdana" w:eastAsia="Times" w:hAnsi="Verdana" w:cs="Arial"/>
          <w:sz w:val="20"/>
          <w:szCs w:val="20"/>
          <w:lang w:val="en-US"/>
        </w:rPr>
        <w:t xml:space="preserve">must be counted from </w:t>
      </w:r>
      <w:r w:rsidRPr="008A3740">
        <w:rPr>
          <w:rFonts w:ascii="Verdana" w:eastAsia="Times" w:hAnsi="Verdana" w:cs="Arial"/>
          <w:sz w:val="20"/>
          <w:szCs w:val="20"/>
          <w:lang w:val="en-US"/>
        </w:rPr>
        <w:t xml:space="preserve">2008, </w:t>
      </w:r>
      <w:r w:rsidR="009B6571" w:rsidRPr="008A3740">
        <w:rPr>
          <w:rFonts w:ascii="Verdana" w:eastAsia="Times" w:hAnsi="Verdana" w:cs="Arial"/>
          <w:sz w:val="20"/>
          <w:szCs w:val="20"/>
          <w:lang w:val="en-US"/>
        </w:rPr>
        <w:t xml:space="preserve">when </w:t>
      </w:r>
      <w:r w:rsidR="007A5CCE" w:rsidRPr="008A3740">
        <w:rPr>
          <w:rFonts w:ascii="Verdana" w:eastAsia="Times" w:hAnsi="Verdana" w:cs="Arial"/>
          <w:sz w:val="20"/>
          <w:szCs w:val="20"/>
          <w:lang w:val="en-US"/>
        </w:rPr>
        <w:t>the execution process was re-opened</w:t>
      </w:r>
      <w:r w:rsidRPr="008A3740">
        <w:rPr>
          <w:rFonts w:ascii="Verdana" w:eastAsia="Times" w:hAnsi="Verdana" w:cs="Arial"/>
          <w:sz w:val="20"/>
          <w:szCs w:val="20"/>
          <w:lang w:val="en-US"/>
        </w:rPr>
        <w:t xml:space="preserve">, </w:t>
      </w:r>
      <w:r w:rsidR="008F4E20" w:rsidRPr="008A3740">
        <w:rPr>
          <w:rFonts w:ascii="Verdana" w:eastAsia="Times" w:hAnsi="Verdana" w:cs="Arial"/>
          <w:sz w:val="20"/>
          <w:szCs w:val="20"/>
          <w:lang w:val="en-US"/>
        </w:rPr>
        <w:t xml:space="preserve">and </w:t>
      </w:r>
      <w:r w:rsidRPr="008A3740">
        <w:rPr>
          <w:rFonts w:ascii="Verdana" w:eastAsia="Times" w:hAnsi="Verdana" w:cs="Arial"/>
          <w:sz w:val="20"/>
          <w:szCs w:val="20"/>
          <w:lang w:val="en-US"/>
        </w:rPr>
        <w:t xml:space="preserve">until the </w:t>
      </w:r>
      <w:r w:rsidR="007A5CCE" w:rsidRPr="008A3740">
        <w:rPr>
          <w:rFonts w:ascii="Verdana" w:eastAsia="Times" w:hAnsi="Verdana" w:cs="Arial"/>
          <w:sz w:val="20"/>
          <w:szCs w:val="20"/>
          <w:lang w:val="en-US"/>
        </w:rPr>
        <w:t xml:space="preserve">present. As to </w:t>
      </w:r>
      <w:r w:rsidRPr="008A3740">
        <w:rPr>
          <w:rFonts w:ascii="Verdana" w:eastAsia="Times" w:hAnsi="Verdana" w:cs="Arial"/>
          <w:sz w:val="20"/>
          <w:szCs w:val="20"/>
          <w:lang w:val="en-US"/>
        </w:rPr>
        <w:t>the complexity of the case, the State indicated that although a fi</w:t>
      </w:r>
      <w:r w:rsidR="008F4E20" w:rsidRPr="008A3740">
        <w:rPr>
          <w:rFonts w:ascii="Verdana" w:eastAsia="Times" w:hAnsi="Verdana" w:cs="Arial"/>
          <w:sz w:val="20"/>
          <w:szCs w:val="20"/>
          <w:lang w:val="en-US"/>
        </w:rPr>
        <w:t xml:space="preserve">nal </w:t>
      </w:r>
      <w:r w:rsidRPr="008A3740">
        <w:rPr>
          <w:rFonts w:ascii="Verdana" w:eastAsia="Times" w:hAnsi="Verdana" w:cs="Arial"/>
          <w:sz w:val="20"/>
          <w:szCs w:val="20"/>
          <w:lang w:val="en-US"/>
        </w:rPr>
        <w:t xml:space="preserve">judicial </w:t>
      </w:r>
      <w:r w:rsidR="007A5CCE" w:rsidRPr="008A3740">
        <w:rPr>
          <w:rFonts w:ascii="Verdana" w:eastAsia="Times" w:hAnsi="Verdana" w:cs="Arial"/>
          <w:sz w:val="20"/>
          <w:szCs w:val="20"/>
          <w:lang w:val="en-US"/>
        </w:rPr>
        <w:t xml:space="preserve">ruling existed, it was necessary to consider </w:t>
      </w:r>
      <w:r w:rsidRPr="008A3740">
        <w:rPr>
          <w:rFonts w:ascii="Verdana" w:eastAsia="Times" w:hAnsi="Verdana" w:cs="Arial"/>
          <w:sz w:val="20"/>
          <w:szCs w:val="20"/>
          <w:lang w:val="en-US"/>
        </w:rPr>
        <w:t xml:space="preserve">the regulatory changes </w:t>
      </w:r>
      <w:r w:rsidR="008F4E20" w:rsidRPr="008A3740">
        <w:rPr>
          <w:rFonts w:ascii="Verdana" w:eastAsia="Times" w:hAnsi="Verdana" w:cs="Arial"/>
          <w:sz w:val="20"/>
          <w:szCs w:val="20"/>
          <w:lang w:val="en-US"/>
        </w:rPr>
        <w:t xml:space="preserve">introduced from </w:t>
      </w:r>
      <w:r w:rsidRPr="008A3740">
        <w:rPr>
          <w:rFonts w:ascii="Verdana" w:eastAsia="Times" w:hAnsi="Verdana" w:cs="Arial"/>
          <w:sz w:val="20"/>
          <w:szCs w:val="20"/>
          <w:lang w:val="en-US"/>
        </w:rPr>
        <w:t xml:space="preserve">2002 </w:t>
      </w:r>
      <w:r w:rsidR="007A5CCE" w:rsidRPr="008A3740">
        <w:rPr>
          <w:rFonts w:ascii="Verdana" w:eastAsia="Times" w:hAnsi="Verdana" w:cs="Arial"/>
          <w:sz w:val="20"/>
          <w:szCs w:val="20"/>
          <w:lang w:val="en-US"/>
        </w:rPr>
        <w:t xml:space="preserve">to 2004, </w:t>
      </w:r>
      <w:r w:rsidR="006B2D8B" w:rsidRPr="008A3740">
        <w:rPr>
          <w:rFonts w:ascii="Verdana" w:eastAsia="Times" w:hAnsi="Verdana" w:cs="Arial"/>
          <w:sz w:val="20"/>
          <w:szCs w:val="20"/>
          <w:lang w:val="en-US"/>
        </w:rPr>
        <w:t xml:space="preserve">whereby </w:t>
      </w:r>
      <w:r w:rsidR="007A5CCE" w:rsidRPr="008A3740">
        <w:rPr>
          <w:rFonts w:ascii="Verdana" w:eastAsia="Times" w:hAnsi="Verdana" w:cs="Arial"/>
          <w:sz w:val="20"/>
          <w:szCs w:val="20"/>
          <w:lang w:val="en-US"/>
        </w:rPr>
        <w:t xml:space="preserve">“the execution of </w:t>
      </w:r>
      <w:r w:rsidRPr="008A3740">
        <w:rPr>
          <w:rFonts w:ascii="Verdana" w:eastAsia="Times" w:hAnsi="Verdana" w:cs="Arial"/>
          <w:sz w:val="20"/>
          <w:szCs w:val="20"/>
          <w:lang w:val="en-US"/>
        </w:rPr>
        <w:t xml:space="preserve">the judgment </w:t>
      </w:r>
      <w:r w:rsidR="007A5CCE" w:rsidRPr="008A3740">
        <w:rPr>
          <w:rFonts w:ascii="Verdana" w:eastAsia="Times" w:hAnsi="Verdana" w:cs="Arial"/>
          <w:sz w:val="20"/>
          <w:szCs w:val="20"/>
          <w:lang w:val="en-US"/>
        </w:rPr>
        <w:t xml:space="preserve">was no longer </w:t>
      </w:r>
      <w:r w:rsidRPr="008A3740">
        <w:rPr>
          <w:rFonts w:ascii="Verdana" w:eastAsia="Times" w:hAnsi="Verdana" w:cs="Arial"/>
          <w:sz w:val="20"/>
          <w:szCs w:val="20"/>
          <w:lang w:val="en-US"/>
        </w:rPr>
        <w:t xml:space="preserve">viable” </w:t>
      </w:r>
      <w:r w:rsidR="007A5CCE" w:rsidRPr="008A3740">
        <w:rPr>
          <w:rFonts w:ascii="Verdana" w:eastAsia="Times" w:hAnsi="Verdana" w:cs="Arial"/>
          <w:sz w:val="20"/>
          <w:szCs w:val="20"/>
          <w:lang w:val="en-US"/>
        </w:rPr>
        <w:t xml:space="preserve">because </w:t>
      </w:r>
      <w:r w:rsidR="009B6571" w:rsidRPr="008A3740">
        <w:rPr>
          <w:rFonts w:ascii="Verdana" w:eastAsia="Times" w:hAnsi="Verdana" w:cs="Arial"/>
          <w:sz w:val="20"/>
          <w:szCs w:val="20"/>
          <w:lang w:val="en-US"/>
        </w:rPr>
        <w:t xml:space="preserve">the </w:t>
      </w:r>
      <w:r w:rsidR="007A5CCE" w:rsidRPr="008A3740">
        <w:rPr>
          <w:rFonts w:ascii="Verdana" w:eastAsia="Times" w:hAnsi="Verdana" w:cs="Arial"/>
          <w:sz w:val="20"/>
          <w:szCs w:val="20"/>
          <w:lang w:val="en-US"/>
        </w:rPr>
        <w:t xml:space="preserve">respondent State-owned </w:t>
      </w:r>
      <w:r w:rsidR="009B6571" w:rsidRPr="008A3740">
        <w:rPr>
          <w:rFonts w:ascii="Verdana" w:eastAsia="Times" w:hAnsi="Verdana" w:cs="Arial"/>
          <w:sz w:val="20"/>
          <w:szCs w:val="20"/>
          <w:lang w:val="en-US"/>
        </w:rPr>
        <w:t>company</w:t>
      </w:r>
      <w:r w:rsidR="007A5CCE" w:rsidRPr="008A3740">
        <w:rPr>
          <w:rFonts w:ascii="Verdana" w:eastAsia="Times" w:hAnsi="Verdana" w:cs="Arial"/>
          <w:sz w:val="20"/>
          <w:szCs w:val="20"/>
          <w:lang w:val="en-US"/>
        </w:rPr>
        <w:t xml:space="preserve"> that was</w:t>
      </w:r>
      <w:r w:rsidRPr="008A3740">
        <w:rPr>
          <w:rFonts w:ascii="Verdana" w:eastAsia="Times" w:hAnsi="Verdana" w:cs="Arial"/>
          <w:sz w:val="20"/>
          <w:szCs w:val="20"/>
          <w:lang w:val="en-US"/>
        </w:rPr>
        <w:t xml:space="preserve"> originally obliga</w:t>
      </w:r>
      <w:r w:rsidR="007A5CCE" w:rsidRPr="008A3740">
        <w:rPr>
          <w:rFonts w:ascii="Verdana" w:eastAsia="Times" w:hAnsi="Verdana" w:cs="Arial"/>
          <w:sz w:val="20"/>
          <w:szCs w:val="20"/>
          <w:lang w:val="en-US"/>
        </w:rPr>
        <w:t>ted to pay the pension</w:t>
      </w:r>
      <w:r w:rsidRPr="008A3740">
        <w:rPr>
          <w:rFonts w:ascii="Verdana" w:eastAsia="Times" w:hAnsi="Verdana" w:cs="Arial"/>
          <w:sz w:val="20"/>
          <w:szCs w:val="20"/>
          <w:lang w:val="en-US"/>
        </w:rPr>
        <w:t xml:space="preserve">, was privatized and underwent changes of ownership and business name on several occasions. The State </w:t>
      </w:r>
      <w:r w:rsidR="00AA0325" w:rsidRPr="008A3740">
        <w:rPr>
          <w:rFonts w:ascii="Verdana" w:eastAsia="Times" w:hAnsi="Verdana" w:cs="Arial"/>
          <w:sz w:val="20"/>
          <w:szCs w:val="20"/>
          <w:lang w:val="en-US"/>
        </w:rPr>
        <w:t xml:space="preserve">recalled </w:t>
      </w:r>
      <w:r w:rsidRPr="008A3740">
        <w:rPr>
          <w:rFonts w:ascii="Verdana" w:eastAsia="Times" w:hAnsi="Verdana" w:cs="Arial"/>
          <w:sz w:val="20"/>
          <w:szCs w:val="20"/>
          <w:lang w:val="en-US"/>
        </w:rPr>
        <w:t xml:space="preserve">that after the privatization, two jurisdictional bodies considered that the </w:t>
      </w:r>
      <w:r w:rsidR="007A5CCE" w:rsidRPr="008A3740">
        <w:rPr>
          <w:rFonts w:ascii="Verdana" w:eastAsia="Times" w:hAnsi="Verdana" w:cs="Arial"/>
          <w:sz w:val="20"/>
          <w:szCs w:val="20"/>
          <w:lang w:val="en-US"/>
        </w:rPr>
        <w:t xml:space="preserve">respondent </w:t>
      </w:r>
      <w:r w:rsidRPr="008A3740">
        <w:rPr>
          <w:rFonts w:ascii="Verdana" w:eastAsia="Times" w:hAnsi="Verdana" w:cs="Arial"/>
          <w:sz w:val="20"/>
          <w:szCs w:val="20"/>
          <w:lang w:val="en-US"/>
        </w:rPr>
        <w:t xml:space="preserve">company was not obliged to </w:t>
      </w:r>
      <w:r w:rsidR="007A5CCE" w:rsidRPr="008A3740">
        <w:rPr>
          <w:rFonts w:ascii="Verdana" w:eastAsia="Times" w:hAnsi="Verdana" w:cs="Arial"/>
          <w:sz w:val="20"/>
          <w:szCs w:val="20"/>
          <w:lang w:val="en-US"/>
        </w:rPr>
        <w:t xml:space="preserve">pay the pension, </w:t>
      </w:r>
      <w:r w:rsidRPr="008A3740">
        <w:rPr>
          <w:rFonts w:ascii="Verdana" w:eastAsia="Times" w:hAnsi="Verdana" w:cs="Arial"/>
          <w:sz w:val="20"/>
          <w:szCs w:val="20"/>
          <w:lang w:val="en-US"/>
        </w:rPr>
        <w:t xml:space="preserve">while Mr. Muelle Flores and </w:t>
      </w:r>
      <w:r w:rsidR="00335181" w:rsidRPr="008A3740">
        <w:rPr>
          <w:rFonts w:ascii="Verdana" w:eastAsia="Times" w:hAnsi="Verdana" w:cs="Arial"/>
          <w:sz w:val="20"/>
          <w:szCs w:val="20"/>
          <w:lang w:val="en-US"/>
        </w:rPr>
        <w:t xml:space="preserve">another </w:t>
      </w:r>
      <w:r w:rsidRPr="008A3740">
        <w:rPr>
          <w:rFonts w:ascii="Verdana" w:eastAsia="Times" w:hAnsi="Verdana" w:cs="Arial"/>
          <w:sz w:val="20"/>
          <w:szCs w:val="20"/>
          <w:lang w:val="en-US"/>
        </w:rPr>
        <w:t xml:space="preserve">judicial </w:t>
      </w:r>
      <w:r w:rsidR="00335181" w:rsidRPr="008A3740">
        <w:rPr>
          <w:rFonts w:ascii="Verdana" w:eastAsia="Times" w:hAnsi="Verdana" w:cs="Arial"/>
          <w:sz w:val="20"/>
          <w:szCs w:val="20"/>
          <w:lang w:val="en-US"/>
        </w:rPr>
        <w:t xml:space="preserve">body </w:t>
      </w:r>
      <w:r w:rsidR="008F4E20" w:rsidRPr="008A3740">
        <w:rPr>
          <w:rFonts w:ascii="Verdana" w:eastAsia="Times" w:hAnsi="Verdana" w:cs="Arial"/>
          <w:sz w:val="20"/>
          <w:szCs w:val="20"/>
          <w:lang w:val="en-US"/>
        </w:rPr>
        <w:t>believed the opposite</w:t>
      </w:r>
      <w:r w:rsidR="007A5CCE" w:rsidRPr="008A3740">
        <w:rPr>
          <w:rFonts w:ascii="Verdana" w:eastAsia="Times" w:hAnsi="Verdana" w:cs="Arial"/>
          <w:sz w:val="20"/>
          <w:szCs w:val="20"/>
          <w:lang w:val="en-US"/>
        </w:rPr>
        <w:t>.</w:t>
      </w:r>
      <w:r w:rsidRPr="008A3740">
        <w:rPr>
          <w:rFonts w:ascii="Verdana" w:eastAsia="Times" w:hAnsi="Verdana" w:cs="Arial"/>
          <w:sz w:val="20"/>
          <w:szCs w:val="20"/>
          <w:lang w:val="en-US"/>
        </w:rPr>
        <w:t xml:space="preserve"> </w:t>
      </w:r>
      <w:r w:rsidR="007A5CCE" w:rsidRPr="008A3740">
        <w:rPr>
          <w:rFonts w:ascii="Verdana" w:eastAsia="Times" w:hAnsi="Verdana" w:cs="Arial"/>
          <w:sz w:val="20"/>
          <w:szCs w:val="20"/>
          <w:lang w:val="en-US"/>
        </w:rPr>
        <w:t xml:space="preserve">In other words, </w:t>
      </w:r>
      <w:r w:rsidR="00AA0325" w:rsidRPr="008A3740">
        <w:rPr>
          <w:rFonts w:ascii="Verdana" w:eastAsia="Times" w:hAnsi="Verdana" w:cs="Arial"/>
          <w:sz w:val="20"/>
          <w:szCs w:val="20"/>
          <w:lang w:val="en-US"/>
        </w:rPr>
        <w:t xml:space="preserve">the case was clearly a complex one and </w:t>
      </w:r>
      <w:r w:rsidR="00637E96" w:rsidRPr="008A3740">
        <w:rPr>
          <w:rFonts w:ascii="Verdana" w:eastAsia="Times" w:hAnsi="Verdana" w:cs="Arial"/>
          <w:sz w:val="20"/>
          <w:szCs w:val="20"/>
          <w:lang w:val="en-US"/>
        </w:rPr>
        <w:t xml:space="preserve">could not be reduced to the simple execution of </w:t>
      </w:r>
      <w:r w:rsidRPr="008A3740">
        <w:rPr>
          <w:rFonts w:ascii="Verdana" w:eastAsia="Times" w:hAnsi="Verdana" w:cs="Arial"/>
          <w:sz w:val="20"/>
          <w:szCs w:val="20"/>
          <w:lang w:val="en-US"/>
        </w:rPr>
        <w:t xml:space="preserve">a </w:t>
      </w:r>
      <w:r w:rsidR="00335181" w:rsidRPr="008A3740">
        <w:rPr>
          <w:rFonts w:ascii="Verdana" w:eastAsia="Times" w:hAnsi="Verdana" w:cs="Arial"/>
          <w:sz w:val="20"/>
          <w:szCs w:val="20"/>
          <w:lang w:val="en-US"/>
        </w:rPr>
        <w:t xml:space="preserve">final </w:t>
      </w:r>
      <w:r w:rsidRPr="008A3740">
        <w:rPr>
          <w:rFonts w:ascii="Verdana" w:eastAsia="Times" w:hAnsi="Verdana" w:cs="Arial"/>
          <w:sz w:val="20"/>
          <w:szCs w:val="20"/>
          <w:lang w:val="en-US"/>
        </w:rPr>
        <w:t>judgment</w:t>
      </w:r>
      <w:r w:rsidR="008F4E20" w:rsidRPr="008A3740">
        <w:rPr>
          <w:rFonts w:ascii="Verdana" w:eastAsia="Times" w:hAnsi="Verdana" w:cs="Arial"/>
          <w:sz w:val="20"/>
          <w:szCs w:val="20"/>
          <w:lang w:val="en-US"/>
        </w:rPr>
        <w:t>;</w:t>
      </w:r>
      <w:r w:rsidR="00335181" w:rsidRPr="008A3740">
        <w:rPr>
          <w:rFonts w:ascii="Verdana" w:eastAsia="Times" w:hAnsi="Verdana" w:cs="Arial"/>
          <w:sz w:val="20"/>
          <w:szCs w:val="20"/>
          <w:lang w:val="en-US"/>
        </w:rPr>
        <w:t xml:space="preserve"> on </w:t>
      </w:r>
      <w:r w:rsidRPr="008A3740">
        <w:rPr>
          <w:rFonts w:ascii="Verdana" w:eastAsia="Times" w:hAnsi="Verdana" w:cs="Arial"/>
          <w:sz w:val="20"/>
          <w:szCs w:val="20"/>
          <w:lang w:val="en-US"/>
        </w:rPr>
        <w:t xml:space="preserve">the contrary, the obligations </w:t>
      </w:r>
      <w:r w:rsidR="009B6571" w:rsidRPr="008A3740">
        <w:rPr>
          <w:rFonts w:ascii="Verdana" w:eastAsia="Times" w:hAnsi="Verdana" w:cs="Arial"/>
          <w:sz w:val="20"/>
          <w:szCs w:val="20"/>
          <w:lang w:val="en-US"/>
        </w:rPr>
        <w:t xml:space="preserve">assumed </w:t>
      </w:r>
      <w:r w:rsidRPr="008A3740">
        <w:rPr>
          <w:rFonts w:ascii="Verdana" w:eastAsia="Times" w:hAnsi="Verdana" w:cs="Arial"/>
          <w:sz w:val="20"/>
          <w:szCs w:val="20"/>
          <w:lang w:val="en-US"/>
        </w:rPr>
        <w:t xml:space="preserve">by the company </w:t>
      </w:r>
      <w:r w:rsidR="009B6571" w:rsidRPr="008A3740">
        <w:rPr>
          <w:rFonts w:ascii="Verdana" w:eastAsia="Times" w:hAnsi="Verdana" w:cs="Arial"/>
          <w:sz w:val="20"/>
          <w:szCs w:val="20"/>
          <w:lang w:val="en-US"/>
        </w:rPr>
        <w:t xml:space="preserve">when it was </w:t>
      </w:r>
      <w:r w:rsidRPr="008A3740">
        <w:rPr>
          <w:rFonts w:ascii="Verdana" w:eastAsia="Times" w:hAnsi="Verdana" w:cs="Arial"/>
          <w:sz w:val="20"/>
          <w:szCs w:val="20"/>
          <w:lang w:val="en-US"/>
        </w:rPr>
        <w:t>privatized</w:t>
      </w:r>
      <w:r w:rsidR="00637E96" w:rsidRPr="008A3740">
        <w:rPr>
          <w:rFonts w:ascii="Verdana" w:eastAsia="Times" w:hAnsi="Verdana" w:cs="Arial"/>
          <w:sz w:val="20"/>
          <w:szCs w:val="20"/>
          <w:lang w:val="en-US"/>
        </w:rPr>
        <w:t xml:space="preserve"> had still not been determined</w:t>
      </w:r>
      <w:r w:rsidRPr="008A3740">
        <w:rPr>
          <w:rFonts w:ascii="Verdana" w:eastAsia="Times" w:hAnsi="Verdana" w:cs="Arial"/>
          <w:sz w:val="20"/>
          <w:szCs w:val="20"/>
          <w:lang w:val="en-US"/>
        </w:rPr>
        <w:t xml:space="preserve">, </w:t>
      </w:r>
      <w:r w:rsidR="00637E96" w:rsidRPr="008A3740">
        <w:rPr>
          <w:rFonts w:ascii="Verdana" w:eastAsia="Times" w:hAnsi="Verdana" w:cs="Arial"/>
          <w:sz w:val="20"/>
          <w:szCs w:val="20"/>
          <w:lang w:val="en-US"/>
        </w:rPr>
        <w:t xml:space="preserve">nor had </w:t>
      </w:r>
      <w:r w:rsidRPr="008A3740">
        <w:rPr>
          <w:rFonts w:ascii="Verdana" w:eastAsia="Times" w:hAnsi="Verdana" w:cs="Arial"/>
          <w:sz w:val="20"/>
          <w:szCs w:val="20"/>
          <w:lang w:val="en-US"/>
        </w:rPr>
        <w:t xml:space="preserve">the </w:t>
      </w:r>
      <w:r w:rsidR="009B6571" w:rsidRPr="008A3740">
        <w:rPr>
          <w:rFonts w:ascii="Verdana" w:eastAsia="Times" w:hAnsi="Verdana" w:cs="Arial"/>
          <w:sz w:val="20"/>
          <w:szCs w:val="20"/>
          <w:lang w:val="en-US"/>
        </w:rPr>
        <w:t xml:space="preserve">State </w:t>
      </w:r>
      <w:r w:rsidRPr="008A3740">
        <w:rPr>
          <w:rFonts w:ascii="Verdana" w:eastAsia="Times" w:hAnsi="Verdana" w:cs="Arial"/>
          <w:sz w:val="20"/>
          <w:szCs w:val="20"/>
          <w:lang w:val="en-US"/>
        </w:rPr>
        <w:t xml:space="preserve">entities that </w:t>
      </w:r>
      <w:r w:rsidR="00637E96" w:rsidRPr="008A3740">
        <w:rPr>
          <w:rFonts w:ascii="Verdana" w:eastAsia="Times" w:hAnsi="Verdana" w:cs="Arial"/>
          <w:sz w:val="20"/>
          <w:szCs w:val="20"/>
          <w:lang w:val="en-US"/>
        </w:rPr>
        <w:t xml:space="preserve">would </w:t>
      </w:r>
      <w:r w:rsidRPr="008A3740">
        <w:rPr>
          <w:rFonts w:ascii="Verdana" w:eastAsia="Times" w:hAnsi="Verdana" w:cs="Arial"/>
          <w:sz w:val="20"/>
          <w:szCs w:val="20"/>
          <w:lang w:val="en-US"/>
        </w:rPr>
        <w:t xml:space="preserve">eventually </w:t>
      </w:r>
      <w:r w:rsidR="00637E96" w:rsidRPr="008A3740">
        <w:rPr>
          <w:rFonts w:ascii="Verdana" w:eastAsia="Times" w:hAnsi="Verdana" w:cs="Arial"/>
          <w:sz w:val="20"/>
          <w:szCs w:val="20"/>
          <w:lang w:val="en-US"/>
        </w:rPr>
        <w:t xml:space="preserve">be </w:t>
      </w:r>
      <w:r w:rsidR="00AA0325" w:rsidRPr="008A3740">
        <w:rPr>
          <w:rFonts w:ascii="Verdana" w:eastAsia="Times" w:hAnsi="Verdana" w:cs="Arial"/>
          <w:sz w:val="20"/>
          <w:szCs w:val="20"/>
          <w:lang w:val="en-US"/>
        </w:rPr>
        <w:t>required to do so</w:t>
      </w:r>
      <w:r w:rsidRPr="008A3740">
        <w:rPr>
          <w:rFonts w:ascii="Verdana" w:eastAsia="Times" w:hAnsi="Verdana" w:cs="Arial"/>
          <w:sz w:val="20"/>
          <w:szCs w:val="20"/>
          <w:lang w:val="en-US"/>
        </w:rPr>
        <w:t xml:space="preserve">. </w:t>
      </w:r>
      <w:r w:rsidR="008A0C6F" w:rsidRPr="008A3740">
        <w:rPr>
          <w:rFonts w:ascii="Verdana" w:eastAsia="Times" w:hAnsi="Verdana" w:cs="Arial"/>
          <w:sz w:val="20"/>
          <w:szCs w:val="20"/>
          <w:lang w:val="en-US"/>
        </w:rPr>
        <w:t>All this produced a s</w:t>
      </w:r>
      <w:r w:rsidR="00637E96" w:rsidRPr="008A3740">
        <w:rPr>
          <w:rFonts w:ascii="Verdana" w:eastAsia="Times" w:hAnsi="Verdana" w:cs="Arial"/>
          <w:sz w:val="20"/>
          <w:szCs w:val="20"/>
          <w:lang w:val="en-US"/>
        </w:rPr>
        <w:t xml:space="preserve">tate of </w:t>
      </w:r>
      <w:r w:rsidR="00335181" w:rsidRPr="008A3740">
        <w:rPr>
          <w:rFonts w:ascii="Verdana" w:eastAsia="Times" w:hAnsi="Verdana" w:cs="Arial"/>
          <w:sz w:val="20"/>
          <w:szCs w:val="20"/>
          <w:lang w:val="en-US"/>
        </w:rPr>
        <w:t>“</w:t>
      </w:r>
      <w:r w:rsidR="008A0C6F" w:rsidRPr="008A3740">
        <w:rPr>
          <w:rFonts w:ascii="Verdana" w:eastAsia="Times" w:hAnsi="Verdana" w:cs="Arial"/>
          <w:sz w:val="20"/>
          <w:szCs w:val="20"/>
          <w:lang w:val="en-US"/>
        </w:rPr>
        <w:t>uncertainty</w:t>
      </w:r>
      <w:r w:rsidRPr="008A3740">
        <w:rPr>
          <w:rFonts w:ascii="Verdana" w:eastAsia="Times" w:hAnsi="Verdana" w:cs="Arial"/>
          <w:sz w:val="20"/>
          <w:szCs w:val="20"/>
          <w:lang w:val="en-US"/>
        </w:rPr>
        <w:t>” that dem</w:t>
      </w:r>
      <w:r w:rsidR="00AA0325" w:rsidRPr="008A3740">
        <w:rPr>
          <w:rFonts w:ascii="Verdana" w:eastAsia="Times" w:hAnsi="Verdana" w:cs="Arial"/>
          <w:sz w:val="20"/>
          <w:szCs w:val="20"/>
          <w:lang w:val="en-US"/>
        </w:rPr>
        <w:t>onstrated</w:t>
      </w:r>
      <w:r w:rsidR="009B6571" w:rsidRPr="008A3740">
        <w:rPr>
          <w:rFonts w:ascii="Verdana" w:eastAsia="Times" w:hAnsi="Verdana" w:cs="Arial"/>
          <w:sz w:val="20"/>
          <w:szCs w:val="20"/>
          <w:lang w:val="en-US"/>
        </w:rPr>
        <w:t xml:space="preserve"> </w:t>
      </w:r>
      <w:r w:rsidRPr="008A3740">
        <w:rPr>
          <w:rFonts w:ascii="Verdana" w:eastAsia="Times" w:hAnsi="Verdana" w:cs="Arial"/>
          <w:sz w:val="20"/>
          <w:szCs w:val="20"/>
          <w:lang w:val="en-US"/>
        </w:rPr>
        <w:t xml:space="preserve">the complexity of the case. </w:t>
      </w:r>
      <w:r w:rsidR="009B6571" w:rsidRPr="008A3740">
        <w:rPr>
          <w:rFonts w:ascii="Verdana" w:eastAsia="Times" w:hAnsi="Verdana" w:cs="Arial"/>
          <w:sz w:val="20"/>
          <w:szCs w:val="20"/>
          <w:lang w:val="en-US"/>
        </w:rPr>
        <w:t xml:space="preserve">As to </w:t>
      </w:r>
      <w:r w:rsidRPr="008A3740">
        <w:rPr>
          <w:rFonts w:ascii="Verdana" w:eastAsia="Times" w:hAnsi="Verdana" w:cs="Arial"/>
          <w:sz w:val="20"/>
          <w:szCs w:val="20"/>
          <w:lang w:val="en-US"/>
        </w:rPr>
        <w:t>the procedural activity of the interes</w:t>
      </w:r>
      <w:r w:rsidR="008A0C6F" w:rsidRPr="008A3740">
        <w:rPr>
          <w:rFonts w:ascii="Verdana" w:eastAsia="Times" w:hAnsi="Verdana" w:cs="Arial"/>
          <w:sz w:val="20"/>
          <w:szCs w:val="20"/>
          <w:lang w:val="en-US"/>
        </w:rPr>
        <w:t>ted party</w:t>
      </w:r>
      <w:r w:rsidRPr="008A3740">
        <w:rPr>
          <w:rFonts w:ascii="Verdana" w:eastAsia="Times" w:hAnsi="Verdana" w:cs="Arial"/>
          <w:sz w:val="20"/>
          <w:szCs w:val="20"/>
          <w:lang w:val="en-US"/>
        </w:rPr>
        <w:t xml:space="preserve">, the State </w:t>
      </w:r>
      <w:r w:rsidR="00AA0325" w:rsidRPr="008A3740">
        <w:rPr>
          <w:rFonts w:ascii="Verdana" w:eastAsia="Times" w:hAnsi="Verdana" w:cs="Arial"/>
          <w:sz w:val="20"/>
          <w:szCs w:val="20"/>
          <w:lang w:val="en-US"/>
        </w:rPr>
        <w:t xml:space="preserve">noted </w:t>
      </w:r>
      <w:r w:rsidRPr="008A3740">
        <w:rPr>
          <w:rFonts w:ascii="Verdana" w:eastAsia="Times" w:hAnsi="Verdana" w:cs="Arial"/>
          <w:sz w:val="20"/>
          <w:szCs w:val="20"/>
          <w:lang w:val="en-US"/>
        </w:rPr>
        <w:t xml:space="preserve">that the execution </w:t>
      </w:r>
      <w:r w:rsidR="00637E96" w:rsidRPr="008A3740">
        <w:rPr>
          <w:rFonts w:ascii="Verdana" w:eastAsia="Times" w:hAnsi="Verdana" w:cs="Arial"/>
          <w:sz w:val="20"/>
          <w:szCs w:val="20"/>
          <w:lang w:val="en-US"/>
        </w:rPr>
        <w:t xml:space="preserve">process was </w:t>
      </w:r>
      <w:r w:rsidRPr="008A3740">
        <w:rPr>
          <w:rFonts w:ascii="Verdana" w:eastAsia="Times" w:hAnsi="Verdana" w:cs="Arial"/>
          <w:sz w:val="20"/>
          <w:szCs w:val="20"/>
          <w:lang w:val="en-US"/>
        </w:rPr>
        <w:t>archiv</w:t>
      </w:r>
      <w:r w:rsidR="00637E96" w:rsidRPr="008A3740">
        <w:rPr>
          <w:rFonts w:ascii="Verdana" w:eastAsia="Times" w:hAnsi="Verdana" w:cs="Arial"/>
          <w:sz w:val="20"/>
          <w:szCs w:val="20"/>
          <w:lang w:val="en-US"/>
        </w:rPr>
        <w:t xml:space="preserve">ed </w:t>
      </w:r>
      <w:r w:rsidRPr="008A3740">
        <w:rPr>
          <w:rFonts w:ascii="Verdana" w:eastAsia="Times" w:hAnsi="Verdana" w:cs="Arial"/>
          <w:sz w:val="20"/>
          <w:szCs w:val="20"/>
          <w:lang w:val="en-US"/>
        </w:rPr>
        <w:t xml:space="preserve">in 1999 and was reopened in 2008, at the request of Mr. Muelle, </w:t>
      </w:r>
      <w:r w:rsidR="00637E96" w:rsidRPr="008A3740">
        <w:rPr>
          <w:rFonts w:ascii="Verdana" w:eastAsia="Times" w:hAnsi="Verdana" w:cs="Arial"/>
          <w:sz w:val="20"/>
          <w:szCs w:val="20"/>
          <w:lang w:val="en-US"/>
        </w:rPr>
        <w:t>and th</w:t>
      </w:r>
      <w:r w:rsidR="00AA0325" w:rsidRPr="008A3740">
        <w:rPr>
          <w:rFonts w:ascii="Verdana" w:eastAsia="Times" w:hAnsi="Verdana" w:cs="Arial"/>
          <w:sz w:val="20"/>
          <w:szCs w:val="20"/>
          <w:lang w:val="en-US"/>
        </w:rPr>
        <w:t xml:space="preserve">erefore </w:t>
      </w:r>
      <w:r w:rsidR="00637E96" w:rsidRPr="008A3740">
        <w:rPr>
          <w:rFonts w:ascii="Verdana" w:eastAsia="Times" w:hAnsi="Verdana" w:cs="Arial"/>
          <w:sz w:val="20"/>
          <w:szCs w:val="20"/>
          <w:lang w:val="en-US"/>
        </w:rPr>
        <w:t>there was a long period of inactivity on the part of</w:t>
      </w:r>
      <w:r w:rsidRPr="008A3740">
        <w:rPr>
          <w:rFonts w:ascii="Verdana" w:eastAsia="Times" w:hAnsi="Verdana" w:cs="Arial"/>
          <w:sz w:val="20"/>
          <w:szCs w:val="20"/>
          <w:lang w:val="en-US"/>
        </w:rPr>
        <w:t xml:space="preserve"> the interes</w:t>
      </w:r>
      <w:r w:rsidR="009B6571" w:rsidRPr="008A3740">
        <w:rPr>
          <w:rFonts w:ascii="Verdana" w:eastAsia="Times" w:hAnsi="Verdana" w:cs="Arial"/>
          <w:sz w:val="20"/>
          <w:szCs w:val="20"/>
          <w:lang w:val="en-US"/>
        </w:rPr>
        <w:t>ted party</w:t>
      </w:r>
      <w:r w:rsidRPr="008A3740">
        <w:rPr>
          <w:rFonts w:ascii="Verdana" w:eastAsia="Times" w:hAnsi="Verdana" w:cs="Arial"/>
          <w:sz w:val="20"/>
          <w:szCs w:val="20"/>
          <w:lang w:val="en-US"/>
        </w:rPr>
        <w:t xml:space="preserve">. </w:t>
      </w:r>
      <w:r w:rsidR="009B6571" w:rsidRPr="008A3740">
        <w:rPr>
          <w:rFonts w:ascii="Verdana" w:eastAsia="Times" w:hAnsi="Verdana" w:cs="Arial"/>
          <w:sz w:val="20"/>
          <w:szCs w:val="20"/>
          <w:lang w:val="en-US"/>
        </w:rPr>
        <w:t>Moreover</w:t>
      </w:r>
      <w:r w:rsidRPr="008A3740">
        <w:rPr>
          <w:rFonts w:ascii="Verdana" w:eastAsia="Times" w:hAnsi="Verdana" w:cs="Arial"/>
          <w:sz w:val="20"/>
          <w:szCs w:val="20"/>
          <w:lang w:val="en-US"/>
        </w:rPr>
        <w:t xml:space="preserve">, the State considered that Mr. Muelle Flores </w:t>
      </w:r>
      <w:r w:rsidR="00637E96" w:rsidRPr="008A3740">
        <w:rPr>
          <w:rFonts w:ascii="Verdana" w:eastAsia="Times" w:hAnsi="Verdana" w:cs="Arial"/>
          <w:sz w:val="20"/>
          <w:szCs w:val="20"/>
          <w:lang w:val="en-US"/>
        </w:rPr>
        <w:t>did not request</w:t>
      </w:r>
      <w:r w:rsidRPr="008A3740">
        <w:rPr>
          <w:rFonts w:ascii="Verdana" w:eastAsia="Times" w:hAnsi="Verdana" w:cs="Arial"/>
          <w:sz w:val="20"/>
          <w:szCs w:val="20"/>
          <w:lang w:val="en-US"/>
        </w:rPr>
        <w:t xml:space="preserve"> the </w:t>
      </w:r>
      <w:r w:rsidR="00637E96" w:rsidRPr="008A3740">
        <w:rPr>
          <w:rFonts w:ascii="Verdana" w:eastAsia="Times" w:hAnsi="Verdana" w:cs="Arial"/>
          <w:sz w:val="20"/>
          <w:szCs w:val="20"/>
          <w:lang w:val="en-US"/>
        </w:rPr>
        <w:t xml:space="preserve">procedural </w:t>
      </w:r>
      <w:r w:rsidRPr="008A3740">
        <w:rPr>
          <w:rFonts w:ascii="Verdana" w:eastAsia="Times" w:hAnsi="Verdana" w:cs="Arial"/>
          <w:sz w:val="20"/>
          <w:szCs w:val="20"/>
          <w:lang w:val="en-US"/>
        </w:rPr>
        <w:t xml:space="preserve">intervention of the MEF or of </w:t>
      </w:r>
      <w:r w:rsidR="009B6571" w:rsidRPr="008A3740">
        <w:rPr>
          <w:rFonts w:ascii="Verdana" w:eastAsia="Times" w:hAnsi="Verdana" w:cs="Arial"/>
          <w:sz w:val="20"/>
          <w:szCs w:val="20"/>
          <w:lang w:val="en-US"/>
        </w:rPr>
        <w:t xml:space="preserve">another State </w:t>
      </w:r>
      <w:r w:rsidR="00637E96" w:rsidRPr="008A3740">
        <w:rPr>
          <w:rFonts w:ascii="Verdana" w:eastAsia="Times" w:hAnsi="Verdana" w:cs="Arial"/>
          <w:sz w:val="20"/>
          <w:szCs w:val="20"/>
          <w:lang w:val="en-US"/>
        </w:rPr>
        <w:t>entity</w:t>
      </w:r>
      <w:r w:rsidRPr="008A3740">
        <w:rPr>
          <w:rFonts w:ascii="Verdana" w:eastAsia="Times" w:hAnsi="Verdana" w:cs="Arial"/>
          <w:sz w:val="20"/>
          <w:szCs w:val="20"/>
          <w:lang w:val="en-US"/>
        </w:rPr>
        <w:t xml:space="preserve">, which </w:t>
      </w:r>
      <w:r w:rsidR="00AA0325" w:rsidRPr="008A3740">
        <w:rPr>
          <w:rFonts w:ascii="Verdana" w:eastAsia="Times" w:hAnsi="Verdana" w:cs="Arial"/>
          <w:sz w:val="20"/>
          <w:szCs w:val="20"/>
          <w:lang w:val="en-US"/>
        </w:rPr>
        <w:t xml:space="preserve">could have settled the </w:t>
      </w:r>
      <w:r w:rsidR="00C7742E" w:rsidRPr="008A3740">
        <w:rPr>
          <w:rFonts w:ascii="Verdana" w:eastAsia="Times" w:hAnsi="Verdana" w:cs="Arial"/>
          <w:sz w:val="20"/>
          <w:szCs w:val="20"/>
          <w:lang w:val="en-US"/>
        </w:rPr>
        <w:t xml:space="preserve">matter </w:t>
      </w:r>
      <w:r w:rsidRPr="008A3740">
        <w:rPr>
          <w:rFonts w:ascii="Verdana" w:eastAsia="Times" w:hAnsi="Verdana" w:cs="Arial"/>
          <w:sz w:val="20"/>
          <w:szCs w:val="20"/>
          <w:lang w:val="en-US"/>
        </w:rPr>
        <w:t xml:space="preserve">in a </w:t>
      </w:r>
      <w:r w:rsidR="009B6571" w:rsidRPr="008A3740">
        <w:rPr>
          <w:rFonts w:ascii="Verdana" w:eastAsia="Times" w:hAnsi="Verdana" w:cs="Arial"/>
          <w:sz w:val="20"/>
          <w:szCs w:val="20"/>
          <w:lang w:val="en-US"/>
        </w:rPr>
        <w:t xml:space="preserve">shorter </w:t>
      </w:r>
      <w:r w:rsidRPr="008A3740">
        <w:rPr>
          <w:rFonts w:ascii="Verdana" w:eastAsia="Times" w:hAnsi="Verdana" w:cs="Arial"/>
          <w:sz w:val="20"/>
          <w:szCs w:val="20"/>
          <w:lang w:val="en-US"/>
        </w:rPr>
        <w:t xml:space="preserve">time. </w:t>
      </w:r>
      <w:r w:rsidR="00637E96" w:rsidRPr="008A3740">
        <w:rPr>
          <w:rFonts w:ascii="Verdana" w:eastAsia="Times" w:hAnsi="Verdana" w:cs="Arial"/>
          <w:sz w:val="20"/>
          <w:szCs w:val="20"/>
          <w:lang w:val="en-US"/>
        </w:rPr>
        <w:t xml:space="preserve">It also indicated </w:t>
      </w:r>
      <w:r w:rsidRPr="008A3740">
        <w:rPr>
          <w:rFonts w:ascii="Verdana" w:eastAsia="Times" w:hAnsi="Verdana" w:cs="Arial"/>
          <w:sz w:val="20"/>
          <w:szCs w:val="20"/>
          <w:lang w:val="en-US"/>
        </w:rPr>
        <w:t xml:space="preserve">that </w:t>
      </w:r>
      <w:r w:rsidR="009B6571" w:rsidRPr="008A3740">
        <w:rPr>
          <w:rFonts w:ascii="Verdana" w:eastAsia="Times" w:hAnsi="Verdana" w:cs="Arial"/>
          <w:sz w:val="20"/>
          <w:szCs w:val="20"/>
          <w:lang w:val="en-US"/>
        </w:rPr>
        <w:t xml:space="preserve">there was </w:t>
      </w:r>
      <w:r w:rsidR="00637E96" w:rsidRPr="008A3740">
        <w:rPr>
          <w:rFonts w:ascii="Verdana" w:eastAsia="Times" w:hAnsi="Verdana" w:cs="Arial"/>
          <w:sz w:val="20"/>
          <w:szCs w:val="20"/>
          <w:lang w:val="en-US"/>
        </w:rPr>
        <w:t>in</w:t>
      </w:r>
      <w:r w:rsidRPr="008A3740">
        <w:rPr>
          <w:rFonts w:ascii="Verdana" w:eastAsia="Times" w:hAnsi="Verdana" w:cs="Arial"/>
          <w:sz w:val="20"/>
          <w:szCs w:val="20"/>
          <w:lang w:val="en-US"/>
        </w:rPr>
        <w:t xml:space="preserve">sufficient </w:t>
      </w:r>
      <w:r w:rsidR="009B6571" w:rsidRPr="008A3740">
        <w:rPr>
          <w:rFonts w:ascii="Verdana" w:eastAsia="Times" w:hAnsi="Verdana" w:cs="Arial"/>
          <w:sz w:val="20"/>
          <w:szCs w:val="20"/>
          <w:lang w:val="en-US"/>
        </w:rPr>
        <w:t xml:space="preserve">activity </w:t>
      </w:r>
      <w:r w:rsidR="00AA0325" w:rsidRPr="008A3740">
        <w:rPr>
          <w:rFonts w:ascii="Verdana" w:eastAsia="Times" w:hAnsi="Verdana" w:cs="Arial"/>
          <w:sz w:val="20"/>
          <w:szCs w:val="20"/>
          <w:lang w:val="en-US"/>
        </w:rPr>
        <w:t>on the part of Mr. Muelle, who</w:t>
      </w:r>
      <w:r w:rsidR="009B6571" w:rsidRPr="008A3740">
        <w:rPr>
          <w:rFonts w:ascii="Verdana" w:eastAsia="Times" w:hAnsi="Verdana" w:cs="Arial"/>
          <w:sz w:val="20"/>
          <w:szCs w:val="20"/>
          <w:lang w:val="en-US"/>
        </w:rPr>
        <w:t xml:space="preserve"> only </w:t>
      </w:r>
      <w:r w:rsidR="00AA0325" w:rsidRPr="008A3740">
        <w:rPr>
          <w:rFonts w:ascii="Verdana" w:eastAsia="Times" w:hAnsi="Verdana" w:cs="Arial"/>
          <w:sz w:val="20"/>
          <w:szCs w:val="20"/>
          <w:lang w:val="en-US"/>
        </w:rPr>
        <w:t xml:space="preserve">submitted </w:t>
      </w:r>
      <w:r w:rsidR="009B6571" w:rsidRPr="008A3740">
        <w:rPr>
          <w:rFonts w:ascii="Verdana" w:eastAsia="Times" w:hAnsi="Verdana" w:cs="Arial"/>
          <w:sz w:val="20"/>
          <w:szCs w:val="20"/>
          <w:lang w:val="en-US"/>
        </w:rPr>
        <w:t>two briefs</w:t>
      </w:r>
      <w:r w:rsidR="00AA0325" w:rsidRPr="008A3740">
        <w:rPr>
          <w:rFonts w:ascii="Verdana" w:eastAsia="Times" w:hAnsi="Verdana" w:cs="Arial"/>
          <w:sz w:val="20"/>
          <w:szCs w:val="20"/>
          <w:lang w:val="en-US"/>
        </w:rPr>
        <w:t xml:space="preserve"> in the last two years.</w:t>
      </w:r>
    </w:p>
    <w:p w14:paraId="266B05CB" w14:textId="77777777" w:rsidR="008E6A56" w:rsidRPr="008A3740" w:rsidRDefault="008E6A56" w:rsidP="008E6A56">
      <w:pPr>
        <w:pStyle w:val="Estilo1"/>
        <w:tabs>
          <w:tab w:val="left" w:pos="709"/>
          <w:tab w:val="left" w:pos="1134"/>
        </w:tabs>
        <w:spacing w:after="0"/>
        <w:ind w:left="0" w:right="0" w:firstLine="0"/>
        <w:rPr>
          <w:rFonts w:eastAsia="Times" w:cs="Arial"/>
          <w:b/>
          <w:i w:val="0"/>
          <w:szCs w:val="20"/>
          <w:lang w:val="en-US"/>
        </w:rPr>
      </w:pPr>
    </w:p>
    <w:p w14:paraId="72CA07AC"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cs="Arial"/>
          <w:b/>
          <w:sz w:val="20"/>
          <w:szCs w:val="20"/>
          <w:lang w:val="en-US"/>
        </w:rPr>
      </w:pPr>
      <w:r w:rsidRPr="008A3740">
        <w:rPr>
          <w:rFonts w:ascii="Verdana" w:eastAsia="Times" w:hAnsi="Verdana" w:cs="Arial"/>
          <w:sz w:val="20"/>
          <w:szCs w:val="20"/>
          <w:lang w:val="en-US"/>
        </w:rPr>
        <w:t>Regarding the conduct of the judicial authorities, the State argued that the judicial r</w:t>
      </w:r>
      <w:r w:rsidR="00637E96" w:rsidRPr="008A3740">
        <w:rPr>
          <w:rFonts w:ascii="Verdana" w:eastAsia="Times" w:hAnsi="Verdana" w:cs="Arial"/>
          <w:sz w:val="20"/>
          <w:szCs w:val="20"/>
          <w:lang w:val="en-US"/>
        </w:rPr>
        <w:t xml:space="preserve">ulings </w:t>
      </w:r>
      <w:r w:rsidRPr="008A3740">
        <w:rPr>
          <w:rFonts w:ascii="Verdana" w:eastAsia="Times" w:hAnsi="Verdana" w:cs="Arial"/>
          <w:sz w:val="20"/>
          <w:szCs w:val="20"/>
          <w:lang w:val="en-US"/>
        </w:rPr>
        <w:t>issued had not been “completely ineffective</w:t>
      </w:r>
      <w:r w:rsidR="00AA0325" w:rsidRPr="008A3740">
        <w:rPr>
          <w:rFonts w:ascii="Verdana" w:eastAsia="Times" w:hAnsi="Verdana" w:cs="Arial"/>
          <w:sz w:val="20"/>
          <w:szCs w:val="20"/>
          <w:lang w:val="en-US"/>
        </w:rPr>
        <w:t>,”</w:t>
      </w:r>
      <w:r w:rsidRPr="008A3740">
        <w:rPr>
          <w:rFonts w:ascii="Verdana" w:eastAsia="Times" w:hAnsi="Verdana" w:cs="Arial"/>
          <w:sz w:val="20"/>
          <w:szCs w:val="20"/>
          <w:lang w:val="en-US"/>
        </w:rPr>
        <w:t xml:space="preserve"> </w:t>
      </w:r>
      <w:r w:rsidR="00AA0325" w:rsidRPr="008A3740">
        <w:rPr>
          <w:rFonts w:ascii="Verdana" w:eastAsia="Times" w:hAnsi="Verdana" w:cs="Arial"/>
          <w:sz w:val="20"/>
          <w:szCs w:val="20"/>
          <w:lang w:val="en-US"/>
        </w:rPr>
        <w:t>given that Mr. Muelle Flores had received his pension between 1991 and 2001</w:t>
      </w:r>
      <w:r w:rsidR="00637E96" w:rsidRPr="008A3740">
        <w:rPr>
          <w:rFonts w:ascii="Verdana" w:eastAsia="Times" w:hAnsi="Verdana" w:cs="Arial"/>
          <w:sz w:val="20"/>
          <w:szCs w:val="20"/>
          <w:lang w:val="en-US"/>
        </w:rPr>
        <w:t>. It</w:t>
      </w:r>
      <w:r w:rsidR="009B6571" w:rsidRPr="008A3740">
        <w:rPr>
          <w:rFonts w:ascii="Verdana" w:eastAsia="Times" w:hAnsi="Verdana" w:cs="Arial"/>
          <w:sz w:val="20"/>
          <w:szCs w:val="20"/>
          <w:lang w:val="en-US"/>
        </w:rPr>
        <w:t xml:space="preserve"> </w:t>
      </w:r>
      <w:r w:rsidR="00637E96" w:rsidRPr="008A3740">
        <w:rPr>
          <w:rFonts w:ascii="Verdana" w:eastAsia="Times" w:hAnsi="Verdana" w:cs="Arial"/>
          <w:sz w:val="20"/>
          <w:szCs w:val="20"/>
          <w:lang w:val="en-US"/>
        </w:rPr>
        <w:t xml:space="preserve">noted </w:t>
      </w:r>
      <w:r w:rsidR="009B6571" w:rsidRPr="008A3740">
        <w:rPr>
          <w:rFonts w:ascii="Verdana" w:eastAsia="Times" w:hAnsi="Verdana" w:cs="Arial"/>
          <w:sz w:val="20"/>
          <w:szCs w:val="20"/>
          <w:lang w:val="en-US"/>
        </w:rPr>
        <w:t xml:space="preserve">that the judicial bodies </w:t>
      </w:r>
      <w:r w:rsidR="008A0C6F" w:rsidRPr="008A3740">
        <w:rPr>
          <w:rFonts w:ascii="Verdana" w:eastAsia="Times" w:hAnsi="Verdana" w:cs="Arial"/>
          <w:sz w:val="20"/>
          <w:szCs w:val="20"/>
          <w:lang w:val="en-US"/>
        </w:rPr>
        <w:t xml:space="preserve">promoted </w:t>
      </w:r>
      <w:r w:rsidR="009B6571" w:rsidRPr="008A3740">
        <w:rPr>
          <w:rFonts w:ascii="Verdana" w:eastAsia="Times" w:hAnsi="Verdana" w:cs="Arial"/>
          <w:sz w:val="20"/>
          <w:szCs w:val="20"/>
          <w:lang w:val="en-US"/>
        </w:rPr>
        <w:t>the process</w:t>
      </w:r>
      <w:r w:rsidR="00637E96" w:rsidRPr="008A3740">
        <w:rPr>
          <w:rFonts w:ascii="Verdana" w:eastAsia="Times" w:hAnsi="Verdana" w:cs="Arial"/>
          <w:sz w:val="20"/>
          <w:szCs w:val="20"/>
          <w:lang w:val="en-US"/>
        </w:rPr>
        <w:t>,</w:t>
      </w:r>
      <w:r w:rsidRPr="008A3740">
        <w:rPr>
          <w:rFonts w:ascii="Verdana" w:eastAsia="Times" w:hAnsi="Verdana" w:cs="Arial"/>
          <w:sz w:val="20"/>
          <w:szCs w:val="20"/>
          <w:lang w:val="en-US"/>
        </w:rPr>
        <w:t xml:space="preserve"> issuing resolutions that ordered the e</w:t>
      </w:r>
      <w:r w:rsidR="00C7742E" w:rsidRPr="008A3740">
        <w:rPr>
          <w:rFonts w:ascii="Verdana" w:eastAsia="Times" w:hAnsi="Verdana" w:cs="Arial"/>
          <w:sz w:val="20"/>
          <w:szCs w:val="20"/>
          <w:lang w:val="en-US"/>
        </w:rPr>
        <w:t xml:space="preserve">xecution </w:t>
      </w:r>
      <w:r w:rsidRPr="008A3740">
        <w:rPr>
          <w:rFonts w:ascii="Verdana" w:eastAsia="Times" w:hAnsi="Verdana" w:cs="Arial"/>
          <w:sz w:val="20"/>
          <w:szCs w:val="20"/>
          <w:lang w:val="en-US"/>
        </w:rPr>
        <w:t>of the Supreme Court judgment and requ</w:t>
      </w:r>
      <w:r w:rsidR="00637E96" w:rsidRPr="008A3740">
        <w:rPr>
          <w:rFonts w:ascii="Verdana" w:eastAsia="Times" w:hAnsi="Verdana" w:cs="Arial"/>
          <w:sz w:val="20"/>
          <w:szCs w:val="20"/>
          <w:lang w:val="en-US"/>
        </w:rPr>
        <w:t xml:space="preserve">esting information from the </w:t>
      </w:r>
      <w:r w:rsidR="00637E96" w:rsidRPr="008A3740">
        <w:rPr>
          <w:rFonts w:ascii="Verdana" w:eastAsia="Times" w:hAnsi="Verdana" w:cs="Arial"/>
          <w:sz w:val="20"/>
          <w:szCs w:val="20"/>
          <w:lang w:val="en-US"/>
        </w:rPr>
        <w:lastRenderedPageBreak/>
        <w:t>MEF;</w:t>
      </w:r>
      <w:r w:rsidR="00AA0325" w:rsidRPr="008A3740">
        <w:rPr>
          <w:rFonts w:ascii="Verdana" w:eastAsia="Times" w:hAnsi="Verdana" w:cs="Arial"/>
          <w:sz w:val="20"/>
          <w:szCs w:val="20"/>
          <w:lang w:val="en-US"/>
        </w:rPr>
        <w:t xml:space="preserve"> therefore the</w:t>
      </w:r>
      <w:r w:rsidRPr="008A3740">
        <w:rPr>
          <w:rFonts w:ascii="Verdana" w:eastAsia="Times" w:hAnsi="Verdana" w:cs="Arial"/>
          <w:sz w:val="20"/>
          <w:szCs w:val="20"/>
          <w:lang w:val="en-US"/>
        </w:rPr>
        <w:t xml:space="preserve"> claim of un</w:t>
      </w:r>
      <w:r w:rsidR="00AA0325" w:rsidRPr="008A3740">
        <w:rPr>
          <w:rFonts w:ascii="Verdana" w:eastAsia="Times" w:hAnsi="Verdana" w:cs="Arial"/>
          <w:sz w:val="20"/>
          <w:szCs w:val="20"/>
          <w:lang w:val="en-US"/>
        </w:rPr>
        <w:t xml:space="preserve">warranted </w:t>
      </w:r>
      <w:r w:rsidRPr="008A3740">
        <w:rPr>
          <w:rFonts w:ascii="Verdana" w:eastAsia="Times" w:hAnsi="Verdana" w:cs="Arial"/>
          <w:sz w:val="20"/>
          <w:szCs w:val="20"/>
          <w:lang w:val="en-US"/>
        </w:rPr>
        <w:t xml:space="preserve">delays “is not true.” Likewise, the State considered that </w:t>
      </w:r>
      <w:r w:rsidR="00637E96" w:rsidRPr="008A3740">
        <w:rPr>
          <w:rFonts w:ascii="Verdana" w:eastAsia="Times" w:hAnsi="Verdana" w:cs="Arial"/>
          <w:sz w:val="20"/>
          <w:szCs w:val="20"/>
          <w:lang w:val="en-US"/>
        </w:rPr>
        <w:t xml:space="preserve">there were </w:t>
      </w:r>
      <w:r w:rsidRPr="008A3740">
        <w:rPr>
          <w:rFonts w:ascii="Verdana" w:eastAsia="Times" w:hAnsi="Verdana" w:cs="Arial"/>
          <w:sz w:val="20"/>
          <w:szCs w:val="20"/>
          <w:lang w:val="en-US"/>
        </w:rPr>
        <w:t xml:space="preserve">no “unjustified delays” given that, when the appeals were filed, these were settled by the Superior Court within </w:t>
      </w:r>
      <w:r w:rsidR="005E5FED" w:rsidRPr="008A3740">
        <w:rPr>
          <w:rFonts w:ascii="Verdana" w:eastAsia="Times" w:hAnsi="Verdana" w:cs="Arial"/>
          <w:sz w:val="20"/>
          <w:szCs w:val="20"/>
          <w:lang w:val="en-US"/>
        </w:rPr>
        <w:t>reasonable time</w:t>
      </w:r>
      <w:r w:rsidRPr="008A3740">
        <w:rPr>
          <w:rFonts w:ascii="Verdana" w:eastAsia="Times" w:hAnsi="Verdana" w:cs="Arial"/>
          <w:sz w:val="20"/>
          <w:szCs w:val="20"/>
          <w:lang w:val="en-US"/>
        </w:rPr>
        <w:t xml:space="preserve">s (in less than 11 and 12 months). Finally, regarding the situation of the presumed victim, </w:t>
      </w:r>
      <w:r w:rsidR="00637E96" w:rsidRPr="008A3740">
        <w:rPr>
          <w:rFonts w:ascii="Verdana" w:eastAsia="Times" w:hAnsi="Verdana" w:cs="Arial"/>
          <w:sz w:val="20"/>
          <w:szCs w:val="20"/>
          <w:lang w:val="en-US"/>
        </w:rPr>
        <w:t xml:space="preserve">it </w:t>
      </w:r>
      <w:r w:rsidRPr="008A3740">
        <w:rPr>
          <w:rFonts w:ascii="Verdana" w:eastAsia="Times" w:hAnsi="Verdana" w:cs="Arial"/>
          <w:sz w:val="20"/>
          <w:szCs w:val="20"/>
          <w:lang w:val="en-US"/>
        </w:rPr>
        <w:t xml:space="preserve">indicated that </w:t>
      </w:r>
      <w:r w:rsidR="00637E96" w:rsidRPr="008A3740">
        <w:rPr>
          <w:rFonts w:ascii="Verdana" w:eastAsia="Times" w:hAnsi="Verdana" w:cs="Arial"/>
          <w:sz w:val="20"/>
          <w:szCs w:val="20"/>
          <w:lang w:val="en-US"/>
        </w:rPr>
        <w:t xml:space="preserve">the </w:t>
      </w:r>
      <w:r w:rsidRPr="008A3740">
        <w:rPr>
          <w:rFonts w:ascii="Verdana" w:eastAsia="Times" w:hAnsi="Verdana" w:cs="Arial"/>
          <w:sz w:val="20"/>
          <w:szCs w:val="20"/>
          <w:lang w:val="en-US"/>
        </w:rPr>
        <w:t xml:space="preserve">precarious financial and health situation </w:t>
      </w:r>
      <w:r w:rsidR="00637E96" w:rsidRPr="008A3740">
        <w:rPr>
          <w:rFonts w:ascii="Verdana" w:eastAsia="Times" w:hAnsi="Verdana" w:cs="Arial"/>
          <w:sz w:val="20"/>
          <w:szCs w:val="20"/>
          <w:lang w:val="en-US"/>
        </w:rPr>
        <w:t xml:space="preserve">alleged by Mr. Muelle Flores </w:t>
      </w:r>
      <w:r w:rsidRPr="008A3740">
        <w:rPr>
          <w:rFonts w:ascii="Verdana" w:eastAsia="Times" w:hAnsi="Verdana" w:cs="Arial"/>
          <w:sz w:val="20"/>
          <w:szCs w:val="20"/>
          <w:lang w:val="en-US"/>
        </w:rPr>
        <w:t xml:space="preserve">had not been </w:t>
      </w:r>
      <w:r w:rsidR="00637E96" w:rsidRPr="008A3740">
        <w:rPr>
          <w:rFonts w:ascii="Verdana" w:eastAsia="Times" w:hAnsi="Verdana" w:cs="Arial"/>
          <w:sz w:val="20"/>
          <w:szCs w:val="20"/>
          <w:lang w:val="en-US"/>
        </w:rPr>
        <w:t>proven</w:t>
      </w:r>
      <w:r w:rsidRPr="008A3740">
        <w:rPr>
          <w:rFonts w:ascii="Verdana" w:eastAsia="Times" w:hAnsi="Verdana" w:cs="Arial"/>
          <w:sz w:val="20"/>
          <w:szCs w:val="20"/>
          <w:lang w:val="en-US"/>
        </w:rPr>
        <w:t>. Consequently, it asked the Court to declare that the State had no</w:t>
      </w:r>
      <w:r w:rsidR="00AA0325" w:rsidRPr="008A3740">
        <w:rPr>
          <w:rFonts w:ascii="Verdana" w:eastAsia="Times" w:hAnsi="Verdana" w:cs="Arial"/>
          <w:sz w:val="20"/>
          <w:szCs w:val="20"/>
          <w:lang w:val="en-US"/>
        </w:rPr>
        <w:t>t</w:t>
      </w:r>
      <w:r w:rsidRPr="008A3740">
        <w:rPr>
          <w:rFonts w:ascii="Verdana" w:eastAsia="Times" w:hAnsi="Verdana" w:cs="Arial"/>
          <w:sz w:val="20"/>
          <w:szCs w:val="20"/>
          <w:lang w:val="en-US"/>
        </w:rPr>
        <w:t xml:space="preserve"> violated Article 8(1) of the American Convention.</w:t>
      </w:r>
    </w:p>
    <w:p w14:paraId="4B9543E6" w14:textId="77777777" w:rsidR="008E6A56" w:rsidRPr="008A3740" w:rsidRDefault="008E6A56" w:rsidP="008E6A56">
      <w:pPr>
        <w:pStyle w:val="Ttulo3"/>
        <w:rPr>
          <w:lang w:val="en-US"/>
        </w:rPr>
      </w:pPr>
      <w:bookmarkStart w:id="102" w:name="_Toc532545810"/>
      <w:bookmarkStart w:id="103" w:name="_Toc5009884"/>
      <w:r w:rsidRPr="008A3740">
        <w:rPr>
          <w:lang w:val="en-US"/>
        </w:rPr>
        <w:t>B.2 Considerations of the Court</w:t>
      </w:r>
      <w:bookmarkEnd w:id="102"/>
      <w:bookmarkEnd w:id="103"/>
    </w:p>
    <w:p w14:paraId="385AB67B" w14:textId="77777777" w:rsidR="008E6A56" w:rsidRPr="008A3740" w:rsidRDefault="008E6A56" w:rsidP="008E6A56">
      <w:pPr>
        <w:rPr>
          <w:rFonts w:ascii="Verdana" w:hAnsi="Verdana"/>
          <w:sz w:val="20"/>
          <w:szCs w:val="20"/>
          <w:lang w:val="en-US" w:eastAsia="en-US"/>
        </w:rPr>
      </w:pPr>
    </w:p>
    <w:p w14:paraId="0B17640E"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Batang" w:hAnsi="Verdana"/>
          <w:sz w:val="20"/>
          <w:szCs w:val="20"/>
          <w:lang w:val="en-US" w:eastAsia="es-MX"/>
        </w:rPr>
      </w:pPr>
      <w:r w:rsidRPr="008A3740">
        <w:rPr>
          <w:rFonts w:ascii="Verdana" w:hAnsi="Verdana"/>
          <w:sz w:val="20"/>
          <w:szCs w:val="20"/>
          <w:lang w:val="en-US" w:eastAsia="es-MX"/>
        </w:rPr>
        <w:t xml:space="preserve">In its constant case </w:t>
      </w:r>
      <w:r w:rsidR="00AA0325" w:rsidRPr="008A3740">
        <w:rPr>
          <w:rFonts w:ascii="Verdana" w:hAnsi="Verdana"/>
          <w:sz w:val="20"/>
          <w:szCs w:val="20"/>
          <w:lang w:val="en-US" w:eastAsia="es-MX"/>
        </w:rPr>
        <w:t>law,</w:t>
      </w:r>
      <w:r w:rsidRPr="008A3740">
        <w:rPr>
          <w:rFonts w:ascii="Verdana" w:hAnsi="Verdana"/>
          <w:sz w:val="20"/>
          <w:szCs w:val="20"/>
          <w:lang w:val="en-US" w:eastAsia="es-MX"/>
        </w:rPr>
        <w:t xml:space="preserve"> the Court has considered that a prolonged delay </w:t>
      </w:r>
      <w:r w:rsidRPr="008A3740">
        <w:rPr>
          <w:rFonts w:ascii="Verdana" w:eastAsia="Batang" w:hAnsi="Verdana"/>
          <w:sz w:val="20"/>
          <w:szCs w:val="20"/>
          <w:lang w:val="en-US" w:eastAsia="es-MX"/>
        </w:rPr>
        <w:t xml:space="preserve">in the </w:t>
      </w:r>
      <w:r w:rsidRPr="008A3740">
        <w:rPr>
          <w:rFonts w:ascii="Verdana" w:hAnsi="Verdana"/>
          <w:sz w:val="20"/>
          <w:szCs w:val="20"/>
          <w:lang w:val="en-US" w:eastAsia="es-MX"/>
        </w:rPr>
        <w:t>proce</w:t>
      </w:r>
      <w:r w:rsidR="00AA0325" w:rsidRPr="008A3740">
        <w:rPr>
          <w:rFonts w:ascii="Verdana" w:hAnsi="Verdana"/>
          <w:sz w:val="20"/>
          <w:szCs w:val="20"/>
          <w:lang w:val="en-US" w:eastAsia="es-MX"/>
        </w:rPr>
        <w:t xml:space="preserve">edings </w:t>
      </w:r>
      <w:r w:rsidRPr="008A3740">
        <w:rPr>
          <w:rFonts w:ascii="Verdana" w:hAnsi="Verdana"/>
          <w:sz w:val="20"/>
          <w:szCs w:val="20"/>
          <w:lang w:val="en-US" w:eastAsia="es-MX"/>
        </w:rPr>
        <w:t>can</w:t>
      </w:r>
      <w:r w:rsidR="008A0C6F" w:rsidRPr="008A3740">
        <w:rPr>
          <w:rFonts w:ascii="Verdana" w:eastAsia="Batang" w:hAnsi="Verdana"/>
          <w:sz w:val="20"/>
          <w:szCs w:val="20"/>
          <w:lang w:val="en-US" w:eastAsia="es-MX"/>
        </w:rPr>
        <w:t xml:space="preserve"> constitute</w:t>
      </w:r>
      <w:r w:rsidRPr="008A3740">
        <w:rPr>
          <w:rFonts w:ascii="Verdana" w:eastAsia="Batang" w:hAnsi="Verdana"/>
          <w:sz w:val="20"/>
          <w:szCs w:val="20"/>
          <w:lang w:val="en-US" w:eastAsia="es-MX"/>
        </w:rPr>
        <w:t>, of itself, a v</w:t>
      </w:r>
      <w:r w:rsidR="00AA0325" w:rsidRPr="008A3740">
        <w:rPr>
          <w:rFonts w:ascii="Verdana" w:eastAsia="Batang" w:hAnsi="Verdana"/>
          <w:sz w:val="20"/>
          <w:szCs w:val="20"/>
          <w:lang w:val="en-US" w:eastAsia="es-MX"/>
        </w:rPr>
        <w:t>iolation of judicial guarantees.</w:t>
      </w:r>
      <w:r w:rsidRPr="008A3740">
        <w:rPr>
          <w:rFonts w:ascii="Verdana" w:eastAsia="Batang" w:hAnsi="Verdana" w:cs="Verdana"/>
          <w:sz w:val="20"/>
          <w:szCs w:val="20"/>
          <w:vertAlign w:val="superscript"/>
          <w:lang w:val="en-US" w:eastAsia="es-MX"/>
        </w:rPr>
        <w:footnoteReference w:id="164"/>
      </w:r>
      <w:r w:rsidRPr="008A3740">
        <w:rPr>
          <w:rFonts w:ascii="Verdana" w:hAnsi="Verdana"/>
          <w:sz w:val="20"/>
          <w:szCs w:val="20"/>
          <w:lang w:val="en-US" w:eastAsia="es-MX"/>
        </w:rPr>
        <w:t xml:space="preserve"> </w:t>
      </w:r>
      <w:r w:rsidR="00AA0325" w:rsidRPr="008A3740">
        <w:rPr>
          <w:rFonts w:ascii="Verdana" w:hAnsi="Verdana"/>
          <w:sz w:val="20"/>
          <w:szCs w:val="20"/>
          <w:lang w:val="en-US" w:eastAsia="es-MX"/>
        </w:rPr>
        <w:t xml:space="preserve">This </w:t>
      </w:r>
      <w:r w:rsidR="00637E96" w:rsidRPr="008A3740">
        <w:rPr>
          <w:rFonts w:ascii="Verdana" w:hAnsi="Verdana"/>
          <w:sz w:val="20"/>
          <w:szCs w:val="20"/>
          <w:lang w:val="en-US" w:eastAsia="es-MX"/>
        </w:rPr>
        <w:t xml:space="preserve">is </w:t>
      </w:r>
      <w:r w:rsidRPr="008A3740">
        <w:rPr>
          <w:rFonts w:ascii="Verdana" w:hAnsi="Verdana"/>
          <w:sz w:val="20"/>
          <w:szCs w:val="20"/>
          <w:lang w:val="en-US" w:eastAsia="es-MX"/>
        </w:rPr>
        <w:t>also ap</w:t>
      </w:r>
      <w:r w:rsidR="00456193" w:rsidRPr="008A3740">
        <w:rPr>
          <w:rFonts w:ascii="Verdana" w:hAnsi="Verdana"/>
          <w:sz w:val="20"/>
          <w:szCs w:val="20"/>
          <w:lang w:val="en-US" w:eastAsia="es-MX"/>
        </w:rPr>
        <w:t xml:space="preserve">plicable to </w:t>
      </w:r>
      <w:r w:rsidR="00444FC0" w:rsidRPr="008A3740">
        <w:rPr>
          <w:rFonts w:ascii="Verdana" w:hAnsi="Verdana"/>
          <w:sz w:val="20"/>
          <w:szCs w:val="20"/>
          <w:lang w:val="en-US" w:eastAsia="es-MX"/>
        </w:rPr>
        <w:t xml:space="preserve">proceedings for </w:t>
      </w:r>
      <w:r w:rsidR="00456193" w:rsidRPr="008A3740">
        <w:rPr>
          <w:rFonts w:ascii="Verdana" w:hAnsi="Verdana"/>
          <w:sz w:val="20"/>
          <w:szCs w:val="20"/>
          <w:lang w:val="en-US" w:eastAsia="es-MX"/>
        </w:rPr>
        <w:t xml:space="preserve">the </w:t>
      </w:r>
      <w:r w:rsidRPr="008A3740">
        <w:rPr>
          <w:rFonts w:ascii="Verdana" w:hAnsi="Verdana"/>
          <w:sz w:val="20"/>
          <w:szCs w:val="20"/>
          <w:lang w:val="en-US" w:eastAsia="es-MX"/>
        </w:rPr>
        <w:t xml:space="preserve">execution </w:t>
      </w:r>
      <w:r w:rsidR="00637E96" w:rsidRPr="008A3740">
        <w:rPr>
          <w:rFonts w:ascii="Verdana" w:hAnsi="Verdana"/>
          <w:sz w:val="20"/>
          <w:szCs w:val="20"/>
          <w:lang w:val="en-US" w:eastAsia="es-MX"/>
        </w:rPr>
        <w:t xml:space="preserve">of final </w:t>
      </w:r>
      <w:r w:rsidR="00C14212" w:rsidRPr="008A3740">
        <w:rPr>
          <w:rFonts w:ascii="Verdana" w:hAnsi="Verdana"/>
          <w:sz w:val="20"/>
          <w:szCs w:val="20"/>
          <w:lang w:val="en-US" w:eastAsia="es-MX"/>
        </w:rPr>
        <w:t>judgment</w:t>
      </w:r>
      <w:r w:rsidR="00444FC0" w:rsidRPr="008A3740">
        <w:rPr>
          <w:rFonts w:ascii="Verdana" w:hAnsi="Verdana"/>
          <w:sz w:val="20"/>
          <w:szCs w:val="20"/>
          <w:lang w:val="en-US" w:eastAsia="es-MX"/>
        </w:rPr>
        <w:t>s</w:t>
      </w:r>
      <w:r w:rsidRPr="008A3740">
        <w:rPr>
          <w:rFonts w:ascii="Verdana" w:hAnsi="Verdana"/>
          <w:sz w:val="20"/>
          <w:szCs w:val="20"/>
          <w:lang w:val="en-US" w:eastAsia="es-MX"/>
        </w:rPr>
        <w:t>. Th</w:t>
      </w:r>
      <w:r w:rsidR="00C14212" w:rsidRPr="008A3740">
        <w:rPr>
          <w:rFonts w:ascii="Verdana" w:hAnsi="Verdana"/>
          <w:sz w:val="20"/>
          <w:szCs w:val="20"/>
          <w:lang w:val="en-US" w:eastAsia="es-MX"/>
        </w:rPr>
        <w:t>e Court has indicated that “</w:t>
      </w:r>
      <w:r w:rsidRPr="008A3740">
        <w:rPr>
          <w:rFonts w:ascii="Verdana" w:hAnsi="Verdana"/>
          <w:sz w:val="20"/>
          <w:szCs w:val="20"/>
          <w:lang w:val="en-US" w:eastAsia="es-MX"/>
        </w:rPr>
        <w:t xml:space="preserve">execution of a judgment </w:t>
      </w:r>
      <w:r w:rsidR="00C14212" w:rsidRPr="008A3740">
        <w:rPr>
          <w:rFonts w:ascii="Verdana" w:hAnsi="Verdana"/>
          <w:sz w:val="20"/>
          <w:szCs w:val="20"/>
          <w:lang w:val="en-US" w:eastAsia="es-MX"/>
        </w:rPr>
        <w:t>given by any court must therefore be regarded as</w:t>
      </w:r>
      <w:r w:rsidRPr="008A3740">
        <w:rPr>
          <w:rFonts w:ascii="Verdana" w:hAnsi="Verdana"/>
          <w:sz w:val="20"/>
          <w:szCs w:val="20"/>
          <w:lang w:val="en-US" w:eastAsia="es-MX"/>
        </w:rPr>
        <w:t xml:space="preserve"> an integral part of the “</w:t>
      </w:r>
      <w:r w:rsidR="00C14212" w:rsidRPr="008A3740">
        <w:rPr>
          <w:rFonts w:ascii="Verdana" w:hAnsi="Verdana"/>
          <w:sz w:val="20"/>
          <w:szCs w:val="20"/>
          <w:lang w:val="en-US" w:eastAsia="es-MX"/>
        </w:rPr>
        <w:t>trial</w:t>
      </w:r>
      <w:r w:rsidRPr="008A3740">
        <w:rPr>
          <w:rFonts w:ascii="Verdana" w:hAnsi="Verdana"/>
          <w:sz w:val="20"/>
          <w:szCs w:val="20"/>
          <w:lang w:val="en-US" w:eastAsia="es-MX"/>
        </w:rPr>
        <w:t>.”</w:t>
      </w:r>
      <w:r w:rsidRPr="008A3740">
        <w:rPr>
          <w:rStyle w:val="Refdenotaalpie"/>
          <w:szCs w:val="20"/>
          <w:lang w:val="en-US" w:eastAsia="es-MX"/>
        </w:rPr>
        <w:footnoteReference w:id="165"/>
      </w:r>
      <w:r w:rsidRPr="008A3740">
        <w:rPr>
          <w:rFonts w:ascii="Verdana" w:hAnsi="Verdana"/>
          <w:sz w:val="20"/>
          <w:szCs w:val="20"/>
          <w:lang w:val="en-US" w:eastAsia="es-MX"/>
        </w:rPr>
        <w:t xml:space="preserve"> </w:t>
      </w:r>
      <w:r w:rsidR="008A0C6F" w:rsidRPr="008A3740">
        <w:rPr>
          <w:rFonts w:ascii="Verdana" w:hAnsi="Verdana"/>
          <w:sz w:val="20"/>
          <w:szCs w:val="20"/>
          <w:lang w:val="en-US" w:eastAsia="es-MX"/>
        </w:rPr>
        <w:t>In other words</w:t>
      </w:r>
      <w:r w:rsidRPr="008A3740">
        <w:rPr>
          <w:rFonts w:ascii="Verdana" w:hAnsi="Verdana"/>
          <w:sz w:val="20"/>
          <w:szCs w:val="20"/>
          <w:lang w:val="en-US" w:eastAsia="es-MX"/>
        </w:rPr>
        <w:t>, an</w:t>
      </w:r>
      <w:r w:rsidR="00C14212" w:rsidRPr="008A3740">
        <w:rPr>
          <w:rFonts w:ascii="Verdana" w:hAnsi="Verdana"/>
          <w:sz w:val="20"/>
          <w:szCs w:val="20"/>
          <w:lang w:val="en-US" w:eastAsia="es-MX"/>
        </w:rPr>
        <w:t>y</w:t>
      </w:r>
      <w:r w:rsidRPr="008A3740">
        <w:rPr>
          <w:rFonts w:ascii="Verdana" w:hAnsi="Verdana"/>
          <w:sz w:val="20"/>
          <w:szCs w:val="20"/>
          <w:lang w:val="en-US" w:eastAsia="es-MX"/>
        </w:rPr>
        <w:t xml:space="preserve"> unjusti</w:t>
      </w:r>
      <w:r w:rsidR="00335181" w:rsidRPr="008A3740">
        <w:rPr>
          <w:rFonts w:ascii="Verdana" w:hAnsi="Verdana"/>
          <w:sz w:val="20"/>
          <w:szCs w:val="20"/>
          <w:lang w:val="en-US" w:eastAsia="es-MX"/>
        </w:rPr>
        <w:t xml:space="preserve">fied delay in the execution of </w:t>
      </w:r>
      <w:r w:rsidRPr="008A3740">
        <w:rPr>
          <w:rFonts w:ascii="Verdana" w:hAnsi="Verdana"/>
          <w:sz w:val="20"/>
          <w:szCs w:val="20"/>
          <w:lang w:val="en-US" w:eastAsia="es-MX"/>
        </w:rPr>
        <w:t xml:space="preserve">a judgment may imply the violation of the </w:t>
      </w:r>
      <w:r w:rsidR="006B2D8B" w:rsidRPr="008A3740">
        <w:rPr>
          <w:rFonts w:ascii="Verdana" w:hAnsi="Verdana"/>
          <w:sz w:val="20"/>
          <w:szCs w:val="20"/>
          <w:lang w:val="en-US" w:eastAsia="es-MX"/>
        </w:rPr>
        <w:t>“</w:t>
      </w:r>
      <w:r w:rsidR="00C14212" w:rsidRPr="008A3740">
        <w:rPr>
          <w:rFonts w:ascii="Verdana" w:hAnsi="Verdana"/>
          <w:sz w:val="20"/>
          <w:szCs w:val="20"/>
          <w:lang w:val="en-US" w:eastAsia="es-MX"/>
        </w:rPr>
        <w:t>right to a</w:t>
      </w:r>
      <w:r w:rsidRPr="008A3740">
        <w:rPr>
          <w:rFonts w:ascii="Verdana" w:hAnsi="Verdana"/>
          <w:sz w:val="20"/>
          <w:szCs w:val="20"/>
          <w:lang w:val="en-US" w:eastAsia="es-MX"/>
        </w:rPr>
        <w:t xml:space="preserve"> court</w:t>
      </w:r>
      <w:r w:rsidR="00C14212" w:rsidRPr="008A3740">
        <w:rPr>
          <w:rFonts w:ascii="Verdana" w:hAnsi="Verdana"/>
          <w:sz w:val="20"/>
          <w:szCs w:val="20"/>
          <w:lang w:val="en-US" w:eastAsia="es-MX"/>
        </w:rPr>
        <w:t>”</w:t>
      </w:r>
      <w:r w:rsidRPr="008A3740">
        <w:rPr>
          <w:rFonts w:ascii="Verdana" w:hAnsi="Verdana"/>
          <w:sz w:val="20"/>
          <w:szCs w:val="20"/>
          <w:lang w:val="en-US" w:eastAsia="es-MX"/>
        </w:rPr>
        <w:t xml:space="preserve"> in a </w:t>
      </w:r>
      <w:r w:rsidR="005E5FED" w:rsidRPr="008A3740">
        <w:rPr>
          <w:rFonts w:ascii="Verdana" w:hAnsi="Verdana"/>
          <w:sz w:val="20"/>
          <w:szCs w:val="20"/>
          <w:lang w:val="en-US" w:eastAsia="es-MX"/>
        </w:rPr>
        <w:t>reasonable time</w:t>
      </w:r>
      <w:r w:rsidRPr="008A3740">
        <w:rPr>
          <w:rFonts w:ascii="Verdana" w:hAnsi="Verdana"/>
          <w:sz w:val="20"/>
          <w:szCs w:val="20"/>
          <w:lang w:val="en-US" w:eastAsia="es-MX"/>
        </w:rPr>
        <w:t>.</w:t>
      </w:r>
      <w:r w:rsidRPr="008A3740">
        <w:rPr>
          <w:rStyle w:val="Refdenotaalpie"/>
          <w:szCs w:val="20"/>
          <w:lang w:val="en-US" w:eastAsia="es-MX"/>
        </w:rPr>
        <w:footnoteReference w:id="166"/>
      </w:r>
      <w:r w:rsidRPr="008A3740">
        <w:rPr>
          <w:rFonts w:ascii="Verdana" w:hAnsi="Verdana"/>
          <w:sz w:val="20"/>
          <w:szCs w:val="20"/>
          <w:lang w:val="en-US" w:eastAsia="es-MX"/>
        </w:rPr>
        <w:t xml:space="preserve"> The Court </w:t>
      </w:r>
      <w:r w:rsidR="008A0C6F" w:rsidRPr="008A3740">
        <w:rPr>
          <w:rFonts w:ascii="Verdana" w:hAnsi="Verdana"/>
          <w:sz w:val="20"/>
          <w:szCs w:val="20"/>
          <w:lang w:val="en-US" w:eastAsia="es-MX"/>
        </w:rPr>
        <w:t>considers that</w:t>
      </w:r>
      <w:r w:rsidRPr="008A3740">
        <w:rPr>
          <w:rFonts w:ascii="Verdana" w:hAnsi="Verdana"/>
          <w:sz w:val="20"/>
          <w:szCs w:val="20"/>
          <w:lang w:val="en-US" w:eastAsia="es-MX"/>
        </w:rPr>
        <w:t>, “</w:t>
      </w:r>
      <w:r w:rsidR="00335181" w:rsidRPr="008A3740">
        <w:rPr>
          <w:rFonts w:ascii="Verdana" w:hAnsi="Verdana"/>
          <w:sz w:val="20"/>
          <w:szCs w:val="20"/>
          <w:lang w:val="en-US" w:eastAsia="es-MX"/>
        </w:rPr>
        <w:t xml:space="preserve">since </w:t>
      </w:r>
      <w:r w:rsidRPr="008A3740">
        <w:rPr>
          <w:rFonts w:ascii="Verdana" w:hAnsi="Verdana"/>
          <w:sz w:val="20"/>
          <w:szCs w:val="20"/>
          <w:lang w:val="en-US" w:eastAsia="es-MX"/>
        </w:rPr>
        <w:t>compliance should be considered an integral part of the proceedings, this right must be understood in conjun</w:t>
      </w:r>
      <w:r w:rsidR="008A0C6F" w:rsidRPr="008A3740">
        <w:rPr>
          <w:rFonts w:ascii="Verdana" w:hAnsi="Verdana"/>
          <w:sz w:val="20"/>
          <w:szCs w:val="20"/>
          <w:lang w:val="en-US" w:eastAsia="es-MX"/>
        </w:rPr>
        <w:t>c</w:t>
      </w:r>
      <w:r w:rsidRPr="008A3740">
        <w:rPr>
          <w:rFonts w:ascii="Verdana" w:hAnsi="Verdana"/>
          <w:sz w:val="20"/>
          <w:szCs w:val="20"/>
          <w:lang w:val="en-US" w:eastAsia="es-MX"/>
        </w:rPr>
        <w:t xml:space="preserve">tion with the </w:t>
      </w:r>
      <w:r w:rsidR="00335181" w:rsidRPr="008A3740">
        <w:rPr>
          <w:rFonts w:ascii="Verdana" w:hAnsi="Verdana"/>
          <w:sz w:val="20"/>
          <w:szCs w:val="20"/>
          <w:lang w:val="en-US" w:eastAsia="es-MX"/>
        </w:rPr>
        <w:t xml:space="preserve">requirement for </w:t>
      </w:r>
      <w:r w:rsidRPr="008A3740">
        <w:rPr>
          <w:rFonts w:ascii="Verdana" w:hAnsi="Verdana"/>
          <w:sz w:val="20"/>
          <w:szCs w:val="20"/>
          <w:lang w:val="en-US" w:eastAsia="es-MX"/>
        </w:rPr>
        <w:t xml:space="preserve">a “prompt decision” when the duration of a </w:t>
      </w:r>
      <w:r w:rsidR="008A0C6F" w:rsidRPr="008A3740">
        <w:rPr>
          <w:rFonts w:ascii="Verdana" w:hAnsi="Verdana"/>
          <w:sz w:val="20"/>
          <w:szCs w:val="20"/>
          <w:lang w:val="en-US" w:eastAsia="es-MX"/>
        </w:rPr>
        <w:t xml:space="preserve">trial </w:t>
      </w:r>
      <w:r w:rsidRPr="008A3740">
        <w:rPr>
          <w:rFonts w:ascii="Verdana" w:hAnsi="Verdana"/>
          <w:sz w:val="20"/>
          <w:szCs w:val="20"/>
          <w:lang w:val="en-US" w:eastAsia="es-MX"/>
        </w:rPr>
        <w:t>or proceeding is examined.”</w:t>
      </w:r>
      <w:r w:rsidRPr="008A3740">
        <w:rPr>
          <w:rStyle w:val="Refdenotaalpie"/>
          <w:szCs w:val="20"/>
          <w:lang w:val="en-US" w:eastAsia="es-MX"/>
        </w:rPr>
        <w:footnoteReference w:id="167"/>
      </w:r>
    </w:p>
    <w:p w14:paraId="1B66189F" w14:textId="77777777" w:rsidR="008E6A56" w:rsidRPr="008A3740" w:rsidRDefault="008E6A56" w:rsidP="008E6A56">
      <w:pPr>
        <w:pStyle w:val="Estilo1"/>
        <w:tabs>
          <w:tab w:val="left" w:pos="709"/>
          <w:tab w:val="left" w:pos="1134"/>
        </w:tabs>
        <w:spacing w:after="0"/>
        <w:ind w:left="0" w:right="0" w:firstLine="0"/>
        <w:rPr>
          <w:rFonts w:cs="Verdana"/>
          <w:bCs/>
          <w:i w:val="0"/>
          <w:iCs/>
          <w:szCs w:val="20"/>
          <w:lang w:val="en-US"/>
        </w:rPr>
      </w:pPr>
    </w:p>
    <w:p w14:paraId="36CB53B2"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cs="Verdana"/>
          <w:bCs/>
          <w:i/>
          <w:iCs/>
          <w:sz w:val="20"/>
          <w:szCs w:val="20"/>
          <w:lang w:val="en-US"/>
        </w:rPr>
      </w:pPr>
      <w:r w:rsidRPr="008A3740">
        <w:rPr>
          <w:rFonts w:ascii="Verdana" w:hAnsi="Verdana" w:cs="Verdana"/>
          <w:bCs/>
          <w:iCs/>
          <w:sz w:val="20"/>
          <w:szCs w:val="20"/>
          <w:lang w:val="en-US"/>
        </w:rPr>
        <w:t xml:space="preserve">The Court has established that </w:t>
      </w:r>
      <w:r w:rsidR="00C26758" w:rsidRPr="008A3740">
        <w:rPr>
          <w:rFonts w:ascii="Verdana" w:hAnsi="Verdana" w:cs="Verdana"/>
          <w:bCs/>
          <w:iCs/>
          <w:sz w:val="20"/>
          <w:szCs w:val="20"/>
          <w:lang w:val="en-US"/>
        </w:rPr>
        <w:t xml:space="preserve">in </w:t>
      </w:r>
      <w:r w:rsidR="00C14212" w:rsidRPr="008A3740">
        <w:rPr>
          <w:rFonts w:ascii="Verdana" w:hAnsi="Verdana" w:cs="Verdana"/>
          <w:bCs/>
          <w:iCs/>
          <w:sz w:val="20"/>
          <w:szCs w:val="20"/>
          <w:lang w:val="en-US"/>
        </w:rPr>
        <w:t xml:space="preserve">assessing </w:t>
      </w:r>
      <w:r w:rsidR="005E5FED" w:rsidRPr="008A3740">
        <w:rPr>
          <w:rFonts w:ascii="Verdana" w:hAnsi="Verdana" w:cs="Verdana"/>
          <w:bCs/>
          <w:iCs/>
          <w:sz w:val="20"/>
          <w:szCs w:val="20"/>
          <w:lang w:val="en-US"/>
        </w:rPr>
        <w:t>reasonable time</w:t>
      </w:r>
      <w:r w:rsidR="00C14212" w:rsidRPr="008A3740">
        <w:rPr>
          <w:rFonts w:ascii="Verdana" w:hAnsi="Verdana" w:cs="Verdana"/>
          <w:bCs/>
          <w:iCs/>
          <w:sz w:val="20"/>
          <w:szCs w:val="20"/>
          <w:lang w:val="en-US"/>
        </w:rPr>
        <w:t xml:space="preserve"> it is necessary to analyze,</w:t>
      </w:r>
      <w:r w:rsidRPr="008A3740">
        <w:rPr>
          <w:rFonts w:ascii="Verdana" w:hAnsi="Verdana" w:cs="Verdana"/>
          <w:bCs/>
          <w:iCs/>
          <w:sz w:val="20"/>
          <w:szCs w:val="20"/>
          <w:lang w:val="en-US"/>
        </w:rPr>
        <w:t xml:space="preserve"> in each specific case</w:t>
      </w:r>
      <w:r w:rsidR="00C14212" w:rsidRPr="008A3740">
        <w:rPr>
          <w:rFonts w:ascii="Verdana" w:hAnsi="Verdana" w:cs="Verdana"/>
          <w:bCs/>
          <w:iCs/>
          <w:sz w:val="20"/>
          <w:szCs w:val="20"/>
          <w:lang w:val="en-US"/>
        </w:rPr>
        <w:t xml:space="preserve">, </w:t>
      </w:r>
      <w:r w:rsidRPr="008A3740">
        <w:rPr>
          <w:rFonts w:ascii="Verdana" w:hAnsi="Verdana" w:cs="Verdana"/>
          <w:bCs/>
          <w:iCs/>
          <w:sz w:val="20"/>
          <w:szCs w:val="20"/>
          <w:lang w:val="en-US"/>
        </w:rPr>
        <w:t xml:space="preserve">the entire duration of the process, which </w:t>
      </w:r>
      <w:r w:rsidR="00FD5F4F" w:rsidRPr="008A3740">
        <w:rPr>
          <w:rFonts w:ascii="Verdana" w:hAnsi="Verdana" w:cs="Verdana"/>
          <w:bCs/>
          <w:iCs/>
          <w:sz w:val="20"/>
          <w:szCs w:val="20"/>
          <w:lang w:val="en-US"/>
        </w:rPr>
        <w:t xml:space="preserve">may </w:t>
      </w:r>
      <w:r w:rsidR="00335181" w:rsidRPr="008A3740">
        <w:rPr>
          <w:rFonts w:ascii="Verdana" w:hAnsi="Verdana" w:cs="Verdana"/>
          <w:bCs/>
          <w:iCs/>
          <w:sz w:val="20"/>
          <w:szCs w:val="20"/>
          <w:lang w:val="en-US"/>
        </w:rPr>
        <w:t xml:space="preserve">also include the execution of </w:t>
      </w:r>
      <w:r w:rsidRPr="008A3740">
        <w:rPr>
          <w:rFonts w:ascii="Verdana" w:hAnsi="Verdana" w:cs="Verdana"/>
          <w:bCs/>
          <w:iCs/>
          <w:sz w:val="20"/>
          <w:szCs w:val="20"/>
          <w:lang w:val="en-US"/>
        </w:rPr>
        <w:t xml:space="preserve">the final </w:t>
      </w:r>
      <w:r w:rsidR="001477FB" w:rsidRPr="008A3740">
        <w:rPr>
          <w:rFonts w:ascii="Verdana" w:hAnsi="Verdana" w:cs="Verdana"/>
          <w:bCs/>
          <w:iCs/>
          <w:sz w:val="20"/>
          <w:szCs w:val="20"/>
          <w:lang w:val="en-US"/>
        </w:rPr>
        <w:t>judgment</w:t>
      </w:r>
      <w:r w:rsidR="00C14212" w:rsidRPr="008A3740">
        <w:rPr>
          <w:rFonts w:ascii="Verdana" w:hAnsi="Verdana" w:cs="Verdana"/>
          <w:bCs/>
          <w:iCs/>
          <w:sz w:val="20"/>
          <w:szCs w:val="20"/>
          <w:lang w:val="en-US"/>
        </w:rPr>
        <w:t>. Accordingly, the Court</w:t>
      </w:r>
      <w:r w:rsidRPr="008A3740">
        <w:rPr>
          <w:rFonts w:ascii="Verdana" w:hAnsi="Verdana" w:cs="Verdana"/>
          <w:bCs/>
          <w:iCs/>
          <w:sz w:val="20"/>
          <w:szCs w:val="20"/>
          <w:lang w:val="en-US"/>
        </w:rPr>
        <w:t xml:space="preserve"> has considered four elements </w:t>
      </w:r>
      <w:r w:rsidR="00C14212" w:rsidRPr="008A3740">
        <w:rPr>
          <w:rFonts w:ascii="Verdana" w:hAnsi="Verdana" w:cs="Verdana"/>
          <w:bCs/>
          <w:iCs/>
          <w:sz w:val="20"/>
          <w:szCs w:val="20"/>
          <w:lang w:val="en-US"/>
        </w:rPr>
        <w:t xml:space="preserve">to determine whether this process complied with </w:t>
      </w:r>
      <w:r w:rsidRPr="008A3740">
        <w:rPr>
          <w:rFonts w:ascii="Verdana" w:hAnsi="Verdana" w:cs="Verdana"/>
          <w:bCs/>
          <w:iCs/>
          <w:sz w:val="20"/>
          <w:szCs w:val="20"/>
          <w:lang w:val="en-US"/>
        </w:rPr>
        <w:t xml:space="preserve">the guarantee of </w:t>
      </w:r>
      <w:r w:rsidR="005E5FED" w:rsidRPr="008A3740">
        <w:rPr>
          <w:rFonts w:ascii="Verdana" w:hAnsi="Verdana" w:cs="Verdana"/>
          <w:bCs/>
          <w:iCs/>
          <w:sz w:val="20"/>
          <w:szCs w:val="20"/>
          <w:lang w:val="en-US"/>
        </w:rPr>
        <w:t>reasonable time</w:t>
      </w:r>
      <w:r w:rsidRPr="008A3740">
        <w:rPr>
          <w:rFonts w:ascii="Verdana" w:hAnsi="Verdana" w:cs="Verdana"/>
          <w:bCs/>
          <w:iCs/>
          <w:sz w:val="20"/>
          <w:szCs w:val="20"/>
          <w:lang w:val="en-US"/>
        </w:rPr>
        <w:t xml:space="preserve">, namely: i) the complexity of the </w:t>
      </w:r>
      <w:r w:rsidR="008A0C6F" w:rsidRPr="008A3740">
        <w:rPr>
          <w:rFonts w:ascii="Verdana" w:hAnsi="Verdana" w:cs="Verdana"/>
          <w:bCs/>
          <w:iCs/>
          <w:sz w:val="20"/>
          <w:szCs w:val="20"/>
          <w:lang w:val="en-US"/>
        </w:rPr>
        <w:t>matter</w:t>
      </w:r>
      <w:r w:rsidR="008324DF" w:rsidRPr="008A3740">
        <w:rPr>
          <w:rFonts w:ascii="Verdana" w:hAnsi="Verdana" w:cs="Verdana"/>
          <w:bCs/>
          <w:iCs/>
          <w:sz w:val="20"/>
          <w:szCs w:val="20"/>
          <w:lang w:val="en-US"/>
        </w:rPr>
        <w:t>, ii) the procedural activit</w:t>
      </w:r>
      <w:r w:rsidR="001477FB" w:rsidRPr="008A3740">
        <w:rPr>
          <w:rFonts w:ascii="Verdana" w:hAnsi="Verdana" w:cs="Verdana"/>
          <w:bCs/>
          <w:iCs/>
          <w:sz w:val="20"/>
          <w:szCs w:val="20"/>
          <w:lang w:val="en-US"/>
        </w:rPr>
        <w:t xml:space="preserve">y of </w:t>
      </w:r>
      <w:r w:rsidRPr="008A3740">
        <w:rPr>
          <w:rFonts w:ascii="Verdana" w:hAnsi="Verdana" w:cs="Verdana"/>
          <w:bCs/>
          <w:iCs/>
          <w:sz w:val="20"/>
          <w:szCs w:val="20"/>
          <w:lang w:val="en-US"/>
        </w:rPr>
        <w:t>the interested party, iii) the conduct of the judicial authorities, and iv) the legal</w:t>
      </w:r>
      <w:r w:rsidR="00C7742E" w:rsidRPr="008A3740">
        <w:rPr>
          <w:rFonts w:ascii="Verdana" w:hAnsi="Verdana" w:cs="Verdana"/>
          <w:bCs/>
          <w:iCs/>
          <w:sz w:val="20"/>
          <w:szCs w:val="20"/>
          <w:lang w:val="en-US"/>
        </w:rPr>
        <w:t xml:space="preserve"> effects on the</w:t>
      </w:r>
      <w:r w:rsidRPr="008A3740">
        <w:rPr>
          <w:rFonts w:ascii="Verdana" w:hAnsi="Verdana" w:cs="Verdana"/>
          <w:bCs/>
          <w:iCs/>
          <w:sz w:val="20"/>
          <w:szCs w:val="20"/>
          <w:lang w:val="en-US"/>
        </w:rPr>
        <w:t xml:space="preserve"> situation of the </w:t>
      </w:r>
      <w:r w:rsidR="008324DF" w:rsidRPr="008A3740">
        <w:rPr>
          <w:rFonts w:ascii="Verdana" w:hAnsi="Verdana" w:cs="Verdana"/>
          <w:bCs/>
          <w:iCs/>
          <w:sz w:val="20"/>
          <w:szCs w:val="20"/>
          <w:lang w:val="en-US"/>
        </w:rPr>
        <w:t xml:space="preserve">individual </w:t>
      </w:r>
      <w:r w:rsidR="00335181" w:rsidRPr="008A3740">
        <w:rPr>
          <w:rFonts w:ascii="Verdana" w:hAnsi="Verdana" w:cs="Verdana"/>
          <w:bCs/>
          <w:iCs/>
          <w:sz w:val="20"/>
          <w:szCs w:val="20"/>
          <w:lang w:val="en-US"/>
        </w:rPr>
        <w:t>involved in the proce</w:t>
      </w:r>
      <w:r w:rsidR="008324DF" w:rsidRPr="008A3740">
        <w:rPr>
          <w:rFonts w:ascii="Verdana" w:hAnsi="Verdana" w:cs="Verdana"/>
          <w:bCs/>
          <w:iCs/>
          <w:sz w:val="20"/>
          <w:szCs w:val="20"/>
          <w:lang w:val="en-US"/>
        </w:rPr>
        <w:t>eding</w:t>
      </w:r>
      <w:r w:rsidRPr="008A3740">
        <w:rPr>
          <w:rFonts w:ascii="Verdana" w:hAnsi="Verdana" w:cs="Verdana"/>
          <w:bCs/>
          <w:iCs/>
          <w:sz w:val="20"/>
          <w:szCs w:val="20"/>
          <w:lang w:val="en-US"/>
        </w:rPr>
        <w:t>. Th</w:t>
      </w:r>
      <w:r w:rsidR="008A0C6F" w:rsidRPr="008A3740">
        <w:rPr>
          <w:rFonts w:ascii="Verdana" w:hAnsi="Verdana" w:cs="Verdana"/>
          <w:bCs/>
          <w:iCs/>
          <w:sz w:val="20"/>
          <w:szCs w:val="20"/>
          <w:lang w:val="en-US"/>
        </w:rPr>
        <w:t xml:space="preserve">e Court recalls that </w:t>
      </w:r>
      <w:r w:rsidR="008324DF" w:rsidRPr="008A3740">
        <w:rPr>
          <w:rFonts w:ascii="Verdana" w:hAnsi="Verdana" w:cs="Verdana"/>
          <w:bCs/>
          <w:iCs/>
          <w:sz w:val="20"/>
          <w:szCs w:val="20"/>
          <w:lang w:val="en-US"/>
        </w:rPr>
        <w:t xml:space="preserve">it is for the </w:t>
      </w:r>
      <w:r w:rsidRPr="008A3740">
        <w:rPr>
          <w:rFonts w:ascii="Verdana" w:hAnsi="Verdana" w:cs="Verdana"/>
          <w:bCs/>
          <w:iCs/>
          <w:sz w:val="20"/>
          <w:szCs w:val="20"/>
          <w:lang w:val="en-US"/>
        </w:rPr>
        <w:t xml:space="preserve">State </w:t>
      </w:r>
      <w:r w:rsidR="008324DF" w:rsidRPr="008A3740">
        <w:rPr>
          <w:rFonts w:ascii="Verdana" w:hAnsi="Verdana" w:cs="Verdana"/>
          <w:bCs/>
          <w:iCs/>
          <w:sz w:val="20"/>
          <w:szCs w:val="20"/>
          <w:lang w:val="en-US"/>
        </w:rPr>
        <w:t xml:space="preserve">to </w:t>
      </w:r>
      <w:r w:rsidRPr="008A3740">
        <w:rPr>
          <w:rFonts w:ascii="Verdana" w:hAnsi="Verdana" w:cs="Verdana"/>
          <w:bCs/>
          <w:iCs/>
          <w:sz w:val="20"/>
          <w:szCs w:val="20"/>
          <w:lang w:val="en-US"/>
        </w:rPr>
        <w:t xml:space="preserve">justify, based on the criteria indicated, </w:t>
      </w:r>
      <w:r w:rsidR="005E5FED" w:rsidRPr="008A3740">
        <w:rPr>
          <w:rFonts w:ascii="Verdana" w:hAnsi="Verdana"/>
          <w:sz w:val="20"/>
          <w:szCs w:val="20"/>
          <w:lang w:val="en-US"/>
        </w:rPr>
        <w:t>the reasons why it has taken so long to conduct a proceeding</w:t>
      </w:r>
      <w:r w:rsidR="005E5FED" w:rsidRPr="008A3740">
        <w:rPr>
          <w:rFonts w:ascii="Verdana" w:hAnsi="Verdana" w:cs="Verdana"/>
          <w:bCs/>
          <w:iCs/>
          <w:sz w:val="20"/>
          <w:szCs w:val="20"/>
          <w:lang w:val="en-US"/>
        </w:rPr>
        <w:t xml:space="preserve">. </w:t>
      </w:r>
      <w:r w:rsidR="005E5FED" w:rsidRPr="008A3740">
        <w:rPr>
          <w:rFonts w:ascii="Verdana" w:hAnsi="Verdana"/>
          <w:sz w:val="20"/>
          <w:szCs w:val="20"/>
          <w:lang w:val="en-US"/>
        </w:rPr>
        <w:t>Otherwise, the Court has broad powers to make its own analysis of this matter</w:t>
      </w:r>
      <w:r w:rsidRPr="008A3740">
        <w:rPr>
          <w:rFonts w:ascii="Verdana" w:hAnsi="Verdana" w:cs="Verdana"/>
          <w:bCs/>
          <w:iCs/>
          <w:sz w:val="20"/>
          <w:szCs w:val="20"/>
          <w:lang w:val="en-US"/>
        </w:rPr>
        <w:t>.</w:t>
      </w:r>
      <w:r w:rsidRPr="008A3740">
        <w:rPr>
          <w:rFonts w:ascii="Verdana" w:hAnsi="Verdana" w:cs="Verdana"/>
          <w:bCs/>
          <w:iCs/>
          <w:sz w:val="20"/>
          <w:szCs w:val="20"/>
          <w:vertAlign w:val="superscript"/>
          <w:lang w:val="en-US"/>
        </w:rPr>
        <w:footnoteReference w:id="168"/>
      </w:r>
      <w:r w:rsidRPr="008A3740">
        <w:rPr>
          <w:rFonts w:ascii="Verdana" w:hAnsi="Verdana" w:cs="Verdana"/>
          <w:bCs/>
          <w:i/>
          <w:iCs/>
          <w:sz w:val="20"/>
          <w:szCs w:val="20"/>
          <w:lang w:val="en-US"/>
        </w:rPr>
        <w:t xml:space="preserve"> </w:t>
      </w:r>
    </w:p>
    <w:p w14:paraId="31569587" w14:textId="77777777" w:rsidR="008E6A56" w:rsidRPr="008A3740" w:rsidRDefault="008E6A56" w:rsidP="008E6A56">
      <w:pPr>
        <w:pStyle w:val="Estilo1"/>
        <w:tabs>
          <w:tab w:val="left" w:pos="709"/>
          <w:tab w:val="left" w:pos="1134"/>
        </w:tabs>
        <w:spacing w:after="0"/>
        <w:ind w:left="0" w:right="0" w:firstLine="0"/>
        <w:rPr>
          <w:rFonts w:cs="Verdana"/>
          <w:bCs/>
          <w:i w:val="0"/>
          <w:iCs/>
          <w:szCs w:val="20"/>
          <w:lang w:val="en-US"/>
        </w:rPr>
      </w:pPr>
    </w:p>
    <w:p w14:paraId="61B328EB" w14:textId="77777777" w:rsidR="008E6A56" w:rsidRPr="008A3740" w:rsidRDefault="00C26758"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hAnsi="Verdana" w:cs="Verdana"/>
          <w:bCs/>
          <w:iCs/>
          <w:sz w:val="20"/>
          <w:szCs w:val="20"/>
          <w:lang w:val="en-US"/>
        </w:rPr>
        <w:t>The analysis contained in</w:t>
      </w:r>
      <w:r w:rsidR="008E6A56" w:rsidRPr="008A3740">
        <w:rPr>
          <w:rFonts w:ascii="Verdana" w:hAnsi="Verdana" w:cs="Verdana"/>
          <w:bCs/>
          <w:iCs/>
          <w:sz w:val="20"/>
          <w:szCs w:val="20"/>
          <w:lang w:val="en-US"/>
        </w:rPr>
        <w:t xml:space="preserve"> this </w:t>
      </w:r>
      <w:r w:rsidR="00335181" w:rsidRPr="008A3740">
        <w:rPr>
          <w:rFonts w:ascii="Verdana" w:hAnsi="Verdana" w:cs="Verdana"/>
          <w:bCs/>
          <w:iCs/>
          <w:sz w:val="20"/>
          <w:szCs w:val="20"/>
          <w:lang w:val="en-US"/>
        </w:rPr>
        <w:t xml:space="preserve">section </w:t>
      </w:r>
      <w:r w:rsidR="008E6A56" w:rsidRPr="008A3740">
        <w:rPr>
          <w:rFonts w:ascii="Verdana" w:hAnsi="Verdana" w:cs="Verdana"/>
          <w:bCs/>
          <w:iCs/>
          <w:sz w:val="20"/>
          <w:szCs w:val="20"/>
          <w:lang w:val="en-US"/>
        </w:rPr>
        <w:t xml:space="preserve">will focus on an assessment of the time elapsed since the adoption of the first </w:t>
      </w:r>
      <w:r w:rsidR="008E6A56" w:rsidRPr="008A3740">
        <w:rPr>
          <w:rFonts w:ascii="Verdana" w:hAnsi="Verdana" w:cs="Verdana"/>
          <w:bCs/>
          <w:i/>
          <w:iCs/>
          <w:sz w:val="20"/>
          <w:szCs w:val="20"/>
          <w:lang w:val="en-US"/>
        </w:rPr>
        <w:t>amparo</w:t>
      </w:r>
      <w:r w:rsidR="008E6A56" w:rsidRPr="008A3740">
        <w:rPr>
          <w:rFonts w:ascii="Verdana" w:hAnsi="Verdana" w:cs="Verdana"/>
          <w:bCs/>
          <w:iCs/>
          <w:sz w:val="20"/>
          <w:szCs w:val="20"/>
          <w:lang w:val="en-US"/>
        </w:rPr>
        <w:t xml:space="preserve"> </w:t>
      </w:r>
      <w:r w:rsidRPr="008A3740">
        <w:rPr>
          <w:rFonts w:ascii="Verdana" w:hAnsi="Verdana" w:cs="Verdana"/>
          <w:bCs/>
          <w:iCs/>
          <w:sz w:val="20"/>
          <w:szCs w:val="20"/>
          <w:lang w:val="en-US"/>
        </w:rPr>
        <w:t>judgment of the Supreme Cou</w:t>
      </w:r>
      <w:r w:rsidR="00C7742E" w:rsidRPr="008A3740">
        <w:rPr>
          <w:rFonts w:ascii="Verdana" w:hAnsi="Verdana" w:cs="Verdana"/>
          <w:bCs/>
          <w:iCs/>
          <w:sz w:val="20"/>
          <w:szCs w:val="20"/>
          <w:lang w:val="en-US"/>
        </w:rPr>
        <w:t>rt on</w:t>
      </w:r>
      <w:r w:rsidR="008E6A56" w:rsidRPr="008A3740">
        <w:rPr>
          <w:rFonts w:ascii="Verdana" w:hAnsi="Verdana" w:cs="Verdana"/>
          <w:bCs/>
          <w:iCs/>
          <w:sz w:val="20"/>
          <w:szCs w:val="20"/>
          <w:lang w:val="en-US"/>
        </w:rPr>
        <w:t xml:space="preserve"> February 2, 1993, until the </w:t>
      </w:r>
      <w:r w:rsidR="00335181" w:rsidRPr="008A3740">
        <w:rPr>
          <w:rFonts w:ascii="Verdana" w:hAnsi="Verdana" w:cs="Verdana"/>
          <w:bCs/>
          <w:iCs/>
          <w:sz w:val="20"/>
          <w:szCs w:val="20"/>
          <w:lang w:val="en-US"/>
        </w:rPr>
        <w:t>present</w:t>
      </w:r>
      <w:r w:rsidRPr="008A3740">
        <w:rPr>
          <w:rFonts w:ascii="Verdana" w:hAnsi="Verdana" w:cs="Verdana"/>
          <w:bCs/>
          <w:iCs/>
          <w:sz w:val="20"/>
          <w:szCs w:val="20"/>
          <w:lang w:val="en-US"/>
        </w:rPr>
        <w:t xml:space="preserve">, and since the adoption of </w:t>
      </w:r>
      <w:r w:rsidR="008E6A56" w:rsidRPr="008A3740">
        <w:rPr>
          <w:rFonts w:ascii="Verdana" w:hAnsi="Verdana" w:cs="Verdana"/>
          <w:bCs/>
          <w:iCs/>
          <w:sz w:val="20"/>
          <w:szCs w:val="20"/>
          <w:lang w:val="en-US"/>
        </w:rPr>
        <w:t xml:space="preserve">the second </w:t>
      </w:r>
      <w:r w:rsidR="008E6A56" w:rsidRPr="008A3740">
        <w:rPr>
          <w:rFonts w:ascii="Verdana" w:hAnsi="Verdana" w:cs="Verdana"/>
          <w:bCs/>
          <w:i/>
          <w:iCs/>
          <w:sz w:val="20"/>
          <w:szCs w:val="20"/>
          <w:lang w:val="en-US"/>
        </w:rPr>
        <w:t>amparo</w:t>
      </w:r>
      <w:r w:rsidR="008E6A56" w:rsidRPr="008A3740">
        <w:rPr>
          <w:rFonts w:ascii="Verdana" w:hAnsi="Verdana" w:cs="Verdana"/>
          <w:bCs/>
          <w:iCs/>
          <w:sz w:val="20"/>
          <w:szCs w:val="20"/>
          <w:lang w:val="en-US"/>
        </w:rPr>
        <w:t xml:space="preserve"> judgment of the Constitutional Court of December 10, 1999, until the present</w:t>
      </w:r>
      <w:r w:rsidRPr="008A3740">
        <w:rPr>
          <w:rFonts w:ascii="Verdana" w:hAnsi="Verdana" w:cs="Verdana"/>
          <w:bCs/>
          <w:iCs/>
          <w:sz w:val="20"/>
          <w:szCs w:val="20"/>
          <w:lang w:val="en-US"/>
        </w:rPr>
        <w:t xml:space="preserve"> date</w:t>
      </w:r>
      <w:r w:rsidR="008E6A56" w:rsidRPr="008A3740">
        <w:rPr>
          <w:rFonts w:ascii="Verdana" w:hAnsi="Verdana" w:cs="Verdana"/>
          <w:bCs/>
          <w:iCs/>
          <w:sz w:val="20"/>
          <w:szCs w:val="20"/>
          <w:lang w:val="en-US"/>
        </w:rPr>
        <w:t xml:space="preserve">. </w:t>
      </w:r>
    </w:p>
    <w:p w14:paraId="3135A726" w14:textId="77777777" w:rsidR="008E6A56" w:rsidRPr="008A3740" w:rsidRDefault="008E6A56" w:rsidP="008E6A56">
      <w:pPr>
        <w:pStyle w:val="Prrafodelista"/>
        <w:rPr>
          <w:rFonts w:ascii="Verdana" w:hAnsi="Verdana" w:cs="Verdana"/>
          <w:bCs/>
          <w:iCs/>
          <w:sz w:val="20"/>
          <w:szCs w:val="20"/>
          <w:lang w:val="en-US"/>
        </w:rPr>
      </w:pPr>
    </w:p>
    <w:p w14:paraId="725A263B" w14:textId="77777777" w:rsidR="008E6A56" w:rsidRPr="008A3740" w:rsidRDefault="00272ADB"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hAnsi="Verdana" w:cs="Verdana"/>
          <w:bCs/>
          <w:iCs/>
          <w:sz w:val="20"/>
          <w:szCs w:val="20"/>
          <w:lang w:val="en-US"/>
        </w:rPr>
        <w:t xml:space="preserve">With regard to </w:t>
      </w:r>
      <w:r w:rsidR="005E5FED" w:rsidRPr="008A3740">
        <w:rPr>
          <w:rFonts w:ascii="Verdana" w:hAnsi="Verdana" w:cs="Verdana"/>
          <w:bCs/>
          <w:iCs/>
          <w:sz w:val="20"/>
          <w:szCs w:val="20"/>
          <w:lang w:val="en-US"/>
        </w:rPr>
        <w:t>reasonable time</w:t>
      </w:r>
      <w:r w:rsidR="008E6A56" w:rsidRPr="008A3740">
        <w:rPr>
          <w:rFonts w:ascii="Verdana" w:hAnsi="Verdana" w:cs="Verdana"/>
          <w:bCs/>
          <w:iCs/>
          <w:sz w:val="20"/>
          <w:szCs w:val="20"/>
          <w:lang w:val="en-US"/>
        </w:rPr>
        <w:t xml:space="preserve"> </w:t>
      </w:r>
      <w:r w:rsidR="00C7742E" w:rsidRPr="008A3740">
        <w:rPr>
          <w:rFonts w:ascii="Verdana" w:hAnsi="Verdana" w:cs="Verdana"/>
          <w:bCs/>
          <w:iCs/>
          <w:sz w:val="20"/>
          <w:szCs w:val="20"/>
          <w:lang w:val="en-US"/>
        </w:rPr>
        <w:t xml:space="preserve">in relation to the </w:t>
      </w:r>
      <w:r w:rsidR="00C70678" w:rsidRPr="008A3740">
        <w:rPr>
          <w:rFonts w:ascii="Verdana" w:hAnsi="Verdana" w:cs="Verdana"/>
          <w:bCs/>
          <w:iCs/>
          <w:sz w:val="20"/>
          <w:szCs w:val="20"/>
          <w:lang w:val="en-US"/>
        </w:rPr>
        <w:t>execution of judgment</w:t>
      </w:r>
      <w:r w:rsidR="00C7742E" w:rsidRPr="008A3740">
        <w:rPr>
          <w:rFonts w:ascii="Verdana" w:hAnsi="Verdana" w:cs="Verdana"/>
          <w:bCs/>
          <w:iCs/>
          <w:sz w:val="20"/>
          <w:szCs w:val="20"/>
          <w:lang w:val="en-US"/>
        </w:rPr>
        <w:t xml:space="preserve"> stage</w:t>
      </w:r>
      <w:r w:rsidR="008E6A56" w:rsidRPr="008A3740">
        <w:rPr>
          <w:rFonts w:ascii="Verdana" w:hAnsi="Verdana" w:cs="Verdana"/>
          <w:bCs/>
          <w:iCs/>
          <w:sz w:val="20"/>
          <w:szCs w:val="20"/>
          <w:lang w:val="en-US"/>
        </w:rPr>
        <w:t xml:space="preserve">, the Court </w:t>
      </w:r>
      <w:r w:rsidR="00C70678" w:rsidRPr="008A3740">
        <w:rPr>
          <w:rFonts w:ascii="Verdana" w:hAnsi="Verdana" w:cs="Verdana"/>
          <w:bCs/>
          <w:iCs/>
          <w:sz w:val="20"/>
          <w:szCs w:val="20"/>
          <w:lang w:val="en-US"/>
        </w:rPr>
        <w:t>emphasizes</w:t>
      </w:r>
      <w:r w:rsidR="00D57585" w:rsidRPr="008A3740">
        <w:rPr>
          <w:rFonts w:ascii="Verdana" w:hAnsi="Verdana" w:cs="Verdana"/>
          <w:bCs/>
          <w:iCs/>
          <w:sz w:val="20"/>
          <w:szCs w:val="20"/>
          <w:lang w:val="en-US"/>
        </w:rPr>
        <w:t xml:space="preserve"> </w:t>
      </w:r>
      <w:r w:rsidR="00C70678" w:rsidRPr="008A3740">
        <w:rPr>
          <w:rFonts w:ascii="Verdana" w:hAnsi="Verdana"/>
          <w:color w:val="000000" w:themeColor="text1"/>
          <w:sz w:val="20"/>
          <w:szCs w:val="20"/>
          <w:lang w:val="en-US"/>
        </w:rPr>
        <w:t xml:space="preserve">that this </w:t>
      </w:r>
      <w:r w:rsidRPr="008A3740">
        <w:rPr>
          <w:rFonts w:ascii="Verdana" w:hAnsi="Verdana"/>
          <w:color w:val="000000" w:themeColor="text1"/>
          <w:sz w:val="20"/>
          <w:szCs w:val="20"/>
          <w:lang w:val="en-US"/>
        </w:rPr>
        <w:t xml:space="preserve">period </w:t>
      </w:r>
      <w:r w:rsidR="00C70678" w:rsidRPr="008A3740">
        <w:rPr>
          <w:rFonts w:ascii="Verdana" w:hAnsi="Verdana"/>
          <w:color w:val="000000" w:themeColor="text1"/>
          <w:sz w:val="20"/>
          <w:szCs w:val="20"/>
          <w:lang w:val="en-US"/>
        </w:rPr>
        <w:t xml:space="preserve">should </w:t>
      </w:r>
      <w:r w:rsidR="00D57585" w:rsidRPr="008A3740">
        <w:rPr>
          <w:rFonts w:ascii="Verdana" w:hAnsi="Verdana"/>
          <w:color w:val="000000" w:themeColor="text1"/>
          <w:sz w:val="20"/>
          <w:szCs w:val="20"/>
          <w:lang w:val="en-US"/>
        </w:rPr>
        <w:t xml:space="preserve">be shorter owing to the existence of a final decision </w:t>
      </w:r>
      <w:r w:rsidRPr="008A3740">
        <w:rPr>
          <w:rFonts w:ascii="Verdana" w:hAnsi="Verdana"/>
          <w:color w:val="000000" w:themeColor="text1"/>
          <w:sz w:val="20"/>
          <w:szCs w:val="20"/>
          <w:lang w:val="en-US"/>
        </w:rPr>
        <w:t xml:space="preserve">in relation to </w:t>
      </w:r>
      <w:r w:rsidR="00D57585" w:rsidRPr="008A3740">
        <w:rPr>
          <w:rFonts w:ascii="Verdana" w:hAnsi="Verdana"/>
          <w:color w:val="000000" w:themeColor="text1"/>
          <w:sz w:val="20"/>
          <w:szCs w:val="20"/>
          <w:lang w:val="en-US"/>
        </w:rPr>
        <w:t>the specific matter</w:t>
      </w:r>
      <w:r w:rsidR="008E6A56" w:rsidRPr="008A3740">
        <w:rPr>
          <w:rFonts w:ascii="Verdana" w:hAnsi="Verdana" w:cs="Verdana"/>
          <w:bCs/>
          <w:iCs/>
          <w:sz w:val="20"/>
          <w:szCs w:val="20"/>
          <w:lang w:val="en-US"/>
        </w:rPr>
        <w:t xml:space="preserve">. </w:t>
      </w:r>
      <w:r w:rsidRPr="008A3740">
        <w:rPr>
          <w:rFonts w:ascii="Verdana" w:hAnsi="Verdana" w:cs="Verdana"/>
          <w:bCs/>
          <w:iCs/>
          <w:sz w:val="20"/>
          <w:szCs w:val="20"/>
          <w:lang w:val="en-US"/>
        </w:rPr>
        <w:t xml:space="preserve">It is inadmissible that a proceeding </w:t>
      </w:r>
      <w:r w:rsidR="00E56771" w:rsidRPr="008A3740">
        <w:rPr>
          <w:rFonts w:ascii="Verdana" w:hAnsi="Verdana" w:cs="Verdana"/>
          <w:bCs/>
          <w:iCs/>
          <w:sz w:val="20"/>
          <w:szCs w:val="20"/>
          <w:lang w:val="en-US"/>
        </w:rPr>
        <w:t xml:space="preserve">on </w:t>
      </w:r>
      <w:r w:rsidR="00D57585" w:rsidRPr="008A3740">
        <w:rPr>
          <w:rFonts w:ascii="Verdana" w:hAnsi="Verdana"/>
          <w:color w:val="000000" w:themeColor="text1"/>
          <w:sz w:val="20"/>
          <w:szCs w:val="20"/>
          <w:lang w:val="en-US"/>
        </w:rPr>
        <w:t>execution of judgment should temporarily</w:t>
      </w:r>
      <w:r w:rsidRPr="008A3740">
        <w:rPr>
          <w:rFonts w:ascii="Verdana" w:hAnsi="Verdana"/>
          <w:color w:val="000000" w:themeColor="text1"/>
          <w:sz w:val="20"/>
          <w:szCs w:val="20"/>
          <w:lang w:val="en-US"/>
        </w:rPr>
        <w:t xml:space="preserve"> </w:t>
      </w:r>
      <w:r w:rsidR="00E56771" w:rsidRPr="008A3740">
        <w:rPr>
          <w:rFonts w:ascii="Verdana" w:hAnsi="Verdana"/>
          <w:color w:val="000000" w:themeColor="text1"/>
          <w:sz w:val="20"/>
          <w:szCs w:val="20"/>
          <w:lang w:val="en-US"/>
        </w:rPr>
        <w:t xml:space="preserve">alter </w:t>
      </w:r>
      <w:r w:rsidRPr="008A3740">
        <w:rPr>
          <w:rFonts w:ascii="Verdana" w:hAnsi="Verdana"/>
          <w:color w:val="000000" w:themeColor="text1"/>
          <w:sz w:val="20"/>
          <w:szCs w:val="20"/>
          <w:lang w:val="en-US"/>
        </w:rPr>
        <w:t xml:space="preserve">a </w:t>
      </w:r>
      <w:r w:rsidR="00D57585" w:rsidRPr="008A3740">
        <w:rPr>
          <w:rFonts w:ascii="Verdana" w:hAnsi="Verdana"/>
          <w:color w:val="000000" w:themeColor="text1"/>
          <w:sz w:val="20"/>
          <w:szCs w:val="20"/>
          <w:lang w:val="en-US"/>
        </w:rPr>
        <w:t xml:space="preserve">decision </w:t>
      </w:r>
      <w:r w:rsidRPr="008A3740">
        <w:rPr>
          <w:rFonts w:ascii="Verdana" w:hAnsi="Verdana"/>
          <w:color w:val="000000" w:themeColor="text1"/>
          <w:sz w:val="20"/>
          <w:szCs w:val="20"/>
          <w:lang w:val="en-US"/>
        </w:rPr>
        <w:t xml:space="preserve">issued </w:t>
      </w:r>
      <w:r w:rsidR="00D57585" w:rsidRPr="008A3740">
        <w:rPr>
          <w:rFonts w:ascii="Verdana" w:hAnsi="Verdana"/>
          <w:color w:val="000000" w:themeColor="text1"/>
          <w:sz w:val="20"/>
          <w:szCs w:val="20"/>
          <w:lang w:val="en-US"/>
        </w:rPr>
        <w:t>in a final judgment or in any way undermine it or render it ineffective, excessivel</w:t>
      </w:r>
      <w:r w:rsidR="00A77157" w:rsidRPr="008A3740">
        <w:rPr>
          <w:rFonts w:ascii="Verdana" w:hAnsi="Verdana"/>
          <w:color w:val="000000" w:themeColor="text1"/>
          <w:sz w:val="20"/>
          <w:szCs w:val="20"/>
          <w:lang w:val="en-US"/>
        </w:rPr>
        <w:t>y or indefinitely prolonging a</w:t>
      </w:r>
      <w:r w:rsidR="00D57585" w:rsidRPr="008A3740">
        <w:rPr>
          <w:rFonts w:ascii="Verdana" w:hAnsi="Verdana"/>
          <w:color w:val="000000" w:themeColor="text1"/>
          <w:sz w:val="20"/>
          <w:szCs w:val="20"/>
          <w:lang w:val="en-US"/>
        </w:rPr>
        <w:t xml:space="preserve"> dispute that has already been </w:t>
      </w:r>
      <w:r w:rsidR="00A77157" w:rsidRPr="008A3740">
        <w:rPr>
          <w:rFonts w:ascii="Verdana" w:hAnsi="Verdana"/>
          <w:color w:val="000000" w:themeColor="text1"/>
          <w:sz w:val="20"/>
          <w:szCs w:val="20"/>
          <w:lang w:val="en-US"/>
        </w:rPr>
        <w:t>settled</w:t>
      </w:r>
      <w:r w:rsidR="008E6A56" w:rsidRPr="008A3740">
        <w:rPr>
          <w:rFonts w:ascii="Verdana" w:hAnsi="Verdana"/>
          <w:sz w:val="20"/>
          <w:szCs w:val="20"/>
          <w:lang w:val="en-US"/>
        </w:rPr>
        <w:t>.</w:t>
      </w:r>
      <w:r w:rsidR="008E6A56" w:rsidRPr="008A3740">
        <w:rPr>
          <w:rFonts w:ascii="Verdana" w:hAnsi="Verdana" w:cs="Verdana"/>
          <w:bCs/>
          <w:iCs/>
          <w:sz w:val="20"/>
          <w:szCs w:val="20"/>
          <w:lang w:val="en-US"/>
        </w:rPr>
        <w:t xml:space="preserve"> </w:t>
      </w:r>
      <w:r w:rsidR="00D57585" w:rsidRPr="008A3740">
        <w:rPr>
          <w:rFonts w:ascii="Verdana" w:hAnsi="Verdana"/>
          <w:color w:val="000000" w:themeColor="text1"/>
          <w:sz w:val="20"/>
          <w:szCs w:val="20"/>
          <w:lang w:val="en-US"/>
        </w:rPr>
        <w:t xml:space="preserve">This </w:t>
      </w:r>
      <w:r w:rsidR="00E56771" w:rsidRPr="008A3740">
        <w:rPr>
          <w:rFonts w:ascii="Verdana" w:hAnsi="Verdana"/>
          <w:color w:val="000000" w:themeColor="text1"/>
          <w:sz w:val="20"/>
          <w:szCs w:val="20"/>
          <w:lang w:val="en-US"/>
        </w:rPr>
        <w:t xml:space="preserve">acquires greater relevance in a proceeding on </w:t>
      </w:r>
      <w:r w:rsidR="00CD113A" w:rsidRPr="008A3740">
        <w:rPr>
          <w:rFonts w:ascii="Verdana" w:hAnsi="Verdana"/>
          <w:color w:val="000000" w:themeColor="text1"/>
          <w:sz w:val="20"/>
          <w:szCs w:val="20"/>
          <w:lang w:val="en-US"/>
        </w:rPr>
        <w:t xml:space="preserve">execution of </w:t>
      </w:r>
      <w:r w:rsidR="00E3775E" w:rsidRPr="008A3740">
        <w:rPr>
          <w:rFonts w:ascii="Verdana" w:hAnsi="Verdana"/>
          <w:color w:val="000000" w:themeColor="text1"/>
          <w:sz w:val="20"/>
          <w:szCs w:val="20"/>
          <w:lang w:val="en-US"/>
        </w:rPr>
        <w:t>judgment</w:t>
      </w:r>
      <w:r w:rsidR="00A77157" w:rsidRPr="008A3740">
        <w:rPr>
          <w:rFonts w:ascii="Verdana" w:hAnsi="Verdana"/>
          <w:color w:val="000000" w:themeColor="text1"/>
          <w:sz w:val="20"/>
          <w:szCs w:val="20"/>
          <w:lang w:val="en-US"/>
        </w:rPr>
        <w:t xml:space="preserve">, </w:t>
      </w:r>
      <w:r w:rsidR="00C70678" w:rsidRPr="008A3740">
        <w:rPr>
          <w:rFonts w:ascii="Verdana" w:hAnsi="Verdana"/>
          <w:sz w:val="20"/>
          <w:szCs w:val="20"/>
          <w:lang w:val="en-US" w:eastAsia="es-MX"/>
        </w:rPr>
        <w:t>in</w:t>
      </w:r>
      <w:r w:rsidR="008E6A56" w:rsidRPr="008A3740">
        <w:rPr>
          <w:rFonts w:ascii="Verdana" w:hAnsi="Verdana"/>
          <w:sz w:val="20"/>
          <w:szCs w:val="20"/>
          <w:lang w:val="en-US" w:eastAsia="es-MX"/>
        </w:rPr>
        <w:t xml:space="preserve"> which </w:t>
      </w:r>
      <w:r w:rsidR="00C70678" w:rsidRPr="008A3740">
        <w:rPr>
          <w:rFonts w:ascii="Verdana" w:hAnsi="Verdana"/>
          <w:color w:val="000000" w:themeColor="text1"/>
          <w:sz w:val="20"/>
          <w:szCs w:val="20"/>
          <w:lang w:val="en-US"/>
        </w:rPr>
        <w:t xml:space="preserve">the right to social security has been recognized in the domestic </w:t>
      </w:r>
      <w:r w:rsidR="00CD113A" w:rsidRPr="008A3740">
        <w:rPr>
          <w:rFonts w:ascii="Verdana" w:hAnsi="Verdana"/>
          <w:color w:val="000000" w:themeColor="text1"/>
          <w:sz w:val="20"/>
          <w:szCs w:val="20"/>
          <w:lang w:val="en-US"/>
        </w:rPr>
        <w:t>sphere</w:t>
      </w:r>
      <w:r w:rsidR="00A77157" w:rsidRPr="008A3740">
        <w:rPr>
          <w:rFonts w:ascii="Verdana" w:hAnsi="Verdana"/>
          <w:color w:val="000000" w:themeColor="text1"/>
          <w:sz w:val="20"/>
          <w:szCs w:val="20"/>
          <w:lang w:val="en-US"/>
        </w:rPr>
        <w:t xml:space="preserve"> and </w:t>
      </w:r>
      <w:r w:rsidR="00E3775E" w:rsidRPr="008A3740">
        <w:rPr>
          <w:rFonts w:ascii="Verdana" w:hAnsi="Verdana"/>
          <w:sz w:val="20"/>
          <w:szCs w:val="20"/>
          <w:lang w:val="en-US" w:eastAsia="es-MX"/>
        </w:rPr>
        <w:t>the</w:t>
      </w:r>
      <w:r w:rsidR="00A77157" w:rsidRPr="008A3740">
        <w:rPr>
          <w:rFonts w:ascii="Verdana" w:hAnsi="Verdana"/>
          <w:sz w:val="20"/>
          <w:szCs w:val="20"/>
          <w:lang w:val="en-US" w:eastAsia="es-MX"/>
        </w:rPr>
        <w:t xml:space="preserve"> victim is</w:t>
      </w:r>
      <w:r w:rsidR="008E6A56" w:rsidRPr="008A3740">
        <w:rPr>
          <w:rFonts w:ascii="Verdana" w:hAnsi="Verdana"/>
          <w:sz w:val="20"/>
          <w:szCs w:val="20"/>
          <w:lang w:val="en-US" w:eastAsia="es-MX"/>
        </w:rPr>
        <w:t xml:space="preserve"> a</w:t>
      </w:r>
      <w:r w:rsidR="00D57585" w:rsidRPr="008A3740">
        <w:rPr>
          <w:rFonts w:ascii="Verdana" w:hAnsi="Verdana"/>
          <w:sz w:val="20"/>
          <w:szCs w:val="20"/>
          <w:lang w:val="en-US" w:eastAsia="es-MX"/>
        </w:rPr>
        <w:t>n older person with a hearing</w:t>
      </w:r>
      <w:r w:rsidR="008E6A56" w:rsidRPr="008A3740">
        <w:rPr>
          <w:rFonts w:ascii="Verdana" w:hAnsi="Verdana"/>
          <w:sz w:val="20"/>
          <w:szCs w:val="20"/>
          <w:lang w:val="en-US" w:eastAsia="es-MX"/>
        </w:rPr>
        <w:t xml:space="preserve"> dis</w:t>
      </w:r>
      <w:r w:rsidR="00C70678" w:rsidRPr="008A3740">
        <w:rPr>
          <w:rFonts w:ascii="Verdana" w:hAnsi="Verdana"/>
          <w:sz w:val="20"/>
          <w:szCs w:val="20"/>
          <w:lang w:val="en-US" w:eastAsia="es-MX"/>
        </w:rPr>
        <w:t>ability</w:t>
      </w:r>
      <w:r w:rsidR="008E6A56" w:rsidRPr="008A3740">
        <w:rPr>
          <w:rFonts w:ascii="Verdana" w:hAnsi="Verdana"/>
          <w:sz w:val="20"/>
          <w:szCs w:val="20"/>
          <w:lang w:val="en-US" w:eastAsia="es-MX"/>
        </w:rPr>
        <w:t xml:space="preserve">, </w:t>
      </w:r>
      <w:r w:rsidR="00A77157" w:rsidRPr="008A3740">
        <w:rPr>
          <w:rFonts w:ascii="Verdana" w:hAnsi="Verdana"/>
          <w:sz w:val="20"/>
          <w:szCs w:val="20"/>
          <w:lang w:val="en-US" w:eastAsia="es-MX"/>
        </w:rPr>
        <w:t>owing to the nutritional nature</w:t>
      </w:r>
      <w:r w:rsidR="005E5FED" w:rsidRPr="008A3740">
        <w:rPr>
          <w:rFonts w:ascii="Verdana" w:hAnsi="Verdana"/>
          <w:sz w:val="20"/>
          <w:szCs w:val="20"/>
          <w:lang w:val="en-US" w:eastAsia="es-MX"/>
        </w:rPr>
        <w:t xml:space="preserve"> </w:t>
      </w:r>
      <w:r w:rsidR="00E3775E" w:rsidRPr="008A3740">
        <w:rPr>
          <w:rFonts w:ascii="Verdana" w:hAnsi="Verdana"/>
          <w:sz w:val="20"/>
          <w:szCs w:val="20"/>
          <w:lang w:val="en-US" w:eastAsia="es-MX"/>
        </w:rPr>
        <w:t>of the</w:t>
      </w:r>
      <w:r w:rsidR="008E6A56" w:rsidRPr="008A3740">
        <w:rPr>
          <w:rFonts w:ascii="Verdana" w:hAnsi="Verdana"/>
          <w:sz w:val="20"/>
          <w:szCs w:val="20"/>
          <w:lang w:val="en-US" w:eastAsia="es-MX"/>
        </w:rPr>
        <w:t xml:space="preserve"> </w:t>
      </w:r>
      <w:r w:rsidR="00C70678" w:rsidRPr="008A3740">
        <w:rPr>
          <w:rFonts w:ascii="Verdana" w:hAnsi="Verdana"/>
          <w:sz w:val="20"/>
          <w:szCs w:val="20"/>
          <w:lang w:val="en-US" w:eastAsia="es-MX"/>
        </w:rPr>
        <w:t>benefit claimed</w:t>
      </w:r>
      <w:r w:rsidR="008E6A56" w:rsidRPr="008A3740">
        <w:rPr>
          <w:rFonts w:ascii="Verdana" w:eastAsia="Batang" w:hAnsi="Verdana"/>
          <w:sz w:val="20"/>
          <w:szCs w:val="20"/>
          <w:lang w:val="en-US" w:eastAsia="es-MX"/>
        </w:rPr>
        <w:t xml:space="preserve">. In </w:t>
      </w:r>
      <w:r w:rsidR="00A77157" w:rsidRPr="008A3740">
        <w:rPr>
          <w:rFonts w:ascii="Verdana" w:eastAsia="Batang" w:hAnsi="Verdana"/>
          <w:sz w:val="20"/>
          <w:szCs w:val="20"/>
          <w:lang w:val="en-US" w:eastAsia="es-MX"/>
        </w:rPr>
        <w:t xml:space="preserve">such </w:t>
      </w:r>
      <w:r w:rsidR="008E6A56" w:rsidRPr="008A3740">
        <w:rPr>
          <w:rFonts w:ascii="Verdana" w:eastAsia="Batang" w:hAnsi="Verdana"/>
          <w:sz w:val="20"/>
          <w:szCs w:val="20"/>
          <w:lang w:val="en-US" w:eastAsia="es-MX"/>
        </w:rPr>
        <w:t xml:space="preserve">cases, the </w:t>
      </w:r>
      <w:r w:rsidR="005E5FED" w:rsidRPr="008A3740">
        <w:rPr>
          <w:rFonts w:ascii="Verdana" w:eastAsia="Batang" w:hAnsi="Verdana"/>
          <w:sz w:val="20"/>
          <w:szCs w:val="20"/>
          <w:lang w:val="en-US" w:eastAsia="es-MX"/>
        </w:rPr>
        <w:t>judicial guarantee of reasonable time</w:t>
      </w:r>
      <w:r w:rsidR="008E6A56" w:rsidRPr="008A3740">
        <w:rPr>
          <w:rFonts w:ascii="Verdana" w:eastAsia="Batang" w:hAnsi="Verdana"/>
          <w:sz w:val="20"/>
          <w:szCs w:val="20"/>
          <w:lang w:val="en-US" w:eastAsia="es-MX"/>
        </w:rPr>
        <w:t xml:space="preserve"> established in Article 8(1) </w:t>
      </w:r>
      <w:r w:rsidR="00A77157" w:rsidRPr="008A3740">
        <w:rPr>
          <w:rFonts w:ascii="Verdana" w:hAnsi="Verdana"/>
          <w:sz w:val="20"/>
          <w:szCs w:val="20"/>
          <w:lang w:val="en-US" w:eastAsia="es-MX"/>
        </w:rPr>
        <w:t>of the American Convention</w:t>
      </w:r>
      <w:r w:rsidR="008E6A56" w:rsidRPr="008A3740">
        <w:rPr>
          <w:rFonts w:ascii="Verdana" w:hAnsi="Verdana"/>
          <w:sz w:val="20"/>
          <w:szCs w:val="20"/>
          <w:lang w:val="en-US" w:eastAsia="es-MX"/>
        </w:rPr>
        <w:t xml:space="preserve"> </w:t>
      </w:r>
      <w:r w:rsidR="00D57585" w:rsidRPr="008A3740">
        <w:rPr>
          <w:rFonts w:ascii="Verdana" w:hAnsi="Verdana"/>
          <w:sz w:val="20"/>
          <w:szCs w:val="20"/>
          <w:lang w:val="en-US" w:eastAsia="es-MX"/>
        </w:rPr>
        <w:t xml:space="preserve">must be </w:t>
      </w:r>
      <w:r w:rsidR="008E6A56" w:rsidRPr="008A3740">
        <w:rPr>
          <w:rFonts w:ascii="Verdana" w:eastAsia="Batang" w:hAnsi="Verdana"/>
          <w:sz w:val="20"/>
          <w:szCs w:val="20"/>
          <w:lang w:val="en-US" w:eastAsia="es-MX"/>
        </w:rPr>
        <w:t>analyze</w:t>
      </w:r>
      <w:r w:rsidR="00D57585" w:rsidRPr="008A3740">
        <w:rPr>
          <w:rFonts w:ascii="Verdana" w:eastAsia="Batang" w:hAnsi="Verdana"/>
          <w:sz w:val="20"/>
          <w:szCs w:val="20"/>
          <w:lang w:val="en-US" w:eastAsia="es-MX"/>
        </w:rPr>
        <w:t xml:space="preserve">d </w:t>
      </w:r>
      <w:r w:rsidR="00A77157" w:rsidRPr="008A3740">
        <w:rPr>
          <w:rFonts w:ascii="Verdana" w:eastAsia="Batang" w:hAnsi="Verdana"/>
          <w:sz w:val="20"/>
          <w:szCs w:val="20"/>
          <w:lang w:val="en-US" w:eastAsia="es-MX"/>
        </w:rPr>
        <w:t xml:space="preserve">in conjunction </w:t>
      </w:r>
      <w:r w:rsidR="008E6A56" w:rsidRPr="008A3740">
        <w:rPr>
          <w:rFonts w:ascii="Verdana" w:eastAsia="Batang" w:hAnsi="Verdana"/>
          <w:sz w:val="20"/>
          <w:szCs w:val="20"/>
          <w:lang w:val="en-US" w:eastAsia="es-MX"/>
        </w:rPr>
        <w:t xml:space="preserve">with </w:t>
      </w:r>
      <w:r w:rsidR="008E6A56" w:rsidRPr="008A3740">
        <w:rPr>
          <w:rFonts w:ascii="Verdana" w:hAnsi="Verdana"/>
          <w:sz w:val="20"/>
          <w:szCs w:val="20"/>
          <w:lang w:val="en-US" w:eastAsia="es-MX"/>
        </w:rPr>
        <w:t xml:space="preserve">the </w:t>
      </w:r>
      <w:r w:rsidR="008E6A56" w:rsidRPr="008A3740">
        <w:rPr>
          <w:rFonts w:ascii="Verdana" w:hAnsi="Verdana"/>
          <w:sz w:val="20"/>
          <w:szCs w:val="20"/>
          <w:lang w:val="en-US" w:eastAsia="es-MX"/>
        </w:rPr>
        <w:lastRenderedPageBreak/>
        <w:t xml:space="preserve">State’s duty to act with particular </w:t>
      </w:r>
      <w:r w:rsidR="00C70678" w:rsidRPr="008A3740">
        <w:rPr>
          <w:rFonts w:ascii="Verdana" w:hAnsi="Verdana"/>
          <w:sz w:val="20"/>
          <w:szCs w:val="20"/>
          <w:lang w:val="en-US" w:eastAsia="es-MX"/>
        </w:rPr>
        <w:t xml:space="preserve">promptness </w:t>
      </w:r>
      <w:r w:rsidR="00A77157" w:rsidRPr="008A3740">
        <w:rPr>
          <w:rFonts w:ascii="Verdana" w:hAnsi="Verdana"/>
          <w:sz w:val="20"/>
          <w:szCs w:val="20"/>
          <w:lang w:val="en-US" w:eastAsia="es-MX"/>
        </w:rPr>
        <w:t xml:space="preserve">in the execution of </w:t>
      </w:r>
      <w:r w:rsidR="008A0C6F" w:rsidRPr="008A3740">
        <w:rPr>
          <w:rFonts w:ascii="Verdana" w:hAnsi="Verdana"/>
          <w:sz w:val="20"/>
          <w:szCs w:val="20"/>
          <w:lang w:val="en-US" w:eastAsia="es-MX"/>
        </w:rPr>
        <w:t xml:space="preserve">domestic </w:t>
      </w:r>
      <w:r w:rsidR="008E6A56" w:rsidRPr="008A3740">
        <w:rPr>
          <w:rFonts w:ascii="Verdana" w:hAnsi="Verdana"/>
          <w:sz w:val="20"/>
          <w:szCs w:val="20"/>
          <w:lang w:val="en-US" w:eastAsia="es-MX"/>
        </w:rPr>
        <w:t>decisions (</w:t>
      </w:r>
      <w:r w:rsidR="008E6A56" w:rsidRPr="008A3740">
        <w:rPr>
          <w:rFonts w:ascii="Verdana" w:hAnsi="Verdana"/>
          <w:i/>
          <w:sz w:val="20"/>
          <w:szCs w:val="20"/>
          <w:lang w:val="en-US" w:eastAsia="es-MX"/>
        </w:rPr>
        <w:t>supra</w:t>
      </w:r>
      <w:r w:rsidR="008E6A56" w:rsidRPr="008A3740">
        <w:rPr>
          <w:rFonts w:ascii="Verdana" w:hAnsi="Verdana"/>
          <w:sz w:val="20"/>
          <w:szCs w:val="20"/>
          <w:lang w:val="en-US" w:eastAsia="es-MX"/>
        </w:rPr>
        <w:t xml:space="preserve"> para. 129).</w:t>
      </w:r>
    </w:p>
    <w:p w14:paraId="0779A5F0" w14:textId="77777777" w:rsidR="008E6A56" w:rsidRPr="008A3740" w:rsidRDefault="008E6A56" w:rsidP="008E6A56">
      <w:pPr>
        <w:pStyle w:val="Prrafodelista"/>
        <w:rPr>
          <w:rFonts w:ascii="Verdana" w:hAnsi="Verdana" w:cs="Verdana"/>
          <w:bCs/>
          <w:iCs/>
          <w:sz w:val="20"/>
          <w:szCs w:val="20"/>
          <w:lang w:val="en-US"/>
        </w:rPr>
      </w:pPr>
    </w:p>
    <w:p w14:paraId="60DFAF7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hAnsi="Verdana" w:cs="Verdana"/>
          <w:bCs/>
          <w:iCs/>
          <w:sz w:val="20"/>
          <w:szCs w:val="20"/>
          <w:lang w:val="en-US"/>
        </w:rPr>
        <w:t xml:space="preserve">The Court </w:t>
      </w:r>
      <w:r w:rsidR="00C7742E" w:rsidRPr="008A3740">
        <w:rPr>
          <w:rFonts w:ascii="Verdana" w:hAnsi="Verdana" w:cs="Verdana"/>
          <w:bCs/>
          <w:iCs/>
          <w:sz w:val="20"/>
          <w:szCs w:val="20"/>
          <w:lang w:val="en-US"/>
        </w:rPr>
        <w:t xml:space="preserve">confirms </w:t>
      </w:r>
      <w:r w:rsidRPr="008A3740">
        <w:rPr>
          <w:rFonts w:ascii="Verdana" w:hAnsi="Verdana" w:cs="Verdana"/>
          <w:bCs/>
          <w:iCs/>
          <w:sz w:val="20"/>
          <w:szCs w:val="20"/>
          <w:lang w:val="en-US"/>
        </w:rPr>
        <w:t xml:space="preserve">that the first </w:t>
      </w:r>
      <w:r w:rsidR="00A77157" w:rsidRPr="008A3740">
        <w:rPr>
          <w:rFonts w:ascii="Verdana" w:hAnsi="Verdana" w:cs="Verdana"/>
          <w:bCs/>
          <w:iCs/>
          <w:sz w:val="20"/>
          <w:szCs w:val="20"/>
          <w:lang w:val="en-US"/>
        </w:rPr>
        <w:t xml:space="preserve">application for </w:t>
      </w:r>
      <w:r w:rsidRPr="008A3740">
        <w:rPr>
          <w:rFonts w:ascii="Verdana" w:hAnsi="Verdana" w:cs="Verdana"/>
          <w:bCs/>
          <w:i/>
          <w:iCs/>
          <w:sz w:val="20"/>
          <w:szCs w:val="20"/>
          <w:lang w:val="en-US"/>
        </w:rPr>
        <w:t>amparo</w:t>
      </w:r>
      <w:r w:rsidRPr="008A3740">
        <w:rPr>
          <w:rFonts w:ascii="Verdana" w:hAnsi="Verdana" w:cs="Verdana"/>
          <w:bCs/>
          <w:iCs/>
          <w:sz w:val="20"/>
          <w:szCs w:val="20"/>
          <w:lang w:val="en-US"/>
        </w:rPr>
        <w:t xml:space="preserve"> </w:t>
      </w:r>
      <w:r w:rsidRPr="008A3740">
        <w:rPr>
          <w:rFonts w:ascii="Verdana" w:eastAsia="Verdana" w:hAnsi="Verdana" w:cs="Cambria"/>
          <w:bCs/>
          <w:color w:val="000000"/>
          <w:sz w:val="20"/>
          <w:szCs w:val="20"/>
          <w:lang w:val="en-US" w:eastAsia="x-none"/>
        </w:rPr>
        <w:t xml:space="preserve">concluded with the judgment </w:t>
      </w:r>
      <w:r w:rsidR="00C70678" w:rsidRPr="008A3740">
        <w:rPr>
          <w:rFonts w:ascii="Verdana" w:eastAsia="Verdana" w:hAnsi="Verdana" w:cs="Cambria"/>
          <w:bCs/>
          <w:color w:val="000000"/>
          <w:sz w:val="20"/>
          <w:szCs w:val="20"/>
          <w:lang w:val="en-US" w:eastAsia="x-none"/>
        </w:rPr>
        <w:t xml:space="preserve">issued </w:t>
      </w:r>
      <w:r w:rsidRPr="008A3740">
        <w:rPr>
          <w:rFonts w:ascii="Verdana" w:eastAsia="Verdana" w:hAnsi="Verdana" w:cs="Cambria"/>
          <w:bCs/>
          <w:color w:val="000000"/>
          <w:sz w:val="20"/>
          <w:szCs w:val="20"/>
          <w:lang w:val="en-US" w:eastAsia="x-none"/>
        </w:rPr>
        <w:t>by t</w:t>
      </w:r>
      <w:r w:rsidR="002A68B3" w:rsidRPr="008A3740">
        <w:rPr>
          <w:rFonts w:ascii="Verdana" w:eastAsia="Verdana" w:hAnsi="Verdana" w:cs="Cambria"/>
          <w:bCs/>
          <w:color w:val="000000"/>
          <w:sz w:val="20"/>
          <w:szCs w:val="20"/>
          <w:lang w:val="en-US" w:eastAsia="x-none"/>
        </w:rPr>
        <w:t>he Supreme Court of Justice on</w:t>
      </w:r>
      <w:r w:rsidR="008A0C6F" w:rsidRPr="008A3740">
        <w:rPr>
          <w:rFonts w:ascii="Verdana" w:eastAsia="Verdana" w:hAnsi="Verdana" w:cs="Cambria"/>
          <w:bCs/>
          <w:color w:val="000000"/>
          <w:sz w:val="20"/>
          <w:szCs w:val="20"/>
          <w:lang w:val="en-US" w:eastAsia="x-none"/>
        </w:rPr>
        <w:t xml:space="preserve"> </w:t>
      </w:r>
      <w:r w:rsidRPr="008A3740">
        <w:rPr>
          <w:rFonts w:ascii="Verdana" w:eastAsia="Verdana" w:hAnsi="Verdana" w:cs="Cambria"/>
          <w:bCs/>
          <w:color w:val="000000"/>
          <w:sz w:val="20"/>
          <w:szCs w:val="20"/>
          <w:lang w:val="en-US" w:eastAsia="x-none"/>
        </w:rPr>
        <w:t xml:space="preserve">February 2, 1993, and the second </w:t>
      </w:r>
      <w:r w:rsidR="00391F0C" w:rsidRPr="008A3740">
        <w:rPr>
          <w:rFonts w:ascii="Verdana" w:eastAsia="Verdana" w:hAnsi="Verdana" w:cs="Cambria"/>
          <w:bCs/>
          <w:i/>
          <w:color w:val="000000"/>
          <w:sz w:val="20"/>
          <w:szCs w:val="20"/>
          <w:lang w:val="en-US" w:eastAsia="x-none"/>
        </w:rPr>
        <w:t>amparo</w:t>
      </w:r>
      <w:r w:rsidRPr="008A3740">
        <w:rPr>
          <w:rFonts w:ascii="Verdana" w:eastAsia="Verdana" w:hAnsi="Verdana" w:cs="Cambria"/>
          <w:bCs/>
          <w:color w:val="000000"/>
          <w:sz w:val="20"/>
          <w:szCs w:val="20"/>
          <w:lang w:val="en-US" w:eastAsia="x-none"/>
        </w:rPr>
        <w:t xml:space="preserve"> </w:t>
      </w:r>
      <w:r w:rsidR="00A77157" w:rsidRPr="008A3740">
        <w:rPr>
          <w:rFonts w:ascii="Verdana" w:eastAsia="Verdana" w:hAnsi="Verdana" w:cs="Cambria"/>
          <w:bCs/>
          <w:color w:val="000000"/>
          <w:sz w:val="20"/>
          <w:szCs w:val="20"/>
          <w:lang w:val="en-US" w:eastAsia="x-none"/>
        </w:rPr>
        <w:t xml:space="preserve">action </w:t>
      </w:r>
      <w:r w:rsidRPr="008A3740">
        <w:rPr>
          <w:rFonts w:ascii="Verdana" w:eastAsia="Verdana" w:hAnsi="Verdana" w:cs="Cambria"/>
          <w:bCs/>
          <w:color w:val="000000"/>
          <w:sz w:val="20"/>
          <w:szCs w:val="20"/>
          <w:lang w:val="en-US" w:eastAsia="x-none"/>
        </w:rPr>
        <w:t xml:space="preserve">concluded with the judgment delivered by the Constitutional Court on December </w:t>
      </w:r>
      <w:r w:rsidR="00A77157" w:rsidRPr="008A3740">
        <w:rPr>
          <w:rFonts w:ascii="Verdana" w:eastAsia="Verdana" w:hAnsi="Verdana" w:cs="Cambria"/>
          <w:bCs/>
          <w:color w:val="000000"/>
          <w:sz w:val="20"/>
          <w:szCs w:val="20"/>
          <w:lang w:val="en-US" w:eastAsia="x-none"/>
        </w:rPr>
        <w:t>10, 1999.</w:t>
      </w:r>
      <w:r w:rsidRPr="008A3740">
        <w:rPr>
          <w:rFonts w:ascii="Verdana" w:eastAsia="Verdana" w:hAnsi="Verdana" w:cs="Cambria"/>
          <w:bCs/>
          <w:color w:val="000000"/>
          <w:sz w:val="20"/>
          <w:szCs w:val="20"/>
          <w:lang w:val="en-US" w:eastAsia="x-none"/>
        </w:rPr>
        <w:t xml:space="preserve"> </w:t>
      </w:r>
      <w:r w:rsidR="002A68B3" w:rsidRPr="008A3740">
        <w:rPr>
          <w:rFonts w:ascii="Verdana" w:eastAsia="Verdana" w:hAnsi="Verdana" w:cs="Cambria"/>
          <w:bCs/>
          <w:color w:val="000000"/>
          <w:sz w:val="20"/>
          <w:szCs w:val="20"/>
          <w:lang w:val="en-US" w:eastAsia="x-none"/>
        </w:rPr>
        <w:t xml:space="preserve">However, these judgements have not been implemented </w:t>
      </w:r>
      <w:r w:rsidR="004C15F7" w:rsidRPr="008A3740">
        <w:rPr>
          <w:rFonts w:ascii="Verdana" w:eastAsia="Verdana" w:hAnsi="Verdana" w:cs="Cambria"/>
          <w:bCs/>
          <w:color w:val="000000"/>
          <w:sz w:val="20"/>
          <w:szCs w:val="20"/>
          <w:lang w:val="en-US" w:eastAsia="x-none"/>
        </w:rPr>
        <w:t>since their adoption</w:t>
      </w:r>
      <w:r w:rsidR="002A68B3" w:rsidRPr="008A3740">
        <w:rPr>
          <w:rFonts w:ascii="Verdana" w:eastAsia="Verdana" w:hAnsi="Verdana" w:cs="Cambria"/>
          <w:bCs/>
          <w:color w:val="000000"/>
          <w:sz w:val="20"/>
          <w:szCs w:val="20"/>
          <w:lang w:val="en-US" w:eastAsia="x-none"/>
        </w:rPr>
        <w:t xml:space="preserve"> 26 and 19 years</w:t>
      </w:r>
      <w:r w:rsidRPr="008A3740">
        <w:rPr>
          <w:rFonts w:ascii="Verdana" w:eastAsia="Verdana" w:hAnsi="Verdana" w:cs="Cambria"/>
          <w:bCs/>
          <w:color w:val="000000"/>
          <w:sz w:val="20"/>
          <w:szCs w:val="20"/>
          <w:lang w:val="en-US" w:eastAsia="x-none"/>
        </w:rPr>
        <w:t xml:space="preserve"> </w:t>
      </w:r>
      <w:r w:rsidR="002A68B3" w:rsidRPr="008A3740">
        <w:rPr>
          <w:rFonts w:ascii="Verdana" w:eastAsia="Verdana" w:hAnsi="Verdana" w:cs="Cambria"/>
          <w:bCs/>
          <w:color w:val="000000"/>
          <w:sz w:val="20"/>
          <w:szCs w:val="20"/>
          <w:lang w:val="en-US" w:eastAsia="x-none"/>
        </w:rPr>
        <w:t xml:space="preserve">ago, </w:t>
      </w:r>
      <w:r w:rsidRPr="008A3740">
        <w:rPr>
          <w:rFonts w:ascii="Verdana" w:eastAsia="Verdana" w:hAnsi="Verdana" w:cs="Cambria"/>
          <w:bCs/>
          <w:color w:val="000000"/>
          <w:sz w:val="20"/>
          <w:szCs w:val="20"/>
          <w:lang w:val="en-US" w:eastAsia="x-none"/>
        </w:rPr>
        <w:t>res</w:t>
      </w:r>
      <w:r w:rsidR="002A68B3" w:rsidRPr="008A3740">
        <w:rPr>
          <w:rFonts w:ascii="Verdana" w:eastAsia="Verdana" w:hAnsi="Verdana" w:cs="Cambria"/>
          <w:bCs/>
          <w:color w:val="000000"/>
          <w:sz w:val="20"/>
          <w:szCs w:val="20"/>
          <w:lang w:val="en-US" w:eastAsia="x-none"/>
        </w:rPr>
        <w:t xml:space="preserve">pectively. </w:t>
      </w:r>
      <w:r w:rsidRPr="008A3740">
        <w:rPr>
          <w:rFonts w:ascii="Verdana" w:eastAsia="Verdana" w:hAnsi="Verdana" w:cs="Cambria"/>
          <w:bCs/>
          <w:color w:val="000000"/>
          <w:sz w:val="20"/>
          <w:szCs w:val="20"/>
          <w:lang w:val="en-US" w:eastAsia="x-none"/>
        </w:rPr>
        <w:t xml:space="preserve">In view of the foregoing, </w:t>
      </w:r>
      <w:r w:rsidR="002A68B3" w:rsidRPr="008A3740">
        <w:rPr>
          <w:rFonts w:ascii="Verdana" w:eastAsia="Verdana" w:hAnsi="Verdana" w:cs="Cambria"/>
          <w:bCs/>
          <w:color w:val="000000"/>
          <w:sz w:val="20"/>
          <w:szCs w:val="20"/>
          <w:lang w:val="en-US" w:eastAsia="x-none"/>
        </w:rPr>
        <w:t xml:space="preserve">and </w:t>
      </w:r>
      <w:r w:rsidR="004C15F7" w:rsidRPr="008A3740">
        <w:rPr>
          <w:rFonts w:ascii="Verdana" w:eastAsia="Verdana" w:hAnsi="Verdana" w:cs="Cambria"/>
          <w:bCs/>
          <w:color w:val="000000"/>
          <w:sz w:val="20"/>
          <w:szCs w:val="20"/>
          <w:lang w:val="en-US" w:eastAsia="x-none"/>
        </w:rPr>
        <w:t xml:space="preserve">based on </w:t>
      </w:r>
      <w:r w:rsidR="002A68B3" w:rsidRPr="008A3740">
        <w:rPr>
          <w:rFonts w:ascii="Verdana" w:eastAsia="Verdana" w:hAnsi="Verdana" w:cs="Cambria"/>
          <w:bCs/>
          <w:color w:val="000000"/>
          <w:sz w:val="20"/>
          <w:szCs w:val="20"/>
          <w:lang w:val="en-US" w:eastAsia="x-none"/>
        </w:rPr>
        <w:t xml:space="preserve">the criteria established in its case law, </w:t>
      </w:r>
      <w:r w:rsidRPr="008A3740">
        <w:rPr>
          <w:rFonts w:ascii="Verdana" w:eastAsia="Verdana" w:hAnsi="Verdana" w:cs="Cambria"/>
          <w:bCs/>
          <w:color w:val="000000"/>
          <w:sz w:val="20"/>
          <w:szCs w:val="20"/>
          <w:lang w:val="en-US" w:eastAsia="x-none"/>
        </w:rPr>
        <w:t xml:space="preserve">the Court will now determine </w:t>
      </w:r>
      <w:r w:rsidR="007666EF" w:rsidRPr="008A3740">
        <w:rPr>
          <w:rFonts w:ascii="Verdana" w:eastAsia="Verdana" w:hAnsi="Verdana" w:cs="Cambria"/>
          <w:bCs/>
          <w:color w:val="000000"/>
          <w:sz w:val="20"/>
          <w:szCs w:val="20"/>
          <w:lang w:val="en-US" w:eastAsia="x-none"/>
        </w:rPr>
        <w:t xml:space="preserve">whether </w:t>
      </w:r>
      <w:r w:rsidRPr="008A3740">
        <w:rPr>
          <w:rFonts w:ascii="Verdana" w:eastAsia="Verdana" w:hAnsi="Verdana" w:cs="Cambria"/>
          <w:bCs/>
          <w:color w:val="000000"/>
          <w:sz w:val="20"/>
          <w:szCs w:val="20"/>
          <w:lang w:val="en-US" w:eastAsia="x-none"/>
        </w:rPr>
        <w:t>the t</w:t>
      </w:r>
      <w:r w:rsidR="002A68B3" w:rsidRPr="008A3740">
        <w:rPr>
          <w:rFonts w:ascii="Verdana" w:eastAsia="Verdana" w:hAnsi="Verdana" w:cs="Cambria"/>
          <w:bCs/>
          <w:color w:val="000000"/>
          <w:sz w:val="20"/>
          <w:szCs w:val="20"/>
          <w:lang w:val="en-US" w:eastAsia="x-none"/>
        </w:rPr>
        <w:t>ime elapsed is reasonable</w:t>
      </w:r>
      <w:r w:rsidRPr="008A3740">
        <w:rPr>
          <w:rFonts w:ascii="Verdana" w:eastAsia="Verdana" w:hAnsi="Verdana" w:cs="Cambria"/>
          <w:bCs/>
          <w:color w:val="000000"/>
          <w:sz w:val="20"/>
          <w:szCs w:val="20"/>
          <w:lang w:val="en-US" w:eastAsia="x-none"/>
        </w:rPr>
        <w:t xml:space="preserve">. </w:t>
      </w:r>
    </w:p>
    <w:p w14:paraId="005A784B" w14:textId="77777777" w:rsidR="008E6A56" w:rsidRPr="008A3740" w:rsidRDefault="008E6A56" w:rsidP="008E6A56">
      <w:pPr>
        <w:pStyle w:val="Prrafodelista"/>
        <w:rPr>
          <w:rFonts w:ascii="Verdana" w:hAnsi="Verdana" w:cs="Verdana"/>
          <w:bCs/>
          <w:iCs/>
          <w:sz w:val="20"/>
          <w:szCs w:val="20"/>
          <w:lang w:val="en-US"/>
        </w:rPr>
      </w:pPr>
    </w:p>
    <w:p w14:paraId="29C57A7D" w14:textId="77777777" w:rsidR="008E6A56" w:rsidRPr="008A3740" w:rsidRDefault="00AC3FDD"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Batang" w:hAnsi="Verdana"/>
          <w:sz w:val="20"/>
          <w:szCs w:val="20"/>
          <w:lang w:val="en-US" w:eastAsia="es-MX"/>
        </w:rPr>
        <w:t>T</w:t>
      </w:r>
      <w:r w:rsidR="00391F0C" w:rsidRPr="008A3740">
        <w:rPr>
          <w:rFonts w:ascii="Verdana" w:eastAsia="Batang" w:hAnsi="Verdana"/>
          <w:sz w:val="20"/>
          <w:szCs w:val="20"/>
          <w:lang w:val="en-US" w:eastAsia="es-MX"/>
        </w:rPr>
        <w:t xml:space="preserve">o </w:t>
      </w:r>
      <w:r w:rsidR="008E6A56" w:rsidRPr="008A3740">
        <w:rPr>
          <w:rFonts w:ascii="Verdana" w:eastAsia="Batang" w:hAnsi="Verdana"/>
          <w:sz w:val="20"/>
          <w:szCs w:val="20"/>
          <w:lang w:val="en-US" w:eastAsia="es-MX"/>
        </w:rPr>
        <w:t xml:space="preserve">determine the </w:t>
      </w:r>
      <w:r w:rsidR="008324DF" w:rsidRPr="008A3740">
        <w:rPr>
          <w:rFonts w:ascii="Verdana" w:eastAsia="Batang" w:hAnsi="Verdana"/>
          <w:i/>
          <w:sz w:val="20"/>
          <w:szCs w:val="20"/>
          <w:lang w:val="en-US" w:eastAsia="es-MX"/>
        </w:rPr>
        <w:t>complexity of a</w:t>
      </w:r>
      <w:r w:rsidR="008E6A56" w:rsidRPr="008A3740">
        <w:rPr>
          <w:rFonts w:ascii="Verdana" w:eastAsia="Batang" w:hAnsi="Verdana"/>
          <w:i/>
          <w:sz w:val="20"/>
          <w:szCs w:val="20"/>
          <w:lang w:val="en-US" w:eastAsia="es-MX"/>
        </w:rPr>
        <w:t xml:space="preserve"> </w:t>
      </w:r>
      <w:r w:rsidR="005C0CFD" w:rsidRPr="008A3740">
        <w:rPr>
          <w:rFonts w:ascii="Verdana" w:eastAsia="Batang" w:hAnsi="Verdana"/>
          <w:i/>
          <w:sz w:val="20"/>
          <w:szCs w:val="20"/>
          <w:lang w:val="en-US" w:eastAsia="es-MX"/>
        </w:rPr>
        <w:t>matter</w:t>
      </w:r>
      <w:r w:rsidR="008E6A56" w:rsidRPr="008A3740">
        <w:rPr>
          <w:rFonts w:ascii="Verdana" w:hAnsi="Verdana"/>
          <w:sz w:val="20"/>
          <w:szCs w:val="20"/>
          <w:lang w:val="en-US" w:eastAsia="es-MX"/>
        </w:rPr>
        <w:t xml:space="preserve">, </w:t>
      </w:r>
      <w:r w:rsidR="008324DF" w:rsidRPr="008A3740">
        <w:rPr>
          <w:rFonts w:ascii="Verdana" w:hAnsi="Verdana"/>
          <w:sz w:val="20"/>
          <w:szCs w:val="20"/>
          <w:lang w:val="en-US" w:eastAsia="es-MX"/>
        </w:rPr>
        <w:t>this Court</w:t>
      </w:r>
      <w:r w:rsidR="008324DF" w:rsidRPr="008A3740">
        <w:rPr>
          <w:rFonts w:ascii="Verdana" w:eastAsia="Batang" w:hAnsi="Verdana"/>
          <w:sz w:val="20"/>
          <w:szCs w:val="20"/>
          <w:lang w:val="en-US" w:eastAsia="es-MX"/>
        </w:rPr>
        <w:t xml:space="preserve"> </w:t>
      </w:r>
      <w:r w:rsidR="00395B8C" w:rsidRPr="008A3740">
        <w:rPr>
          <w:rFonts w:ascii="Verdana" w:eastAsia="Batang" w:hAnsi="Verdana"/>
          <w:sz w:val="20"/>
          <w:szCs w:val="20"/>
          <w:lang w:val="en-US" w:eastAsia="es-MX"/>
        </w:rPr>
        <w:t>has considered</w:t>
      </w:r>
      <w:r w:rsidRPr="008A3740">
        <w:rPr>
          <w:rFonts w:ascii="Verdana" w:eastAsia="Batang" w:hAnsi="Verdana"/>
          <w:sz w:val="20"/>
          <w:szCs w:val="20"/>
          <w:lang w:val="en-US" w:eastAsia="es-MX"/>
        </w:rPr>
        <w:t xml:space="preserve"> </w:t>
      </w:r>
      <w:r w:rsidR="008324DF" w:rsidRPr="008A3740">
        <w:rPr>
          <w:rFonts w:ascii="Verdana" w:eastAsia="Batang" w:hAnsi="Verdana"/>
          <w:sz w:val="20"/>
          <w:szCs w:val="20"/>
          <w:lang w:val="en-US" w:eastAsia="es-MX"/>
        </w:rPr>
        <w:t>several criteria</w:t>
      </w:r>
      <w:r w:rsidR="008324DF" w:rsidRPr="008A3740">
        <w:rPr>
          <w:rFonts w:ascii="Verdana" w:hAnsi="Verdana"/>
          <w:sz w:val="20"/>
          <w:szCs w:val="20"/>
          <w:lang w:val="en-US" w:eastAsia="es-MX"/>
        </w:rPr>
        <w:t xml:space="preserve"> such as t</w:t>
      </w:r>
      <w:r w:rsidR="008E6A56" w:rsidRPr="008A3740">
        <w:rPr>
          <w:rFonts w:ascii="Verdana" w:hAnsi="Verdana"/>
          <w:sz w:val="20"/>
          <w:szCs w:val="20"/>
          <w:lang w:val="en-US" w:eastAsia="es-MX"/>
        </w:rPr>
        <w:t xml:space="preserve">he </w:t>
      </w:r>
      <w:r w:rsidR="008E6A56" w:rsidRPr="008A3740">
        <w:rPr>
          <w:rFonts w:ascii="Verdana" w:hAnsi="Verdana"/>
          <w:sz w:val="20"/>
          <w:szCs w:val="20"/>
          <w:lang w:val="en-US" w:eastAsia="en-US"/>
        </w:rPr>
        <w:t>complexity</w:t>
      </w:r>
      <w:r w:rsidRPr="008A3740">
        <w:rPr>
          <w:rFonts w:ascii="Verdana" w:eastAsia="Batang" w:hAnsi="Verdana"/>
          <w:sz w:val="20"/>
          <w:szCs w:val="20"/>
          <w:lang w:val="en-US" w:eastAsia="es-MX"/>
        </w:rPr>
        <w:t xml:space="preserve"> of </w:t>
      </w:r>
      <w:r w:rsidR="008E6A56" w:rsidRPr="008A3740">
        <w:rPr>
          <w:rFonts w:ascii="Verdana" w:eastAsia="Batang" w:hAnsi="Verdana"/>
          <w:sz w:val="20"/>
          <w:szCs w:val="20"/>
          <w:lang w:val="en-US" w:eastAsia="es-MX"/>
        </w:rPr>
        <w:t xml:space="preserve">the evidence, the </w:t>
      </w:r>
      <w:r w:rsidR="005E5FED" w:rsidRPr="008A3740">
        <w:rPr>
          <w:rFonts w:ascii="Verdana" w:eastAsia="Batang" w:hAnsi="Verdana"/>
          <w:sz w:val="20"/>
          <w:szCs w:val="20"/>
          <w:lang w:val="en-US" w:eastAsia="es-MX"/>
        </w:rPr>
        <w:t xml:space="preserve">multiplicity </w:t>
      </w:r>
      <w:r w:rsidR="008324DF" w:rsidRPr="008A3740">
        <w:rPr>
          <w:rFonts w:ascii="Verdana" w:eastAsia="Batang" w:hAnsi="Verdana"/>
          <w:sz w:val="20"/>
          <w:szCs w:val="20"/>
          <w:lang w:val="en-US" w:eastAsia="es-MX"/>
        </w:rPr>
        <w:t xml:space="preserve">of </w:t>
      </w:r>
      <w:r w:rsidR="00391F0C" w:rsidRPr="008A3740">
        <w:rPr>
          <w:rFonts w:ascii="Verdana" w:eastAsia="Batang" w:hAnsi="Verdana"/>
          <w:sz w:val="20"/>
          <w:szCs w:val="20"/>
          <w:lang w:val="en-US" w:eastAsia="es-MX"/>
        </w:rPr>
        <w:t>procedural</w:t>
      </w:r>
      <w:r w:rsidR="008E6A56" w:rsidRPr="008A3740">
        <w:rPr>
          <w:rFonts w:ascii="Verdana" w:eastAsia="Batang" w:hAnsi="Verdana"/>
          <w:sz w:val="20"/>
          <w:szCs w:val="20"/>
          <w:lang w:val="en-US" w:eastAsia="es-MX"/>
        </w:rPr>
        <w:t xml:space="preserve"> </w:t>
      </w:r>
      <w:r w:rsidR="00517108" w:rsidRPr="008A3740">
        <w:rPr>
          <w:rFonts w:ascii="Verdana" w:eastAsia="Batang" w:hAnsi="Verdana"/>
          <w:sz w:val="20"/>
          <w:szCs w:val="20"/>
          <w:lang w:val="en-US" w:eastAsia="es-MX"/>
        </w:rPr>
        <w:t>su</w:t>
      </w:r>
      <w:r w:rsidR="008324DF" w:rsidRPr="008A3740">
        <w:rPr>
          <w:rFonts w:ascii="Verdana" w:eastAsia="Batang" w:hAnsi="Verdana"/>
          <w:sz w:val="20"/>
          <w:szCs w:val="20"/>
          <w:lang w:val="en-US" w:eastAsia="es-MX"/>
        </w:rPr>
        <w:t>bject</w:t>
      </w:r>
      <w:r w:rsidR="00517108" w:rsidRPr="008A3740">
        <w:rPr>
          <w:rFonts w:ascii="Verdana" w:eastAsia="Batang" w:hAnsi="Verdana"/>
          <w:sz w:val="20"/>
          <w:szCs w:val="20"/>
          <w:lang w:val="en-US" w:eastAsia="es-MX"/>
        </w:rPr>
        <w:t xml:space="preserve">s </w:t>
      </w:r>
      <w:r w:rsidR="008E6A56" w:rsidRPr="008A3740">
        <w:rPr>
          <w:rFonts w:ascii="Verdana" w:eastAsia="Batang" w:hAnsi="Verdana"/>
          <w:sz w:val="20"/>
          <w:szCs w:val="20"/>
          <w:lang w:val="en-US" w:eastAsia="es-MX"/>
        </w:rPr>
        <w:t xml:space="preserve">or the </w:t>
      </w:r>
      <w:r w:rsidR="005C0CFD" w:rsidRPr="008A3740">
        <w:rPr>
          <w:rFonts w:ascii="Verdana" w:eastAsia="Batang" w:hAnsi="Verdana"/>
          <w:sz w:val="20"/>
          <w:szCs w:val="20"/>
          <w:lang w:val="en-US" w:eastAsia="es-MX"/>
        </w:rPr>
        <w:t xml:space="preserve">number </w:t>
      </w:r>
      <w:r w:rsidR="008E6A56" w:rsidRPr="008A3740">
        <w:rPr>
          <w:rFonts w:ascii="Verdana" w:eastAsia="Batang" w:hAnsi="Verdana"/>
          <w:sz w:val="20"/>
          <w:szCs w:val="20"/>
          <w:lang w:val="en-US" w:eastAsia="es-MX"/>
        </w:rPr>
        <w:t xml:space="preserve">of  victims, the time </w:t>
      </w:r>
      <w:r w:rsidR="00391F0C" w:rsidRPr="008A3740">
        <w:rPr>
          <w:rFonts w:ascii="Verdana" w:eastAsia="Batang" w:hAnsi="Verdana"/>
          <w:sz w:val="20"/>
          <w:szCs w:val="20"/>
          <w:lang w:val="en-US" w:eastAsia="es-MX"/>
        </w:rPr>
        <w:t xml:space="preserve">elapsed since </w:t>
      </w:r>
      <w:r w:rsidR="008E6A56" w:rsidRPr="008A3740">
        <w:rPr>
          <w:rFonts w:ascii="Verdana" w:eastAsia="Batang" w:hAnsi="Verdana"/>
          <w:sz w:val="20"/>
          <w:szCs w:val="20"/>
          <w:lang w:val="en-US" w:eastAsia="es-MX"/>
        </w:rPr>
        <w:t xml:space="preserve">the violation, and the context in </w:t>
      </w:r>
      <w:r w:rsidR="005C0CFD" w:rsidRPr="008A3740">
        <w:rPr>
          <w:rFonts w:ascii="Verdana" w:eastAsia="Batang" w:hAnsi="Verdana"/>
          <w:sz w:val="20"/>
          <w:szCs w:val="20"/>
          <w:lang w:val="en-US" w:eastAsia="es-MX"/>
        </w:rPr>
        <w:t xml:space="preserve">which the </w:t>
      </w:r>
      <w:r w:rsidR="008E6A56" w:rsidRPr="008A3740">
        <w:rPr>
          <w:rFonts w:ascii="Verdana" w:eastAsia="Batang" w:hAnsi="Verdana"/>
          <w:sz w:val="20"/>
          <w:szCs w:val="20"/>
          <w:lang w:val="en-US" w:eastAsia="es-MX"/>
        </w:rPr>
        <w:t>violation</w:t>
      </w:r>
      <w:r w:rsidR="005C0CFD" w:rsidRPr="008A3740">
        <w:rPr>
          <w:rFonts w:ascii="Verdana" w:eastAsia="Batang" w:hAnsi="Verdana"/>
          <w:sz w:val="20"/>
          <w:szCs w:val="20"/>
          <w:lang w:val="en-US" w:eastAsia="es-MX"/>
        </w:rPr>
        <w:t xml:space="preserve"> occu</w:t>
      </w:r>
      <w:r w:rsidR="008324DF" w:rsidRPr="008A3740">
        <w:rPr>
          <w:rFonts w:ascii="Verdana" w:eastAsia="Batang" w:hAnsi="Verdana"/>
          <w:sz w:val="20"/>
          <w:szCs w:val="20"/>
          <w:lang w:val="en-US" w:eastAsia="es-MX"/>
        </w:rPr>
        <w:t>r</w:t>
      </w:r>
      <w:r w:rsidR="005C0CFD" w:rsidRPr="008A3740">
        <w:rPr>
          <w:rFonts w:ascii="Verdana" w:eastAsia="Batang" w:hAnsi="Verdana"/>
          <w:sz w:val="20"/>
          <w:szCs w:val="20"/>
          <w:lang w:val="en-US" w:eastAsia="es-MX"/>
        </w:rPr>
        <w:t>red</w:t>
      </w:r>
      <w:r w:rsidR="00391F0C" w:rsidRPr="008A3740">
        <w:rPr>
          <w:rFonts w:ascii="Verdana" w:eastAsia="Batang" w:hAnsi="Verdana"/>
          <w:sz w:val="20"/>
          <w:szCs w:val="20"/>
          <w:lang w:val="en-US" w:eastAsia="es-MX"/>
        </w:rPr>
        <w:t>.</w:t>
      </w:r>
      <w:r w:rsidR="008E6A56" w:rsidRPr="008A3740">
        <w:rPr>
          <w:rFonts w:ascii="Verdana" w:eastAsia="Batang" w:hAnsi="Verdana" w:cs="Verdana"/>
          <w:sz w:val="20"/>
          <w:szCs w:val="20"/>
          <w:vertAlign w:val="superscript"/>
          <w:lang w:val="en-US" w:eastAsia="es-MX"/>
        </w:rPr>
        <w:footnoteReference w:id="169"/>
      </w:r>
      <w:r w:rsidR="008E6A56" w:rsidRPr="008A3740">
        <w:rPr>
          <w:rFonts w:ascii="Verdana" w:eastAsia="Batang" w:hAnsi="Verdana"/>
          <w:sz w:val="20"/>
          <w:szCs w:val="20"/>
          <w:lang w:val="en-US" w:eastAsia="es-MX"/>
        </w:rPr>
        <w:t xml:space="preserve"> The Court notes that in the </w:t>
      </w:r>
      <w:r w:rsidRPr="008A3740">
        <w:rPr>
          <w:rFonts w:ascii="Verdana" w:eastAsia="Batang" w:hAnsi="Verdana"/>
          <w:sz w:val="20"/>
          <w:szCs w:val="20"/>
          <w:lang w:val="en-US" w:eastAsia="es-MX"/>
        </w:rPr>
        <w:t>instant case there is only one victim</w:t>
      </w:r>
      <w:r w:rsidR="005C0CFD" w:rsidRPr="008A3740">
        <w:rPr>
          <w:rFonts w:ascii="Verdana" w:eastAsia="Batang" w:hAnsi="Verdana"/>
          <w:sz w:val="20"/>
          <w:szCs w:val="20"/>
          <w:lang w:val="en-US" w:eastAsia="es-MX"/>
        </w:rPr>
        <w:t>,</w:t>
      </w:r>
      <w:r w:rsidR="008E6A56" w:rsidRPr="008A3740">
        <w:rPr>
          <w:rFonts w:ascii="Verdana" w:eastAsia="Batang" w:hAnsi="Verdana"/>
          <w:sz w:val="20"/>
          <w:szCs w:val="20"/>
          <w:lang w:val="en-US" w:eastAsia="es-MX"/>
        </w:rPr>
        <w:t xml:space="preserve"> </w:t>
      </w:r>
      <w:r w:rsidR="005C0CFD" w:rsidRPr="008A3740">
        <w:rPr>
          <w:rFonts w:ascii="Verdana" w:eastAsia="Batang" w:hAnsi="Verdana"/>
          <w:sz w:val="20"/>
          <w:szCs w:val="20"/>
          <w:lang w:val="en-US" w:eastAsia="es-MX"/>
        </w:rPr>
        <w:t xml:space="preserve">and </w:t>
      </w:r>
      <w:r w:rsidRPr="008A3740">
        <w:rPr>
          <w:rFonts w:ascii="Verdana" w:hAnsi="Verdana"/>
          <w:sz w:val="20"/>
          <w:szCs w:val="20"/>
          <w:lang w:val="en-US" w:eastAsia="es-MX"/>
        </w:rPr>
        <w:t>that</w:t>
      </w:r>
      <w:r w:rsidR="008E6A56" w:rsidRPr="008A3740">
        <w:rPr>
          <w:rFonts w:ascii="Verdana" w:hAnsi="Verdana"/>
          <w:sz w:val="20"/>
          <w:szCs w:val="20"/>
          <w:lang w:val="en-US" w:eastAsia="es-MX"/>
        </w:rPr>
        <w:t xml:space="preserve"> </w:t>
      </w:r>
      <w:r w:rsidRPr="008A3740">
        <w:rPr>
          <w:rFonts w:ascii="Verdana" w:hAnsi="Verdana"/>
          <w:sz w:val="20"/>
          <w:szCs w:val="20"/>
          <w:lang w:val="en-US" w:eastAsia="es-MX"/>
        </w:rPr>
        <w:t xml:space="preserve">a </w:t>
      </w:r>
      <w:r w:rsidR="00391F0C" w:rsidRPr="008A3740">
        <w:rPr>
          <w:rFonts w:ascii="Verdana" w:eastAsia="Verdana" w:hAnsi="Verdana" w:cs="Cambria"/>
          <w:bCs/>
          <w:color w:val="000000"/>
          <w:sz w:val="20"/>
          <w:szCs w:val="20"/>
          <w:lang w:val="en-US" w:eastAsia="x-none"/>
        </w:rPr>
        <w:t>final judicial decision</w:t>
      </w:r>
      <w:r w:rsidR="008E6A56" w:rsidRPr="008A3740">
        <w:rPr>
          <w:rFonts w:ascii="Verdana" w:eastAsia="Verdana" w:hAnsi="Verdana" w:cs="Cambria"/>
          <w:bCs/>
          <w:color w:val="000000"/>
          <w:sz w:val="20"/>
          <w:szCs w:val="20"/>
          <w:lang w:val="en-US" w:eastAsia="x-none"/>
        </w:rPr>
        <w:t xml:space="preserve"> </w:t>
      </w:r>
      <w:r w:rsidR="005C0CFD" w:rsidRPr="008A3740">
        <w:rPr>
          <w:rFonts w:ascii="Verdana" w:eastAsia="Verdana" w:hAnsi="Verdana" w:cs="Cambria"/>
          <w:bCs/>
          <w:color w:val="000000"/>
          <w:sz w:val="20"/>
          <w:szCs w:val="20"/>
          <w:lang w:val="en-US" w:eastAsia="x-none"/>
        </w:rPr>
        <w:t>already existed which</w:t>
      </w:r>
      <w:r w:rsidR="008E6A56" w:rsidRPr="008A3740">
        <w:rPr>
          <w:rFonts w:ascii="Verdana" w:eastAsia="Verdana" w:hAnsi="Verdana" w:cs="Cambria"/>
          <w:bCs/>
          <w:color w:val="000000"/>
          <w:sz w:val="20"/>
          <w:szCs w:val="20"/>
          <w:lang w:val="en-US" w:eastAsia="x-none"/>
        </w:rPr>
        <w:t xml:space="preserve"> </w:t>
      </w:r>
      <w:r w:rsidR="005C0CFD" w:rsidRPr="008A3740">
        <w:rPr>
          <w:rFonts w:ascii="Verdana" w:eastAsia="Verdana" w:hAnsi="Verdana" w:cs="Cambria"/>
          <w:bCs/>
          <w:color w:val="000000"/>
          <w:sz w:val="20"/>
          <w:szCs w:val="20"/>
          <w:lang w:val="en-US" w:eastAsia="x-none"/>
        </w:rPr>
        <w:t xml:space="preserve">should have been </w:t>
      </w:r>
      <w:r w:rsidR="00FD025B" w:rsidRPr="008A3740">
        <w:rPr>
          <w:rFonts w:ascii="Verdana" w:eastAsia="Verdana" w:hAnsi="Verdana" w:cs="Cambria"/>
          <w:bCs/>
          <w:color w:val="000000"/>
          <w:sz w:val="20"/>
          <w:szCs w:val="20"/>
          <w:lang w:val="en-US" w:eastAsia="x-none"/>
        </w:rPr>
        <w:t>complied with</w:t>
      </w:r>
      <w:r w:rsidR="008E6A56" w:rsidRPr="008A3740">
        <w:rPr>
          <w:rFonts w:ascii="Verdana" w:eastAsia="Verdana" w:hAnsi="Verdana" w:cs="Cambria"/>
          <w:bCs/>
          <w:color w:val="000000"/>
          <w:sz w:val="20"/>
          <w:szCs w:val="20"/>
          <w:lang w:val="en-US" w:eastAsia="x-none"/>
        </w:rPr>
        <w:t xml:space="preserve"> or </w:t>
      </w:r>
      <w:r w:rsidR="00B32461" w:rsidRPr="008A3740">
        <w:rPr>
          <w:rFonts w:ascii="Verdana" w:eastAsia="Verdana" w:hAnsi="Verdana" w:cs="Cambria"/>
          <w:bCs/>
          <w:color w:val="000000"/>
          <w:sz w:val="20"/>
          <w:szCs w:val="20"/>
          <w:lang w:val="en-US" w:eastAsia="x-none"/>
        </w:rPr>
        <w:t xml:space="preserve">executed. </w:t>
      </w:r>
      <w:r w:rsidR="008E6A56" w:rsidRPr="008A3740">
        <w:rPr>
          <w:rFonts w:ascii="Verdana" w:eastAsia="Verdana" w:hAnsi="Verdana" w:cs="Cambria"/>
          <w:bCs/>
          <w:color w:val="000000"/>
          <w:sz w:val="20"/>
          <w:szCs w:val="20"/>
          <w:lang w:val="en-US" w:eastAsia="x-none"/>
        </w:rPr>
        <w:t xml:space="preserve">The State’s argument </w:t>
      </w:r>
      <w:r w:rsidR="00B32461" w:rsidRPr="008A3740">
        <w:rPr>
          <w:rFonts w:ascii="Verdana" w:eastAsia="Verdana" w:hAnsi="Verdana" w:cs="Cambria"/>
          <w:bCs/>
          <w:color w:val="000000"/>
          <w:sz w:val="20"/>
          <w:szCs w:val="20"/>
          <w:lang w:val="en-US" w:eastAsia="x-none"/>
        </w:rPr>
        <w:t xml:space="preserve">that </w:t>
      </w:r>
      <w:r w:rsidR="005C0CFD" w:rsidRPr="008A3740">
        <w:rPr>
          <w:rFonts w:ascii="Verdana" w:eastAsia="Verdana" w:hAnsi="Verdana" w:cs="Cambria"/>
          <w:bCs/>
          <w:color w:val="000000"/>
          <w:sz w:val="20"/>
          <w:szCs w:val="20"/>
          <w:lang w:val="en-US" w:eastAsia="x-none"/>
        </w:rPr>
        <w:t xml:space="preserve">the </w:t>
      </w:r>
      <w:r w:rsidR="008E6A56" w:rsidRPr="008A3740">
        <w:rPr>
          <w:rFonts w:ascii="Verdana" w:eastAsia="Verdana" w:hAnsi="Verdana" w:cs="Cambria"/>
          <w:bCs/>
          <w:color w:val="000000"/>
          <w:sz w:val="20"/>
          <w:szCs w:val="20"/>
          <w:lang w:val="en-US" w:eastAsia="x-none"/>
        </w:rPr>
        <w:t xml:space="preserve">complexity </w:t>
      </w:r>
      <w:r w:rsidR="00B32461" w:rsidRPr="008A3740">
        <w:rPr>
          <w:rFonts w:ascii="Verdana" w:eastAsia="Verdana" w:hAnsi="Verdana" w:cs="Cambria"/>
          <w:bCs/>
          <w:color w:val="000000"/>
          <w:sz w:val="20"/>
          <w:szCs w:val="20"/>
          <w:lang w:val="en-US" w:eastAsia="x-none"/>
        </w:rPr>
        <w:t xml:space="preserve">of the case </w:t>
      </w:r>
      <w:r w:rsidR="008324DF" w:rsidRPr="008A3740">
        <w:rPr>
          <w:rFonts w:ascii="Verdana" w:eastAsia="Verdana" w:hAnsi="Verdana" w:cs="Cambria"/>
          <w:bCs/>
          <w:color w:val="000000"/>
          <w:sz w:val="20"/>
          <w:szCs w:val="20"/>
          <w:lang w:val="en-US" w:eastAsia="x-none"/>
        </w:rPr>
        <w:t xml:space="preserve">was </w:t>
      </w:r>
      <w:r w:rsidR="00181BC4" w:rsidRPr="008A3740">
        <w:rPr>
          <w:rFonts w:ascii="Verdana" w:eastAsia="Verdana" w:hAnsi="Verdana" w:cs="Cambria"/>
          <w:bCs/>
          <w:color w:val="000000"/>
          <w:sz w:val="20"/>
          <w:szCs w:val="20"/>
          <w:lang w:val="en-US" w:eastAsia="x-none"/>
        </w:rPr>
        <w:t xml:space="preserve">due to </w:t>
      </w:r>
      <w:r w:rsidR="008324DF" w:rsidRPr="008A3740">
        <w:rPr>
          <w:rFonts w:ascii="Verdana" w:eastAsia="Verdana" w:hAnsi="Verdana" w:cs="Cambria"/>
          <w:bCs/>
          <w:color w:val="000000"/>
          <w:sz w:val="20"/>
          <w:szCs w:val="20"/>
          <w:lang w:val="en-US" w:eastAsia="x-none"/>
        </w:rPr>
        <w:t xml:space="preserve">the </w:t>
      </w:r>
      <w:r w:rsidR="008E6A56" w:rsidRPr="008A3740">
        <w:rPr>
          <w:rFonts w:ascii="Verdana" w:eastAsia="Verdana" w:hAnsi="Verdana" w:cs="Cambria"/>
          <w:bCs/>
          <w:color w:val="000000"/>
          <w:sz w:val="20"/>
          <w:szCs w:val="20"/>
          <w:lang w:val="en-US" w:eastAsia="x-none"/>
        </w:rPr>
        <w:t xml:space="preserve">uncertainty </w:t>
      </w:r>
      <w:r w:rsidR="00517108" w:rsidRPr="008A3740">
        <w:rPr>
          <w:rFonts w:ascii="Verdana" w:eastAsia="Verdana" w:hAnsi="Verdana" w:cs="Cambria"/>
          <w:bCs/>
          <w:color w:val="000000"/>
          <w:sz w:val="20"/>
          <w:szCs w:val="20"/>
          <w:lang w:val="en-US" w:eastAsia="x-none"/>
        </w:rPr>
        <w:t xml:space="preserve">regarding </w:t>
      </w:r>
      <w:r w:rsidR="008E6A56" w:rsidRPr="008A3740">
        <w:rPr>
          <w:rFonts w:ascii="Verdana" w:eastAsia="Verdana" w:hAnsi="Verdana" w:cs="Cambria"/>
          <w:bCs/>
          <w:color w:val="000000"/>
          <w:sz w:val="20"/>
          <w:szCs w:val="20"/>
          <w:lang w:val="en-US" w:eastAsia="x-none"/>
        </w:rPr>
        <w:t xml:space="preserve">the entity responsible </w:t>
      </w:r>
      <w:r w:rsidR="00181BC4" w:rsidRPr="008A3740">
        <w:rPr>
          <w:rFonts w:ascii="Verdana" w:eastAsia="Verdana" w:hAnsi="Verdana" w:cs="Cambria"/>
          <w:bCs/>
          <w:color w:val="000000"/>
          <w:sz w:val="20"/>
          <w:szCs w:val="20"/>
          <w:lang w:val="en-US" w:eastAsia="x-none"/>
        </w:rPr>
        <w:t xml:space="preserve">for the pension payments </w:t>
      </w:r>
      <w:r w:rsidR="005E5FED" w:rsidRPr="008A3740">
        <w:rPr>
          <w:rFonts w:ascii="Verdana" w:eastAsia="Verdana" w:hAnsi="Verdana" w:cs="Cambria"/>
          <w:bCs/>
          <w:color w:val="000000"/>
          <w:sz w:val="20"/>
          <w:szCs w:val="20"/>
          <w:lang w:val="en-US" w:eastAsia="x-none"/>
        </w:rPr>
        <w:t>has no merit</w:t>
      </w:r>
      <w:r w:rsidR="008E6A56" w:rsidRPr="008A3740">
        <w:rPr>
          <w:rFonts w:ascii="Verdana" w:eastAsia="Verdana" w:hAnsi="Verdana" w:cs="Cambria"/>
          <w:bCs/>
          <w:color w:val="000000"/>
          <w:sz w:val="20"/>
          <w:szCs w:val="20"/>
          <w:lang w:val="en-US" w:eastAsia="x-none"/>
        </w:rPr>
        <w:t xml:space="preserve">, since </w:t>
      </w:r>
      <w:r w:rsidR="005C0CFD" w:rsidRPr="008A3740">
        <w:rPr>
          <w:rFonts w:ascii="Verdana" w:eastAsia="Verdana" w:hAnsi="Verdana" w:cs="Cambria"/>
          <w:bCs/>
          <w:color w:val="000000"/>
          <w:sz w:val="20"/>
          <w:szCs w:val="20"/>
          <w:lang w:val="en-US" w:eastAsia="x-none"/>
        </w:rPr>
        <w:t xml:space="preserve">the </w:t>
      </w:r>
      <w:r w:rsidR="008E6A56" w:rsidRPr="008A3740">
        <w:rPr>
          <w:rFonts w:ascii="Verdana" w:eastAsia="Verdana" w:hAnsi="Verdana" w:cs="Cambria"/>
          <w:bCs/>
          <w:color w:val="000000"/>
          <w:sz w:val="20"/>
          <w:szCs w:val="20"/>
          <w:lang w:val="en-US" w:eastAsia="x-none"/>
        </w:rPr>
        <w:t xml:space="preserve">State </w:t>
      </w:r>
      <w:r w:rsidR="00391F0C" w:rsidRPr="008A3740">
        <w:rPr>
          <w:rFonts w:ascii="Verdana" w:eastAsia="Verdana" w:hAnsi="Verdana" w:cs="Cambria"/>
          <w:bCs/>
          <w:color w:val="000000"/>
          <w:sz w:val="20"/>
          <w:szCs w:val="20"/>
          <w:lang w:val="en-US" w:eastAsia="x-none"/>
        </w:rPr>
        <w:t xml:space="preserve">itself </w:t>
      </w:r>
      <w:r w:rsidR="008E6A56" w:rsidRPr="008A3740">
        <w:rPr>
          <w:rFonts w:ascii="Verdana" w:eastAsia="Verdana" w:hAnsi="Verdana" w:cs="Cambria"/>
          <w:bCs/>
          <w:color w:val="000000"/>
          <w:sz w:val="20"/>
          <w:szCs w:val="20"/>
          <w:lang w:val="en-US" w:eastAsia="x-none"/>
        </w:rPr>
        <w:t>cre</w:t>
      </w:r>
      <w:r w:rsidR="005C0CFD" w:rsidRPr="008A3740">
        <w:rPr>
          <w:rFonts w:ascii="Verdana" w:eastAsia="Verdana" w:hAnsi="Verdana" w:cs="Cambria"/>
          <w:bCs/>
          <w:color w:val="000000"/>
          <w:sz w:val="20"/>
          <w:szCs w:val="20"/>
          <w:lang w:val="en-US" w:eastAsia="x-none"/>
        </w:rPr>
        <w:t>ated the</w:t>
      </w:r>
      <w:r w:rsidR="00391F0C" w:rsidRPr="008A3740">
        <w:rPr>
          <w:rFonts w:ascii="Verdana" w:eastAsia="Verdana" w:hAnsi="Verdana" w:cs="Cambria"/>
          <w:bCs/>
          <w:color w:val="000000"/>
          <w:sz w:val="20"/>
          <w:szCs w:val="20"/>
          <w:lang w:val="en-US" w:eastAsia="x-none"/>
        </w:rPr>
        <w:t xml:space="preserve"> </w:t>
      </w:r>
      <w:r w:rsidR="008E6A56" w:rsidRPr="008A3740">
        <w:rPr>
          <w:rFonts w:ascii="Verdana" w:eastAsia="Verdana" w:hAnsi="Verdana" w:cs="Cambria"/>
          <w:bCs/>
          <w:color w:val="000000"/>
          <w:sz w:val="20"/>
          <w:szCs w:val="20"/>
          <w:lang w:val="en-US" w:eastAsia="x-none"/>
        </w:rPr>
        <w:t xml:space="preserve">uncertainty </w:t>
      </w:r>
      <w:r w:rsidR="00391F0C" w:rsidRPr="008A3740">
        <w:rPr>
          <w:rFonts w:ascii="Verdana" w:eastAsia="Verdana" w:hAnsi="Verdana" w:cs="Cambria"/>
          <w:bCs/>
          <w:color w:val="000000"/>
          <w:sz w:val="20"/>
          <w:szCs w:val="20"/>
          <w:lang w:val="en-US" w:eastAsia="x-none"/>
        </w:rPr>
        <w:t xml:space="preserve">by not clearly </w:t>
      </w:r>
      <w:r w:rsidR="008E6A56" w:rsidRPr="008A3740">
        <w:rPr>
          <w:rFonts w:ascii="Verdana" w:eastAsia="Verdana" w:hAnsi="Verdana" w:cs="Cambria"/>
          <w:bCs/>
          <w:color w:val="000000"/>
          <w:sz w:val="20"/>
          <w:szCs w:val="20"/>
          <w:lang w:val="en-US" w:eastAsia="x-none"/>
        </w:rPr>
        <w:t>establish</w:t>
      </w:r>
      <w:r w:rsidR="00391F0C" w:rsidRPr="008A3740">
        <w:rPr>
          <w:rFonts w:ascii="Verdana" w:eastAsia="Verdana" w:hAnsi="Verdana" w:cs="Cambria"/>
          <w:bCs/>
          <w:color w:val="000000"/>
          <w:sz w:val="20"/>
          <w:szCs w:val="20"/>
          <w:lang w:val="en-US" w:eastAsia="x-none"/>
        </w:rPr>
        <w:t xml:space="preserve">ing, </w:t>
      </w:r>
      <w:r w:rsidR="008E6A56" w:rsidRPr="008A3740">
        <w:rPr>
          <w:rFonts w:ascii="Verdana" w:eastAsia="Verdana" w:hAnsi="Verdana" w:cs="Cambria"/>
          <w:bCs/>
          <w:color w:val="000000"/>
          <w:sz w:val="20"/>
          <w:szCs w:val="20"/>
          <w:lang w:val="en-US" w:eastAsia="x-none"/>
        </w:rPr>
        <w:t xml:space="preserve">prior to the privatization, </w:t>
      </w:r>
      <w:r w:rsidR="00391F0C" w:rsidRPr="008A3740">
        <w:rPr>
          <w:rFonts w:ascii="Verdana" w:eastAsia="Verdana" w:hAnsi="Verdana" w:cs="Cambria"/>
          <w:bCs/>
          <w:color w:val="000000"/>
          <w:sz w:val="20"/>
          <w:szCs w:val="20"/>
          <w:lang w:val="en-US" w:eastAsia="x-none"/>
        </w:rPr>
        <w:t xml:space="preserve">how </w:t>
      </w:r>
      <w:r w:rsidR="005C0CFD" w:rsidRPr="008A3740">
        <w:rPr>
          <w:rFonts w:ascii="Verdana" w:eastAsia="Verdana" w:hAnsi="Verdana" w:cs="Cambria"/>
          <w:bCs/>
          <w:color w:val="000000"/>
          <w:sz w:val="20"/>
          <w:szCs w:val="20"/>
          <w:lang w:val="en-US" w:eastAsia="x-none"/>
        </w:rPr>
        <w:t xml:space="preserve">the </w:t>
      </w:r>
      <w:r w:rsidR="00181BC4" w:rsidRPr="008A3740">
        <w:rPr>
          <w:rFonts w:ascii="Verdana" w:eastAsia="Verdana" w:hAnsi="Verdana" w:cs="Cambria"/>
          <w:bCs/>
          <w:color w:val="000000"/>
          <w:sz w:val="20"/>
          <w:szCs w:val="20"/>
          <w:lang w:val="en-US" w:eastAsia="x-none"/>
        </w:rPr>
        <w:t xml:space="preserve">victim’s legally recognized </w:t>
      </w:r>
      <w:r w:rsidR="005C0CFD" w:rsidRPr="008A3740">
        <w:rPr>
          <w:rFonts w:ascii="Verdana" w:eastAsia="Verdana" w:hAnsi="Verdana" w:cs="Cambria"/>
          <w:bCs/>
          <w:color w:val="000000"/>
          <w:sz w:val="20"/>
          <w:szCs w:val="20"/>
          <w:lang w:val="en-US" w:eastAsia="x-none"/>
        </w:rPr>
        <w:t>pension rights would be protected</w:t>
      </w:r>
      <w:r w:rsidR="008E6A56" w:rsidRPr="008A3740">
        <w:rPr>
          <w:rFonts w:ascii="Verdana" w:eastAsia="Verdana" w:hAnsi="Verdana" w:cs="Cambria"/>
          <w:bCs/>
          <w:color w:val="000000"/>
          <w:sz w:val="20"/>
          <w:szCs w:val="20"/>
          <w:lang w:val="en-US" w:eastAsia="x-none"/>
        </w:rPr>
        <w:t xml:space="preserve">. Likewise, </w:t>
      </w:r>
      <w:r w:rsidR="00E3775E" w:rsidRPr="008A3740">
        <w:rPr>
          <w:rFonts w:ascii="Verdana" w:eastAsia="Verdana" w:hAnsi="Verdana" w:cs="Cambria"/>
          <w:bCs/>
          <w:color w:val="000000"/>
          <w:sz w:val="20"/>
          <w:szCs w:val="20"/>
          <w:lang w:val="en-US" w:eastAsia="x-none"/>
        </w:rPr>
        <w:t xml:space="preserve">such </w:t>
      </w:r>
      <w:r w:rsidR="008E6A56" w:rsidRPr="008A3740">
        <w:rPr>
          <w:rFonts w:ascii="Verdana" w:eastAsia="Verdana" w:hAnsi="Verdana" w:cs="Cambria"/>
          <w:bCs/>
          <w:color w:val="000000"/>
          <w:sz w:val="20"/>
          <w:szCs w:val="20"/>
          <w:lang w:val="en-US" w:eastAsia="x-none"/>
        </w:rPr>
        <w:t xml:space="preserve">complexity </w:t>
      </w:r>
      <w:r w:rsidR="005C0CFD" w:rsidRPr="008A3740">
        <w:rPr>
          <w:rFonts w:ascii="Verdana" w:eastAsia="Verdana" w:hAnsi="Verdana" w:cs="Cambria"/>
          <w:bCs/>
          <w:color w:val="000000"/>
          <w:sz w:val="20"/>
          <w:szCs w:val="20"/>
          <w:lang w:val="en-US" w:eastAsia="x-none"/>
        </w:rPr>
        <w:t>cannot be based o</w:t>
      </w:r>
      <w:r w:rsidR="008E6A56" w:rsidRPr="008A3740">
        <w:rPr>
          <w:rFonts w:ascii="Verdana" w:eastAsia="Verdana" w:hAnsi="Verdana" w:cs="Cambria"/>
          <w:bCs/>
          <w:color w:val="000000"/>
          <w:sz w:val="20"/>
          <w:szCs w:val="20"/>
          <w:lang w:val="en-US" w:eastAsia="x-none"/>
        </w:rPr>
        <w:t xml:space="preserve">n the </w:t>
      </w:r>
      <w:r w:rsidR="005C0CFD" w:rsidRPr="008A3740">
        <w:rPr>
          <w:rFonts w:ascii="Verdana" w:eastAsia="Verdana" w:hAnsi="Verdana" w:cs="Cambria"/>
          <w:bCs/>
          <w:color w:val="000000"/>
          <w:sz w:val="20"/>
          <w:szCs w:val="20"/>
          <w:lang w:val="en-US" w:eastAsia="x-none"/>
        </w:rPr>
        <w:t xml:space="preserve">inefficacy </w:t>
      </w:r>
      <w:r w:rsidR="008E6A56" w:rsidRPr="008A3740">
        <w:rPr>
          <w:rFonts w:ascii="Verdana" w:eastAsia="Verdana" w:hAnsi="Verdana" w:cs="Cambria"/>
          <w:bCs/>
          <w:color w:val="000000"/>
          <w:sz w:val="20"/>
          <w:szCs w:val="20"/>
          <w:lang w:val="en-US" w:eastAsia="x-none"/>
        </w:rPr>
        <w:t>and passivity of the Judiciary itself to determine</w:t>
      </w:r>
      <w:r w:rsidR="007E58C4" w:rsidRPr="008A3740">
        <w:rPr>
          <w:rFonts w:ascii="Verdana" w:eastAsia="Verdana" w:hAnsi="Verdana" w:cs="Cambria"/>
          <w:bCs/>
          <w:color w:val="000000"/>
          <w:sz w:val="20"/>
          <w:szCs w:val="20"/>
          <w:lang w:val="en-US" w:eastAsia="x-none"/>
        </w:rPr>
        <w:t xml:space="preserve"> </w:t>
      </w:r>
      <w:r w:rsidR="008E6A56" w:rsidRPr="008A3740">
        <w:rPr>
          <w:rFonts w:ascii="Verdana" w:eastAsia="Verdana" w:hAnsi="Verdana" w:cs="Cambria"/>
          <w:bCs/>
          <w:color w:val="000000"/>
          <w:sz w:val="20"/>
          <w:szCs w:val="20"/>
          <w:lang w:val="en-US" w:eastAsia="x-none"/>
        </w:rPr>
        <w:t xml:space="preserve">who </w:t>
      </w:r>
      <w:r w:rsidR="005C0CFD" w:rsidRPr="008A3740">
        <w:rPr>
          <w:rFonts w:ascii="Verdana" w:eastAsia="Verdana" w:hAnsi="Verdana" w:cs="Cambria"/>
          <w:bCs/>
          <w:color w:val="000000"/>
          <w:sz w:val="20"/>
          <w:szCs w:val="20"/>
          <w:lang w:val="en-US" w:eastAsia="x-none"/>
        </w:rPr>
        <w:t xml:space="preserve">would be </w:t>
      </w:r>
      <w:r w:rsidR="008E6A56" w:rsidRPr="008A3740">
        <w:rPr>
          <w:rFonts w:ascii="Verdana" w:eastAsia="Verdana" w:hAnsi="Verdana" w:cs="Cambria"/>
          <w:bCs/>
          <w:color w:val="000000"/>
          <w:sz w:val="20"/>
          <w:szCs w:val="20"/>
          <w:lang w:val="en-US" w:eastAsia="x-none"/>
        </w:rPr>
        <w:t xml:space="preserve">responsible </w:t>
      </w:r>
      <w:r w:rsidR="005C0CFD" w:rsidRPr="008A3740">
        <w:rPr>
          <w:rFonts w:ascii="Verdana" w:eastAsia="Verdana" w:hAnsi="Verdana" w:cs="Cambria"/>
          <w:bCs/>
          <w:color w:val="000000"/>
          <w:sz w:val="20"/>
          <w:szCs w:val="20"/>
          <w:lang w:val="en-US" w:eastAsia="x-none"/>
        </w:rPr>
        <w:t xml:space="preserve">for </w:t>
      </w:r>
      <w:r w:rsidR="007E58C4" w:rsidRPr="008A3740">
        <w:rPr>
          <w:rFonts w:ascii="Verdana" w:eastAsia="Verdana" w:hAnsi="Verdana" w:cs="Cambria"/>
          <w:bCs/>
          <w:color w:val="000000"/>
          <w:sz w:val="20"/>
          <w:szCs w:val="20"/>
          <w:lang w:val="en-US" w:eastAsia="x-none"/>
        </w:rPr>
        <w:t>paying the pension</w:t>
      </w:r>
      <w:r w:rsidR="008E6A56" w:rsidRPr="008A3740">
        <w:rPr>
          <w:rFonts w:ascii="Verdana" w:eastAsia="Verdana" w:hAnsi="Verdana" w:cs="Cambria"/>
          <w:bCs/>
          <w:color w:val="000000"/>
          <w:sz w:val="20"/>
          <w:szCs w:val="20"/>
          <w:lang w:val="en-US" w:eastAsia="x-none"/>
        </w:rPr>
        <w:t xml:space="preserve">. </w:t>
      </w:r>
      <w:r w:rsidR="007E58C4" w:rsidRPr="008A3740">
        <w:rPr>
          <w:rFonts w:ascii="Verdana" w:eastAsia="Verdana" w:hAnsi="Verdana" w:cs="Cambria"/>
          <w:bCs/>
          <w:color w:val="000000"/>
          <w:sz w:val="20"/>
          <w:szCs w:val="20"/>
          <w:lang w:val="en-US" w:eastAsia="x-none"/>
        </w:rPr>
        <w:t xml:space="preserve">Therefore, </w:t>
      </w:r>
      <w:r w:rsidR="007E58C4" w:rsidRPr="008A3740">
        <w:rPr>
          <w:rFonts w:ascii="Verdana" w:eastAsia="Batang" w:hAnsi="Verdana"/>
          <w:sz w:val="20"/>
          <w:szCs w:val="20"/>
          <w:lang w:val="en-US" w:eastAsia="es-MX"/>
        </w:rPr>
        <w:t>the</w:t>
      </w:r>
      <w:r w:rsidR="008E6A56" w:rsidRPr="008A3740">
        <w:rPr>
          <w:rFonts w:ascii="Verdana" w:eastAsia="Batang" w:hAnsi="Verdana"/>
          <w:sz w:val="20"/>
          <w:szCs w:val="20"/>
          <w:lang w:val="en-US" w:eastAsia="es-MX"/>
        </w:rPr>
        <w:t xml:space="preserve"> Court finds that </w:t>
      </w:r>
      <w:r w:rsidR="00395B8C" w:rsidRPr="008A3740">
        <w:rPr>
          <w:rFonts w:ascii="Verdana" w:eastAsia="Batang" w:hAnsi="Verdana"/>
          <w:sz w:val="20"/>
          <w:szCs w:val="20"/>
          <w:lang w:val="en-US" w:eastAsia="es-MX"/>
        </w:rPr>
        <w:t xml:space="preserve">there are </w:t>
      </w:r>
      <w:r w:rsidR="008E6A56" w:rsidRPr="008A3740">
        <w:rPr>
          <w:rFonts w:ascii="Verdana" w:eastAsia="Batang" w:hAnsi="Verdana"/>
          <w:sz w:val="20"/>
          <w:szCs w:val="20"/>
          <w:lang w:val="en-US" w:eastAsia="es-MX"/>
        </w:rPr>
        <w:t xml:space="preserve">no elements </w:t>
      </w:r>
      <w:r w:rsidR="00FD025B" w:rsidRPr="008A3740">
        <w:rPr>
          <w:rFonts w:ascii="Verdana" w:eastAsia="Batang" w:hAnsi="Verdana"/>
          <w:sz w:val="20"/>
          <w:szCs w:val="20"/>
          <w:lang w:val="en-US" w:eastAsia="es-MX"/>
        </w:rPr>
        <w:t>of complexity</w:t>
      </w:r>
      <w:r w:rsidR="00395B8C" w:rsidRPr="008A3740">
        <w:rPr>
          <w:rFonts w:ascii="Verdana" w:eastAsia="Batang" w:hAnsi="Verdana"/>
          <w:sz w:val="20"/>
          <w:szCs w:val="20"/>
          <w:lang w:val="en-US" w:eastAsia="es-MX"/>
        </w:rPr>
        <w:t xml:space="preserve"> </w:t>
      </w:r>
      <w:r w:rsidR="007E58C4" w:rsidRPr="008A3740">
        <w:rPr>
          <w:rFonts w:ascii="Verdana" w:eastAsia="Batang" w:hAnsi="Verdana"/>
          <w:sz w:val="20"/>
          <w:szCs w:val="20"/>
          <w:lang w:val="en-US" w:eastAsia="es-MX"/>
        </w:rPr>
        <w:t>in this case</w:t>
      </w:r>
      <w:r w:rsidR="008E6A56" w:rsidRPr="008A3740">
        <w:rPr>
          <w:rFonts w:ascii="Verdana" w:eastAsia="Batang" w:hAnsi="Verdana"/>
          <w:sz w:val="20"/>
          <w:szCs w:val="20"/>
          <w:lang w:val="en-US" w:eastAsia="es-MX"/>
        </w:rPr>
        <w:t>.</w:t>
      </w:r>
      <w:r w:rsidR="008E6A56" w:rsidRPr="008A3740">
        <w:rPr>
          <w:rFonts w:ascii="Verdana" w:eastAsia="Verdana" w:hAnsi="Verdana" w:cs="Cambria"/>
          <w:bCs/>
          <w:color w:val="000000"/>
          <w:sz w:val="20"/>
          <w:szCs w:val="20"/>
          <w:lang w:val="en-US" w:eastAsia="x-none"/>
        </w:rPr>
        <w:t xml:space="preserve"> </w:t>
      </w:r>
    </w:p>
    <w:p w14:paraId="17F8CB74" w14:textId="77777777" w:rsidR="008E6A56" w:rsidRPr="008A3740" w:rsidRDefault="008E6A56" w:rsidP="008E6A56">
      <w:pPr>
        <w:pStyle w:val="Prrafodelista"/>
        <w:rPr>
          <w:rFonts w:ascii="Verdana" w:hAnsi="Verdana" w:cs="Verdana"/>
          <w:bCs/>
          <w:iCs/>
          <w:sz w:val="20"/>
          <w:szCs w:val="20"/>
          <w:lang w:val="en-US"/>
        </w:rPr>
      </w:pPr>
    </w:p>
    <w:p w14:paraId="3EA1F24A"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Batang" w:hAnsi="Verdana"/>
          <w:sz w:val="20"/>
          <w:szCs w:val="20"/>
          <w:lang w:val="en-US" w:eastAsia="es-MX"/>
        </w:rPr>
        <w:t xml:space="preserve">In relation to the </w:t>
      </w:r>
      <w:r w:rsidRPr="008A3740">
        <w:rPr>
          <w:rFonts w:ascii="Verdana" w:eastAsia="Batang" w:hAnsi="Verdana"/>
          <w:i/>
          <w:sz w:val="20"/>
          <w:szCs w:val="20"/>
          <w:lang w:val="en-US" w:eastAsia="es-MX"/>
        </w:rPr>
        <w:t>procedural activity of the interested party</w:t>
      </w:r>
      <w:r w:rsidRPr="008A3740">
        <w:rPr>
          <w:rFonts w:ascii="Verdana" w:eastAsia="Batang" w:hAnsi="Verdana"/>
          <w:sz w:val="20"/>
          <w:szCs w:val="20"/>
          <w:lang w:val="en-US" w:eastAsia="es-MX"/>
        </w:rPr>
        <w:t>, the Court note</w:t>
      </w:r>
      <w:r w:rsidR="00181BC4" w:rsidRPr="008A3740">
        <w:rPr>
          <w:rFonts w:ascii="Verdana" w:eastAsia="Batang" w:hAnsi="Verdana"/>
          <w:sz w:val="20"/>
          <w:szCs w:val="20"/>
          <w:lang w:val="en-US" w:eastAsia="es-MX"/>
        </w:rPr>
        <w:t>s</w:t>
      </w:r>
      <w:r w:rsidRPr="008A3740">
        <w:rPr>
          <w:rFonts w:ascii="Verdana" w:eastAsia="Batang" w:hAnsi="Verdana"/>
          <w:sz w:val="20"/>
          <w:szCs w:val="20"/>
          <w:lang w:val="en-US" w:eastAsia="es-MX"/>
        </w:rPr>
        <w:t xml:space="preserve"> that </w:t>
      </w:r>
      <w:r w:rsidR="00B84AE7" w:rsidRPr="008A3740">
        <w:rPr>
          <w:rFonts w:ascii="Verdana" w:hAnsi="Verdana"/>
          <w:sz w:val="20"/>
          <w:szCs w:val="20"/>
          <w:lang w:val="en-US" w:eastAsia="es-MX"/>
        </w:rPr>
        <w:t xml:space="preserve">Mr. Oscar Muelle Flores actively promoted the </w:t>
      </w:r>
      <w:r w:rsidR="00B84AE7" w:rsidRPr="008A3740">
        <w:rPr>
          <w:rFonts w:ascii="Verdana" w:eastAsia="Batang" w:hAnsi="Verdana"/>
          <w:sz w:val="20"/>
          <w:szCs w:val="20"/>
          <w:lang w:val="en-US" w:eastAsia="es-MX"/>
        </w:rPr>
        <w:t>p</w:t>
      </w:r>
      <w:r w:rsidRPr="008A3740">
        <w:rPr>
          <w:rFonts w:ascii="Verdana" w:eastAsia="Batang" w:hAnsi="Verdana"/>
          <w:sz w:val="20"/>
          <w:szCs w:val="20"/>
          <w:lang w:val="en-US" w:eastAsia="es-MX"/>
        </w:rPr>
        <w:t>roce</w:t>
      </w:r>
      <w:r w:rsidR="00B84AE7" w:rsidRPr="008A3740">
        <w:rPr>
          <w:rFonts w:ascii="Verdana" w:eastAsia="Batang" w:hAnsi="Verdana"/>
          <w:sz w:val="20"/>
          <w:szCs w:val="20"/>
          <w:lang w:val="en-US" w:eastAsia="es-MX"/>
        </w:rPr>
        <w:t xml:space="preserve">edings </w:t>
      </w:r>
      <w:r w:rsidRPr="008A3740">
        <w:rPr>
          <w:rFonts w:ascii="Verdana" w:hAnsi="Verdana"/>
          <w:sz w:val="20"/>
          <w:szCs w:val="20"/>
          <w:lang w:val="en-US" w:eastAsia="es-MX"/>
        </w:rPr>
        <w:t>throughout the execution process</w:t>
      </w:r>
      <w:r w:rsidRPr="008A3740">
        <w:rPr>
          <w:rFonts w:ascii="Verdana" w:eastAsia="Batang" w:hAnsi="Verdana"/>
          <w:sz w:val="20"/>
          <w:szCs w:val="20"/>
          <w:lang w:val="en-US" w:eastAsia="es-MX"/>
        </w:rPr>
        <w:t xml:space="preserve">. </w:t>
      </w:r>
      <w:r w:rsidR="00FD025B" w:rsidRPr="008A3740">
        <w:rPr>
          <w:rFonts w:ascii="Verdana" w:hAnsi="Verdana"/>
          <w:sz w:val="20"/>
          <w:szCs w:val="20"/>
          <w:lang w:val="en-US" w:eastAsia="es-MX"/>
        </w:rPr>
        <w:t xml:space="preserve">He </w:t>
      </w:r>
      <w:r w:rsidR="005C0CFD" w:rsidRPr="008A3740">
        <w:rPr>
          <w:rFonts w:ascii="Verdana" w:hAnsi="Verdana"/>
          <w:sz w:val="20"/>
          <w:szCs w:val="20"/>
          <w:lang w:val="en-US" w:eastAsia="es-MX"/>
        </w:rPr>
        <w:t xml:space="preserve">participated in a series of </w:t>
      </w:r>
      <w:r w:rsidRPr="008A3740">
        <w:rPr>
          <w:rFonts w:ascii="Verdana" w:hAnsi="Verdana"/>
          <w:sz w:val="20"/>
          <w:szCs w:val="20"/>
          <w:lang w:val="en-US" w:eastAsia="es-MX"/>
        </w:rPr>
        <w:t xml:space="preserve">actions to reverse the </w:t>
      </w:r>
      <w:r w:rsidRPr="008A3740">
        <w:rPr>
          <w:rFonts w:ascii="Verdana" w:hAnsi="Verdana"/>
          <w:bCs/>
          <w:sz w:val="20"/>
          <w:szCs w:val="20"/>
          <w:lang w:val="en-US"/>
        </w:rPr>
        <w:t>suspension of his pension payments (including</w:t>
      </w:r>
      <w:r w:rsidR="005C0CFD" w:rsidRPr="008A3740">
        <w:rPr>
          <w:rFonts w:ascii="Verdana" w:hAnsi="Verdana"/>
          <w:bCs/>
          <w:sz w:val="20"/>
          <w:szCs w:val="20"/>
          <w:lang w:val="en-US"/>
        </w:rPr>
        <w:t xml:space="preserve"> </w:t>
      </w:r>
      <w:r w:rsidRPr="008A3740">
        <w:rPr>
          <w:rFonts w:ascii="Verdana" w:hAnsi="Verdana"/>
          <w:bCs/>
          <w:sz w:val="20"/>
          <w:szCs w:val="20"/>
          <w:lang w:val="en-US"/>
        </w:rPr>
        <w:t xml:space="preserve">the </w:t>
      </w:r>
      <w:r w:rsidR="007E58C4" w:rsidRPr="008A3740">
        <w:rPr>
          <w:rFonts w:ascii="Verdana" w:hAnsi="Verdana"/>
          <w:bCs/>
          <w:sz w:val="20"/>
          <w:szCs w:val="20"/>
          <w:lang w:val="en-US"/>
        </w:rPr>
        <w:t>contentious-</w:t>
      </w:r>
      <w:r w:rsidRPr="008A3740">
        <w:rPr>
          <w:rFonts w:ascii="Verdana" w:hAnsi="Verdana"/>
          <w:bCs/>
          <w:sz w:val="20"/>
          <w:szCs w:val="20"/>
          <w:lang w:val="en-US"/>
        </w:rPr>
        <w:t xml:space="preserve">administrative </w:t>
      </w:r>
      <w:r w:rsidR="008324DF" w:rsidRPr="008A3740">
        <w:rPr>
          <w:rFonts w:ascii="Verdana" w:hAnsi="Verdana"/>
          <w:bCs/>
          <w:sz w:val="20"/>
          <w:szCs w:val="20"/>
          <w:lang w:val="en-US"/>
        </w:rPr>
        <w:t xml:space="preserve">complaint </w:t>
      </w:r>
      <w:r w:rsidRPr="008A3740">
        <w:rPr>
          <w:rFonts w:ascii="Verdana" w:hAnsi="Verdana"/>
          <w:bCs/>
          <w:sz w:val="20"/>
          <w:szCs w:val="20"/>
          <w:lang w:val="en-US"/>
        </w:rPr>
        <w:t xml:space="preserve">filed by the State company), </w:t>
      </w:r>
      <w:r w:rsidR="00FD025B" w:rsidRPr="008A3740">
        <w:rPr>
          <w:rFonts w:ascii="Verdana" w:hAnsi="Verdana"/>
          <w:bCs/>
          <w:sz w:val="20"/>
          <w:szCs w:val="20"/>
          <w:lang w:val="en-US"/>
        </w:rPr>
        <w:t xml:space="preserve">submitted </w:t>
      </w:r>
      <w:r w:rsidRPr="008A3740">
        <w:rPr>
          <w:rFonts w:ascii="Verdana" w:hAnsi="Verdana"/>
          <w:bCs/>
          <w:sz w:val="20"/>
          <w:szCs w:val="20"/>
          <w:lang w:val="en-US"/>
        </w:rPr>
        <w:t xml:space="preserve">several </w:t>
      </w:r>
      <w:r w:rsidR="005C0CFD" w:rsidRPr="008A3740">
        <w:rPr>
          <w:rFonts w:ascii="Verdana" w:hAnsi="Verdana"/>
          <w:bCs/>
          <w:sz w:val="20"/>
          <w:szCs w:val="20"/>
          <w:lang w:val="en-US"/>
        </w:rPr>
        <w:t xml:space="preserve">briefs </w:t>
      </w:r>
      <w:r w:rsidR="00181BC4" w:rsidRPr="008A3740">
        <w:rPr>
          <w:rFonts w:ascii="Verdana" w:hAnsi="Verdana"/>
          <w:bCs/>
          <w:sz w:val="20"/>
          <w:szCs w:val="20"/>
          <w:lang w:val="en-US"/>
        </w:rPr>
        <w:t xml:space="preserve">seeking the enforcement of </w:t>
      </w:r>
      <w:r w:rsidR="00FD025B" w:rsidRPr="008A3740">
        <w:rPr>
          <w:rFonts w:ascii="Verdana" w:hAnsi="Verdana"/>
          <w:bCs/>
          <w:sz w:val="20"/>
          <w:szCs w:val="20"/>
          <w:lang w:val="en-US"/>
        </w:rPr>
        <w:t>the</w:t>
      </w:r>
      <w:r w:rsidRPr="008A3740">
        <w:rPr>
          <w:rFonts w:ascii="Verdana" w:hAnsi="Verdana"/>
          <w:bCs/>
          <w:sz w:val="20"/>
          <w:szCs w:val="20"/>
          <w:lang w:val="en-US"/>
        </w:rPr>
        <w:t xml:space="preserve"> judgments, a</w:t>
      </w:r>
      <w:r w:rsidR="003642E1" w:rsidRPr="008A3740">
        <w:rPr>
          <w:rFonts w:ascii="Verdana" w:hAnsi="Verdana"/>
          <w:bCs/>
          <w:sz w:val="20"/>
          <w:szCs w:val="20"/>
          <w:lang w:val="en-US"/>
        </w:rPr>
        <w:t xml:space="preserve">nd sent </w:t>
      </w:r>
      <w:r w:rsidRPr="008A3740">
        <w:rPr>
          <w:rFonts w:ascii="Verdana" w:hAnsi="Verdana"/>
          <w:bCs/>
          <w:sz w:val="20"/>
          <w:szCs w:val="20"/>
          <w:lang w:val="en-US"/>
        </w:rPr>
        <w:t>requ</w:t>
      </w:r>
      <w:r w:rsidR="003642E1" w:rsidRPr="008A3740">
        <w:rPr>
          <w:rFonts w:ascii="Verdana" w:hAnsi="Verdana"/>
          <w:bCs/>
          <w:sz w:val="20"/>
          <w:szCs w:val="20"/>
          <w:lang w:val="en-US"/>
        </w:rPr>
        <w:t xml:space="preserve">ests for payment </w:t>
      </w:r>
      <w:r w:rsidRPr="008A3740">
        <w:rPr>
          <w:rFonts w:ascii="Verdana" w:hAnsi="Verdana"/>
          <w:bCs/>
          <w:sz w:val="20"/>
          <w:szCs w:val="20"/>
          <w:lang w:val="en-US"/>
        </w:rPr>
        <w:t>and notarized letters, bot</w:t>
      </w:r>
      <w:r w:rsidR="005C0CFD" w:rsidRPr="008A3740">
        <w:rPr>
          <w:rFonts w:ascii="Verdana" w:hAnsi="Verdana"/>
          <w:bCs/>
          <w:sz w:val="20"/>
          <w:szCs w:val="20"/>
          <w:lang w:val="en-US"/>
        </w:rPr>
        <w:t xml:space="preserve">h to the ONP, and the MEF and </w:t>
      </w:r>
      <w:r w:rsidR="005C0CFD" w:rsidRPr="008A3740">
        <w:rPr>
          <w:rFonts w:ascii="Verdana" w:hAnsi="Verdana"/>
          <w:bCs/>
          <w:i/>
          <w:sz w:val="20"/>
          <w:szCs w:val="20"/>
          <w:lang w:val="en-US"/>
        </w:rPr>
        <w:t>Proinversió</w:t>
      </w:r>
      <w:r w:rsidRPr="008A3740">
        <w:rPr>
          <w:rFonts w:ascii="Verdana" w:hAnsi="Verdana"/>
          <w:bCs/>
          <w:i/>
          <w:sz w:val="20"/>
          <w:szCs w:val="20"/>
          <w:lang w:val="en-US"/>
        </w:rPr>
        <w:t>n</w:t>
      </w:r>
      <w:r w:rsidRPr="008A3740">
        <w:rPr>
          <w:rFonts w:ascii="Verdana" w:hAnsi="Verdana"/>
          <w:bCs/>
          <w:sz w:val="20"/>
          <w:szCs w:val="20"/>
          <w:lang w:val="en-US"/>
        </w:rPr>
        <w:t xml:space="preserve">, </w:t>
      </w:r>
      <w:r w:rsidR="005C0CFD" w:rsidRPr="008A3740">
        <w:rPr>
          <w:rFonts w:ascii="Verdana" w:hAnsi="Verdana"/>
          <w:bCs/>
          <w:sz w:val="20"/>
          <w:szCs w:val="20"/>
          <w:lang w:val="en-US"/>
        </w:rPr>
        <w:t xml:space="preserve">in </w:t>
      </w:r>
      <w:r w:rsidR="003642E1" w:rsidRPr="008A3740">
        <w:rPr>
          <w:rFonts w:ascii="Verdana" w:hAnsi="Verdana"/>
          <w:bCs/>
          <w:sz w:val="20"/>
          <w:szCs w:val="20"/>
          <w:lang w:val="en-US"/>
        </w:rPr>
        <w:t xml:space="preserve">support </w:t>
      </w:r>
      <w:r w:rsidR="00992351" w:rsidRPr="008A3740">
        <w:rPr>
          <w:rFonts w:ascii="Verdana" w:hAnsi="Verdana"/>
          <w:bCs/>
          <w:sz w:val="20"/>
          <w:szCs w:val="20"/>
          <w:lang w:val="en-US"/>
        </w:rPr>
        <w:t xml:space="preserve">of </w:t>
      </w:r>
      <w:r w:rsidR="003642E1" w:rsidRPr="008A3740">
        <w:rPr>
          <w:rFonts w:ascii="Verdana" w:hAnsi="Verdana"/>
          <w:bCs/>
          <w:sz w:val="20"/>
          <w:szCs w:val="20"/>
          <w:lang w:val="en-US"/>
        </w:rPr>
        <w:t xml:space="preserve">the restoration of his right </w:t>
      </w:r>
      <w:r w:rsidRPr="008A3740">
        <w:rPr>
          <w:rFonts w:ascii="Verdana" w:hAnsi="Verdana"/>
          <w:bCs/>
          <w:sz w:val="20"/>
          <w:szCs w:val="20"/>
          <w:lang w:val="en-US"/>
        </w:rPr>
        <w:t>(</w:t>
      </w:r>
      <w:r w:rsidRPr="008A3740">
        <w:rPr>
          <w:rFonts w:ascii="Verdana" w:hAnsi="Verdana"/>
          <w:bCs/>
          <w:i/>
          <w:sz w:val="20"/>
          <w:szCs w:val="20"/>
          <w:lang w:val="en-US"/>
        </w:rPr>
        <w:t>supra</w:t>
      </w:r>
      <w:r w:rsidRPr="008A3740">
        <w:rPr>
          <w:rFonts w:ascii="Verdana" w:hAnsi="Verdana"/>
          <w:bCs/>
          <w:sz w:val="20"/>
          <w:szCs w:val="20"/>
          <w:lang w:val="en-US"/>
        </w:rPr>
        <w:t xml:space="preserve"> paras. 75). </w:t>
      </w:r>
      <w:r w:rsidR="003642E1" w:rsidRPr="008A3740">
        <w:rPr>
          <w:rFonts w:ascii="Verdana" w:hAnsi="Verdana"/>
          <w:bCs/>
          <w:sz w:val="20"/>
          <w:szCs w:val="20"/>
          <w:lang w:val="en-US"/>
        </w:rPr>
        <w:t>Furthermore</w:t>
      </w:r>
      <w:r w:rsidRPr="008A3740">
        <w:rPr>
          <w:rFonts w:ascii="Verdana" w:eastAsia="Batang" w:hAnsi="Verdana"/>
          <w:sz w:val="20"/>
          <w:szCs w:val="20"/>
          <w:lang w:val="en-US" w:eastAsia="es-MX"/>
        </w:rPr>
        <w:t>, on several occasions,</w:t>
      </w:r>
      <w:r w:rsidRPr="008A3740">
        <w:rPr>
          <w:rFonts w:ascii="Verdana" w:hAnsi="Verdana"/>
          <w:sz w:val="20"/>
          <w:szCs w:val="20"/>
          <w:lang w:val="en-US" w:eastAsia="es-MX"/>
        </w:rPr>
        <w:t xml:space="preserve"> the interested party questioned the </w:t>
      </w:r>
      <w:r w:rsidRPr="008A3740">
        <w:rPr>
          <w:rFonts w:ascii="Verdana" w:eastAsia="Batang" w:hAnsi="Verdana"/>
          <w:sz w:val="20"/>
          <w:szCs w:val="20"/>
          <w:lang w:val="en-US" w:eastAsia="es-MX"/>
        </w:rPr>
        <w:t xml:space="preserve">delay in the process and asked that his case be </w:t>
      </w:r>
      <w:r w:rsidR="00FD025B" w:rsidRPr="008A3740">
        <w:rPr>
          <w:rFonts w:ascii="Verdana" w:eastAsia="Batang" w:hAnsi="Verdana"/>
          <w:sz w:val="20"/>
          <w:szCs w:val="20"/>
          <w:lang w:val="en-US" w:eastAsia="es-MX"/>
        </w:rPr>
        <w:t xml:space="preserve">expedited </w:t>
      </w:r>
      <w:r w:rsidRPr="008A3740">
        <w:rPr>
          <w:rFonts w:ascii="Verdana" w:eastAsia="Batang" w:hAnsi="Verdana"/>
          <w:sz w:val="20"/>
          <w:szCs w:val="20"/>
          <w:lang w:val="en-US" w:eastAsia="es-MX"/>
        </w:rPr>
        <w:t>(</w:t>
      </w:r>
      <w:r w:rsidRPr="008A3740">
        <w:rPr>
          <w:rFonts w:ascii="Verdana" w:eastAsia="Batang" w:hAnsi="Verdana"/>
          <w:i/>
          <w:sz w:val="20"/>
          <w:szCs w:val="20"/>
          <w:lang w:val="en-US" w:eastAsia="es-MX"/>
        </w:rPr>
        <w:t xml:space="preserve">supra </w:t>
      </w:r>
      <w:r w:rsidRPr="008A3740">
        <w:rPr>
          <w:rFonts w:ascii="Verdana" w:hAnsi="Verdana"/>
          <w:sz w:val="20"/>
          <w:szCs w:val="20"/>
          <w:lang w:val="en-US" w:eastAsia="es-MX"/>
        </w:rPr>
        <w:t>para. 92</w:t>
      </w:r>
      <w:r w:rsidRPr="008A3740">
        <w:rPr>
          <w:rFonts w:ascii="Verdana" w:eastAsia="Batang" w:hAnsi="Verdana"/>
          <w:sz w:val="20"/>
          <w:szCs w:val="20"/>
          <w:lang w:val="en-US" w:eastAsia="es-MX"/>
        </w:rPr>
        <w:t>).</w:t>
      </w:r>
    </w:p>
    <w:p w14:paraId="65D8CFDB" w14:textId="77777777" w:rsidR="008E6A56" w:rsidRPr="008A3740" w:rsidRDefault="008E6A56" w:rsidP="008E6A56">
      <w:pPr>
        <w:pStyle w:val="Prrafodelista"/>
        <w:rPr>
          <w:rFonts w:ascii="Verdana" w:hAnsi="Verdana" w:cs="Verdana"/>
          <w:bCs/>
          <w:iCs/>
          <w:sz w:val="20"/>
          <w:szCs w:val="20"/>
          <w:lang w:val="en-US"/>
        </w:rPr>
      </w:pPr>
    </w:p>
    <w:p w14:paraId="49AAEFA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Batang" w:hAnsi="Verdana" w:cs="Arial"/>
          <w:sz w:val="20"/>
          <w:szCs w:val="20"/>
          <w:lang w:val="en-US" w:eastAsia="es-MX"/>
        </w:rPr>
        <w:t xml:space="preserve">Regarding the </w:t>
      </w:r>
      <w:r w:rsidR="00F530F3" w:rsidRPr="008A3740">
        <w:rPr>
          <w:rFonts w:ascii="Verdana" w:eastAsia="Batang" w:hAnsi="Verdana" w:cs="Arial"/>
          <w:i/>
          <w:sz w:val="20"/>
          <w:szCs w:val="20"/>
          <w:lang w:val="en-US" w:eastAsia="es-MX"/>
        </w:rPr>
        <w:t xml:space="preserve">conduct of </w:t>
      </w:r>
      <w:r w:rsidRPr="008A3740">
        <w:rPr>
          <w:rFonts w:ascii="Verdana" w:eastAsia="Batang" w:hAnsi="Verdana" w:cs="Arial"/>
          <w:i/>
          <w:sz w:val="20"/>
          <w:szCs w:val="20"/>
          <w:lang w:val="en-US" w:eastAsia="es-MX"/>
        </w:rPr>
        <w:t>the judicial authorities,</w:t>
      </w:r>
      <w:r w:rsidRPr="008A3740">
        <w:rPr>
          <w:rFonts w:ascii="Verdana" w:eastAsia="Batang" w:hAnsi="Verdana" w:cs="Arial"/>
          <w:sz w:val="20"/>
          <w:szCs w:val="20"/>
          <w:lang w:val="en-US" w:eastAsia="es-MX"/>
        </w:rPr>
        <w:t xml:space="preserve"> the Court </w:t>
      </w:r>
      <w:r w:rsidR="003642E1" w:rsidRPr="008A3740">
        <w:rPr>
          <w:rFonts w:ascii="Verdana" w:eastAsia="Batang" w:hAnsi="Verdana" w:cs="Arial"/>
          <w:sz w:val="20"/>
          <w:szCs w:val="20"/>
          <w:lang w:val="en-US" w:eastAsia="es-MX"/>
        </w:rPr>
        <w:t>considers that</w:t>
      </w:r>
      <w:r w:rsidRPr="008A3740">
        <w:rPr>
          <w:rFonts w:ascii="Verdana" w:eastAsia="Batang" w:hAnsi="Verdana" w:cs="Arial"/>
          <w:sz w:val="20"/>
          <w:szCs w:val="20"/>
          <w:lang w:val="en-US" w:eastAsia="es-MX"/>
        </w:rPr>
        <w:t xml:space="preserve"> to ensure the full </w:t>
      </w:r>
      <w:r w:rsidRPr="008A3740">
        <w:rPr>
          <w:rFonts w:ascii="Verdana" w:hAnsi="Verdana"/>
          <w:sz w:val="20"/>
          <w:szCs w:val="20"/>
          <w:lang w:val="en-US"/>
        </w:rPr>
        <w:t xml:space="preserve">effectiveness of the judgment, the </w:t>
      </w:r>
      <w:r w:rsidRPr="008A3740">
        <w:rPr>
          <w:rFonts w:ascii="Verdana" w:hAnsi="Verdana" w:cs="Tahoma"/>
          <w:sz w:val="20"/>
          <w:szCs w:val="20"/>
          <w:shd w:val="clear" w:color="auto" w:fill="FFFFFF"/>
          <w:lang w:val="en-US"/>
        </w:rPr>
        <w:t xml:space="preserve">judicial authorities must act promptly and without </w:t>
      </w:r>
      <w:r w:rsidRPr="008A3740">
        <w:rPr>
          <w:rFonts w:ascii="Verdana" w:hAnsi="Verdana"/>
          <w:sz w:val="20"/>
          <w:szCs w:val="20"/>
          <w:lang w:val="en-US"/>
        </w:rPr>
        <w:t>delay,</w:t>
      </w:r>
      <w:r w:rsidRPr="008A3740">
        <w:rPr>
          <w:rStyle w:val="Refdenotaalpie"/>
          <w:szCs w:val="20"/>
          <w:lang w:val="en-US"/>
        </w:rPr>
        <w:footnoteReference w:id="170"/>
      </w:r>
      <w:r w:rsidRPr="008A3740">
        <w:rPr>
          <w:rFonts w:ascii="Verdana" w:hAnsi="Verdana"/>
          <w:sz w:val="20"/>
          <w:szCs w:val="20"/>
          <w:lang w:val="en-US"/>
        </w:rPr>
        <w:t xml:space="preserve"> </w:t>
      </w:r>
      <w:r w:rsidR="00517108" w:rsidRPr="008A3740">
        <w:rPr>
          <w:rFonts w:ascii="Verdana" w:hAnsi="Verdana"/>
          <w:sz w:val="20"/>
          <w:szCs w:val="20"/>
          <w:lang w:val="en-US"/>
        </w:rPr>
        <w:t xml:space="preserve">because </w:t>
      </w:r>
      <w:r w:rsidRPr="008A3740">
        <w:rPr>
          <w:rFonts w:ascii="Verdana" w:hAnsi="Verdana"/>
          <w:sz w:val="20"/>
          <w:szCs w:val="20"/>
          <w:lang w:val="en-US"/>
        </w:rPr>
        <w:t>the</w:t>
      </w:r>
      <w:r w:rsidR="00FD025B" w:rsidRPr="008A3740">
        <w:rPr>
          <w:rFonts w:ascii="Verdana" w:hAnsi="Verdana"/>
          <w:sz w:val="20"/>
          <w:szCs w:val="20"/>
          <w:lang w:val="en-US"/>
        </w:rPr>
        <w:t xml:space="preserve"> principle of </w:t>
      </w:r>
      <w:r w:rsidRPr="008A3740">
        <w:rPr>
          <w:rFonts w:ascii="Verdana" w:hAnsi="Verdana"/>
          <w:sz w:val="20"/>
          <w:szCs w:val="20"/>
          <w:lang w:val="en-US"/>
        </w:rPr>
        <w:t xml:space="preserve">effective judicial protection requires that </w:t>
      </w:r>
      <w:r w:rsidR="00E630F1" w:rsidRPr="008A3740">
        <w:rPr>
          <w:rFonts w:ascii="Verdana" w:hAnsi="Verdana"/>
          <w:sz w:val="20"/>
          <w:szCs w:val="20"/>
          <w:lang w:val="en-US"/>
        </w:rPr>
        <w:t xml:space="preserve">the </w:t>
      </w:r>
      <w:r w:rsidR="003642E1" w:rsidRPr="008A3740">
        <w:rPr>
          <w:rFonts w:ascii="Verdana" w:hAnsi="Verdana"/>
          <w:sz w:val="20"/>
          <w:szCs w:val="20"/>
          <w:lang w:val="en-US"/>
        </w:rPr>
        <w:t xml:space="preserve">implementation </w:t>
      </w:r>
      <w:r w:rsidRPr="008A3740">
        <w:rPr>
          <w:rFonts w:ascii="Verdana" w:hAnsi="Verdana"/>
          <w:sz w:val="20"/>
          <w:szCs w:val="20"/>
          <w:lang w:val="en-US"/>
        </w:rPr>
        <w:t>proce</w:t>
      </w:r>
      <w:r w:rsidR="00781F4D" w:rsidRPr="008A3740">
        <w:rPr>
          <w:rFonts w:ascii="Verdana" w:hAnsi="Verdana"/>
          <w:sz w:val="20"/>
          <w:szCs w:val="20"/>
          <w:lang w:val="en-US"/>
        </w:rPr>
        <w:t xml:space="preserve">dures </w:t>
      </w:r>
      <w:r w:rsidR="00517108" w:rsidRPr="008A3740">
        <w:rPr>
          <w:rFonts w:ascii="Verdana" w:hAnsi="Verdana"/>
          <w:sz w:val="20"/>
          <w:szCs w:val="20"/>
          <w:lang w:val="en-US"/>
        </w:rPr>
        <w:t xml:space="preserve">be </w:t>
      </w:r>
      <w:r w:rsidR="00E630F1" w:rsidRPr="008A3740">
        <w:rPr>
          <w:rFonts w:ascii="Verdana" w:hAnsi="Verdana"/>
          <w:sz w:val="20"/>
          <w:szCs w:val="20"/>
          <w:lang w:val="en-US"/>
        </w:rPr>
        <w:t xml:space="preserve">carried out </w:t>
      </w:r>
      <w:r w:rsidR="00517108" w:rsidRPr="008A3740">
        <w:rPr>
          <w:rFonts w:ascii="Verdana" w:hAnsi="Verdana"/>
          <w:sz w:val="20"/>
          <w:szCs w:val="20"/>
          <w:lang w:val="en-US"/>
        </w:rPr>
        <w:t xml:space="preserve">without </w:t>
      </w:r>
      <w:r w:rsidR="003642E1" w:rsidRPr="008A3740">
        <w:rPr>
          <w:rFonts w:ascii="Verdana" w:hAnsi="Verdana"/>
          <w:sz w:val="20"/>
          <w:szCs w:val="20"/>
          <w:lang w:val="en-US"/>
        </w:rPr>
        <w:t>hindrance or undue delay</w:t>
      </w:r>
      <w:r w:rsidRPr="008A3740">
        <w:rPr>
          <w:rFonts w:ascii="Verdana" w:hAnsi="Verdana"/>
          <w:sz w:val="20"/>
          <w:szCs w:val="20"/>
          <w:lang w:val="en-US"/>
        </w:rPr>
        <w:t xml:space="preserve">, </w:t>
      </w:r>
      <w:r w:rsidR="003642E1" w:rsidRPr="008A3740">
        <w:rPr>
          <w:rFonts w:ascii="Verdana" w:hAnsi="Verdana"/>
          <w:sz w:val="20"/>
          <w:szCs w:val="20"/>
          <w:lang w:val="en-US"/>
        </w:rPr>
        <w:t xml:space="preserve">in order to </w:t>
      </w:r>
      <w:r w:rsidR="00781F4D" w:rsidRPr="008A3740">
        <w:rPr>
          <w:rFonts w:ascii="Verdana" w:hAnsi="Verdana"/>
          <w:sz w:val="20"/>
          <w:szCs w:val="20"/>
          <w:lang w:val="en-US"/>
        </w:rPr>
        <w:t xml:space="preserve">quickly, simply </w:t>
      </w:r>
      <w:r w:rsidRPr="008A3740">
        <w:rPr>
          <w:rFonts w:ascii="Verdana" w:hAnsi="Verdana"/>
          <w:sz w:val="20"/>
          <w:szCs w:val="20"/>
          <w:lang w:val="en-US"/>
        </w:rPr>
        <w:t xml:space="preserve">and </w:t>
      </w:r>
      <w:r w:rsidR="00FD025B" w:rsidRPr="008A3740">
        <w:rPr>
          <w:rFonts w:ascii="Verdana" w:hAnsi="Verdana"/>
          <w:sz w:val="20"/>
          <w:szCs w:val="20"/>
          <w:lang w:val="en-US"/>
        </w:rPr>
        <w:t>comprehensive</w:t>
      </w:r>
      <w:r w:rsidR="00781F4D" w:rsidRPr="008A3740">
        <w:rPr>
          <w:rFonts w:ascii="Verdana" w:hAnsi="Verdana"/>
          <w:sz w:val="20"/>
          <w:szCs w:val="20"/>
          <w:lang w:val="en-US"/>
        </w:rPr>
        <w:t>ly</w:t>
      </w:r>
      <w:r w:rsidR="00FD025B" w:rsidRPr="008A3740">
        <w:rPr>
          <w:rFonts w:ascii="Verdana" w:hAnsi="Verdana"/>
          <w:sz w:val="20"/>
          <w:szCs w:val="20"/>
          <w:lang w:val="en-US"/>
        </w:rPr>
        <w:t xml:space="preserve"> </w:t>
      </w:r>
      <w:r w:rsidR="00781F4D" w:rsidRPr="008A3740">
        <w:rPr>
          <w:rFonts w:ascii="Verdana" w:hAnsi="Verdana"/>
          <w:sz w:val="20"/>
          <w:szCs w:val="20"/>
          <w:lang w:val="en-US"/>
        </w:rPr>
        <w:t>satisfy their purpose</w:t>
      </w:r>
      <w:r w:rsidRPr="008A3740">
        <w:rPr>
          <w:rFonts w:ascii="Verdana" w:hAnsi="Verdana"/>
          <w:sz w:val="20"/>
          <w:szCs w:val="20"/>
          <w:lang w:val="en-US"/>
        </w:rPr>
        <w:t>.</w:t>
      </w:r>
      <w:r w:rsidRPr="008A3740">
        <w:rPr>
          <w:rFonts w:ascii="Verdana" w:hAnsi="Verdana"/>
          <w:sz w:val="20"/>
          <w:szCs w:val="20"/>
          <w:vertAlign w:val="superscript"/>
          <w:lang w:val="en-US"/>
        </w:rPr>
        <w:footnoteReference w:id="171"/>
      </w:r>
      <w:r w:rsidRPr="008A3740">
        <w:rPr>
          <w:rFonts w:ascii="Verdana" w:hAnsi="Verdana"/>
          <w:sz w:val="20"/>
          <w:szCs w:val="20"/>
          <w:lang w:val="en-US"/>
        </w:rPr>
        <w:t xml:space="preserve"> </w:t>
      </w:r>
      <w:r w:rsidR="00781F4D" w:rsidRPr="008A3740">
        <w:rPr>
          <w:rFonts w:ascii="Verdana" w:hAnsi="Verdana"/>
          <w:sz w:val="20"/>
          <w:szCs w:val="20"/>
          <w:lang w:val="en-US"/>
        </w:rPr>
        <w:t>In the instant</w:t>
      </w:r>
      <w:r w:rsidR="00FD025B" w:rsidRPr="008A3740">
        <w:rPr>
          <w:rFonts w:ascii="Verdana" w:hAnsi="Verdana"/>
          <w:sz w:val="20"/>
          <w:szCs w:val="20"/>
          <w:lang w:val="en-US"/>
        </w:rPr>
        <w:t xml:space="preserve"> </w:t>
      </w:r>
      <w:r w:rsidR="00781F4D" w:rsidRPr="008A3740">
        <w:rPr>
          <w:rFonts w:ascii="Verdana" w:hAnsi="Verdana"/>
          <w:sz w:val="20"/>
          <w:szCs w:val="20"/>
          <w:lang w:val="en-US"/>
        </w:rPr>
        <w:t>case</w:t>
      </w:r>
      <w:r w:rsidRPr="008A3740">
        <w:rPr>
          <w:rFonts w:ascii="Verdana" w:hAnsi="Verdana" w:cs="Tahoma"/>
          <w:sz w:val="20"/>
          <w:szCs w:val="20"/>
          <w:shd w:val="clear" w:color="auto" w:fill="FFFFFF"/>
          <w:lang w:val="en-US"/>
        </w:rPr>
        <w:t xml:space="preserve">, </w:t>
      </w:r>
      <w:r w:rsidRPr="008A3740">
        <w:rPr>
          <w:rFonts w:ascii="Verdana" w:eastAsia="Verdana" w:hAnsi="Verdana" w:cs="Cambria"/>
          <w:bCs/>
          <w:sz w:val="20"/>
          <w:szCs w:val="20"/>
          <w:lang w:val="en-US" w:eastAsia="x-none"/>
        </w:rPr>
        <w:t xml:space="preserve">the Court observes that </w:t>
      </w:r>
      <w:r w:rsidR="00E630F1" w:rsidRPr="008A3740">
        <w:rPr>
          <w:rFonts w:ascii="Verdana" w:eastAsia="Verdana" w:hAnsi="Verdana" w:cs="Cambria"/>
          <w:bCs/>
          <w:sz w:val="20"/>
          <w:szCs w:val="20"/>
          <w:lang w:val="en-US" w:eastAsia="x-none"/>
        </w:rPr>
        <w:t xml:space="preserve">despite the existence </w:t>
      </w:r>
      <w:r w:rsidRPr="008A3740">
        <w:rPr>
          <w:rFonts w:ascii="Verdana" w:eastAsia="Verdana" w:hAnsi="Verdana" w:cs="Cambria"/>
          <w:bCs/>
          <w:sz w:val="20"/>
          <w:szCs w:val="20"/>
          <w:lang w:val="en-US" w:eastAsia="x-none"/>
        </w:rPr>
        <w:t xml:space="preserve">two </w:t>
      </w:r>
      <w:r w:rsidR="00517108" w:rsidRPr="008A3740">
        <w:rPr>
          <w:rFonts w:ascii="Verdana" w:eastAsia="Verdana" w:hAnsi="Verdana" w:cs="Cambria"/>
          <w:bCs/>
          <w:sz w:val="20"/>
          <w:szCs w:val="20"/>
          <w:lang w:val="en-US" w:eastAsia="x-none"/>
        </w:rPr>
        <w:t>final judicial rulings</w:t>
      </w:r>
      <w:r w:rsidRPr="008A3740">
        <w:rPr>
          <w:rFonts w:ascii="Verdana" w:eastAsia="Verdana" w:hAnsi="Verdana" w:cs="Cambria"/>
          <w:bCs/>
          <w:sz w:val="20"/>
          <w:szCs w:val="20"/>
          <w:lang w:val="en-US" w:eastAsia="x-none"/>
        </w:rPr>
        <w:t xml:space="preserve">, the judicial authorities </w:t>
      </w:r>
      <w:r w:rsidR="00E630F1" w:rsidRPr="008A3740">
        <w:rPr>
          <w:rFonts w:ascii="Verdana" w:eastAsia="Verdana" w:hAnsi="Verdana" w:cs="Cambria"/>
          <w:bCs/>
          <w:sz w:val="20"/>
          <w:szCs w:val="20"/>
          <w:lang w:val="en-US" w:eastAsia="x-none"/>
        </w:rPr>
        <w:t xml:space="preserve">failed to </w:t>
      </w:r>
      <w:r w:rsidRPr="008A3740">
        <w:rPr>
          <w:rFonts w:ascii="Verdana" w:eastAsia="Verdana" w:hAnsi="Verdana" w:cs="Cambria"/>
          <w:bCs/>
          <w:sz w:val="20"/>
          <w:szCs w:val="20"/>
          <w:lang w:val="en-US" w:eastAsia="x-none"/>
        </w:rPr>
        <w:t>t</w:t>
      </w:r>
      <w:r w:rsidR="00E630F1" w:rsidRPr="008A3740">
        <w:rPr>
          <w:rFonts w:ascii="Verdana" w:eastAsia="Verdana" w:hAnsi="Verdana" w:cs="Cambria"/>
          <w:bCs/>
          <w:sz w:val="20"/>
          <w:szCs w:val="20"/>
          <w:lang w:val="en-US" w:eastAsia="x-none"/>
        </w:rPr>
        <w:t xml:space="preserve">ake the necessary steps to </w:t>
      </w:r>
      <w:r w:rsidR="00E3775E" w:rsidRPr="008A3740">
        <w:rPr>
          <w:rFonts w:ascii="Verdana" w:eastAsia="Verdana" w:hAnsi="Verdana" w:cs="Cambria"/>
          <w:bCs/>
          <w:sz w:val="20"/>
          <w:szCs w:val="20"/>
          <w:lang w:val="en-US" w:eastAsia="x-none"/>
        </w:rPr>
        <w:t>ensure</w:t>
      </w:r>
      <w:r w:rsidR="00781F4D" w:rsidRPr="008A3740">
        <w:rPr>
          <w:rFonts w:ascii="Verdana" w:eastAsia="Verdana" w:hAnsi="Verdana" w:cs="Cambria"/>
          <w:bCs/>
          <w:sz w:val="20"/>
          <w:szCs w:val="20"/>
          <w:lang w:val="en-US" w:eastAsia="x-none"/>
        </w:rPr>
        <w:t xml:space="preserve"> </w:t>
      </w:r>
      <w:r w:rsidR="00E3775E" w:rsidRPr="008A3740">
        <w:rPr>
          <w:rFonts w:ascii="Verdana" w:eastAsia="Verdana" w:hAnsi="Verdana" w:cs="Cambria"/>
          <w:bCs/>
          <w:sz w:val="20"/>
          <w:szCs w:val="20"/>
          <w:lang w:val="en-US" w:eastAsia="x-none"/>
        </w:rPr>
        <w:t xml:space="preserve">compliance with </w:t>
      </w:r>
      <w:r w:rsidRPr="008A3740">
        <w:rPr>
          <w:rFonts w:ascii="Verdana" w:eastAsia="Verdana" w:hAnsi="Verdana" w:cs="Cambria"/>
          <w:bCs/>
          <w:sz w:val="20"/>
          <w:szCs w:val="20"/>
          <w:lang w:val="en-US" w:eastAsia="x-none"/>
        </w:rPr>
        <w:t>th</w:t>
      </w:r>
      <w:r w:rsidR="00781F4D" w:rsidRPr="008A3740">
        <w:rPr>
          <w:rFonts w:ascii="Verdana" w:eastAsia="Verdana" w:hAnsi="Verdana" w:cs="Cambria"/>
          <w:bCs/>
          <w:sz w:val="20"/>
          <w:szCs w:val="20"/>
          <w:lang w:val="en-US" w:eastAsia="x-none"/>
        </w:rPr>
        <w:t>os</w:t>
      </w:r>
      <w:r w:rsidRPr="008A3740">
        <w:rPr>
          <w:rFonts w:ascii="Verdana" w:eastAsia="Verdana" w:hAnsi="Verdana" w:cs="Cambria"/>
          <w:bCs/>
          <w:sz w:val="20"/>
          <w:szCs w:val="20"/>
          <w:lang w:val="en-US" w:eastAsia="x-none"/>
        </w:rPr>
        <w:t>e decisions</w:t>
      </w:r>
      <w:r w:rsidR="00781F4D" w:rsidRPr="008A3740">
        <w:rPr>
          <w:rFonts w:ascii="Verdana" w:eastAsia="Verdana" w:hAnsi="Verdana" w:cs="Cambria"/>
          <w:bCs/>
          <w:sz w:val="20"/>
          <w:szCs w:val="20"/>
          <w:lang w:val="en-US" w:eastAsia="x-none"/>
        </w:rPr>
        <w:t>,</w:t>
      </w:r>
      <w:r w:rsidRPr="008A3740">
        <w:rPr>
          <w:rFonts w:ascii="Verdana" w:eastAsia="Verdana" w:hAnsi="Verdana" w:cs="Cambria"/>
          <w:bCs/>
          <w:sz w:val="20"/>
          <w:szCs w:val="20"/>
          <w:lang w:val="en-US" w:eastAsia="x-none"/>
        </w:rPr>
        <w:t xml:space="preserve"> </w:t>
      </w:r>
      <w:r w:rsidR="00781F4D" w:rsidRPr="008A3740">
        <w:rPr>
          <w:rFonts w:ascii="Verdana" w:eastAsia="Verdana" w:hAnsi="Verdana" w:cs="Cambria"/>
          <w:bCs/>
          <w:sz w:val="20"/>
          <w:szCs w:val="20"/>
          <w:lang w:val="en-US" w:eastAsia="x-none"/>
        </w:rPr>
        <w:t>thereby highlighting their</w:t>
      </w:r>
      <w:r w:rsidR="00377462" w:rsidRPr="008A3740">
        <w:rPr>
          <w:rFonts w:ascii="Verdana" w:eastAsia="Verdana" w:hAnsi="Verdana" w:cs="Cambria"/>
          <w:bCs/>
          <w:sz w:val="20"/>
          <w:szCs w:val="20"/>
          <w:lang w:val="en-US" w:eastAsia="x-none"/>
        </w:rPr>
        <w:t xml:space="preserve"> </w:t>
      </w:r>
      <w:r w:rsidR="00FD025B" w:rsidRPr="008A3740">
        <w:rPr>
          <w:rFonts w:ascii="Verdana" w:eastAsia="Verdana" w:hAnsi="Verdana" w:cs="Cambria"/>
          <w:bCs/>
          <w:sz w:val="20"/>
          <w:szCs w:val="20"/>
          <w:lang w:val="en-US" w:eastAsia="x-none"/>
        </w:rPr>
        <w:t xml:space="preserve">inefficacy </w:t>
      </w:r>
      <w:r w:rsidR="009F42B6" w:rsidRPr="008A3740">
        <w:rPr>
          <w:rFonts w:ascii="Verdana" w:eastAsia="Verdana" w:hAnsi="Verdana" w:cs="Cambria"/>
          <w:bCs/>
          <w:sz w:val="20"/>
          <w:szCs w:val="20"/>
          <w:lang w:val="en-US" w:eastAsia="x-none"/>
        </w:rPr>
        <w:t>in resolving</w:t>
      </w:r>
      <w:r w:rsidRPr="008A3740">
        <w:rPr>
          <w:rFonts w:ascii="Verdana" w:eastAsia="Verdana" w:hAnsi="Verdana" w:cs="Cambria"/>
          <w:bCs/>
          <w:sz w:val="20"/>
          <w:szCs w:val="20"/>
          <w:lang w:val="en-US" w:eastAsia="x-none"/>
        </w:rPr>
        <w:t xml:space="preserve"> the vicis</w:t>
      </w:r>
      <w:r w:rsidR="00FD025B" w:rsidRPr="008A3740">
        <w:rPr>
          <w:rFonts w:ascii="Verdana" w:eastAsia="Verdana" w:hAnsi="Verdana" w:cs="Cambria"/>
          <w:bCs/>
          <w:sz w:val="20"/>
          <w:szCs w:val="20"/>
          <w:lang w:val="en-US" w:eastAsia="x-none"/>
        </w:rPr>
        <w:t>s</w:t>
      </w:r>
      <w:r w:rsidRPr="008A3740">
        <w:rPr>
          <w:rFonts w:ascii="Verdana" w:eastAsia="Verdana" w:hAnsi="Verdana" w:cs="Cambria"/>
          <w:bCs/>
          <w:sz w:val="20"/>
          <w:szCs w:val="20"/>
          <w:lang w:val="en-US" w:eastAsia="x-none"/>
        </w:rPr>
        <w:t xml:space="preserve">itudes </w:t>
      </w:r>
      <w:r w:rsidR="00F21287" w:rsidRPr="008A3740">
        <w:rPr>
          <w:rFonts w:ascii="Verdana" w:eastAsia="Verdana" w:hAnsi="Verdana" w:cs="Cambria"/>
          <w:bCs/>
          <w:sz w:val="20"/>
          <w:szCs w:val="20"/>
          <w:lang w:val="en-US" w:eastAsia="x-none"/>
        </w:rPr>
        <w:t xml:space="preserve">arising </w:t>
      </w:r>
      <w:r w:rsidRPr="008A3740">
        <w:rPr>
          <w:rFonts w:ascii="Verdana" w:eastAsia="Verdana" w:hAnsi="Verdana" w:cs="Cambria"/>
          <w:bCs/>
          <w:sz w:val="20"/>
          <w:szCs w:val="20"/>
          <w:lang w:val="en-US" w:eastAsia="x-none"/>
        </w:rPr>
        <w:t xml:space="preserve">in the execution process. </w:t>
      </w:r>
      <w:r w:rsidR="00781F4D" w:rsidRPr="008A3740">
        <w:rPr>
          <w:rFonts w:ascii="Verdana" w:eastAsia="Verdana" w:hAnsi="Verdana" w:cs="Cambria"/>
          <w:bCs/>
          <w:sz w:val="20"/>
          <w:szCs w:val="20"/>
          <w:lang w:val="en-US" w:eastAsia="x-none"/>
        </w:rPr>
        <w:t xml:space="preserve">This is reflected in </w:t>
      </w:r>
      <w:r w:rsidRPr="008A3740">
        <w:rPr>
          <w:rFonts w:ascii="Verdana" w:eastAsia="Verdana" w:hAnsi="Verdana" w:cs="Cambria"/>
          <w:bCs/>
          <w:sz w:val="20"/>
          <w:szCs w:val="20"/>
          <w:lang w:val="en-US" w:eastAsia="x-none"/>
        </w:rPr>
        <w:t xml:space="preserve">the delays in </w:t>
      </w:r>
      <w:r w:rsidR="009C1061" w:rsidRPr="008A3740">
        <w:rPr>
          <w:rFonts w:ascii="Verdana" w:eastAsia="Verdana" w:hAnsi="Verdana" w:cs="Cambria"/>
          <w:bCs/>
          <w:sz w:val="20"/>
          <w:szCs w:val="20"/>
          <w:lang w:val="en-US" w:eastAsia="x-none"/>
        </w:rPr>
        <w:t>deciding on the legal claims filed by the victim and</w:t>
      </w:r>
      <w:r w:rsidRPr="008A3740">
        <w:rPr>
          <w:rFonts w:ascii="Verdana" w:eastAsia="Verdana" w:hAnsi="Verdana" w:cs="Cambria"/>
          <w:bCs/>
          <w:sz w:val="20"/>
          <w:szCs w:val="20"/>
          <w:lang w:val="en-US" w:eastAsia="x-none"/>
        </w:rPr>
        <w:t xml:space="preserve"> </w:t>
      </w:r>
      <w:r w:rsidR="009C1061" w:rsidRPr="008A3740">
        <w:rPr>
          <w:rFonts w:ascii="Verdana" w:eastAsia="Verdana" w:hAnsi="Verdana" w:cs="Cambria"/>
          <w:bCs/>
          <w:sz w:val="20"/>
          <w:szCs w:val="20"/>
          <w:lang w:val="en-US" w:eastAsia="x-none"/>
        </w:rPr>
        <w:t xml:space="preserve">in </w:t>
      </w:r>
      <w:r w:rsidRPr="008A3740">
        <w:rPr>
          <w:rFonts w:ascii="Verdana" w:eastAsia="Verdana" w:hAnsi="Verdana" w:cs="Cambria"/>
          <w:bCs/>
          <w:sz w:val="20"/>
          <w:szCs w:val="20"/>
          <w:lang w:val="en-US" w:eastAsia="x-none"/>
        </w:rPr>
        <w:t xml:space="preserve">the fact </w:t>
      </w:r>
      <w:r w:rsidR="00FD025B" w:rsidRPr="008A3740">
        <w:rPr>
          <w:rFonts w:ascii="Verdana" w:eastAsia="Verdana" w:hAnsi="Verdana" w:cs="Cambria"/>
          <w:bCs/>
          <w:sz w:val="20"/>
          <w:szCs w:val="20"/>
          <w:lang w:val="en-US" w:eastAsia="x-none"/>
        </w:rPr>
        <w:t xml:space="preserve">that on several occasions </w:t>
      </w:r>
      <w:r w:rsidRPr="008A3740">
        <w:rPr>
          <w:rFonts w:ascii="Verdana" w:eastAsia="Verdana" w:hAnsi="Verdana" w:cs="Cambria"/>
          <w:bCs/>
          <w:sz w:val="20"/>
          <w:szCs w:val="20"/>
          <w:lang w:val="en-US" w:eastAsia="x-none"/>
        </w:rPr>
        <w:t xml:space="preserve">the judicial authorities </w:t>
      </w:r>
      <w:r w:rsidR="00FD025B" w:rsidRPr="008A3740">
        <w:rPr>
          <w:rFonts w:ascii="Verdana" w:eastAsia="Verdana" w:hAnsi="Verdana" w:cs="Cambria"/>
          <w:bCs/>
          <w:sz w:val="20"/>
          <w:szCs w:val="20"/>
          <w:lang w:val="en-US" w:eastAsia="x-none"/>
        </w:rPr>
        <w:t xml:space="preserve">had to order </w:t>
      </w:r>
      <w:r w:rsidR="009F42B6" w:rsidRPr="008A3740">
        <w:rPr>
          <w:rFonts w:ascii="Verdana" w:eastAsia="Verdana" w:hAnsi="Verdana" w:cs="Cambria"/>
          <w:bCs/>
          <w:sz w:val="20"/>
          <w:szCs w:val="20"/>
          <w:lang w:val="en-US" w:eastAsia="x-none"/>
        </w:rPr>
        <w:t xml:space="preserve">compliance with </w:t>
      </w:r>
      <w:r w:rsidRPr="008A3740">
        <w:rPr>
          <w:rFonts w:ascii="Verdana" w:eastAsia="Verdana" w:hAnsi="Verdana" w:cs="Cambria"/>
          <w:bCs/>
          <w:sz w:val="20"/>
          <w:szCs w:val="20"/>
          <w:lang w:val="en-US" w:eastAsia="x-none"/>
        </w:rPr>
        <w:t>the judgment</w:t>
      </w:r>
      <w:r w:rsidR="009C1061" w:rsidRPr="008A3740">
        <w:rPr>
          <w:rFonts w:ascii="Verdana" w:eastAsia="Verdana" w:hAnsi="Verdana" w:cs="Cambria"/>
          <w:bCs/>
          <w:sz w:val="20"/>
          <w:szCs w:val="20"/>
          <w:lang w:val="en-US" w:eastAsia="x-none"/>
        </w:rPr>
        <w:t>s</w:t>
      </w:r>
      <w:r w:rsidRPr="008A3740">
        <w:rPr>
          <w:rFonts w:ascii="Verdana" w:eastAsia="Verdana" w:hAnsi="Verdana" w:cs="Cambria"/>
          <w:bCs/>
          <w:sz w:val="20"/>
          <w:szCs w:val="20"/>
          <w:lang w:val="en-US" w:eastAsia="x-none"/>
        </w:rPr>
        <w:t xml:space="preserve">, and that </w:t>
      </w:r>
      <w:r w:rsidR="00E630F1" w:rsidRPr="008A3740">
        <w:rPr>
          <w:rFonts w:ascii="Verdana" w:eastAsia="Verdana" w:hAnsi="Verdana" w:cs="Cambria"/>
          <w:bCs/>
          <w:sz w:val="20"/>
          <w:szCs w:val="20"/>
          <w:lang w:val="en-US" w:eastAsia="x-none"/>
        </w:rPr>
        <w:t>despite this</w:t>
      </w:r>
      <w:r w:rsidRPr="008A3740">
        <w:rPr>
          <w:rFonts w:ascii="Verdana" w:eastAsia="Verdana" w:hAnsi="Verdana" w:cs="Cambria"/>
          <w:bCs/>
          <w:sz w:val="20"/>
          <w:szCs w:val="20"/>
          <w:lang w:val="en-US" w:eastAsia="x-none"/>
        </w:rPr>
        <w:t xml:space="preserve">, even after a long period had elapsed, none of the judicial authorities involved in the process to execute the judgment activated any coercive mechanism to ensure the </w:t>
      </w:r>
      <w:r w:rsidR="009C1061" w:rsidRPr="008A3740">
        <w:rPr>
          <w:rFonts w:ascii="Verdana" w:eastAsia="Verdana" w:hAnsi="Verdana" w:cs="Cambria"/>
          <w:bCs/>
          <w:sz w:val="20"/>
          <w:szCs w:val="20"/>
          <w:lang w:val="en-US" w:eastAsia="x-none"/>
        </w:rPr>
        <w:t xml:space="preserve">realization of </w:t>
      </w:r>
      <w:r w:rsidRPr="008A3740">
        <w:rPr>
          <w:rFonts w:ascii="Verdana" w:eastAsia="Verdana" w:hAnsi="Verdana" w:cs="Cambria"/>
          <w:bCs/>
          <w:sz w:val="20"/>
          <w:szCs w:val="20"/>
          <w:lang w:val="en-US" w:eastAsia="x-none"/>
        </w:rPr>
        <w:t>Mr. Muelle Flores</w:t>
      </w:r>
      <w:r w:rsidR="009C1061" w:rsidRPr="008A3740">
        <w:rPr>
          <w:rFonts w:ascii="Verdana" w:eastAsia="Verdana" w:hAnsi="Verdana" w:cs="Cambria"/>
          <w:bCs/>
          <w:sz w:val="20"/>
          <w:szCs w:val="20"/>
          <w:lang w:val="en-US" w:eastAsia="x-none"/>
        </w:rPr>
        <w:t>’ legally recognized right</w:t>
      </w:r>
      <w:r w:rsidRPr="008A3740">
        <w:rPr>
          <w:rFonts w:ascii="Verdana" w:eastAsia="Verdana" w:hAnsi="Verdana" w:cs="Cambria"/>
          <w:bCs/>
          <w:sz w:val="20"/>
          <w:szCs w:val="20"/>
          <w:lang w:val="en-US" w:eastAsia="x-none"/>
        </w:rPr>
        <w:t xml:space="preserve">. </w:t>
      </w:r>
      <w:r w:rsidR="007D0840" w:rsidRPr="008A3740">
        <w:rPr>
          <w:rFonts w:ascii="Verdana" w:eastAsia="Verdana" w:hAnsi="Verdana" w:cs="Cambria"/>
          <w:bCs/>
          <w:sz w:val="20"/>
          <w:szCs w:val="20"/>
          <w:lang w:val="en-US" w:eastAsia="x-none"/>
        </w:rPr>
        <w:t>Furthermore</w:t>
      </w:r>
      <w:r w:rsidRPr="008A3740">
        <w:rPr>
          <w:rFonts w:ascii="Verdana" w:eastAsia="Verdana" w:hAnsi="Verdana" w:cs="Cambria"/>
          <w:bCs/>
          <w:sz w:val="20"/>
          <w:szCs w:val="20"/>
          <w:lang w:val="en-US" w:eastAsia="x-none"/>
        </w:rPr>
        <w:t xml:space="preserve">, </w:t>
      </w:r>
      <w:r w:rsidR="009C1061" w:rsidRPr="008A3740">
        <w:rPr>
          <w:rFonts w:ascii="Verdana" w:eastAsia="Verdana" w:hAnsi="Verdana" w:cs="Cambria"/>
          <w:bCs/>
          <w:sz w:val="20"/>
          <w:szCs w:val="20"/>
          <w:lang w:val="en-US" w:eastAsia="x-none"/>
        </w:rPr>
        <w:t>al</w:t>
      </w:r>
      <w:r w:rsidR="00E630F1" w:rsidRPr="008A3740">
        <w:rPr>
          <w:rFonts w:ascii="Verdana" w:eastAsia="Verdana" w:hAnsi="Verdana" w:cs="Cambria"/>
          <w:bCs/>
          <w:sz w:val="20"/>
          <w:szCs w:val="20"/>
          <w:lang w:val="en-US" w:eastAsia="x-none"/>
        </w:rPr>
        <w:t xml:space="preserve">though </w:t>
      </w:r>
      <w:r w:rsidRPr="008A3740">
        <w:rPr>
          <w:rFonts w:ascii="Verdana" w:eastAsia="Verdana" w:hAnsi="Verdana" w:cs="Cambria"/>
          <w:bCs/>
          <w:sz w:val="20"/>
          <w:szCs w:val="20"/>
          <w:lang w:val="en-US" w:eastAsia="x-none"/>
        </w:rPr>
        <w:t>Mr. Muelle F</w:t>
      </w:r>
      <w:r w:rsidR="009C1061" w:rsidRPr="008A3740">
        <w:rPr>
          <w:rFonts w:ascii="Verdana" w:eastAsia="Verdana" w:hAnsi="Verdana" w:cs="Cambria"/>
          <w:bCs/>
          <w:sz w:val="20"/>
          <w:szCs w:val="20"/>
          <w:lang w:val="en-US" w:eastAsia="x-none"/>
        </w:rPr>
        <w:t xml:space="preserve">lores had to travel abroad for </w:t>
      </w:r>
      <w:r w:rsidRPr="008A3740">
        <w:rPr>
          <w:rFonts w:ascii="Verdana" w:eastAsia="Verdana" w:hAnsi="Verdana" w:cs="Cambria"/>
          <w:bCs/>
          <w:sz w:val="20"/>
          <w:szCs w:val="20"/>
          <w:lang w:val="en-US" w:eastAsia="x-none"/>
        </w:rPr>
        <w:t>health reas</w:t>
      </w:r>
      <w:r w:rsidR="009C1061" w:rsidRPr="008A3740">
        <w:rPr>
          <w:rFonts w:ascii="Verdana" w:eastAsia="Verdana" w:hAnsi="Verdana" w:cs="Cambria"/>
          <w:bCs/>
          <w:sz w:val="20"/>
          <w:szCs w:val="20"/>
          <w:lang w:val="en-US" w:eastAsia="x-none"/>
        </w:rPr>
        <w:t>ons, from the evidence</w:t>
      </w:r>
      <w:r w:rsidRPr="008A3740">
        <w:rPr>
          <w:rFonts w:ascii="Verdana" w:eastAsia="Verdana" w:hAnsi="Verdana" w:cs="Cambria"/>
          <w:bCs/>
          <w:sz w:val="20"/>
          <w:szCs w:val="20"/>
          <w:lang w:val="en-US" w:eastAsia="x-none"/>
        </w:rPr>
        <w:t xml:space="preserve"> it is clear that even duri</w:t>
      </w:r>
      <w:r w:rsidR="009C1061" w:rsidRPr="008A3740">
        <w:rPr>
          <w:rFonts w:ascii="Verdana" w:eastAsia="Verdana" w:hAnsi="Verdana" w:cs="Cambria"/>
          <w:bCs/>
          <w:sz w:val="20"/>
          <w:szCs w:val="20"/>
          <w:lang w:val="en-US" w:eastAsia="x-none"/>
        </w:rPr>
        <w:t>ng his absence from the country</w:t>
      </w:r>
      <w:r w:rsidRPr="008A3740">
        <w:rPr>
          <w:rFonts w:ascii="Verdana" w:eastAsia="Verdana" w:hAnsi="Verdana" w:cs="Cambria"/>
          <w:bCs/>
          <w:sz w:val="20"/>
          <w:szCs w:val="20"/>
          <w:lang w:val="en-US" w:eastAsia="x-none"/>
        </w:rPr>
        <w:t xml:space="preserve"> </w:t>
      </w:r>
      <w:r w:rsidRPr="008A3740">
        <w:rPr>
          <w:rFonts w:ascii="Verdana" w:eastAsia="Verdana" w:hAnsi="Verdana" w:cs="Cambria"/>
          <w:bCs/>
          <w:sz w:val="20"/>
          <w:szCs w:val="20"/>
          <w:lang w:val="en-US" w:eastAsia="x-none"/>
        </w:rPr>
        <w:lastRenderedPageBreak/>
        <w:t>he submitted requests to the authorities regarding payment of his pension (</w:t>
      </w:r>
      <w:r w:rsidRPr="008A3740">
        <w:rPr>
          <w:rFonts w:ascii="Verdana" w:eastAsia="Verdana" w:hAnsi="Verdana" w:cs="Cambria"/>
          <w:bCs/>
          <w:i/>
          <w:sz w:val="20"/>
          <w:szCs w:val="20"/>
          <w:lang w:val="en-US" w:eastAsia="x-none"/>
        </w:rPr>
        <w:t>supra</w:t>
      </w:r>
      <w:r w:rsidR="00E630F1" w:rsidRPr="008A3740">
        <w:rPr>
          <w:rFonts w:ascii="Verdana" w:eastAsia="Verdana" w:hAnsi="Verdana" w:cs="Cambria"/>
          <w:bCs/>
          <w:sz w:val="20"/>
          <w:szCs w:val="20"/>
          <w:lang w:val="en-US" w:eastAsia="x-none"/>
        </w:rPr>
        <w:t>, para. 82). I</w:t>
      </w:r>
      <w:r w:rsidRPr="008A3740">
        <w:rPr>
          <w:rFonts w:ascii="Verdana" w:eastAsia="Verdana" w:hAnsi="Verdana" w:cs="Cambria"/>
          <w:bCs/>
          <w:sz w:val="20"/>
          <w:szCs w:val="20"/>
          <w:lang w:val="en-US" w:eastAsia="x-none"/>
        </w:rPr>
        <w:t xml:space="preserve">n </w:t>
      </w:r>
      <w:r w:rsidR="00E630F1" w:rsidRPr="008A3740">
        <w:rPr>
          <w:rFonts w:ascii="Verdana" w:eastAsia="Verdana" w:hAnsi="Verdana" w:cs="Cambria"/>
          <w:bCs/>
          <w:sz w:val="20"/>
          <w:szCs w:val="20"/>
          <w:lang w:val="en-US" w:eastAsia="x-none"/>
        </w:rPr>
        <w:t xml:space="preserve">any </w:t>
      </w:r>
      <w:r w:rsidRPr="008A3740">
        <w:rPr>
          <w:rFonts w:ascii="Verdana" w:eastAsia="Verdana" w:hAnsi="Verdana" w:cs="Cambria"/>
          <w:bCs/>
          <w:sz w:val="20"/>
          <w:szCs w:val="20"/>
          <w:lang w:val="en-US" w:eastAsia="x-none"/>
        </w:rPr>
        <w:t>case, the C</w:t>
      </w:r>
      <w:r w:rsidR="00E94D56" w:rsidRPr="008A3740">
        <w:rPr>
          <w:rFonts w:ascii="Verdana" w:eastAsia="Verdana" w:hAnsi="Verdana" w:cs="Cambria"/>
          <w:bCs/>
          <w:sz w:val="20"/>
          <w:szCs w:val="20"/>
          <w:lang w:val="en-US" w:eastAsia="x-none"/>
        </w:rPr>
        <w:t xml:space="preserve">ourt considers that </w:t>
      </w:r>
      <w:r w:rsidR="009C1061" w:rsidRPr="008A3740">
        <w:rPr>
          <w:rFonts w:ascii="Verdana" w:eastAsia="Verdana" w:hAnsi="Verdana" w:cs="Cambria"/>
          <w:bCs/>
          <w:sz w:val="20"/>
          <w:szCs w:val="20"/>
          <w:lang w:val="en-US" w:eastAsia="x-none"/>
        </w:rPr>
        <w:t xml:space="preserve">the </w:t>
      </w:r>
      <w:r w:rsidRPr="008A3740">
        <w:rPr>
          <w:rFonts w:ascii="Verdana" w:eastAsia="Verdana" w:hAnsi="Verdana" w:cs="Cambria"/>
          <w:bCs/>
          <w:sz w:val="20"/>
          <w:szCs w:val="20"/>
          <w:lang w:val="en-US" w:eastAsia="x-none"/>
        </w:rPr>
        <w:t xml:space="preserve">procedural </w:t>
      </w:r>
      <w:r w:rsidR="00E94D56" w:rsidRPr="008A3740">
        <w:rPr>
          <w:rFonts w:ascii="Verdana" w:eastAsia="Verdana" w:hAnsi="Verdana" w:cs="Cambria"/>
          <w:bCs/>
          <w:sz w:val="20"/>
          <w:szCs w:val="20"/>
          <w:lang w:val="en-US" w:eastAsia="x-none"/>
        </w:rPr>
        <w:t xml:space="preserve">momentum </w:t>
      </w:r>
      <w:r w:rsidR="00E630F1" w:rsidRPr="008A3740">
        <w:rPr>
          <w:rFonts w:ascii="Verdana" w:eastAsia="Verdana" w:hAnsi="Verdana" w:cs="Cambria"/>
          <w:bCs/>
          <w:sz w:val="20"/>
          <w:szCs w:val="20"/>
          <w:lang w:val="en-US" w:eastAsia="x-none"/>
        </w:rPr>
        <w:t xml:space="preserve">to </w:t>
      </w:r>
      <w:r w:rsidR="009C1061" w:rsidRPr="008A3740">
        <w:rPr>
          <w:rFonts w:ascii="Verdana" w:eastAsia="Verdana" w:hAnsi="Verdana" w:cs="Cambria"/>
          <w:bCs/>
          <w:sz w:val="20"/>
          <w:szCs w:val="20"/>
          <w:lang w:val="en-US" w:eastAsia="x-none"/>
        </w:rPr>
        <w:t xml:space="preserve">achieve </w:t>
      </w:r>
      <w:r w:rsidRPr="008A3740">
        <w:rPr>
          <w:rFonts w:ascii="Verdana" w:eastAsia="Verdana" w:hAnsi="Verdana" w:cs="Cambria"/>
          <w:bCs/>
          <w:sz w:val="20"/>
          <w:szCs w:val="20"/>
          <w:lang w:val="en-US" w:eastAsia="x-none"/>
        </w:rPr>
        <w:t xml:space="preserve">compliance </w:t>
      </w:r>
      <w:r w:rsidR="00514D42" w:rsidRPr="008A3740">
        <w:rPr>
          <w:rFonts w:ascii="Verdana" w:eastAsia="Verdana" w:hAnsi="Verdana" w:cs="Cambria"/>
          <w:bCs/>
          <w:sz w:val="20"/>
          <w:szCs w:val="20"/>
          <w:lang w:val="en-US" w:eastAsia="x-none"/>
        </w:rPr>
        <w:t>with a</w:t>
      </w:r>
      <w:r w:rsidRPr="008A3740">
        <w:rPr>
          <w:rFonts w:ascii="Verdana" w:eastAsia="Verdana" w:hAnsi="Verdana" w:cs="Cambria"/>
          <w:bCs/>
          <w:sz w:val="20"/>
          <w:szCs w:val="20"/>
          <w:lang w:val="en-US" w:eastAsia="x-none"/>
        </w:rPr>
        <w:t xml:space="preserve"> human right (social security) </w:t>
      </w:r>
      <w:r w:rsidR="007D0840" w:rsidRPr="008A3740">
        <w:rPr>
          <w:rFonts w:ascii="Verdana" w:eastAsia="Verdana" w:hAnsi="Verdana" w:cs="Cambria"/>
          <w:bCs/>
          <w:sz w:val="20"/>
          <w:szCs w:val="20"/>
          <w:lang w:val="en-US" w:eastAsia="x-none"/>
        </w:rPr>
        <w:t xml:space="preserve">pursuant to </w:t>
      </w:r>
      <w:r w:rsidRPr="008A3740">
        <w:rPr>
          <w:rFonts w:ascii="Verdana" w:eastAsia="Verdana" w:hAnsi="Verdana" w:cs="Cambria"/>
          <w:bCs/>
          <w:sz w:val="20"/>
          <w:szCs w:val="20"/>
          <w:lang w:val="en-US" w:eastAsia="x-none"/>
        </w:rPr>
        <w:t>a judicial</w:t>
      </w:r>
      <w:r w:rsidR="00E630F1" w:rsidRPr="008A3740">
        <w:rPr>
          <w:rFonts w:ascii="Verdana" w:eastAsia="Verdana" w:hAnsi="Verdana" w:cs="Cambria"/>
          <w:bCs/>
          <w:sz w:val="20"/>
          <w:szCs w:val="20"/>
          <w:lang w:val="en-US" w:eastAsia="x-none"/>
        </w:rPr>
        <w:t xml:space="preserve"> </w:t>
      </w:r>
      <w:r w:rsidR="009C1061" w:rsidRPr="008A3740">
        <w:rPr>
          <w:rFonts w:ascii="Verdana" w:eastAsia="Verdana" w:hAnsi="Verdana" w:cs="Cambria"/>
          <w:bCs/>
          <w:sz w:val="20"/>
          <w:szCs w:val="20"/>
          <w:lang w:val="en-US" w:eastAsia="x-none"/>
        </w:rPr>
        <w:t>order</w:t>
      </w:r>
      <w:r w:rsidRPr="008A3740">
        <w:rPr>
          <w:rFonts w:ascii="Verdana" w:eastAsia="Verdana" w:hAnsi="Verdana" w:cs="Cambria"/>
          <w:bCs/>
          <w:sz w:val="20"/>
          <w:szCs w:val="20"/>
          <w:lang w:val="en-US" w:eastAsia="x-none"/>
        </w:rPr>
        <w:t xml:space="preserve">, </w:t>
      </w:r>
      <w:r w:rsidR="009C1061" w:rsidRPr="008A3740">
        <w:rPr>
          <w:rFonts w:ascii="Verdana" w:eastAsia="Verdana" w:hAnsi="Verdana" w:cs="Cambria"/>
          <w:bCs/>
          <w:sz w:val="20"/>
          <w:szCs w:val="20"/>
          <w:lang w:val="en-US" w:eastAsia="x-none"/>
        </w:rPr>
        <w:t xml:space="preserve">which is also </w:t>
      </w:r>
      <w:r w:rsidRPr="008A3740">
        <w:rPr>
          <w:rFonts w:ascii="Verdana" w:eastAsia="Verdana" w:hAnsi="Verdana" w:cs="Cambria"/>
          <w:bCs/>
          <w:sz w:val="20"/>
          <w:szCs w:val="20"/>
          <w:lang w:val="en-US" w:eastAsia="x-none"/>
        </w:rPr>
        <w:t xml:space="preserve">recognized in the Peruvian Constitution, cannot </w:t>
      </w:r>
      <w:r w:rsidR="00992351" w:rsidRPr="008A3740">
        <w:rPr>
          <w:rFonts w:ascii="Verdana" w:eastAsia="Verdana" w:hAnsi="Verdana" w:cs="Cambria"/>
          <w:bCs/>
          <w:sz w:val="20"/>
          <w:szCs w:val="20"/>
          <w:lang w:val="en-US" w:eastAsia="x-none"/>
        </w:rPr>
        <w:t xml:space="preserve">rely </w:t>
      </w:r>
      <w:r w:rsidR="00F30ABB" w:rsidRPr="008A3740">
        <w:rPr>
          <w:rFonts w:ascii="Verdana" w:eastAsia="Verdana" w:hAnsi="Verdana" w:cs="Cambria"/>
          <w:bCs/>
          <w:sz w:val="20"/>
          <w:szCs w:val="20"/>
          <w:lang w:val="en-US" w:eastAsia="x-none"/>
        </w:rPr>
        <w:t xml:space="preserve">entirely </w:t>
      </w:r>
      <w:r w:rsidR="00992351" w:rsidRPr="008A3740">
        <w:rPr>
          <w:rFonts w:ascii="Verdana" w:eastAsia="Verdana" w:hAnsi="Verdana" w:cs="Cambria"/>
          <w:bCs/>
          <w:sz w:val="20"/>
          <w:szCs w:val="20"/>
          <w:lang w:val="en-US" w:eastAsia="x-none"/>
        </w:rPr>
        <w:t xml:space="preserve">on </w:t>
      </w:r>
      <w:r w:rsidRPr="008A3740">
        <w:rPr>
          <w:rFonts w:ascii="Verdana" w:eastAsia="Verdana" w:hAnsi="Verdana" w:cs="Cambria"/>
          <w:bCs/>
          <w:sz w:val="20"/>
          <w:szCs w:val="20"/>
          <w:lang w:val="en-US" w:eastAsia="x-none"/>
        </w:rPr>
        <w:t xml:space="preserve">the victim, since the </w:t>
      </w:r>
      <w:r w:rsidR="00E94D56" w:rsidRPr="008A3740">
        <w:rPr>
          <w:rFonts w:ascii="Verdana" w:eastAsia="Verdana" w:hAnsi="Verdana" w:cs="Cambria"/>
          <w:bCs/>
          <w:sz w:val="20"/>
          <w:szCs w:val="20"/>
          <w:lang w:val="en-US" w:eastAsia="x-none"/>
        </w:rPr>
        <w:t xml:space="preserve">State is obligated to </w:t>
      </w:r>
      <w:r w:rsidR="00E630F1" w:rsidRPr="008A3740">
        <w:rPr>
          <w:rFonts w:ascii="Verdana" w:eastAsia="Verdana" w:hAnsi="Verdana" w:cs="Cambria"/>
          <w:bCs/>
          <w:sz w:val="20"/>
          <w:szCs w:val="20"/>
          <w:lang w:val="en-US" w:eastAsia="x-none"/>
        </w:rPr>
        <w:t xml:space="preserve">guarantee </w:t>
      </w:r>
      <w:r w:rsidR="00E94D56" w:rsidRPr="008A3740">
        <w:rPr>
          <w:rFonts w:ascii="Verdana" w:eastAsia="Verdana" w:hAnsi="Verdana" w:cs="Cambria"/>
          <w:bCs/>
          <w:sz w:val="20"/>
          <w:szCs w:val="20"/>
          <w:lang w:val="en-US" w:eastAsia="x-none"/>
        </w:rPr>
        <w:t xml:space="preserve">that </w:t>
      </w:r>
      <w:r w:rsidRPr="008A3740">
        <w:rPr>
          <w:rFonts w:ascii="Verdana" w:eastAsia="Verdana" w:hAnsi="Verdana" w:cs="Cambria"/>
          <w:bCs/>
          <w:sz w:val="20"/>
          <w:szCs w:val="20"/>
          <w:lang w:val="en-US" w:eastAsia="x-none"/>
        </w:rPr>
        <w:t xml:space="preserve">right. </w:t>
      </w:r>
      <w:r w:rsidR="00F30ABB" w:rsidRPr="008A3740">
        <w:rPr>
          <w:rFonts w:ascii="Verdana" w:eastAsia="Verdana" w:hAnsi="Verdana" w:cs="Cambria"/>
          <w:bCs/>
          <w:sz w:val="20"/>
          <w:szCs w:val="20"/>
          <w:lang w:val="en-US" w:eastAsia="x-none"/>
        </w:rPr>
        <w:t>Thus</w:t>
      </w:r>
      <w:r w:rsidRPr="008A3740">
        <w:rPr>
          <w:rFonts w:ascii="Verdana" w:eastAsia="Verdana" w:hAnsi="Verdana" w:cs="Cambria"/>
          <w:bCs/>
          <w:sz w:val="20"/>
          <w:szCs w:val="20"/>
          <w:lang w:val="en-US" w:eastAsia="x-none"/>
        </w:rPr>
        <w:t xml:space="preserve">, </w:t>
      </w:r>
      <w:r w:rsidRPr="008A3740">
        <w:rPr>
          <w:rFonts w:ascii="Verdana" w:hAnsi="Verdana"/>
          <w:sz w:val="20"/>
          <w:szCs w:val="20"/>
          <w:lang w:val="en-US" w:eastAsia="es-MX"/>
        </w:rPr>
        <w:t xml:space="preserve">there was an excessive </w:t>
      </w:r>
      <w:r w:rsidRPr="008A3740">
        <w:rPr>
          <w:rFonts w:ascii="Verdana" w:eastAsia="Batang" w:hAnsi="Verdana"/>
          <w:sz w:val="20"/>
          <w:szCs w:val="20"/>
          <w:lang w:val="en-US" w:eastAsia="es-MX"/>
        </w:rPr>
        <w:t>prolongation</w:t>
      </w:r>
      <w:r w:rsidRPr="008A3740">
        <w:rPr>
          <w:rFonts w:ascii="Verdana" w:hAnsi="Verdana"/>
          <w:sz w:val="20"/>
          <w:szCs w:val="20"/>
          <w:lang w:val="en-US" w:eastAsia="es-MX"/>
        </w:rPr>
        <w:t xml:space="preserve"> of the execution process and </w:t>
      </w:r>
      <w:r w:rsidR="00514D42" w:rsidRPr="008A3740">
        <w:rPr>
          <w:rFonts w:ascii="Verdana" w:eastAsia="Batang" w:hAnsi="Verdana"/>
          <w:sz w:val="20"/>
          <w:szCs w:val="20"/>
          <w:lang w:val="en-US" w:eastAsia="es-MX"/>
        </w:rPr>
        <w:t xml:space="preserve">periods of </w:t>
      </w:r>
      <w:r w:rsidRPr="008A3740">
        <w:rPr>
          <w:rFonts w:ascii="Verdana" w:eastAsia="Batang" w:hAnsi="Verdana" w:cs="Arial"/>
          <w:sz w:val="20"/>
          <w:szCs w:val="20"/>
          <w:lang w:val="en-US" w:eastAsia="es-MX"/>
        </w:rPr>
        <w:t>inactivity</w:t>
      </w:r>
      <w:r w:rsidRPr="008A3740">
        <w:rPr>
          <w:rFonts w:ascii="Verdana" w:eastAsia="Batang" w:hAnsi="Verdana"/>
          <w:sz w:val="20"/>
          <w:szCs w:val="20"/>
          <w:lang w:val="en-US" w:eastAsia="es-MX"/>
        </w:rPr>
        <w:t xml:space="preserve"> by the authorities.</w:t>
      </w:r>
    </w:p>
    <w:p w14:paraId="3DB7E2FB" w14:textId="77777777" w:rsidR="008E6A56" w:rsidRPr="008A3740" w:rsidRDefault="008E6A56" w:rsidP="008E6A56">
      <w:pPr>
        <w:widowControl/>
        <w:tabs>
          <w:tab w:val="left" w:pos="567"/>
          <w:tab w:val="left" w:pos="720"/>
        </w:tabs>
        <w:adjustRightInd/>
        <w:textAlignment w:val="auto"/>
        <w:rPr>
          <w:rFonts w:ascii="Verdana" w:hAnsi="Verdana" w:cs="Verdana"/>
          <w:bCs/>
          <w:iCs/>
          <w:sz w:val="20"/>
          <w:szCs w:val="20"/>
          <w:lang w:val="en-US"/>
        </w:rPr>
      </w:pPr>
    </w:p>
    <w:p w14:paraId="528B9BD0" w14:textId="77777777" w:rsidR="008E6A56" w:rsidRPr="008A3740" w:rsidRDefault="00F30ABB"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Batang" w:hAnsi="Verdana"/>
          <w:sz w:val="20"/>
          <w:szCs w:val="20"/>
          <w:lang w:val="en-US" w:eastAsia="es-MX"/>
        </w:rPr>
        <w:t xml:space="preserve">As </w:t>
      </w:r>
      <w:r w:rsidR="008E6A56" w:rsidRPr="008A3740">
        <w:rPr>
          <w:rFonts w:ascii="Verdana" w:eastAsia="Batang" w:hAnsi="Verdana"/>
          <w:sz w:val="20"/>
          <w:szCs w:val="20"/>
          <w:lang w:val="en-US" w:eastAsia="es-MX"/>
        </w:rPr>
        <w:t xml:space="preserve">to the </w:t>
      </w:r>
      <w:r w:rsidR="00992351" w:rsidRPr="008A3740">
        <w:rPr>
          <w:rFonts w:ascii="Verdana" w:eastAsia="Batang" w:hAnsi="Verdana"/>
          <w:i/>
          <w:iCs/>
          <w:sz w:val="20"/>
          <w:szCs w:val="20"/>
          <w:lang w:val="en-US" w:eastAsia="es-MX"/>
        </w:rPr>
        <w:t xml:space="preserve">effects on the legal </w:t>
      </w:r>
      <w:r w:rsidR="008E6A56" w:rsidRPr="008A3740">
        <w:rPr>
          <w:rFonts w:ascii="Verdana" w:eastAsia="Batang" w:hAnsi="Verdana"/>
          <w:i/>
          <w:iCs/>
          <w:sz w:val="20"/>
          <w:szCs w:val="20"/>
          <w:lang w:val="en-US" w:eastAsia="es-MX"/>
        </w:rPr>
        <w:t>situation of th</w:t>
      </w:r>
      <w:r w:rsidR="00E630F1" w:rsidRPr="008A3740">
        <w:rPr>
          <w:rFonts w:ascii="Verdana" w:eastAsia="Batang" w:hAnsi="Verdana"/>
          <w:i/>
          <w:iCs/>
          <w:sz w:val="20"/>
          <w:szCs w:val="20"/>
          <w:lang w:val="en-US" w:eastAsia="es-MX"/>
        </w:rPr>
        <w:t>e person involved in the proce</w:t>
      </w:r>
      <w:r w:rsidR="00514D42" w:rsidRPr="008A3740">
        <w:rPr>
          <w:rFonts w:ascii="Verdana" w:eastAsia="Batang" w:hAnsi="Verdana"/>
          <w:i/>
          <w:iCs/>
          <w:sz w:val="20"/>
          <w:szCs w:val="20"/>
          <w:lang w:val="en-US" w:eastAsia="es-MX"/>
        </w:rPr>
        <w:t>edings</w:t>
      </w:r>
      <w:r w:rsidR="008E6A56" w:rsidRPr="008A3740">
        <w:rPr>
          <w:rFonts w:ascii="Verdana" w:eastAsia="Batang" w:hAnsi="Verdana"/>
          <w:i/>
          <w:iCs/>
          <w:sz w:val="20"/>
          <w:szCs w:val="20"/>
          <w:lang w:val="en-US" w:eastAsia="es-MX"/>
        </w:rPr>
        <w:t xml:space="preserve">, </w:t>
      </w:r>
      <w:r w:rsidRPr="008A3740">
        <w:rPr>
          <w:rFonts w:ascii="Verdana" w:eastAsia="Batang" w:hAnsi="Verdana"/>
          <w:sz w:val="20"/>
          <w:szCs w:val="20"/>
          <w:lang w:val="en-US" w:eastAsia="es-MX"/>
        </w:rPr>
        <w:t>this Court has established that</w:t>
      </w:r>
      <w:r w:rsidR="008E6A56" w:rsidRPr="008A3740">
        <w:rPr>
          <w:rFonts w:ascii="Verdana" w:eastAsia="Batang" w:hAnsi="Verdana"/>
          <w:sz w:val="20"/>
          <w:szCs w:val="20"/>
          <w:lang w:val="en-US" w:eastAsia="es-MX"/>
        </w:rPr>
        <w:t xml:space="preserve"> </w:t>
      </w:r>
      <w:r w:rsidR="00136BC1" w:rsidRPr="008A3740">
        <w:rPr>
          <w:rFonts w:ascii="Verdana" w:eastAsia="Batang" w:hAnsi="Verdana"/>
          <w:color w:val="000000" w:themeColor="text1"/>
          <w:sz w:val="20"/>
          <w:szCs w:val="20"/>
          <w:lang w:val="en-US" w:eastAsia="es-MX"/>
        </w:rPr>
        <w:t xml:space="preserve">if the passage of time has a </w:t>
      </w:r>
      <w:r w:rsidRPr="008A3740">
        <w:rPr>
          <w:rFonts w:ascii="Verdana" w:eastAsia="Batang" w:hAnsi="Verdana"/>
          <w:color w:val="000000" w:themeColor="text1"/>
          <w:sz w:val="20"/>
          <w:szCs w:val="20"/>
          <w:lang w:val="en-US" w:eastAsia="es-MX"/>
        </w:rPr>
        <w:t xml:space="preserve">significant </w:t>
      </w:r>
      <w:r w:rsidR="00136BC1" w:rsidRPr="008A3740">
        <w:rPr>
          <w:rFonts w:ascii="Verdana" w:eastAsia="Batang" w:hAnsi="Verdana"/>
          <w:color w:val="000000" w:themeColor="text1"/>
          <w:sz w:val="20"/>
          <w:szCs w:val="20"/>
          <w:lang w:val="en-US" w:eastAsia="es-MX"/>
        </w:rPr>
        <w:t>impact on an individual’s legal situation, the proceedings must move forward with greater diligence so that the case is decided promptly</w:t>
      </w:r>
      <w:r w:rsidR="008E6A56" w:rsidRPr="008A3740">
        <w:rPr>
          <w:rFonts w:ascii="Verdana" w:eastAsia="Batang" w:hAnsi="Verdana"/>
          <w:sz w:val="20"/>
          <w:szCs w:val="20"/>
          <w:lang w:val="en-US" w:eastAsia="es-MX"/>
        </w:rPr>
        <w:t>.</w:t>
      </w:r>
      <w:r w:rsidR="008E6A56" w:rsidRPr="008A3740">
        <w:rPr>
          <w:rFonts w:ascii="Verdana" w:eastAsia="Batang" w:hAnsi="Verdana" w:cs="Verdana"/>
          <w:sz w:val="20"/>
          <w:szCs w:val="20"/>
          <w:vertAlign w:val="superscript"/>
          <w:lang w:val="en-US" w:eastAsia="es-MX"/>
        </w:rPr>
        <w:footnoteReference w:id="172"/>
      </w:r>
      <w:r w:rsidR="008E6A56" w:rsidRPr="008A3740">
        <w:rPr>
          <w:rFonts w:ascii="Verdana" w:eastAsia="Batang" w:hAnsi="Verdana"/>
          <w:sz w:val="20"/>
          <w:szCs w:val="20"/>
          <w:lang w:val="en-US" w:eastAsia="es-MX"/>
        </w:rPr>
        <w:t xml:space="preserve"> </w:t>
      </w:r>
      <w:r w:rsidR="00136BC1" w:rsidRPr="008A3740">
        <w:rPr>
          <w:rFonts w:ascii="Verdana" w:eastAsia="Batang" w:hAnsi="Verdana"/>
          <w:sz w:val="20"/>
          <w:szCs w:val="20"/>
          <w:lang w:val="en-US" w:eastAsia="es-MX"/>
        </w:rPr>
        <w:t xml:space="preserve">Given that this case concerns </w:t>
      </w:r>
      <w:r w:rsidR="008E6A56" w:rsidRPr="008A3740">
        <w:rPr>
          <w:rFonts w:ascii="Verdana" w:hAnsi="Verdana"/>
          <w:sz w:val="20"/>
          <w:szCs w:val="20"/>
          <w:lang w:val="en-US" w:eastAsia="es-MX"/>
        </w:rPr>
        <w:t xml:space="preserve">the right </w:t>
      </w:r>
      <w:r w:rsidR="00514D42" w:rsidRPr="008A3740">
        <w:rPr>
          <w:rFonts w:ascii="Verdana" w:hAnsi="Verdana"/>
          <w:sz w:val="20"/>
          <w:szCs w:val="20"/>
          <w:lang w:val="en-US" w:eastAsia="es-MX"/>
        </w:rPr>
        <w:t>of an older person</w:t>
      </w:r>
      <w:r w:rsidR="008E6A56" w:rsidRPr="008A3740">
        <w:rPr>
          <w:rFonts w:ascii="Verdana" w:hAnsi="Verdana"/>
          <w:sz w:val="20"/>
          <w:szCs w:val="20"/>
          <w:lang w:val="en-US" w:eastAsia="es-MX"/>
        </w:rPr>
        <w:t xml:space="preserve"> with a</w:t>
      </w:r>
      <w:r w:rsidR="00E94D56" w:rsidRPr="008A3740">
        <w:rPr>
          <w:rFonts w:ascii="Verdana" w:hAnsi="Verdana"/>
          <w:sz w:val="20"/>
          <w:szCs w:val="20"/>
          <w:lang w:val="en-US" w:eastAsia="es-MX"/>
        </w:rPr>
        <w:t xml:space="preserve"> </w:t>
      </w:r>
      <w:r w:rsidR="008E6A56" w:rsidRPr="008A3740">
        <w:rPr>
          <w:rFonts w:ascii="Verdana" w:hAnsi="Verdana"/>
          <w:sz w:val="20"/>
          <w:szCs w:val="20"/>
          <w:lang w:val="en-US" w:eastAsia="es-MX"/>
        </w:rPr>
        <w:t>hearing impairment</w:t>
      </w:r>
      <w:r w:rsidRPr="008A3740">
        <w:rPr>
          <w:rFonts w:ascii="Verdana" w:hAnsi="Verdana"/>
          <w:sz w:val="20"/>
          <w:szCs w:val="20"/>
          <w:lang w:val="en-US" w:eastAsia="es-MX"/>
        </w:rPr>
        <w:t xml:space="preserve"> to social security, a benefit associated with income substitution and nutrition, </w:t>
      </w:r>
      <w:r w:rsidR="008E6A56" w:rsidRPr="008A3740">
        <w:rPr>
          <w:rFonts w:ascii="Verdana" w:hAnsi="Verdana" w:cs="Calibri"/>
          <w:sz w:val="20"/>
          <w:szCs w:val="20"/>
          <w:lang w:val="en-US" w:eastAsia="en-US"/>
        </w:rPr>
        <w:t xml:space="preserve">the Court </w:t>
      </w:r>
      <w:r w:rsidR="00136BC1" w:rsidRPr="008A3740">
        <w:rPr>
          <w:rFonts w:ascii="Verdana" w:hAnsi="Verdana" w:cs="Calibri"/>
          <w:sz w:val="20"/>
          <w:szCs w:val="20"/>
          <w:lang w:val="en-US" w:eastAsia="en-US"/>
        </w:rPr>
        <w:t xml:space="preserve">considers </w:t>
      </w:r>
      <w:r w:rsidRPr="008A3740">
        <w:rPr>
          <w:rFonts w:ascii="Verdana" w:hAnsi="Verdana" w:cs="Calibri"/>
          <w:sz w:val="20"/>
          <w:szCs w:val="20"/>
          <w:lang w:val="en-US" w:eastAsia="en-US"/>
        </w:rPr>
        <w:t xml:space="preserve">that </w:t>
      </w:r>
      <w:r w:rsidR="00136BC1" w:rsidRPr="008A3740">
        <w:rPr>
          <w:rFonts w:ascii="Verdana" w:hAnsi="Verdana" w:cs="Calibri"/>
          <w:sz w:val="20"/>
          <w:szCs w:val="20"/>
          <w:lang w:val="en-US" w:eastAsia="en-US"/>
        </w:rPr>
        <w:t xml:space="preserve">exceptional </w:t>
      </w:r>
      <w:r w:rsidR="00EF0769" w:rsidRPr="008A3740">
        <w:rPr>
          <w:rFonts w:ascii="Verdana" w:hAnsi="Verdana" w:cs="Calibri"/>
          <w:sz w:val="20"/>
          <w:szCs w:val="20"/>
          <w:lang w:val="en-US" w:eastAsia="en-US"/>
        </w:rPr>
        <w:t xml:space="preserve">due </w:t>
      </w:r>
      <w:r w:rsidR="00992351" w:rsidRPr="008A3740">
        <w:rPr>
          <w:rFonts w:ascii="Verdana" w:hAnsi="Verdana" w:cs="Calibri"/>
          <w:sz w:val="20"/>
          <w:szCs w:val="20"/>
          <w:lang w:val="en-US" w:eastAsia="en-US"/>
        </w:rPr>
        <w:t xml:space="preserve">diligence </w:t>
      </w:r>
      <w:r w:rsidR="00136BC1" w:rsidRPr="008A3740">
        <w:rPr>
          <w:rFonts w:ascii="Verdana" w:hAnsi="Verdana" w:cs="Calibri"/>
          <w:sz w:val="20"/>
          <w:szCs w:val="20"/>
          <w:lang w:val="en-US" w:eastAsia="en-US"/>
        </w:rPr>
        <w:t>was required</w:t>
      </w:r>
      <w:r w:rsidR="008E6A56" w:rsidRPr="008A3740">
        <w:rPr>
          <w:rFonts w:ascii="Verdana" w:hAnsi="Verdana" w:cs="Calibri"/>
          <w:sz w:val="20"/>
          <w:szCs w:val="20"/>
          <w:lang w:val="en-US" w:eastAsia="en-US"/>
        </w:rPr>
        <w:t>.</w:t>
      </w:r>
    </w:p>
    <w:p w14:paraId="50E5523A" w14:textId="77777777" w:rsidR="008E6A56" w:rsidRPr="008A3740" w:rsidRDefault="008E6A56" w:rsidP="008E6A56">
      <w:pPr>
        <w:pStyle w:val="Prrafodelista"/>
        <w:rPr>
          <w:rFonts w:ascii="Verdana" w:hAnsi="Verdana" w:cs="Verdana"/>
          <w:bCs/>
          <w:iCs/>
          <w:sz w:val="20"/>
          <w:szCs w:val="20"/>
          <w:lang w:val="en-US"/>
        </w:rPr>
      </w:pPr>
    </w:p>
    <w:p w14:paraId="089068D8"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Verdana" w:hAnsi="Verdana" w:cs="Cambria"/>
          <w:bCs/>
          <w:color w:val="000000"/>
          <w:sz w:val="20"/>
          <w:szCs w:val="20"/>
          <w:lang w:val="en-US" w:eastAsia="x-none"/>
        </w:rPr>
        <w:t xml:space="preserve">In the </w:t>
      </w:r>
      <w:r w:rsidR="00E94D56" w:rsidRPr="008A3740">
        <w:rPr>
          <w:rFonts w:ascii="Verdana" w:eastAsia="Verdana" w:hAnsi="Verdana" w:cs="Cambria"/>
          <w:bCs/>
          <w:color w:val="000000"/>
          <w:sz w:val="20"/>
          <w:szCs w:val="20"/>
          <w:lang w:val="en-US" w:eastAsia="x-none"/>
        </w:rPr>
        <w:t>instant</w:t>
      </w:r>
      <w:r w:rsidRPr="008A3740">
        <w:rPr>
          <w:rFonts w:ascii="Verdana" w:eastAsia="Verdana" w:hAnsi="Verdana" w:cs="Cambria"/>
          <w:bCs/>
          <w:color w:val="000000"/>
          <w:sz w:val="20"/>
          <w:szCs w:val="20"/>
          <w:lang w:val="en-US" w:eastAsia="x-none"/>
        </w:rPr>
        <w:t xml:space="preserve"> case, the Court </w:t>
      </w:r>
      <w:r w:rsidR="00136BC1" w:rsidRPr="008A3740">
        <w:rPr>
          <w:rFonts w:ascii="Verdana" w:eastAsia="Verdana" w:hAnsi="Verdana" w:cs="Cambria"/>
          <w:bCs/>
          <w:color w:val="000000"/>
          <w:sz w:val="20"/>
          <w:szCs w:val="20"/>
          <w:lang w:val="en-US" w:eastAsia="x-none"/>
        </w:rPr>
        <w:t xml:space="preserve">deems it </w:t>
      </w:r>
      <w:r w:rsidR="00F30ABB" w:rsidRPr="008A3740">
        <w:rPr>
          <w:rFonts w:ascii="Verdana" w:eastAsia="Verdana" w:hAnsi="Verdana" w:cs="Cambria"/>
          <w:bCs/>
          <w:color w:val="000000"/>
          <w:sz w:val="20"/>
          <w:szCs w:val="20"/>
          <w:lang w:val="en-US" w:eastAsia="x-none"/>
        </w:rPr>
        <w:t xml:space="preserve">pertinent </w:t>
      </w:r>
      <w:r w:rsidR="00136BC1" w:rsidRPr="008A3740">
        <w:rPr>
          <w:rFonts w:ascii="Verdana" w:eastAsia="Verdana" w:hAnsi="Verdana" w:cs="Cambria"/>
          <w:bCs/>
          <w:color w:val="000000"/>
          <w:sz w:val="20"/>
          <w:szCs w:val="20"/>
          <w:lang w:val="en-US" w:eastAsia="x-none"/>
        </w:rPr>
        <w:t xml:space="preserve">to recall that the </w:t>
      </w:r>
      <w:r w:rsidR="00444FC0" w:rsidRPr="008A3740">
        <w:rPr>
          <w:rFonts w:ascii="Verdana" w:eastAsia="Verdana" w:hAnsi="Verdana" w:cs="Cambria"/>
          <w:bCs/>
          <w:color w:val="000000"/>
          <w:sz w:val="20"/>
          <w:szCs w:val="20"/>
          <w:lang w:val="en-US" w:eastAsia="x-none"/>
        </w:rPr>
        <w:t xml:space="preserve">applications for </w:t>
      </w:r>
      <w:r w:rsidR="00136BC1" w:rsidRPr="008A3740">
        <w:rPr>
          <w:rFonts w:ascii="Verdana" w:eastAsia="Verdana" w:hAnsi="Verdana" w:cs="Cambria"/>
          <w:bCs/>
          <w:i/>
          <w:color w:val="000000"/>
          <w:sz w:val="20"/>
          <w:szCs w:val="20"/>
          <w:lang w:val="en-US" w:eastAsia="x-none"/>
        </w:rPr>
        <w:t>amparo</w:t>
      </w:r>
      <w:r w:rsidRPr="008A3740">
        <w:rPr>
          <w:rFonts w:ascii="Verdana" w:eastAsia="Verdana" w:hAnsi="Verdana" w:cs="Cambria"/>
          <w:bCs/>
          <w:color w:val="000000"/>
          <w:sz w:val="20"/>
          <w:szCs w:val="20"/>
          <w:lang w:val="en-US" w:eastAsia="x-none"/>
        </w:rPr>
        <w:t xml:space="preserve"> fi</w:t>
      </w:r>
      <w:r w:rsidR="00136BC1" w:rsidRPr="008A3740">
        <w:rPr>
          <w:rFonts w:ascii="Verdana" w:eastAsia="Verdana" w:hAnsi="Verdana" w:cs="Cambria"/>
          <w:bCs/>
          <w:color w:val="000000"/>
          <w:sz w:val="20"/>
          <w:szCs w:val="20"/>
          <w:lang w:val="en-US" w:eastAsia="x-none"/>
        </w:rPr>
        <w:t>led</w:t>
      </w:r>
      <w:r w:rsidRPr="008A3740">
        <w:rPr>
          <w:rFonts w:ascii="Verdana" w:eastAsia="Verdana" w:hAnsi="Verdana" w:cs="Cambria"/>
          <w:bCs/>
          <w:color w:val="000000"/>
          <w:sz w:val="20"/>
          <w:szCs w:val="20"/>
          <w:lang w:val="en-US" w:eastAsia="x-none"/>
        </w:rPr>
        <w:t xml:space="preserve"> by the </w:t>
      </w:r>
      <w:r w:rsidR="00136BC1" w:rsidRPr="008A3740">
        <w:rPr>
          <w:rFonts w:ascii="Verdana" w:eastAsia="Verdana" w:hAnsi="Verdana" w:cs="Cambria"/>
          <w:bCs/>
          <w:color w:val="000000"/>
          <w:sz w:val="20"/>
          <w:szCs w:val="20"/>
          <w:lang w:val="en-US" w:eastAsia="x-none"/>
        </w:rPr>
        <w:t xml:space="preserve">alleged </w:t>
      </w:r>
      <w:r w:rsidRPr="008A3740">
        <w:rPr>
          <w:rFonts w:ascii="Verdana" w:eastAsia="Verdana" w:hAnsi="Verdana" w:cs="Cambria"/>
          <w:bCs/>
          <w:color w:val="000000"/>
          <w:sz w:val="20"/>
          <w:szCs w:val="20"/>
          <w:lang w:val="en-US" w:eastAsia="x-none"/>
        </w:rPr>
        <w:t>victim invol</w:t>
      </w:r>
      <w:r w:rsidR="00E630F1" w:rsidRPr="008A3740">
        <w:rPr>
          <w:rFonts w:ascii="Verdana" w:eastAsia="Verdana" w:hAnsi="Verdana" w:cs="Cambria"/>
          <w:bCs/>
          <w:color w:val="000000"/>
          <w:sz w:val="20"/>
          <w:szCs w:val="20"/>
          <w:lang w:val="en-US" w:eastAsia="x-none"/>
        </w:rPr>
        <w:t xml:space="preserve">ved </w:t>
      </w:r>
      <w:r w:rsidR="00C06326" w:rsidRPr="008A3740">
        <w:rPr>
          <w:rFonts w:ascii="Verdana" w:eastAsia="Verdana" w:hAnsi="Verdana" w:cs="Cambria"/>
          <w:bCs/>
          <w:color w:val="000000"/>
          <w:sz w:val="20"/>
          <w:szCs w:val="20"/>
          <w:lang w:val="en-US" w:eastAsia="x-none"/>
        </w:rPr>
        <w:t xml:space="preserve">various </w:t>
      </w:r>
      <w:r w:rsidRPr="008A3740">
        <w:rPr>
          <w:rFonts w:ascii="Verdana" w:eastAsia="Verdana" w:hAnsi="Verdana" w:cs="Cambria"/>
          <w:bCs/>
          <w:color w:val="000000"/>
          <w:sz w:val="20"/>
          <w:szCs w:val="20"/>
          <w:lang w:val="en-US" w:eastAsia="x-none"/>
        </w:rPr>
        <w:t xml:space="preserve">aspects </w:t>
      </w:r>
      <w:r w:rsidR="00444FC0" w:rsidRPr="008A3740">
        <w:rPr>
          <w:rFonts w:ascii="Verdana" w:eastAsia="Verdana" w:hAnsi="Verdana" w:cs="Cambria"/>
          <w:bCs/>
          <w:color w:val="000000"/>
          <w:sz w:val="20"/>
          <w:szCs w:val="20"/>
          <w:lang w:val="en-US" w:eastAsia="x-none"/>
        </w:rPr>
        <w:t xml:space="preserve">of </w:t>
      </w:r>
      <w:r w:rsidR="00C06326" w:rsidRPr="008A3740">
        <w:rPr>
          <w:rFonts w:ascii="Verdana" w:eastAsia="Verdana" w:hAnsi="Verdana" w:cs="Cambria"/>
          <w:bCs/>
          <w:color w:val="000000"/>
          <w:sz w:val="20"/>
          <w:szCs w:val="20"/>
          <w:lang w:val="en-US" w:eastAsia="x-none"/>
        </w:rPr>
        <w:t xml:space="preserve">his </w:t>
      </w:r>
      <w:r w:rsidRPr="008A3740">
        <w:rPr>
          <w:rFonts w:ascii="Verdana" w:eastAsia="Verdana" w:hAnsi="Verdana" w:cs="Cambria"/>
          <w:bCs/>
          <w:color w:val="000000"/>
          <w:sz w:val="20"/>
          <w:szCs w:val="20"/>
          <w:lang w:val="en-US" w:eastAsia="x-none"/>
        </w:rPr>
        <w:t>right to social security, an</w:t>
      </w:r>
      <w:r w:rsidR="004E6447" w:rsidRPr="008A3740">
        <w:rPr>
          <w:rFonts w:ascii="Verdana" w:eastAsia="Verdana" w:hAnsi="Verdana" w:cs="Cambria"/>
          <w:bCs/>
          <w:color w:val="000000"/>
          <w:sz w:val="20"/>
          <w:szCs w:val="20"/>
          <w:lang w:val="en-US" w:eastAsia="x-none"/>
        </w:rPr>
        <w:t xml:space="preserve">d </w:t>
      </w:r>
      <w:r w:rsidR="00C06326" w:rsidRPr="008A3740">
        <w:rPr>
          <w:rFonts w:ascii="Verdana" w:eastAsia="Verdana" w:hAnsi="Verdana" w:cs="Cambria"/>
          <w:bCs/>
          <w:color w:val="000000"/>
          <w:sz w:val="20"/>
          <w:szCs w:val="20"/>
          <w:lang w:val="en-US" w:eastAsia="x-none"/>
        </w:rPr>
        <w:t xml:space="preserve">the </w:t>
      </w:r>
      <w:r w:rsidR="004E6447" w:rsidRPr="008A3740">
        <w:rPr>
          <w:rFonts w:ascii="Verdana" w:eastAsia="Verdana" w:hAnsi="Verdana" w:cs="Cambria"/>
          <w:bCs/>
          <w:color w:val="000000"/>
          <w:sz w:val="20"/>
          <w:szCs w:val="20"/>
          <w:lang w:val="en-US" w:eastAsia="x-none"/>
        </w:rPr>
        <w:t xml:space="preserve">correlative access to </w:t>
      </w:r>
      <w:r w:rsidRPr="008A3740">
        <w:rPr>
          <w:rFonts w:ascii="Verdana" w:eastAsia="Verdana" w:hAnsi="Verdana" w:cs="Cambria"/>
          <w:bCs/>
          <w:color w:val="000000"/>
          <w:sz w:val="20"/>
          <w:szCs w:val="20"/>
          <w:lang w:val="en-US" w:eastAsia="x-none"/>
        </w:rPr>
        <w:t xml:space="preserve">health </w:t>
      </w:r>
      <w:r w:rsidR="00992351" w:rsidRPr="008A3740">
        <w:rPr>
          <w:rFonts w:ascii="Verdana" w:eastAsia="Verdana" w:hAnsi="Verdana" w:cs="Cambria"/>
          <w:bCs/>
          <w:color w:val="000000"/>
          <w:sz w:val="20"/>
          <w:szCs w:val="20"/>
          <w:lang w:val="en-US" w:eastAsia="x-none"/>
        </w:rPr>
        <w:t xml:space="preserve">care </w:t>
      </w:r>
      <w:r w:rsidRPr="008A3740">
        <w:rPr>
          <w:rFonts w:ascii="Verdana" w:eastAsia="Verdana" w:hAnsi="Verdana" w:cs="Cambria"/>
          <w:bCs/>
          <w:color w:val="000000"/>
          <w:sz w:val="20"/>
          <w:szCs w:val="20"/>
          <w:lang w:val="en-US" w:eastAsia="x-none"/>
        </w:rPr>
        <w:t>s</w:t>
      </w:r>
      <w:r w:rsidR="004E6447" w:rsidRPr="008A3740">
        <w:rPr>
          <w:rFonts w:ascii="Verdana" w:eastAsia="Verdana" w:hAnsi="Verdana" w:cs="Cambria"/>
          <w:bCs/>
          <w:color w:val="000000"/>
          <w:sz w:val="20"/>
          <w:szCs w:val="20"/>
          <w:lang w:val="en-US" w:eastAsia="x-none"/>
        </w:rPr>
        <w:t>ervices</w:t>
      </w:r>
      <w:r w:rsidRPr="008A3740">
        <w:rPr>
          <w:rFonts w:ascii="Verdana" w:eastAsia="Verdana" w:hAnsi="Verdana" w:cs="Cambria"/>
          <w:bCs/>
          <w:i/>
          <w:color w:val="000000"/>
          <w:sz w:val="20"/>
          <w:szCs w:val="20"/>
          <w:lang w:val="en-US" w:eastAsia="x-none"/>
        </w:rPr>
        <w:t xml:space="preserve">, </w:t>
      </w:r>
      <w:r w:rsidR="00C06326" w:rsidRPr="008A3740">
        <w:rPr>
          <w:rFonts w:ascii="Verdana" w:eastAsia="Verdana" w:hAnsi="Verdana" w:cs="Cambria"/>
          <w:bCs/>
          <w:color w:val="000000"/>
          <w:sz w:val="20"/>
          <w:szCs w:val="20"/>
          <w:lang w:val="en-US" w:eastAsia="x-none"/>
        </w:rPr>
        <w:t xml:space="preserve">based on </w:t>
      </w:r>
      <w:r w:rsidRPr="008A3740">
        <w:rPr>
          <w:rFonts w:ascii="Verdana" w:eastAsia="Verdana" w:hAnsi="Verdana" w:cs="Cambria"/>
          <w:bCs/>
          <w:color w:val="000000"/>
          <w:sz w:val="20"/>
          <w:szCs w:val="20"/>
          <w:lang w:val="en-US" w:eastAsia="x-none"/>
        </w:rPr>
        <w:t xml:space="preserve">monthly </w:t>
      </w:r>
      <w:r w:rsidR="00C06326" w:rsidRPr="008A3740">
        <w:rPr>
          <w:rFonts w:ascii="Verdana" w:eastAsia="Verdana" w:hAnsi="Verdana" w:cs="Cambria"/>
          <w:bCs/>
          <w:color w:val="000000"/>
          <w:sz w:val="20"/>
          <w:szCs w:val="20"/>
          <w:lang w:val="en-US" w:eastAsia="x-none"/>
        </w:rPr>
        <w:t xml:space="preserve">deductions from his pension, which entitled him </w:t>
      </w:r>
      <w:r w:rsidRPr="008A3740">
        <w:rPr>
          <w:rFonts w:ascii="Verdana" w:eastAsia="Verdana" w:hAnsi="Verdana" w:cs="Cambria"/>
          <w:bCs/>
          <w:color w:val="000000"/>
          <w:sz w:val="20"/>
          <w:szCs w:val="20"/>
          <w:lang w:val="en-US" w:eastAsia="x-none"/>
        </w:rPr>
        <w:t xml:space="preserve">to social </w:t>
      </w:r>
      <w:r w:rsidR="00C06326" w:rsidRPr="008A3740">
        <w:rPr>
          <w:rFonts w:ascii="Verdana" w:eastAsia="Verdana" w:hAnsi="Verdana" w:cs="Cambria"/>
          <w:bCs/>
          <w:color w:val="000000"/>
          <w:sz w:val="20"/>
          <w:szCs w:val="20"/>
          <w:lang w:val="en-US" w:eastAsia="x-none"/>
        </w:rPr>
        <w:t xml:space="preserve">health insurance </w:t>
      </w:r>
      <w:r w:rsidRPr="008A3740">
        <w:rPr>
          <w:rFonts w:ascii="Verdana" w:eastAsia="Verdana" w:hAnsi="Verdana" w:cs="Cambria"/>
          <w:bCs/>
          <w:color w:val="000000"/>
          <w:sz w:val="20"/>
          <w:szCs w:val="20"/>
          <w:lang w:val="en-US" w:eastAsia="x-none"/>
        </w:rPr>
        <w:t xml:space="preserve">with </w:t>
      </w:r>
      <w:r w:rsidR="00136BC1" w:rsidRPr="008A3740">
        <w:rPr>
          <w:rFonts w:ascii="Verdana" w:eastAsia="Verdana" w:hAnsi="Verdana" w:cs="Cambria"/>
          <w:bCs/>
          <w:color w:val="000000"/>
          <w:sz w:val="20"/>
          <w:szCs w:val="20"/>
          <w:lang w:val="en-US" w:eastAsia="x-none"/>
        </w:rPr>
        <w:t>EsSalud.</w:t>
      </w:r>
      <w:r w:rsidRPr="008A3740">
        <w:rPr>
          <w:rStyle w:val="Refdenotaalpie"/>
          <w:rFonts w:eastAsia="Verdana"/>
          <w:bCs/>
          <w:color w:val="000000"/>
          <w:szCs w:val="20"/>
          <w:lang w:val="en-US" w:eastAsia="x-none"/>
        </w:rPr>
        <w:footnoteReference w:id="173"/>
      </w:r>
      <w:r w:rsidRPr="008A3740">
        <w:rPr>
          <w:rFonts w:ascii="Verdana" w:eastAsia="Verdana" w:hAnsi="Verdana" w:cs="Cambria"/>
          <w:bCs/>
          <w:color w:val="000000"/>
          <w:sz w:val="20"/>
          <w:szCs w:val="20"/>
          <w:lang w:val="en-US" w:eastAsia="x-none"/>
        </w:rPr>
        <w:t xml:space="preserve"> </w:t>
      </w:r>
      <w:r w:rsidR="00136BC1" w:rsidRPr="008A3740">
        <w:rPr>
          <w:rFonts w:ascii="Verdana" w:eastAsia="Verdana" w:hAnsi="Verdana" w:cs="Cambria"/>
          <w:bCs/>
          <w:color w:val="000000"/>
          <w:sz w:val="20"/>
          <w:szCs w:val="20"/>
          <w:lang w:val="en-US" w:eastAsia="x-none"/>
        </w:rPr>
        <w:t xml:space="preserve">This aspect is </w:t>
      </w:r>
      <w:r w:rsidRPr="008A3740">
        <w:rPr>
          <w:rFonts w:ascii="Verdana" w:eastAsia="Verdana" w:hAnsi="Verdana" w:cs="Cambria"/>
          <w:bCs/>
          <w:color w:val="000000"/>
          <w:sz w:val="20"/>
          <w:szCs w:val="20"/>
          <w:lang w:val="en-US" w:eastAsia="x-none"/>
        </w:rPr>
        <w:t xml:space="preserve">of the utmost importance, </w:t>
      </w:r>
      <w:r w:rsidR="004E6447" w:rsidRPr="008A3740">
        <w:rPr>
          <w:rFonts w:ascii="Verdana" w:eastAsia="Verdana" w:hAnsi="Verdana" w:cs="Cambria"/>
          <w:bCs/>
          <w:color w:val="000000"/>
          <w:sz w:val="20"/>
          <w:szCs w:val="20"/>
          <w:lang w:val="en-US" w:eastAsia="x-none"/>
        </w:rPr>
        <w:t xml:space="preserve">given that </w:t>
      </w:r>
      <w:r w:rsidRPr="008A3740">
        <w:rPr>
          <w:rFonts w:ascii="Verdana" w:eastAsia="Verdana" w:hAnsi="Verdana" w:cs="Cambria"/>
          <w:bCs/>
          <w:color w:val="000000"/>
          <w:sz w:val="20"/>
          <w:szCs w:val="20"/>
          <w:lang w:val="en-US" w:eastAsia="x-none"/>
        </w:rPr>
        <w:t xml:space="preserve">the victim is 82 years old, </w:t>
      </w:r>
      <w:r w:rsidR="00C06326" w:rsidRPr="008A3740">
        <w:rPr>
          <w:rFonts w:ascii="Verdana" w:eastAsia="Verdana" w:hAnsi="Verdana" w:cs="Cambria"/>
          <w:bCs/>
          <w:color w:val="000000"/>
          <w:sz w:val="20"/>
          <w:szCs w:val="20"/>
          <w:lang w:val="en-US" w:eastAsia="x-none"/>
        </w:rPr>
        <w:t xml:space="preserve">which </w:t>
      </w:r>
      <w:r w:rsidRPr="008A3740">
        <w:rPr>
          <w:rFonts w:ascii="Verdana" w:eastAsia="Verdana" w:hAnsi="Verdana" w:cs="Cambria"/>
          <w:bCs/>
          <w:color w:val="000000"/>
          <w:sz w:val="20"/>
          <w:szCs w:val="20"/>
          <w:lang w:val="en-US" w:eastAsia="x-none"/>
        </w:rPr>
        <w:t xml:space="preserve">places </w:t>
      </w:r>
      <w:r w:rsidR="004E6447" w:rsidRPr="008A3740">
        <w:rPr>
          <w:rFonts w:ascii="Verdana" w:eastAsia="Verdana" w:hAnsi="Verdana" w:cs="Cambria"/>
          <w:bCs/>
          <w:color w:val="000000"/>
          <w:sz w:val="20"/>
          <w:szCs w:val="20"/>
          <w:lang w:val="en-US" w:eastAsia="x-none"/>
        </w:rPr>
        <w:t xml:space="preserve">him </w:t>
      </w:r>
      <w:r w:rsidRPr="008A3740">
        <w:rPr>
          <w:rFonts w:ascii="Verdana" w:eastAsia="Verdana" w:hAnsi="Verdana" w:cs="Cambria"/>
          <w:bCs/>
          <w:color w:val="000000"/>
          <w:sz w:val="20"/>
          <w:szCs w:val="20"/>
          <w:lang w:val="en-US" w:eastAsia="x-none"/>
        </w:rPr>
        <w:t>in an even gre</w:t>
      </w:r>
      <w:r w:rsidR="00444FC0" w:rsidRPr="008A3740">
        <w:rPr>
          <w:rFonts w:ascii="Verdana" w:eastAsia="Verdana" w:hAnsi="Verdana" w:cs="Cambria"/>
          <w:bCs/>
          <w:color w:val="000000"/>
          <w:sz w:val="20"/>
          <w:szCs w:val="20"/>
          <w:lang w:val="en-US" w:eastAsia="x-none"/>
        </w:rPr>
        <w:t>ater situation of vulnerability and</w:t>
      </w:r>
      <w:r w:rsidRPr="008A3740">
        <w:rPr>
          <w:rFonts w:ascii="Verdana" w:eastAsia="Verdana" w:hAnsi="Verdana" w:cs="Cambria"/>
          <w:bCs/>
          <w:color w:val="000000"/>
          <w:sz w:val="20"/>
          <w:szCs w:val="20"/>
          <w:lang w:val="en-US" w:eastAsia="x-none"/>
        </w:rPr>
        <w:t xml:space="preserve"> impl</w:t>
      </w:r>
      <w:r w:rsidR="00444FC0" w:rsidRPr="008A3740">
        <w:rPr>
          <w:rFonts w:ascii="Verdana" w:eastAsia="Verdana" w:hAnsi="Verdana" w:cs="Cambria"/>
          <w:bCs/>
          <w:color w:val="000000"/>
          <w:sz w:val="20"/>
          <w:szCs w:val="20"/>
          <w:lang w:val="en-US" w:eastAsia="x-none"/>
        </w:rPr>
        <w:t xml:space="preserve">ies </w:t>
      </w:r>
      <w:r w:rsidR="004E6447" w:rsidRPr="008A3740">
        <w:rPr>
          <w:rFonts w:ascii="Verdana" w:eastAsia="Verdana" w:hAnsi="Verdana" w:cs="Cambria"/>
          <w:bCs/>
          <w:color w:val="000000"/>
          <w:sz w:val="20"/>
          <w:szCs w:val="20"/>
          <w:lang w:val="en-US" w:eastAsia="x-none"/>
        </w:rPr>
        <w:t>a</w:t>
      </w:r>
      <w:r w:rsidRPr="008A3740">
        <w:rPr>
          <w:rFonts w:ascii="Verdana" w:eastAsia="Verdana" w:hAnsi="Verdana" w:cs="Cambria"/>
          <w:bCs/>
          <w:color w:val="000000"/>
          <w:sz w:val="20"/>
          <w:szCs w:val="20"/>
          <w:lang w:val="en-US" w:eastAsia="x-none"/>
        </w:rPr>
        <w:t xml:space="preserve"> re</w:t>
      </w:r>
      <w:r w:rsidR="006B2D8B" w:rsidRPr="008A3740">
        <w:rPr>
          <w:rFonts w:ascii="Verdana" w:eastAsia="Verdana" w:hAnsi="Verdana" w:cs="Cambria"/>
          <w:bCs/>
          <w:color w:val="000000"/>
          <w:sz w:val="20"/>
          <w:szCs w:val="20"/>
          <w:lang w:val="en-US" w:eastAsia="x-none"/>
        </w:rPr>
        <w:t xml:space="preserve">inforced </w:t>
      </w:r>
      <w:r w:rsidR="004E6447" w:rsidRPr="008A3740">
        <w:rPr>
          <w:rFonts w:ascii="Verdana" w:eastAsia="Verdana" w:hAnsi="Verdana" w:cs="Cambria"/>
          <w:bCs/>
          <w:color w:val="000000"/>
          <w:sz w:val="20"/>
          <w:szCs w:val="20"/>
          <w:lang w:val="en-US" w:eastAsia="x-none"/>
        </w:rPr>
        <w:t xml:space="preserve">obligation </w:t>
      </w:r>
      <w:r w:rsidRPr="008A3740">
        <w:rPr>
          <w:rFonts w:ascii="Verdana" w:eastAsia="Verdana" w:hAnsi="Verdana" w:cs="Cambria"/>
          <w:bCs/>
          <w:color w:val="000000"/>
          <w:sz w:val="20"/>
          <w:szCs w:val="20"/>
          <w:lang w:val="en-US" w:eastAsia="x-none"/>
        </w:rPr>
        <w:t xml:space="preserve">to respect and guarantee his rights. In fact, Mr. Muelle Flores stopped receiving his pension </w:t>
      </w:r>
      <w:r w:rsidR="00C06326" w:rsidRPr="008A3740">
        <w:rPr>
          <w:rFonts w:ascii="Verdana" w:eastAsia="Verdana" w:hAnsi="Verdana" w:cs="Cambria"/>
          <w:bCs/>
          <w:color w:val="000000"/>
          <w:sz w:val="20"/>
          <w:szCs w:val="20"/>
          <w:lang w:val="en-US" w:eastAsia="x-none"/>
        </w:rPr>
        <w:t>from 1991</w:t>
      </w:r>
      <w:r w:rsidR="00FB3A10" w:rsidRPr="008A3740">
        <w:rPr>
          <w:rFonts w:ascii="Verdana" w:eastAsia="Verdana" w:hAnsi="Verdana" w:cs="Cambria"/>
          <w:bCs/>
          <w:color w:val="000000"/>
          <w:sz w:val="20"/>
          <w:szCs w:val="20"/>
          <w:lang w:val="en-US" w:eastAsia="x-none"/>
        </w:rPr>
        <w:t xml:space="preserve"> </w:t>
      </w:r>
      <w:r w:rsidRPr="008A3740">
        <w:rPr>
          <w:rFonts w:ascii="Verdana" w:eastAsia="Verdana" w:hAnsi="Verdana" w:cs="Cambria"/>
          <w:bCs/>
          <w:color w:val="000000"/>
          <w:sz w:val="20"/>
          <w:szCs w:val="20"/>
          <w:lang w:val="en-US" w:eastAsia="x-none"/>
        </w:rPr>
        <w:t>(</w:t>
      </w:r>
      <w:r w:rsidR="00444FC0" w:rsidRPr="008A3740">
        <w:rPr>
          <w:rFonts w:ascii="Verdana" w:eastAsia="Verdana" w:hAnsi="Verdana" w:cs="Cambria"/>
          <w:bCs/>
          <w:color w:val="000000"/>
          <w:sz w:val="20"/>
          <w:szCs w:val="20"/>
          <w:lang w:val="en-US" w:eastAsia="x-none"/>
        </w:rPr>
        <w:t>al</w:t>
      </w:r>
      <w:r w:rsidR="00377462" w:rsidRPr="008A3740">
        <w:rPr>
          <w:rFonts w:ascii="Verdana" w:eastAsia="Verdana" w:hAnsi="Verdana" w:cs="Cambria"/>
          <w:bCs/>
          <w:color w:val="000000"/>
          <w:sz w:val="20"/>
          <w:szCs w:val="20"/>
          <w:lang w:val="en-US" w:eastAsia="x-none"/>
        </w:rPr>
        <w:t>though he did receive</w:t>
      </w:r>
      <w:r w:rsidRPr="008A3740">
        <w:rPr>
          <w:rFonts w:ascii="Verdana" w:eastAsia="Verdana" w:hAnsi="Verdana" w:cs="Cambria"/>
          <w:bCs/>
          <w:color w:val="000000"/>
          <w:sz w:val="20"/>
          <w:szCs w:val="20"/>
          <w:lang w:val="en-US" w:eastAsia="x-none"/>
        </w:rPr>
        <w:t xml:space="preserve"> some partial payments) pursuant to </w:t>
      </w:r>
      <w:r w:rsidR="004E6447" w:rsidRPr="008A3740">
        <w:rPr>
          <w:rFonts w:ascii="Verdana" w:eastAsia="Verdana" w:hAnsi="Verdana" w:cs="Cambria"/>
          <w:bCs/>
          <w:color w:val="000000"/>
          <w:sz w:val="20"/>
          <w:szCs w:val="20"/>
          <w:lang w:val="en-US" w:eastAsia="x-none"/>
        </w:rPr>
        <w:t xml:space="preserve">the laws in force at </w:t>
      </w:r>
      <w:r w:rsidRPr="008A3740">
        <w:rPr>
          <w:rFonts w:ascii="Verdana" w:eastAsia="Verdana" w:hAnsi="Verdana" w:cs="Cambria"/>
          <w:bCs/>
          <w:color w:val="000000"/>
          <w:sz w:val="20"/>
          <w:szCs w:val="20"/>
          <w:lang w:val="en-US" w:eastAsia="x-none"/>
        </w:rPr>
        <w:t>the time. In other words, despite having a</w:t>
      </w:r>
      <w:r w:rsidR="004E6447" w:rsidRPr="008A3740">
        <w:rPr>
          <w:rFonts w:ascii="Verdana" w:eastAsia="Verdana" w:hAnsi="Verdana" w:cs="Cambria"/>
          <w:bCs/>
          <w:color w:val="000000"/>
          <w:sz w:val="20"/>
          <w:szCs w:val="20"/>
          <w:lang w:val="en-US" w:eastAsia="x-none"/>
        </w:rPr>
        <w:t xml:space="preserve">cquired </w:t>
      </w:r>
      <w:r w:rsidR="00C06326" w:rsidRPr="008A3740">
        <w:rPr>
          <w:rFonts w:ascii="Verdana" w:eastAsia="Verdana" w:hAnsi="Verdana" w:cs="Cambria"/>
          <w:bCs/>
          <w:color w:val="000000"/>
          <w:sz w:val="20"/>
          <w:szCs w:val="20"/>
          <w:lang w:val="en-US" w:eastAsia="x-none"/>
        </w:rPr>
        <w:t xml:space="preserve">the </w:t>
      </w:r>
      <w:r w:rsidR="004E6447" w:rsidRPr="008A3740">
        <w:rPr>
          <w:rFonts w:ascii="Verdana" w:eastAsia="Verdana" w:hAnsi="Verdana" w:cs="Cambria"/>
          <w:bCs/>
          <w:color w:val="000000"/>
          <w:sz w:val="20"/>
          <w:szCs w:val="20"/>
          <w:lang w:val="en-US" w:eastAsia="x-none"/>
        </w:rPr>
        <w:t xml:space="preserve">right to </w:t>
      </w:r>
      <w:r w:rsidR="00C06326" w:rsidRPr="008A3740">
        <w:rPr>
          <w:rFonts w:ascii="Verdana" w:eastAsia="Verdana" w:hAnsi="Verdana" w:cs="Cambria"/>
          <w:bCs/>
          <w:color w:val="000000"/>
          <w:sz w:val="20"/>
          <w:szCs w:val="20"/>
          <w:lang w:val="en-US" w:eastAsia="x-none"/>
        </w:rPr>
        <w:t xml:space="preserve">a </w:t>
      </w:r>
      <w:r w:rsidR="004E6447" w:rsidRPr="008A3740">
        <w:rPr>
          <w:rFonts w:ascii="Verdana" w:eastAsia="Verdana" w:hAnsi="Verdana" w:cs="Cambria"/>
          <w:bCs/>
          <w:color w:val="000000"/>
          <w:sz w:val="20"/>
          <w:szCs w:val="20"/>
          <w:lang w:val="en-US" w:eastAsia="x-none"/>
        </w:rPr>
        <w:t xml:space="preserve">pension in September </w:t>
      </w:r>
      <w:r w:rsidRPr="008A3740">
        <w:rPr>
          <w:rFonts w:ascii="Verdana" w:eastAsia="Verdana" w:hAnsi="Verdana" w:cs="Cambria"/>
          <w:bCs/>
          <w:color w:val="000000"/>
          <w:sz w:val="20"/>
          <w:szCs w:val="20"/>
          <w:lang w:val="en-US" w:eastAsia="x-none"/>
        </w:rPr>
        <w:t xml:space="preserve">1990, which </w:t>
      </w:r>
      <w:r w:rsidR="004E6447" w:rsidRPr="008A3740">
        <w:rPr>
          <w:rFonts w:ascii="Verdana" w:eastAsia="Verdana" w:hAnsi="Verdana" w:cs="Cambria"/>
          <w:bCs/>
          <w:color w:val="000000"/>
          <w:sz w:val="20"/>
          <w:szCs w:val="20"/>
          <w:lang w:val="en-US" w:eastAsia="x-none"/>
        </w:rPr>
        <w:t xml:space="preserve">would have provided him with </w:t>
      </w:r>
      <w:r w:rsidRPr="008A3740">
        <w:rPr>
          <w:rFonts w:ascii="Verdana" w:eastAsia="Verdana" w:hAnsi="Verdana" w:cs="Cambria"/>
          <w:bCs/>
          <w:color w:val="000000"/>
          <w:sz w:val="20"/>
          <w:szCs w:val="20"/>
          <w:lang w:val="en-US" w:eastAsia="x-none"/>
        </w:rPr>
        <w:t xml:space="preserve">sufficient means to </w:t>
      </w:r>
      <w:r w:rsidR="004E6447" w:rsidRPr="008A3740">
        <w:rPr>
          <w:rFonts w:ascii="Verdana" w:eastAsia="Verdana" w:hAnsi="Verdana" w:cs="Cambria"/>
          <w:bCs/>
          <w:color w:val="000000"/>
          <w:sz w:val="20"/>
          <w:szCs w:val="20"/>
          <w:lang w:val="en-US" w:eastAsia="x-none"/>
        </w:rPr>
        <w:t xml:space="preserve">live </w:t>
      </w:r>
      <w:r w:rsidRPr="008A3740">
        <w:rPr>
          <w:rFonts w:ascii="Verdana" w:eastAsia="Verdana" w:hAnsi="Verdana" w:cs="Cambria"/>
          <w:bCs/>
          <w:color w:val="000000"/>
          <w:sz w:val="20"/>
          <w:szCs w:val="20"/>
          <w:lang w:val="en-US" w:eastAsia="x-none"/>
        </w:rPr>
        <w:t xml:space="preserve">with dignity and </w:t>
      </w:r>
      <w:r w:rsidR="00FB3A10" w:rsidRPr="008A3740">
        <w:rPr>
          <w:rFonts w:ascii="Verdana" w:eastAsia="Verdana" w:hAnsi="Verdana" w:cs="Cambria"/>
          <w:bCs/>
          <w:color w:val="000000"/>
          <w:sz w:val="20"/>
          <w:szCs w:val="20"/>
          <w:lang w:val="en-US" w:eastAsia="x-none"/>
        </w:rPr>
        <w:t xml:space="preserve">to </w:t>
      </w:r>
      <w:r w:rsidRPr="008A3740">
        <w:rPr>
          <w:rFonts w:ascii="Verdana" w:eastAsia="Verdana" w:hAnsi="Verdana" w:cs="Cambria"/>
          <w:bCs/>
          <w:color w:val="000000"/>
          <w:sz w:val="20"/>
          <w:szCs w:val="20"/>
          <w:lang w:val="en-US" w:eastAsia="x-none"/>
        </w:rPr>
        <w:t xml:space="preserve">cover his health </w:t>
      </w:r>
      <w:r w:rsidR="00EF0769" w:rsidRPr="008A3740">
        <w:rPr>
          <w:rFonts w:ascii="Verdana" w:eastAsia="Verdana" w:hAnsi="Verdana" w:cs="Cambria"/>
          <w:bCs/>
          <w:color w:val="000000"/>
          <w:sz w:val="20"/>
          <w:szCs w:val="20"/>
          <w:lang w:val="en-US" w:eastAsia="x-none"/>
        </w:rPr>
        <w:t xml:space="preserve">care </w:t>
      </w:r>
      <w:r w:rsidRPr="008A3740">
        <w:rPr>
          <w:rFonts w:ascii="Verdana" w:eastAsia="Verdana" w:hAnsi="Verdana" w:cs="Cambria"/>
          <w:bCs/>
          <w:color w:val="000000"/>
          <w:sz w:val="20"/>
          <w:szCs w:val="20"/>
          <w:lang w:val="en-US" w:eastAsia="x-none"/>
        </w:rPr>
        <w:t xml:space="preserve">expenses, Mr. Muelle Flores </w:t>
      </w:r>
      <w:r w:rsidR="004E6447" w:rsidRPr="008A3740">
        <w:rPr>
          <w:rFonts w:ascii="Verdana" w:eastAsia="Verdana" w:hAnsi="Verdana" w:cs="Cambria"/>
          <w:bCs/>
          <w:color w:val="000000"/>
          <w:sz w:val="20"/>
          <w:szCs w:val="20"/>
          <w:lang w:val="en-US" w:eastAsia="x-none"/>
        </w:rPr>
        <w:t xml:space="preserve">was unable to </w:t>
      </w:r>
      <w:r w:rsidR="00FB3A10" w:rsidRPr="008A3740">
        <w:rPr>
          <w:rFonts w:ascii="Verdana" w:eastAsia="Verdana" w:hAnsi="Verdana" w:cs="Cambria"/>
          <w:bCs/>
          <w:color w:val="000000"/>
          <w:sz w:val="20"/>
          <w:szCs w:val="20"/>
          <w:lang w:val="en-US" w:eastAsia="x-none"/>
        </w:rPr>
        <w:t>enjoy t</w:t>
      </w:r>
      <w:r w:rsidR="004E6447" w:rsidRPr="008A3740">
        <w:rPr>
          <w:rFonts w:ascii="Verdana" w:eastAsia="Verdana" w:hAnsi="Verdana" w:cs="Cambria"/>
          <w:bCs/>
          <w:color w:val="000000"/>
          <w:sz w:val="20"/>
          <w:szCs w:val="20"/>
          <w:lang w:val="en-US" w:eastAsia="x-none"/>
        </w:rPr>
        <w:t>his right</w:t>
      </w:r>
      <w:r w:rsidR="00FB3A10" w:rsidRPr="008A3740">
        <w:rPr>
          <w:rFonts w:ascii="Verdana" w:eastAsia="Verdana" w:hAnsi="Verdana" w:cs="Cambria"/>
          <w:bCs/>
          <w:color w:val="000000"/>
          <w:sz w:val="20"/>
          <w:szCs w:val="20"/>
          <w:lang w:val="en-US" w:eastAsia="x-none"/>
        </w:rPr>
        <w:t>, but</w:t>
      </w:r>
      <w:r w:rsidRPr="008A3740">
        <w:rPr>
          <w:rFonts w:ascii="Verdana" w:eastAsia="Verdana" w:hAnsi="Verdana" w:cs="Cambria"/>
          <w:bCs/>
          <w:color w:val="000000"/>
          <w:sz w:val="20"/>
          <w:szCs w:val="20"/>
          <w:lang w:val="en-US" w:eastAsia="x-none"/>
        </w:rPr>
        <w:t xml:space="preserve"> </w:t>
      </w:r>
      <w:r w:rsidR="00FB3A10" w:rsidRPr="008A3740">
        <w:rPr>
          <w:rFonts w:ascii="Verdana" w:eastAsia="Verdana" w:hAnsi="Verdana" w:cs="Cambria"/>
          <w:bCs/>
          <w:color w:val="000000"/>
          <w:sz w:val="20"/>
          <w:szCs w:val="20"/>
          <w:lang w:val="en-US" w:eastAsia="x-none"/>
        </w:rPr>
        <w:t xml:space="preserve">instead </w:t>
      </w:r>
      <w:r w:rsidRPr="008A3740">
        <w:rPr>
          <w:rFonts w:ascii="Verdana" w:eastAsia="Verdana" w:hAnsi="Verdana" w:cs="Cambria"/>
          <w:bCs/>
          <w:color w:val="000000"/>
          <w:sz w:val="20"/>
          <w:szCs w:val="20"/>
          <w:lang w:val="en-US" w:eastAsia="x-none"/>
        </w:rPr>
        <w:t>had to seek financial help from his family</w:t>
      </w:r>
      <w:r w:rsidRPr="008A3740">
        <w:rPr>
          <w:rStyle w:val="Refdenotaalpie"/>
          <w:rFonts w:eastAsia="Verdana"/>
          <w:bCs/>
          <w:color w:val="000000"/>
          <w:szCs w:val="20"/>
          <w:lang w:val="en-US" w:eastAsia="x-none"/>
        </w:rPr>
        <w:footnoteReference w:id="174"/>
      </w:r>
      <w:r w:rsidR="004E6447" w:rsidRPr="008A3740">
        <w:rPr>
          <w:rFonts w:ascii="Verdana" w:eastAsia="Verdana" w:hAnsi="Verdana" w:cs="Cambria"/>
          <w:bCs/>
          <w:color w:val="000000"/>
          <w:sz w:val="20"/>
          <w:szCs w:val="20"/>
          <w:lang w:val="en-US" w:eastAsia="x-none"/>
        </w:rPr>
        <w:t xml:space="preserve"> and take </w:t>
      </w:r>
      <w:r w:rsidRPr="008A3740">
        <w:rPr>
          <w:rFonts w:ascii="Verdana" w:eastAsia="Verdana" w:hAnsi="Verdana" w:cs="Cambria"/>
          <w:bCs/>
          <w:color w:val="000000"/>
          <w:sz w:val="20"/>
          <w:szCs w:val="20"/>
          <w:lang w:val="en-US" w:eastAsia="x-none"/>
        </w:rPr>
        <w:t xml:space="preserve">certain </w:t>
      </w:r>
      <w:r w:rsidR="00EF0769" w:rsidRPr="008A3740">
        <w:rPr>
          <w:rFonts w:ascii="Verdana" w:eastAsia="Verdana" w:hAnsi="Verdana" w:cs="Cambria"/>
          <w:bCs/>
          <w:color w:val="000000"/>
          <w:sz w:val="20"/>
          <w:szCs w:val="20"/>
          <w:lang w:val="en-US" w:eastAsia="x-none"/>
        </w:rPr>
        <w:t xml:space="preserve">occasional </w:t>
      </w:r>
      <w:r w:rsidRPr="008A3740">
        <w:rPr>
          <w:rFonts w:ascii="Verdana" w:eastAsia="Verdana" w:hAnsi="Verdana" w:cs="Cambria"/>
          <w:bCs/>
          <w:color w:val="000000"/>
          <w:sz w:val="20"/>
          <w:szCs w:val="20"/>
          <w:lang w:val="en-US" w:eastAsia="x-none"/>
        </w:rPr>
        <w:t xml:space="preserve">jobs </w:t>
      </w:r>
      <w:r w:rsidR="00EA14B2" w:rsidRPr="008A3740">
        <w:rPr>
          <w:rFonts w:ascii="Verdana" w:eastAsia="Verdana" w:hAnsi="Verdana" w:cs="Cambria"/>
          <w:bCs/>
          <w:color w:val="000000"/>
          <w:sz w:val="20"/>
          <w:szCs w:val="20"/>
          <w:lang w:val="en-US" w:eastAsia="x-none"/>
        </w:rPr>
        <w:t xml:space="preserve">for </w:t>
      </w:r>
      <w:r w:rsidR="00FB3A10" w:rsidRPr="008A3740">
        <w:rPr>
          <w:rFonts w:ascii="Verdana" w:eastAsia="Verdana" w:hAnsi="Verdana" w:cs="Cambria"/>
          <w:bCs/>
          <w:color w:val="000000"/>
          <w:sz w:val="20"/>
          <w:szCs w:val="20"/>
          <w:lang w:val="en-US" w:eastAsia="x-none"/>
        </w:rPr>
        <w:t xml:space="preserve">as long as </w:t>
      </w:r>
      <w:r w:rsidRPr="008A3740">
        <w:rPr>
          <w:rFonts w:ascii="Verdana" w:eastAsia="Verdana" w:hAnsi="Verdana" w:cs="Cambria"/>
          <w:bCs/>
          <w:color w:val="000000"/>
          <w:sz w:val="20"/>
          <w:szCs w:val="20"/>
          <w:lang w:val="en-US" w:eastAsia="x-none"/>
        </w:rPr>
        <w:t xml:space="preserve">his health </w:t>
      </w:r>
      <w:r w:rsidR="004E6447" w:rsidRPr="008A3740">
        <w:rPr>
          <w:rFonts w:ascii="Verdana" w:eastAsia="Verdana" w:hAnsi="Verdana" w:cs="Cambria"/>
          <w:bCs/>
          <w:color w:val="000000"/>
          <w:sz w:val="20"/>
          <w:szCs w:val="20"/>
          <w:lang w:val="en-US" w:eastAsia="x-none"/>
        </w:rPr>
        <w:t>allowed</w:t>
      </w:r>
      <w:r w:rsidRPr="008A3740">
        <w:rPr>
          <w:rFonts w:ascii="Verdana" w:eastAsia="Verdana" w:hAnsi="Verdana" w:cs="Cambria"/>
          <w:bCs/>
          <w:color w:val="000000"/>
          <w:sz w:val="20"/>
          <w:szCs w:val="20"/>
          <w:lang w:val="en-US" w:eastAsia="x-none"/>
        </w:rPr>
        <w:t xml:space="preserve">, </w:t>
      </w:r>
      <w:r w:rsidR="00FB3A10" w:rsidRPr="008A3740">
        <w:rPr>
          <w:rFonts w:ascii="Verdana" w:eastAsia="Verdana" w:hAnsi="Verdana" w:cs="Cambria"/>
          <w:bCs/>
          <w:color w:val="000000"/>
          <w:sz w:val="20"/>
          <w:szCs w:val="20"/>
          <w:lang w:val="en-US" w:eastAsia="x-none"/>
        </w:rPr>
        <w:t xml:space="preserve">in order </w:t>
      </w:r>
      <w:r w:rsidRPr="008A3740">
        <w:rPr>
          <w:rFonts w:ascii="Verdana" w:eastAsia="Verdana" w:hAnsi="Verdana" w:cs="Cambria"/>
          <w:bCs/>
          <w:color w:val="000000"/>
          <w:sz w:val="20"/>
          <w:szCs w:val="20"/>
          <w:lang w:val="en-US" w:eastAsia="x-none"/>
        </w:rPr>
        <w:t>to survive.</w:t>
      </w:r>
    </w:p>
    <w:p w14:paraId="2712DDEB" w14:textId="77777777" w:rsidR="008E6A56" w:rsidRPr="008A3740" w:rsidRDefault="008E6A56" w:rsidP="008E6A56">
      <w:pPr>
        <w:widowControl/>
        <w:tabs>
          <w:tab w:val="left" w:pos="567"/>
          <w:tab w:val="left" w:pos="720"/>
        </w:tabs>
        <w:adjustRightInd/>
        <w:textAlignment w:val="auto"/>
        <w:rPr>
          <w:rFonts w:ascii="Verdana" w:hAnsi="Verdana" w:cs="Verdana"/>
          <w:bCs/>
          <w:iCs/>
          <w:sz w:val="20"/>
          <w:szCs w:val="20"/>
          <w:lang w:val="en-US"/>
        </w:rPr>
      </w:pPr>
    </w:p>
    <w:p w14:paraId="19D843BC" w14:textId="77777777" w:rsidR="008E6A56" w:rsidRPr="008A3740" w:rsidRDefault="00EA14B2"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Verdana" w:hAnsi="Verdana" w:cs="Cambria"/>
          <w:bCs/>
          <w:color w:val="000000"/>
          <w:sz w:val="20"/>
          <w:szCs w:val="20"/>
          <w:lang w:val="en-US" w:eastAsia="x-none"/>
        </w:rPr>
        <w:t>In addition</w:t>
      </w:r>
      <w:r w:rsidR="008E6A56" w:rsidRPr="008A3740">
        <w:rPr>
          <w:rFonts w:ascii="Verdana" w:eastAsia="Verdana" w:hAnsi="Verdana" w:cs="Cambria"/>
          <w:bCs/>
          <w:color w:val="000000"/>
          <w:sz w:val="20"/>
          <w:szCs w:val="20"/>
          <w:lang w:val="en-US" w:eastAsia="x-none"/>
        </w:rPr>
        <w:t xml:space="preserve">, the victim has </w:t>
      </w:r>
      <w:r w:rsidRPr="008A3740">
        <w:rPr>
          <w:rFonts w:ascii="Verdana" w:eastAsia="Verdana" w:hAnsi="Verdana" w:cs="Cambria"/>
          <w:bCs/>
          <w:color w:val="000000"/>
          <w:sz w:val="20"/>
          <w:szCs w:val="20"/>
          <w:lang w:val="en-US" w:eastAsia="x-none"/>
        </w:rPr>
        <w:t xml:space="preserve">suffered </w:t>
      </w:r>
      <w:r w:rsidR="008E6A56" w:rsidRPr="008A3740">
        <w:rPr>
          <w:rFonts w:ascii="Verdana" w:eastAsia="Verdana" w:hAnsi="Verdana" w:cs="Cambria"/>
          <w:bCs/>
          <w:color w:val="000000"/>
          <w:sz w:val="20"/>
          <w:szCs w:val="20"/>
          <w:lang w:val="en-US" w:eastAsia="x-none"/>
        </w:rPr>
        <w:t>various ailments, which have worsened over time, such as the development of severe h</w:t>
      </w:r>
      <w:r w:rsidR="008E6A56" w:rsidRPr="008A3740">
        <w:rPr>
          <w:rFonts w:ascii="Verdana" w:hAnsi="Verdana"/>
          <w:sz w:val="20"/>
          <w:szCs w:val="20"/>
          <w:lang w:val="en-US"/>
        </w:rPr>
        <w:t xml:space="preserve">ypoacusia with total loss </w:t>
      </w:r>
      <w:r w:rsidRPr="008A3740">
        <w:rPr>
          <w:rFonts w:ascii="Verdana" w:hAnsi="Verdana"/>
          <w:sz w:val="20"/>
          <w:szCs w:val="20"/>
          <w:lang w:val="en-US"/>
        </w:rPr>
        <w:t xml:space="preserve">of hearing </w:t>
      </w:r>
      <w:r w:rsidR="008E6A56" w:rsidRPr="008A3740">
        <w:rPr>
          <w:rFonts w:ascii="Verdana" w:hAnsi="Verdana"/>
          <w:sz w:val="20"/>
          <w:szCs w:val="20"/>
          <w:lang w:val="en-US"/>
        </w:rPr>
        <w:t xml:space="preserve">in one ear and </w:t>
      </w:r>
      <w:r w:rsidRPr="008A3740">
        <w:rPr>
          <w:rFonts w:ascii="Verdana" w:hAnsi="Verdana"/>
          <w:sz w:val="20"/>
          <w:szCs w:val="20"/>
          <w:lang w:val="en-US"/>
        </w:rPr>
        <w:t xml:space="preserve">a </w:t>
      </w:r>
      <w:r w:rsidR="008E6A56" w:rsidRPr="008A3740">
        <w:rPr>
          <w:rFonts w:ascii="Verdana" w:hAnsi="Verdana"/>
          <w:sz w:val="20"/>
          <w:szCs w:val="20"/>
          <w:lang w:val="en-US"/>
        </w:rPr>
        <w:t xml:space="preserve">significant </w:t>
      </w:r>
      <w:r w:rsidR="00EF0769" w:rsidRPr="008A3740">
        <w:rPr>
          <w:rFonts w:ascii="Verdana" w:hAnsi="Verdana"/>
          <w:sz w:val="20"/>
          <w:szCs w:val="20"/>
          <w:lang w:val="en-US"/>
        </w:rPr>
        <w:t xml:space="preserve">decrease </w:t>
      </w:r>
      <w:r w:rsidR="008E6A56" w:rsidRPr="008A3740">
        <w:rPr>
          <w:rFonts w:ascii="Verdana" w:hAnsi="Verdana"/>
          <w:sz w:val="20"/>
          <w:szCs w:val="20"/>
          <w:lang w:val="en-US"/>
        </w:rPr>
        <w:t xml:space="preserve">in hearing in the other, Alzheimer’s </w:t>
      </w:r>
      <w:r w:rsidRPr="008A3740">
        <w:rPr>
          <w:rFonts w:ascii="Verdana" w:hAnsi="Verdana"/>
          <w:sz w:val="20"/>
          <w:szCs w:val="20"/>
          <w:lang w:val="en-US"/>
        </w:rPr>
        <w:t xml:space="preserve">syndrome </w:t>
      </w:r>
      <w:r w:rsidR="008E6A56" w:rsidRPr="008A3740">
        <w:rPr>
          <w:rFonts w:ascii="Verdana" w:hAnsi="Verdana"/>
          <w:sz w:val="20"/>
          <w:szCs w:val="20"/>
          <w:lang w:val="en-US"/>
        </w:rPr>
        <w:t xml:space="preserve">and </w:t>
      </w:r>
      <w:r w:rsidRPr="008A3740">
        <w:rPr>
          <w:rFonts w:ascii="Verdana" w:hAnsi="Verdana"/>
          <w:sz w:val="20"/>
          <w:szCs w:val="20"/>
          <w:lang w:val="en-US"/>
        </w:rPr>
        <w:t xml:space="preserve">a </w:t>
      </w:r>
      <w:r w:rsidR="008E6A56" w:rsidRPr="008A3740">
        <w:rPr>
          <w:rFonts w:ascii="Verdana" w:hAnsi="Verdana"/>
          <w:sz w:val="20"/>
          <w:szCs w:val="20"/>
          <w:lang w:val="en-US"/>
        </w:rPr>
        <w:t>fracture</w:t>
      </w:r>
      <w:r w:rsidRPr="008A3740">
        <w:rPr>
          <w:rFonts w:ascii="Verdana" w:hAnsi="Verdana"/>
          <w:sz w:val="20"/>
          <w:szCs w:val="20"/>
          <w:lang w:val="en-US"/>
        </w:rPr>
        <w:t>d</w:t>
      </w:r>
      <w:r w:rsidR="008E6A56" w:rsidRPr="008A3740">
        <w:rPr>
          <w:rFonts w:ascii="Verdana" w:hAnsi="Verdana"/>
          <w:sz w:val="20"/>
          <w:szCs w:val="20"/>
          <w:lang w:val="en-US"/>
        </w:rPr>
        <w:t xml:space="preserve"> femur (</w:t>
      </w:r>
      <w:r w:rsidR="008E6A56" w:rsidRPr="008A3740">
        <w:rPr>
          <w:rFonts w:ascii="Verdana" w:hAnsi="Verdana"/>
          <w:i/>
          <w:sz w:val="20"/>
          <w:szCs w:val="20"/>
          <w:lang w:val="en-US"/>
        </w:rPr>
        <w:t>supra</w:t>
      </w:r>
      <w:r w:rsidR="008E6A56" w:rsidRPr="008A3740">
        <w:rPr>
          <w:rFonts w:ascii="Verdana" w:hAnsi="Verdana"/>
          <w:sz w:val="20"/>
          <w:szCs w:val="20"/>
          <w:lang w:val="en-US"/>
        </w:rPr>
        <w:t xml:space="preserve"> para. 52), </w:t>
      </w:r>
      <w:r w:rsidR="00EF0769" w:rsidRPr="008A3740">
        <w:rPr>
          <w:rFonts w:ascii="Verdana" w:hAnsi="Verdana"/>
          <w:sz w:val="20"/>
          <w:szCs w:val="20"/>
          <w:lang w:val="en-US"/>
        </w:rPr>
        <w:t xml:space="preserve">given that he was </w:t>
      </w:r>
      <w:r w:rsidR="008E6A56" w:rsidRPr="008A3740">
        <w:rPr>
          <w:rFonts w:ascii="Verdana" w:hAnsi="Verdana"/>
          <w:sz w:val="20"/>
          <w:szCs w:val="20"/>
          <w:lang w:val="en-US"/>
        </w:rPr>
        <w:t xml:space="preserve">unable to </w:t>
      </w:r>
      <w:r w:rsidR="00EF0769" w:rsidRPr="008A3740">
        <w:rPr>
          <w:rFonts w:ascii="Verdana" w:hAnsi="Verdana"/>
          <w:sz w:val="20"/>
          <w:szCs w:val="20"/>
          <w:lang w:val="en-US"/>
        </w:rPr>
        <w:t>access the public health system</w:t>
      </w:r>
      <w:r w:rsidR="008E6A56" w:rsidRPr="008A3740">
        <w:rPr>
          <w:rFonts w:ascii="Verdana" w:hAnsi="Verdana"/>
          <w:sz w:val="20"/>
          <w:szCs w:val="20"/>
          <w:lang w:val="en-US"/>
        </w:rPr>
        <w:t xml:space="preserve"> as a direct consequence of the failure to e</w:t>
      </w:r>
      <w:r w:rsidR="00EF0769" w:rsidRPr="008A3740">
        <w:rPr>
          <w:rFonts w:ascii="Verdana" w:hAnsi="Verdana"/>
          <w:sz w:val="20"/>
          <w:szCs w:val="20"/>
          <w:lang w:val="en-US"/>
        </w:rPr>
        <w:t xml:space="preserve">xecute </w:t>
      </w:r>
      <w:r w:rsidR="008E6A56" w:rsidRPr="008A3740">
        <w:rPr>
          <w:rFonts w:ascii="Verdana" w:hAnsi="Verdana"/>
          <w:sz w:val="20"/>
          <w:szCs w:val="20"/>
          <w:lang w:val="en-US"/>
        </w:rPr>
        <w:t xml:space="preserve">the judicial decisions in his favor. </w:t>
      </w:r>
    </w:p>
    <w:p w14:paraId="18AB4217" w14:textId="77777777" w:rsidR="008E6A56" w:rsidRPr="008A3740" w:rsidRDefault="008E6A56" w:rsidP="008E6A56">
      <w:pPr>
        <w:pStyle w:val="Prrafodelista"/>
        <w:rPr>
          <w:rFonts w:ascii="Verdana" w:hAnsi="Verdana" w:cs="Verdana"/>
          <w:bCs/>
          <w:iCs/>
          <w:sz w:val="20"/>
          <w:szCs w:val="20"/>
          <w:lang w:val="en-US"/>
        </w:rPr>
      </w:pPr>
    </w:p>
    <w:p w14:paraId="7D132812" w14:textId="77777777" w:rsidR="008E6A56" w:rsidRPr="008A3740" w:rsidRDefault="004E6447"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Verdana" w:hAnsi="Verdana" w:cs="Cambria"/>
          <w:bCs/>
          <w:color w:val="000000"/>
          <w:sz w:val="20"/>
          <w:szCs w:val="20"/>
          <w:lang w:val="en-US" w:eastAsia="x-none"/>
        </w:rPr>
        <w:t>In this regard</w:t>
      </w:r>
      <w:r w:rsidR="008E6A56" w:rsidRPr="008A3740">
        <w:rPr>
          <w:rFonts w:ascii="Verdana" w:eastAsia="Verdana" w:hAnsi="Verdana" w:cs="Cambria"/>
          <w:bCs/>
          <w:color w:val="000000"/>
          <w:sz w:val="20"/>
          <w:szCs w:val="20"/>
          <w:lang w:val="en-US" w:eastAsia="x-none"/>
        </w:rPr>
        <w:t xml:space="preserve">, it is important to emphasize that since the judgments </w:t>
      </w:r>
      <w:r w:rsidR="00EA14B2" w:rsidRPr="008A3740">
        <w:rPr>
          <w:rFonts w:ascii="Verdana" w:eastAsia="Verdana" w:hAnsi="Verdana" w:cs="Cambria"/>
          <w:bCs/>
          <w:color w:val="000000"/>
          <w:sz w:val="20"/>
          <w:szCs w:val="20"/>
          <w:lang w:val="en-US" w:eastAsia="x-none"/>
        </w:rPr>
        <w:t xml:space="preserve">were handed down </w:t>
      </w:r>
      <w:r w:rsidR="008E6A56" w:rsidRPr="008A3740">
        <w:rPr>
          <w:rFonts w:ascii="Verdana" w:eastAsia="Verdana" w:hAnsi="Verdana" w:cs="Cambria"/>
          <w:bCs/>
          <w:color w:val="000000"/>
          <w:sz w:val="20"/>
          <w:szCs w:val="20"/>
          <w:lang w:val="en-US" w:eastAsia="x-none"/>
        </w:rPr>
        <w:t>in 1993 and 1999, more than 26 and 19 y</w:t>
      </w:r>
      <w:r w:rsidR="00EA14B2" w:rsidRPr="008A3740">
        <w:rPr>
          <w:rFonts w:ascii="Verdana" w:eastAsia="Verdana" w:hAnsi="Verdana" w:cs="Cambria"/>
          <w:bCs/>
          <w:color w:val="000000"/>
          <w:sz w:val="20"/>
          <w:szCs w:val="20"/>
          <w:lang w:val="en-US" w:eastAsia="x-none"/>
        </w:rPr>
        <w:t xml:space="preserve">ears have elapsed, respectively. For a </w:t>
      </w:r>
      <w:r w:rsidR="008E6A56" w:rsidRPr="008A3740">
        <w:rPr>
          <w:rFonts w:ascii="Verdana" w:eastAsia="Verdana" w:hAnsi="Verdana" w:cs="Cambria"/>
          <w:bCs/>
          <w:color w:val="000000"/>
          <w:sz w:val="20"/>
          <w:szCs w:val="20"/>
          <w:lang w:val="en-US" w:eastAsia="x-none"/>
        </w:rPr>
        <w:t xml:space="preserve">person of advanced age </w:t>
      </w:r>
      <w:r w:rsidR="00EA14B2" w:rsidRPr="008A3740">
        <w:rPr>
          <w:rFonts w:ascii="Verdana" w:eastAsia="Verdana" w:hAnsi="Verdana" w:cs="Cambria"/>
          <w:bCs/>
          <w:color w:val="000000"/>
          <w:sz w:val="20"/>
          <w:szCs w:val="20"/>
          <w:lang w:val="en-US" w:eastAsia="x-none"/>
        </w:rPr>
        <w:t>who lacks</w:t>
      </w:r>
      <w:r w:rsidR="008E6A56" w:rsidRPr="008A3740">
        <w:rPr>
          <w:rFonts w:ascii="Verdana" w:eastAsia="Verdana" w:hAnsi="Verdana" w:cs="Cambria"/>
          <w:bCs/>
          <w:color w:val="000000"/>
          <w:sz w:val="20"/>
          <w:szCs w:val="20"/>
          <w:lang w:val="en-US" w:eastAsia="x-none"/>
        </w:rPr>
        <w:t xml:space="preserve"> financial resources, </w:t>
      </w:r>
      <w:r w:rsidR="00EA14B2" w:rsidRPr="008A3740">
        <w:rPr>
          <w:rFonts w:ascii="Verdana" w:eastAsia="Verdana" w:hAnsi="Verdana" w:cs="Cambria"/>
          <w:bCs/>
          <w:color w:val="000000"/>
          <w:sz w:val="20"/>
          <w:szCs w:val="20"/>
          <w:lang w:val="en-US" w:eastAsia="x-none"/>
        </w:rPr>
        <w:t xml:space="preserve">this </w:t>
      </w:r>
      <w:r w:rsidR="007E3D6C" w:rsidRPr="008A3740">
        <w:rPr>
          <w:rFonts w:ascii="Verdana" w:eastAsia="Verdana" w:hAnsi="Verdana" w:cs="Cambria"/>
          <w:bCs/>
          <w:color w:val="000000"/>
          <w:sz w:val="20"/>
          <w:szCs w:val="20"/>
          <w:lang w:val="en-US" w:eastAsia="x-none"/>
        </w:rPr>
        <w:t xml:space="preserve">state of affairs </w:t>
      </w:r>
      <w:r w:rsidR="008E6A56" w:rsidRPr="008A3740">
        <w:rPr>
          <w:rFonts w:ascii="Verdana" w:eastAsia="Verdana" w:hAnsi="Verdana" w:cs="Cambria"/>
          <w:bCs/>
          <w:color w:val="000000"/>
          <w:sz w:val="20"/>
          <w:szCs w:val="20"/>
          <w:lang w:val="en-US" w:eastAsia="x-none"/>
        </w:rPr>
        <w:t>ha</w:t>
      </w:r>
      <w:r w:rsidR="00EA14B2" w:rsidRPr="008A3740">
        <w:rPr>
          <w:rFonts w:ascii="Verdana" w:eastAsia="Verdana" w:hAnsi="Verdana" w:cs="Cambria"/>
          <w:bCs/>
          <w:color w:val="000000"/>
          <w:sz w:val="20"/>
          <w:szCs w:val="20"/>
          <w:lang w:val="en-US" w:eastAsia="x-none"/>
        </w:rPr>
        <w:t>s</w:t>
      </w:r>
      <w:r w:rsidRPr="008A3740">
        <w:rPr>
          <w:rFonts w:ascii="Verdana" w:eastAsia="Verdana" w:hAnsi="Verdana" w:cs="Cambria"/>
          <w:bCs/>
          <w:color w:val="000000"/>
          <w:sz w:val="20"/>
          <w:szCs w:val="20"/>
          <w:lang w:val="en-US" w:eastAsia="x-none"/>
        </w:rPr>
        <w:t xml:space="preserve"> </w:t>
      </w:r>
      <w:r w:rsidR="00EA14B2" w:rsidRPr="008A3740">
        <w:rPr>
          <w:rFonts w:ascii="Verdana" w:eastAsia="Verdana" w:hAnsi="Verdana" w:cs="Cambria"/>
          <w:bCs/>
          <w:color w:val="000000"/>
          <w:sz w:val="20"/>
          <w:szCs w:val="20"/>
          <w:lang w:val="en-US" w:eastAsia="x-none"/>
        </w:rPr>
        <w:t xml:space="preserve">had </w:t>
      </w:r>
      <w:r w:rsidRPr="008A3740">
        <w:rPr>
          <w:rFonts w:ascii="Verdana" w:eastAsia="Verdana" w:hAnsi="Verdana" w:cs="Cambria"/>
          <w:bCs/>
          <w:color w:val="000000"/>
          <w:sz w:val="20"/>
          <w:szCs w:val="20"/>
          <w:lang w:val="en-US" w:eastAsia="x-none"/>
        </w:rPr>
        <w:t xml:space="preserve">an </w:t>
      </w:r>
      <w:r w:rsidR="008E6A56" w:rsidRPr="008A3740">
        <w:rPr>
          <w:rFonts w:ascii="Verdana" w:eastAsia="Verdana" w:hAnsi="Verdana" w:cs="Cambria"/>
          <w:bCs/>
          <w:color w:val="000000"/>
          <w:sz w:val="20"/>
          <w:szCs w:val="20"/>
          <w:lang w:val="en-US" w:eastAsia="x-none"/>
        </w:rPr>
        <w:t>impact on his legal situation. Bearing in mind the foregoing</w:t>
      </w:r>
      <w:r w:rsidR="008E6A56" w:rsidRPr="008A3740">
        <w:rPr>
          <w:rFonts w:ascii="Verdana" w:hAnsi="Verdana" w:cs="Calibri"/>
          <w:sz w:val="20"/>
          <w:szCs w:val="20"/>
          <w:lang w:val="en-US" w:eastAsia="en-US"/>
        </w:rPr>
        <w:t xml:space="preserve">, the Court considers that it has been sufficiently proven that the </w:t>
      </w:r>
      <w:r w:rsidR="001477FB" w:rsidRPr="008A3740">
        <w:rPr>
          <w:rFonts w:ascii="Verdana" w:hAnsi="Verdana" w:cs="Calibri"/>
          <w:sz w:val="20"/>
          <w:szCs w:val="20"/>
          <w:lang w:val="en-US" w:eastAsia="en-US"/>
        </w:rPr>
        <w:t xml:space="preserve">undue </w:t>
      </w:r>
      <w:r w:rsidR="008E6A56" w:rsidRPr="008A3740">
        <w:rPr>
          <w:rFonts w:ascii="Verdana" w:eastAsia="Batang" w:hAnsi="Verdana"/>
          <w:sz w:val="20"/>
          <w:szCs w:val="20"/>
          <w:lang w:val="en-US" w:eastAsia="es-MX"/>
        </w:rPr>
        <w:t>prolongation</w:t>
      </w:r>
      <w:r w:rsidR="008E6A56" w:rsidRPr="008A3740">
        <w:rPr>
          <w:rFonts w:ascii="Verdana" w:hAnsi="Verdana" w:cs="Calibri"/>
          <w:sz w:val="20"/>
          <w:szCs w:val="20"/>
          <w:lang w:val="en-US"/>
        </w:rPr>
        <w:t xml:space="preserve"> of the </w:t>
      </w:r>
      <w:r w:rsidR="00EA14B2" w:rsidRPr="008A3740">
        <w:rPr>
          <w:rFonts w:ascii="Verdana" w:hAnsi="Verdana" w:cs="Calibri"/>
          <w:sz w:val="20"/>
          <w:szCs w:val="20"/>
          <w:lang w:val="en-US"/>
        </w:rPr>
        <w:t xml:space="preserve">judgment execution </w:t>
      </w:r>
      <w:r w:rsidRPr="008A3740">
        <w:rPr>
          <w:rFonts w:ascii="Verdana" w:eastAsia="Batang" w:hAnsi="Verdana"/>
          <w:sz w:val="20"/>
          <w:szCs w:val="20"/>
          <w:lang w:val="en-US" w:eastAsia="es-MX"/>
        </w:rPr>
        <w:t>process</w:t>
      </w:r>
      <w:r w:rsidR="00EA14B2" w:rsidRPr="008A3740">
        <w:rPr>
          <w:rFonts w:ascii="Verdana" w:hAnsi="Verdana" w:cs="Calibri"/>
          <w:sz w:val="20"/>
          <w:szCs w:val="20"/>
          <w:lang w:val="en-US" w:eastAsia="en-US"/>
        </w:rPr>
        <w:t xml:space="preserve"> in this case has had</w:t>
      </w:r>
      <w:r w:rsidR="008E6A56" w:rsidRPr="008A3740">
        <w:rPr>
          <w:rFonts w:ascii="Verdana" w:hAnsi="Verdana" w:cs="Calibri"/>
          <w:sz w:val="20"/>
          <w:szCs w:val="20"/>
          <w:lang w:val="en-US" w:eastAsia="en-US"/>
        </w:rPr>
        <w:t xml:space="preserve"> a significant </w:t>
      </w:r>
      <w:r w:rsidR="00444FC0" w:rsidRPr="008A3740">
        <w:rPr>
          <w:rFonts w:ascii="Verdana" w:hAnsi="Verdana" w:cs="Calibri"/>
          <w:sz w:val="20"/>
          <w:szCs w:val="20"/>
          <w:lang w:val="en-US" w:eastAsia="en-US"/>
        </w:rPr>
        <w:t xml:space="preserve">and direct </w:t>
      </w:r>
      <w:r w:rsidR="008E6A56" w:rsidRPr="008A3740">
        <w:rPr>
          <w:rFonts w:ascii="Verdana" w:hAnsi="Verdana" w:cs="Calibri"/>
          <w:sz w:val="20"/>
          <w:szCs w:val="20"/>
          <w:lang w:val="en-US" w:eastAsia="en-US"/>
        </w:rPr>
        <w:t xml:space="preserve">impact </w:t>
      </w:r>
      <w:r w:rsidR="00444FC0" w:rsidRPr="008A3740">
        <w:rPr>
          <w:rFonts w:ascii="Verdana" w:hAnsi="Verdana" w:cs="Calibri"/>
          <w:sz w:val="20"/>
          <w:szCs w:val="20"/>
          <w:lang w:val="en-US" w:eastAsia="en-US"/>
        </w:rPr>
        <w:t>o</w:t>
      </w:r>
      <w:r w:rsidR="008E6A56" w:rsidRPr="008A3740">
        <w:rPr>
          <w:rFonts w:ascii="Verdana" w:hAnsi="Verdana" w:cs="Calibri"/>
          <w:sz w:val="20"/>
          <w:szCs w:val="20"/>
          <w:lang w:val="en-US" w:eastAsia="en-US"/>
        </w:rPr>
        <w:t xml:space="preserve">n Mr. Muelle Flores’ legal situation, given that the delay in </w:t>
      </w:r>
      <w:r w:rsidR="008E6A56" w:rsidRPr="008A3740">
        <w:rPr>
          <w:rFonts w:ascii="Verdana" w:hAnsi="Verdana" w:cs="Calibri"/>
          <w:sz w:val="20"/>
          <w:szCs w:val="20"/>
          <w:lang w:val="en-US"/>
        </w:rPr>
        <w:t>comply</w:t>
      </w:r>
      <w:r w:rsidR="00EA14B2" w:rsidRPr="008A3740">
        <w:rPr>
          <w:rFonts w:ascii="Verdana" w:hAnsi="Verdana" w:cs="Calibri"/>
          <w:sz w:val="20"/>
          <w:szCs w:val="20"/>
          <w:lang w:val="en-US"/>
        </w:rPr>
        <w:t>ing with the judicial decisions</w:t>
      </w:r>
      <w:r w:rsidR="008E6A56" w:rsidRPr="008A3740">
        <w:rPr>
          <w:rFonts w:ascii="Verdana" w:hAnsi="Verdana" w:cs="Calibri"/>
          <w:sz w:val="20"/>
          <w:szCs w:val="20"/>
          <w:lang w:val="en-US"/>
        </w:rPr>
        <w:t xml:space="preserve"> affected the course of his life after his retirement.</w:t>
      </w:r>
    </w:p>
    <w:p w14:paraId="62F531D3" w14:textId="77777777" w:rsidR="008E6A56" w:rsidRPr="008A3740" w:rsidRDefault="008E6A56" w:rsidP="008E6A56">
      <w:pPr>
        <w:pStyle w:val="Prrafodelista"/>
        <w:rPr>
          <w:rFonts w:ascii="Verdana" w:hAnsi="Verdana" w:cs="Verdana"/>
          <w:bCs/>
          <w:iCs/>
          <w:sz w:val="20"/>
          <w:szCs w:val="20"/>
          <w:lang w:val="en-US"/>
        </w:rPr>
      </w:pPr>
    </w:p>
    <w:p w14:paraId="73854C15"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cs="Verdana"/>
          <w:bCs/>
          <w:iCs/>
          <w:sz w:val="20"/>
          <w:szCs w:val="20"/>
          <w:lang w:val="en-US"/>
        </w:rPr>
      </w:pPr>
      <w:r w:rsidRPr="008A3740">
        <w:rPr>
          <w:rFonts w:ascii="Verdana" w:eastAsia="Batang" w:hAnsi="Verdana" w:cs="Arial"/>
          <w:sz w:val="20"/>
          <w:szCs w:val="20"/>
          <w:lang w:val="en-US" w:eastAsia="es-MX"/>
        </w:rPr>
        <w:t xml:space="preserve">Having analyzed the four elements to determine the </w:t>
      </w:r>
      <w:r w:rsidR="00D74D22" w:rsidRPr="008A3740">
        <w:rPr>
          <w:rFonts w:ascii="Verdana" w:eastAsia="Batang" w:hAnsi="Verdana" w:cs="Arial"/>
          <w:sz w:val="20"/>
          <w:szCs w:val="20"/>
          <w:lang w:val="en-US" w:eastAsia="es-MX"/>
        </w:rPr>
        <w:t xml:space="preserve">issue of </w:t>
      </w:r>
      <w:r w:rsidRPr="008A3740">
        <w:rPr>
          <w:rFonts w:ascii="Verdana" w:eastAsia="Batang" w:hAnsi="Verdana" w:cs="Arial"/>
          <w:sz w:val="20"/>
          <w:szCs w:val="20"/>
          <w:lang w:val="en-US" w:eastAsia="es-MX"/>
        </w:rPr>
        <w:t xml:space="preserve">reasonable </w:t>
      </w:r>
      <w:r w:rsidR="00D74D22" w:rsidRPr="008A3740">
        <w:rPr>
          <w:rFonts w:ascii="Verdana" w:eastAsia="Batang" w:hAnsi="Verdana" w:cs="Arial"/>
          <w:sz w:val="20"/>
          <w:szCs w:val="20"/>
          <w:lang w:val="en-US" w:eastAsia="es-MX"/>
        </w:rPr>
        <w:t>time in this case</w:t>
      </w:r>
      <w:r w:rsidRPr="008A3740">
        <w:rPr>
          <w:rFonts w:ascii="Verdana" w:eastAsia="Batang" w:hAnsi="Verdana" w:cs="Arial"/>
          <w:sz w:val="20"/>
          <w:szCs w:val="20"/>
          <w:lang w:val="en-US" w:eastAsia="es-MX"/>
        </w:rPr>
        <w:t xml:space="preserve">, the Court </w:t>
      </w:r>
      <w:r w:rsidR="00D74D22" w:rsidRPr="008A3740">
        <w:rPr>
          <w:rFonts w:ascii="Verdana" w:eastAsia="Batang" w:hAnsi="Verdana" w:cs="Arial"/>
          <w:sz w:val="20"/>
          <w:szCs w:val="20"/>
          <w:lang w:val="en-US" w:eastAsia="es-MX"/>
        </w:rPr>
        <w:t xml:space="preserve">finds </w:t>
      </w:r>
      <w:r w:rsidRPr="008A3740">
        <w:rPr>
          <w:rFonts w:ascii="Verdana" w:eastAsia="Batang" w:hAnsi="Verdana" w:cs="Arial"/>
          <w:sz w:val="20"/>
          <w:szCs w:val="20"/>
          <w:lang w:val="en-US" w:eastAsia="es-MX"/>
        </w:rPr>
        <w:t>that the j</w:t>
      </w:r>
      <w:r w:rsidR="00D74D22" w:rsidRPr="008A3740">
        <w:rPr>
          <w:rFonts w:ascii="Verdana" w:eastAsia="Batang" w:hAnsi="Verdana" w:cs="Arial"/>
          <w:sz w:val="20"/>
          <w:szCs w:val="20"/>
          <w:lang w:val="en-US" w:eastAsia="es-MX"/>
        </w:rPr>
        <w:t>udicial authorities exceeded a</w:t>
      </w:r>
      <w:r w:rsidRPr="008A3740">
        <w:rPr>
          <w:rFonts w:ascii="Verdana" w:eastAsia="Batang" w:hAnsi="Verdana" w:cs="Arial"/>
          <w:sz w:val="20"/>
          <w:szCs w:val="20"/>
          <w:lang w:val="en-US" w:eastAsia="es-MX"/>
        </w:rPr>
        <w:t xml:space="preserve"> </w:t>
      </w:r>
      <w:r w:rsidR="005E5FED" w:rsidRPr="008A3740">
        <w:rPr>
          <w:rFonts w:ascii="Verdana" w:eastAsia="Batang" w:hAnsi="Verdana" w:cs="Arial"/>
          <w:sz w:val="20"/>
          <w:szCs w:val="20"/>
          <w:lang w:val="en-US" w:eastAsia="es-MX"/>
        </w:rPr>
        <w:t>reasonable time</w:t>
      </w:r>
      <w:r w:rsidRPr="008A3740">
        <w:rPr>
          <w:rFonts w:ascii="Verdana" w:eastAsia="Batang" w:hAnsi="Verdana" w:cs="Arial"/>
          <w:sz w:val="20"/>
          <w:szCs w:val="20"/>
          <w:lang w:val="en-US" w:eastAsia="es-MX"/>
        </w:rPr>
        <w:t xml:space="preserve"> </w:t>
      </w:r>
      <w:r w:rsidR="00D74D22" w:rsidRPr="008A3740">
        <w:rPr>
          <w:rFonts w:ascii="Verdana" w:eastAsia="Batang" w:hAnsi="Verdana" w:cs="Arial"/>
          <w:sz w:val="20"/>
          <w:szCs w:val="20"/>
          <w:lang w:val="en-US" w:eastAsia="es-MX"/>
        </w:rPr>
        <w:t>in the process to execute the judgments</w:t>
      </w:r>
      <w:r w:rsidRPr="008A3740">
        <w:rPr>
          <w:rFonts w:ascii="Verdana" w:eastAsia="Batang" w:hAnsi="Verdana" w:cs="Arial"/>
          <w:sz w:val="20"/>
          <w:szCs w:val="20"/>
          <w:lang w:val="en-US" w:eastAsia="es-MX"/>
        </w:rPr>
        <w:t xml:space="preserve">, </w:t>
      </w:r>
      <w:r w:rsidR="00D74D22" w:rsidRPr="008A3740">
        <w:rPr>
          <w:rFonts w:ascii="Verdana" w:eastAsia="Batang" w:hAnsi="Verdana" w:cs="Arial"/>
          <w:sz w:val="20"/>
          <w:szCs w:val="20"/>
          <w:lang w:val="en-US" w:eastAsia="es-MX"/>
        </w:rPr>
        <w:t>in violation of</w:t>
      </w:r>
      <w:r w:rsidRPr="008A3740">
        <w:rPr>
          <w:rFonts w:ascii="Verdana" w:eastAsia="Batang" w:hAnsi="Verdana" w:cs="Arial"/>
          <w:sz w:val="20"/>
          <w:szCs w:val="20"/>
          <w:lang w:val="en-US" w:eastAsia="es-MX"/>
        </w:rPr>
        <w:t xml:space="preserve"> the right to judicial guarantees established in Article 8(1) of the American Convention</w:t>
      </w:r>
      <w:r w:rsidRPr="008A3740">
        <w:rPr>
          <w:rFonts w:ascii="Verdana" w:hAnsi="Verdana" w:cs="Arial"/>
          <w:sz w:val="20"/>
          <w:szCs w:val="20"/>
          <w:lang w:val="en-US" w:eastAsia="es-MX"/>
        </w:rPr>
        <w:t>, in relation to Article 1(1)</w:t>
      </w:r>
      <w:r w:rsidRPr="008A3740">
        <w:rPr>
          <w:rFonts w:ascii="Verdana" w:eastAsia="Batang" w:hAnsi="Verdana" w:cs="Arial"/>
          <w:sz w:val="20"/>
          <w:szCs w:val="20"/>
          <w:lang w:val="en-US" w:eastAsia="es-MX"/>
        </w:rPr>
        <w:t xml:space="preserve"> </w:t>
      </w:r>
      <w:r w:rsidRPr="008A3740">
        <w:rPr>
          <w:rFonts w:ascii="Verdana" w:hAnsi="Verdana" w:cs="Arial"/>
          <w:sz w:val="20"/>
          <w:szCs w:val="20"/>
          <w:lang w:val="en-US" w:eastAsia="es-MX"/>
        </w:rPr>
        <w:t>thereof, to the detriment of Oscar Muelle Flores.</w:t>
      </w:r>
    </w:p>
    <w:p w14:paraId="5BC4B910" w14:textId="77777777" w:rsidR="008E6A56" w:rsidRPr="008A3740" w:rsidRDefault="008E6A56" w:rsidP="008E6A56">
      <w:pPr>
        <w:widowControl/>
        <w:tabs>
          <w:tab w:val="left" w:pos="567"/>
          <w:tab w:val="left" w:pos="720"/>
        </w:tabs>
        <w:adjustRightInd/>
        <w:textAlignment w:val="auto"/>
        <w:rPr>
          <w:rFonts w:ascii="Verdana" w:hAnsi="Verdana" w:cs="Verdana"/>
          <w:bCs/>
          <w:iCs/>
          <w:sz w:val="20"/>
          <w:szCs w:val="20"/>
          <w:lang w:val="en-US"/>
        </w:rPr>
      </w:pPr>
    </w:p>
    <w:p w14:paraId="24FC8955" w14:textId="77777777" w:rsidR="008E6A56" w:rsidRPr="008A3740" w:rsidRDefault="008E6A56" w:rsidP="00D17A65">
      <w:pPr>
        <w:pStyle w:val="Ttulo2"/>
        <w:numPr>
          <w:ilvl w:val="0"/>
          <w:numId w:val="6"/>
        </w:numPr>
        <w:rPr>
          <w:lang w:val="en-US"/>
        </w:rPr>
      </w:pPr>
      <w:bookmarkStart w:id="104" w:name="_Toc5009885"/>
      <w:bookmarkStart w:id="105" w:name="_Toc532545811"/>
      <w:r w:rsidRPr="008A3740">
        <w:rPr>
          <w:lang w:val="en-US"/>
        </w:rPr>
        <w:lastRenderedPageBreak/>
        <w:t>Right to social security</w:t>
      </w:r>
      <w:bookmarkEnd w:id="104"/>
      <w:r w:rsidRPr="008A3740">
        <w:rPr>
          <w:lang w:val="en-US"/>
        </w:rPr>
        <w:t xml:space="preserve"> </w:t>
      </w:r>
    </w:p>
    <w:p w14:paraId="072D58A6" w14:textId="77777777" w:rsidR="008E6A56" w:rsidRPr="008A3740" w:rsidRDefault="008E6A56" w:rsidP="008E6A56">
      <w:pPr>
        <w:pStyle w:val="Ttulo3"/>
        <w:rPr>
          <w:lang w:val="en-US"/>
        </w:rPr>
      </w:pPr>
      <w:bookmarkStart w:id="106" w:name="_Toc5009886"/>
      <w:r w:rsidRPr="008A3740">
        <w:rPr>
          <w:lang w:val="en-US"/>
        </w:rPr>
        <w:t>C.1 Arguments of the parties and of the Commission</w:t>
      </w:r>
      <w:bookmarkEnd w:id="106"/>
      <w:r w:rsidRPr="008A3740">
        <w:rPr>
          <w:lang w:val="en-US"/>
        </w:rPr>
        <w:t xml:space="preserve"> </w:t>
      </w:r>
    </w:p>
    <w:p w14:paraId="71AE98D1" w14:textId="77777777" w:rsidR="008E6A56" w:rsidRPr="008A3740" w:rsidRDefault="008E6A56" w:rsidP="008E6A56">
      <w:pPr>
        <w:tabs>
          <w:tab w:val="left" w:pos="567"/>
          <w:tab w:val="left" w:pos="720"/>
        </w:tabs>
        <w:rPr>
          <w:rFonts w:ascii="Verdana" w:eastAsia="Times" w:hAnsi="Verdana"/>
          <w:b/>
          <w:sz w:val="20"/>
          <w:szCs w:val="20"/>
          <w:lang w:val="en-US"/>
        </w:rPr>
      </w:pPr>
    </w:p>
    <w:p w14:paraId="522972D3" w14:textId="77777777" w:rsidR="008E6A56" w:rsidRPr="008A3740" w:rsidRDefault="008E6A56" w:rsidP="00D17A65">
      <w:pPr>
        <w:numPr>
          <w:ilvl w:val="0"/>
          <w:numId w:val="3"/>
        </w:numPr>
        <w:tabs>
          <w:tab w:val="left" w:pos="567"/>
          <w:tab w:val="left" w:pos="720"/>
        </w:tabs>
        <w:ind w:left="0" w:firstLine="0"/>
        <w:rPr>
          <w:rFonts w:ascii="Verdana" w:hAnsi="Verdana"/>
          <w:b/>
          <w:bCs/>
          <w:sz w:val="20"/>
          <w:szCs w:val="20"/>
          <w:lang w:val="en-US"/>
        </w:rPr>
      </w:pPr>
      <w:r w:rsidRPr="008A3740">
        <w:rPr>
          <w:rFonts w:ascii="Verdana" w:hAnsi="Verdana"/>
          <w:bCs/>
          <w:sz w:val="20"/>
          <w:szCs w:val="20"/>
          <w:lang w:val="en-US"/>
        </w:rPr>
        <w:t xml:space="preserve">The </w:t>
      </w:r>
      <w:r w:rsidRPr="008A3740">
        <w:rPr>
          <w:rFonts w:ascii="Verdana" w:hAnsi="Verdana"/>
          <w:b/>
          <w:bCs/>
          <w:i/>
          <w:sz w:val="20"/>
          <w:szCs w:val="20"/>
          <w:lang w:val="en-US"/>
        </w:rPr>
        <w:t xml:space="preserve">representatives </w:t>
      </w:r>
      <w:r w:rsidRPr="008A3740">
        <w:rPr>
          <w:rFonts w:ascii="Verdana" w:hAnsi="Verdana"/>
          <w:bCs/>
          <w:sz w:val="20"/>
          <w:szCs w:val="20"/>
          <w:lang w:val="en-US"/>
        </w:rPr>
        <w:t xml:space="preserve">pointed out that the central </w:t>
      </w:r>
      <w:r w:rsidR="001477FB" w:rsidRPr="008A3740">
        <w:rPr>
          <w:rFonts w:ascii="Verdana" w:hAnsi="Verdana"/>
          <w:bCs/>
          <w:sz w:val="20"/>
          <w:szCs w:val="20"/>
          <w:lang w:val="en-US"/>
        </w:rPr>
        <w:t xml:space="preserve">issue </w:t>
      </w:r>
      <w:r w:rsidR="00467894" w:rsidRPr="008A3740">
        <w:rPr>
          <w:rFonts w:ascii="Verdana" w:hAnsi="Verdana"/>
          <w:bCs/>
          <w:sz w:val="20"/>
          <w:szCs w:val="20"/>
          <w:lang w:val="en-US"/>
        </w:rPr>
        <w:t>in this</w:t>
      </w:r>
      <w:r w:rsidRPr="008A3740">
        <w:rPr>
          <w:rFonts w:ascii="Verdana" w:hAnsi="Verdana"/>
          <w:bCs/>
          <w:sz w:val="20"/>
          <w:szCs w:val="20"/>
          <w:lang w:val="en-US"/>
        </w:rPr>
        <w:t xml:space="preserve"> case was the deprivation of access</w:t>
      </w:r>
      <w:r w:rsidR="00960EE8" w:rsidRPr="008A3740">
        <w:rPr>
          <w:rFonts w:ascii="Verdana" w:hAnsi="Verdana"/>
          <w:bCs/>
          <w:sz w:val="20"/>
          <w:szCs w:val="20"/>
          <w:lang w:val="en-US"/>
        </w:rPr>
        <w:t xml:space="preserve"> to</w:t>
      </w:r>
      <w:r w:rsidRPr="008A3740">
        <w:rPr>
          <w:rFonts w:ascii="Verdana" w:hAnsi="Verdana"/>
          <w:bCs/>
          <w:sz w:val="20"/>
          <w:szCs w:val="20"/>
          <w:lang w:val="en-US"/>
        </w:rPr>
        <w:t xml:space="preserve"> and enjoyment of the right to social security, and that the State </w:t>
      </w:r>
      <w:r w:rsidR="00960EE8" w:rsidRPr="008A3740">
        <w:rPr>
          <w:rFonts w:ascii="Verdana" w:hAnsi="Verdana"/>
          <w:bCs/>
          <w:sz w:val="20"/>
          <w:szCs w:val="20"/>
          <w:lang w:val="en-US"/>
        </w:rPr>
        <w:t xml:space="preserve">committed an autonomous </w:t>
      </w:r>
      <w:r w:rsidRPr="008A3740">
        <w:rPr>
          <w:rFonts w:ascii="Verdana" w:hAnsi="Verdana"/>
          <w:bCs/>
          <w:sz w:val="20"/>
          <w:szCs w:val="20"/>
          <w:lang w:val="en-US"/>
        </w:rPr>
        <w:t>violat</w:t>
      </w:r>
      <w:r w:rsidR="00960EE8" w:rsidRPr="008A3740">
        <w:rPr>
          <w:rFonts w:ascii="Verdana" w:hAnsi="Verdana"/>
          <w:bCs/>
          <w:sz w:val="20"/>
          <w:szCs w:val="20"/>
          <w:lang w:val="en-US"/>
        </w:rPr>
        <w:t xml:space="preserve">ion of </w:t>
      </w:r>
      <w:r w:rsidRPr="008A3740">
        <w:rPr>
          <w:rFonts w:ascii="Verdana" w:hAnsi="Verdana"/>
          <w:bCs/>
          <w:sz w:val="20"/>
          <w:szCs w:val="20"/>
          <w:lang w:val="en-US"/>
        </w:rPr>
        <w:t>that right, derived from Articl</w:t>
      </w:r>
      <w:r w:rsidR="00960EE8" w:rsidRPr="008A3740">
        <w:rPr>
          <w:rFonts w:ascii="Verdana" w:hAnsi="Verdana"/>
          <w:bCs/>
          <w:sz w:val="20"/>
          <w:szCs w:val="20"/>
          <w:lang w:val="en-US"/>
        </w:rPr>
        <w:t>e 26 of the American Convention.</w:t>
      </w:r>
      <w:r w:rsidRPr="008A3740">
        <w:rPr>
          <w:rFonts w:ascii="Verdana" w:hAnsi="Verdana"/>
          <w:bCs/>
          <w:sz w:val="20"/>
          <w:szCs w:val="20"/>
          <w:lang w:val="en-US"/>
        </w:rPr>
        <w:t xml:space="preserve"> They argued that the State </w:t>
      </w:r>
      <w:r w:rsidR="00960EE8" w:rsidRPr="008A3740">
        <w:rPr>
          <w:rFonts w:ascii="Verdana" w:hAnsi="Verdana"/>
          <w:bCs/>
          <w:sz w:val="20"/>
          <w:szCs w:val="20"/>
          <w:lang w:val="en-US"/>
        </w:rPr>
        <w:t xml:space="preserve">failed to </w:t>
      </w:r>
      <w:r w:rsidRPr="008A3740">
        <w:rPr>
          <w:rFonts w:ascii="Verdana" w:hAnsi="Verdana"/>
          <w:bCs/>
          <w:sz w:val="20"/>
          <w:szCs w:val="20"/>
          <w:lang w:val="en-US"/>
        </w:rPr>
        <w:t xml:space="preserve">guarantee the right to social security </w:t>
      </w:r>
      <w:r w:rsidR="00960EE8" w:rsidRPr="008A3740">
        <w:rPr>
          <w:rFonts w:ascii="Verdana" w:hAnsi="Verdana"/>
          <w:bCs/>
          <w:sz w:val="20"/>
          <w:szCs w:val="20"/>
          <w:lang w:val="en-US"/>
        </w:rPr>
        <w:t xml:space="preserve">given the </w:t>
      </w:r>
      <w:r w:rsidRPr="008A3740">
        <w:rPr>
          <w:rFonts w:ascii="Verdana" w:hAnsi="Verdana"/>
          <w:bCs/>
          <w:sz w:val="20"/>
          <w:szCs w:val="20"/>
          <w:lang w:val="en-US"/>
        </w:rPr>
        <w:t xml:space="preserve">“26 years </w:t>
      </w:r>
      <w:r w:rsidR="00960EE8" w:rsidRPr="008A3740">
        <w:rPr>
          <w:rFonts w:ascii="Verdana" w:hAnsi="Verdana"/>
          <w:bCs/>
          <w:sz w:val="20"/>
          <w:szCs w:val="20"/>
          <w:lang w:val="en-US"/>
        </w:rPr>
        <w:t xml:space="preserve">of </w:t>
      </w:r>
      <w:r w:rsidRPr="008A3740">
        <w:rPr>
          <w:rFonts w:ascii="Verdana" w:hAnsi="Verdana"/>
          <w:bCs/>
          <w:sz w:val="20"/>
          <w:szCs w:val="20"/>
          <w:lang w:val="en-US"/>
        </w:rPr>
        <w:t xml:space="preserve">daily </w:t>
      </w:r>
      <w:r w:rsidR="00960EE8" w:rsidRPr="008A3740">
        <w:rPr>
          <w:rFonts w:ascii="Verdana" w:hAnsi="Verdana"/>
          <w:bCs/>
          <w:sz w:val="20"/>
          <w:szCs w:val="20"/>
          <w:lang w:val="en-US"/>
        </w:rPr>
        <w:t xml:space="preserve">denial </w:t>
      </w:r>
      <w:r w:rsidRPr="008A3740">
        <w:rPr>
          <w:rFonts w:ascii="Verdana" w:hAnsi="Verdana"/>
          <w:bCs/>
          <w:sz w:val="20"/>
          <w:szCs w:val="20"/>
          <w:lang w:val="en-US"/>
        </w:rPr>
        <w:t>a</w:t>
      </w:r>
      <w:r w:rsidR="00960EE8" w:rsidRPr="008A3740">
        <w:rPr>
          <w:rFonts w:ascii="Verdana" w:hAnsi="Verdana"/>
          <w:bCs/>
          <w:sz w:val="20"/>
          <w:szCs w:val="20"/>
          <w:lang w:val="en-US"/>
        </w:rPr>
        <w:t>nd arbitrary conduct</w:t>
      </w:r>
      <w:r w:rsidR="006932C9" w:rsidRPr="008A3740">
        <w:rPr>
          <w:rFonts w:ascii="Verdana" w:hAnsi="Verdana"/>
          <w:bCs/>
          <w:sz w:val="20"/>
          <w:szCs w:val="20"/>
          <w:lang w:val="en-US"/>
        </w:rPr>
        <w:t xml:space="preserve"> </w:t>
      </w:r>
      <w:r w:rsidRPr="008A3740">
        <w:rPr>
          <w:rFonts w:ascii="Verdana" w:hAnsi="Verdana"/>
          <w:bCs/>
          <w:sz w:val="20"/>
          <w:szCs w:val="20"/>
          <w:lang w:val="en-US"/>
        </w:rPr>
        <w:t>perpetrated initially by a State-owned mining company, followed by the absence of State protection during the privatization process, a</w:t>
      </w:r>
      <w:r w:rsidR="00960EE8" w:rsidRPr="008A3740">
        <w:rPr>
          <w:rFonts w:ascii="Verdana" w:hAnsi="Verdana"/>
          <w:bCs/>
          <w:sz w:val="20"/>
          <w:szCs w:val="20"/>
          <w:lang w:val="en-US"/>
        </w:rPr>
        <w:t xml:space="preserve">nd </w:t>
      </w:r>
      <w:r w:rsidRPr="008A3740">
        <w:rPr>
          <w:rFonts w:ascii="Verdana" w:hAnsi="Verdana"/>
          <w:bCs/>
          <w:sz w:val="20"/>
          <w:szCs w:val="20"/>
          <w:lang w:val="en-US"/>
        </w:rPr>
        <w:t>the failure to e</w:t>
      </w:r>
      <w:r w:rsidR="00960EE8" w:rsidRPr="008A3740">
        <w:rPr>
          <w:rFonts w:ascii="Verdana" w:hAnsi="Verdana"/>
          <w:bCs/>
          <w:sz w:val="20"/>
          <w:szCs w:val="20"/>
          <w:lang w:val="en-US"/>
        </w:rPr>
        <w:t xml:space="preserve">xecute domestic </w:t>
      </w:r>
      <w:r w:rsidRPr="008A3740">
        <w:rPr>
          <w:rFonts w:ascii="Verdana" w:hAnsi="Verdana"/>
          <w:bCs/>
          <w:sz w:val="20"/>
          <w:szCs w:val="20"/>
          <w:lang w:val="en-US"/>
        </w:rPr>
        <w:t>ju</w:t>
      </w:r>
      <w:r w:rsidR="00A82000" w:rsidRPr="008A3740">
        <w:rPr>
          <w:rFonts w:ascii="Verdana" w:hAnsi="Verdana"/>
          <w:bCs/>
          <w:sz w:val="20"/>
          <w:szCs w:val="20"/>
          <w:lang w:val="en-US"/>
        </w:rPr>
        <w:t xml:space="preserve">dicial rulings that </w:t>
      </w:r>
      <w:r w:rsidRPr="008A3740">
        <w:rPr>
          <w:rFonts w:ascii="Verdana" w:hAnsi="Verdana"/>
          <w:bCs/>
          <w:sz w:val="20"/>
          <w:szCs w:val="20"/>
          <w:lang w:val="en-US"/>
        </w:rPr>
        <w:t>reco</w:t>
      </w:r>
      <w:r w:rsidR="00A82000" w:rsidRPr="008A3740">
        <w:rPr>
          <w:rFonts w:ascii="Verdana" w:hAnsi="Verdana"/>
          <w:bCs/>
          <w:sz w:val="20"/>
          <w:szCs w:val="20"/>
          <w:lang w:val="en-US"/>
        </w:rPr>
        <w:t xml:space="preserve">gnized </w:t>
      </w:r>
      <w:r w:rsidR="00960EE8" w:rsidRPr="008A3740">
        <w:rPr>
          <w:rFonts w:ascii="Verdana" w:hAnsi="Verdana"/>
          <w:bCs/>
          <w:sz w:val="20"/>
          <w:szCs w:val="20"/>
          <w:lang w:val="en-US"/>
        </w:rPr>
        <w:t>the</w:t>
      </w:r>
      <w:r w:rsidRPr="008A3740">
        <w:rPr>
          <w:rFonts w:ascii="Verdana" w:hAnsi="Verdana"/>
          <w:bCs/>
          <w:sz w:val="20"/>
          <w:szCs w:val="20"/>
          <w:lang w:val="en-US"/>
        </w:rPr>
        <w:t xml:space="preserve"> violation.</w:t>
      </w:r>
      <w:r w:rsidRPr="008A3740">
        <w:rPr>
          <w:rFonts w:ascii="Verdana" w:hAnsi="Verdana"/>
          <w:b/>
          <w:bCs/>
          <w:sz w:val="20"/>
          <w:szCs w:val="20"/>
          <w:lang w:val="en-US"/>
        </w:rPr>
        <w:t xml:space="preserve"> </w:t>
      </w:r>
    </w:p>
    <w:p w14:paraId="1B26EDE2" w14:textId="77777777" w:rsidR="008E6A56" w:rsidRPr="008A3740" w:rsidRDefault="008E6A56" w:rsidP="008E6A56">
      <w:pPr>
        <w:rPr>
          <w:b/>
          <w:lang w:val="en-US"/>
        </w:rPr>
      </w:pPr>
    </w:p>
    <w:p w14:paraId="3F80B9CA" w14:textId="77777777" w:rsidR="008E6A56" w:rsidRPr="008A3740" w:rsidRDefault="008E6A56" w:rsidP="00D17A65">
      <w:pPr>
        <w:numPr>
          <w:ilvl w:val="0"/>
          <w:numId w:val="3"/>
        </w:numPr>
        <w:tabs>
          <w:tab w:val="left" w:pos="567"/>
          <w:tab w:val="left" w:pos="720"/>
        </w:tabs>
        <w:ind w:left="0" w:firstLine="0"/>
        <w:rPr>
          <w:rFonts w:ascii="Verdana" w:hAnsi="Verdana"/>
          <w:b/>
          <w:bCs/>
          <w:sz w:val="20"/>
          <w:szCs w:val="20"/>
          <w:lang w:val="en-US"/>
        </w:rPr>
      </w:pPr>
      <w:r w:rsidRPr="008A3740">
        <w:rPr>
          <w:rFonts w:ascii="Verdana" w:hAnsi="Verdana"/>
          <w:bCs/>
          <w:sz w:val="20"/>
          <w:szCs w:val="20"/>
          <w:lang w:val="en-US"/>
        </w:rPr>
        <w:t>The representatives</w:t>
      </w:r>
      <w:r w:rsidRPr="008A3740">
        <w:rPr>
          <w:rFonts w:ascii="Verdana" w:hAnsi="Verdana"/>
          <w:b/>
          <w:bCs/>
          <w:i/>
          <w:sz w:val="20"/>
          <w:szCs w:val="20"/>
          <w:lang w:val="en-US"/>
        </w:rPr>
        <w:t xml:space="preserve"> </w:t>
      </w:r>
      <w:r w:rsidRPr="008A3740">
        <w:rPr>
          <w:rFonts w:ascii="Verdana" w:hAnsi="Verdana"/>
          <w:bCs/>
          <w:sz w:val="20"/>
          <w:szCs w:val="20"/>
          <w:lang w:val="en-US"/>
        </w:rPr>
        <w:t xml:space="preserve">considered that the arbitrary </w:t>
      </w:r>
      <w:r w:rsidR="006026A8" w:rsidRPr="008A3740">
        <w:rPr>
          <w:rFonts w:ascii="Verdana" w:hAnsi="Verdana"/>
          <w:bCs/>
          <w:sz w:val="20"/>
          <w:szCs w:val="20"/>
          <w:lang w:val="en-US"/>
        </w:rPr>
        <w:t xml:space="preserve">suspension </w:t>
      </w:r>
      <w:r w:rsidRPr="008A3740">
        <w:rPr>
          <w:rFonts w:ascii="Verdana" w:hAnsi="Verdana"/>
          <w:bCs/>
          <w:sz w:val="20"/>
          <w:szCs w:val="20"/>
          <w:lang w:val="en-US"/>
        </w:rPr>
        <w:t xml:space="preserve">of the pension payments, combined with the privatization of the Tintaya </w:t>
      </w:r>
      <w:r w:rsidR="00444FC0" w:rsidRPr="008A3740">
        <w:rPr>
          <w:rFonts w:ascii="Verdana" w:hAnsi="Verdana"/>
          <w:bCs/>
          <w:sz w:val="20"/>
          <w:szCs w:val="20"/>
          <w:lang w:val="en-US"/>
        </w:rPr>
        <w:t xml:space="preserve">company and the failure to adopt </w:t>
      </w:r>
      <w:r w:rsidRPr="008A3740">
        <w:rPr>
          <w:rFonts w:ascii="Verdana" w:hAnsi="Verdana"/>
          <w:bCs/>
          <w:sz w:val="20"/>
          <w:szCs w:val="20"/>
          <w:lang w:val="en-US"/>
        </w:rPr>
        <w:t xml:space="preserve">measures of due diligence and safeguards to guarantee Mr. Muelle Flores’ </w:t>
      </w:r>
      <w:r w:rsidR="00444FC0" w:rsidRPr="008A3740">
        <w:rPr>
          <w:rFonts w:ascii="Verdana" w:hAnsi="Verdana"/>
          <w:bCs/>
          <w:sz w:val="20"/>
          <w:szCs w:val="20"/>
          <w:lang w:val="en-US"/>
        </w:rPr>
        <w:t xml:space="preserve">right to a pension upon </w:t>
      </w:r>
      <w:r w:rsidRPr="008A3740">
        <w:rPr>
          <w:rFonts w:ascii="Verdana" w:hAnsi="Verdana"/>
          <w:bCs/>
          <w:sz w:val="20"/>
          <w:szCs w:val="20"/>
          <w:lang w:val="en-US"/>
        </w:rPr>
        <w:t>retirement, resulted in the violation of his right to social security</w:t>
      </w:r>
      <w:r w:rsidRPr="008A3740">
        <w:rPr>
          <w:rFonts w:ascii="Verdana" w:hAnsi="Verdana"/>
          <w:b/>
          <w:bCs/>
          <w:sz w:val="20"/>
          <w:szCs w:val="20"/>
          <w:lang w:val="en-US"/>
        </w:rPr>
        <w:t>.</w:t>
      </w:r>
      <w:r w:rsidRPr="008A3740">
        <w:rPr>
          <w:rFonts w:ascii="Verdana" w:hAnsi="Verdana"/>
          <w:bCs/>
          <w:sz w:val="20"/>
          <w:szCs w:val="20"/>
          <w:lang w:val="en-US"/>
        </w:rPr>
        <w:t xml:space="preserve"> Likewise, </w:t>
      </w:r>
      <w:r w:rsidR="00A82000" w:rsidRPr="008A3740">
        <w:rPr>
          <w:rFonts w:ascii="Verdana" w:hAnsi="Verdana"/>
          <w:bCs/>
          <w:sz w:val="20"/>
          <w:szCs w:val="20"/>
          <w:lang w:val="en-US"/>
        </w:rPr>
        <w:t xml:space="preserve">they argued </w:t>
      </w:r>
      <w:r w:rsidRPr="008A3740">
        <w:rPr>
          <w:rFonts w:ascii="Verdana" w:hAnsi="Verdana"/>
          <w:bCs/>
          <w:sz w:val="20"/>
          <w:szCs w:val="20"/>
          <w:lang w:val="en-US"/>
        </w:rPr>
        <w:t xml:space="preserve">that the absence of clear and transparent rules </w:t>
      </w:r>
      <w:r w:rsidR="006026A8" w:rsidRPr="008A3740">
        <w:rPr>
          <w:rFonts w:ascii="Verdana" w:hAnsi="Verdana"/>
          <w:bCs/>
          <w:sz w:val="20"/>
          <w:szCs w:val="20"/>
          <w:lang w:val="en-US"/>
        </w:rPr>
        <w:t xml:space="preserve">concerning </w:t>
      </w:r>
      <w:r w:rsidRPr="008A3740">
        <w:rPr>
          <w:rFonts w:ascii="Verdana" w:hAnsi="Verdana"/>
          <w:bCs/>
          <w:sz w:val="20"/>
          <w:szCs w:val="20"/>
          <w:lang w:val="en-US"/>
        </w:rPr>
        <w:t xml:space="preserve">the </w:t>
      </w:r>
      <w:r w:rsidR="006026A8" w:rsidRPr="008A3740">
        <w:rPr>
          <w:rFonts w:ascii="Verdana" w:hAnsi="Verdana"/>
          <w:bCs/>
          <w:sz w:val="20"/>
          <w:szCs w:val="20"/>
          <w:lang w:val="en-US"/>
        </w:rPr>
        <w:t xml:space="preserve">entity that would be </w:t>
      </w:r>
      <w:r w:rsidRPr="008A3740">
        <w:rPr>
          <w:rFonts w:ascii="Verdana" w:hAnsi="Verdana"/>
          <w:bCs/>
          <w:sz w:val="20"/>
          <w:szCs w:val="20"/>
          <w:lang w:val="en-US"/>
        </w:rPr>
        <w:t xml:space="preserve">responsible </w:t>
      </w:r>
      <w:r w:rsidR="006932C9" w:rsidRPr="008A3740">
        <w:rPr>
          <w:rFonts w:ascii="Verdana" w:hAnsi="Verdana"/>
          <w:bCs/>
          <w:sz w:val="20"/>
          <w:szCs w:val="20"/>
          <w:lang w:val="en-US"/>
        </w:rPr>
        <w:t xml:space="preserve">for </w:t>
      </w:r>
      <w:r w:rsidRPr="008A3740">
        <w:rPr>
          <w:rFonts w:ascii="Verdana" w:hAnsi="Verdana"/>
          <w:bCs/>
          <w:sz w:val="20"/>
          <w:szCs w:val="20"/>
          <w:lang w:val="en-US"/>
        </w:rPr>
        <w:t>compl</w:t>
      </w:r>
      <w:r w:rsidR="00467894" w:rsidRPr="008A3740">
        <w:rPr>
          <w:rFonts w:ascii="Verdana" w:hAnsi="Verdana"/>
          <w:bCs/>
          <w:sz w:val="20"/>
          <w:szCs w:val="20"/>
          <w:lang w:val="en-US"/>
        </w:rPr>
        <w:t xml:space="preserve">ying </w:t>
      </w:r>
      <w:r w:rsidR="00520162" w:rsidRPr="008A3740">
        <w:rPr>
          <w:rFonts w:ascii="Verdana" w:hAnsi="Verdana"/>
          <w:bCs/>
          <w:sz w:val="20"/>
          <w:szCs w:val="20"/>
          <w:lang w:val="en-US"/>
        </w:rPr>
        <w:t>with the</w:t>
      </w:r>
      <w:r w:rsidRPr="008A3740">
        <w:rPr>
          <w:rFonts w:ascii="Verdana" w:hAnsi="Verdana"/>
          <w:bCs/>
          <w:sz w:val="20"/>
          <w:szCs w:val="20"/>
          <w:lang w:val="en-US"/>
        </w:rPr>
        <w:t xml:space="preserve"> j</w:t>
      </w:r>
      <w:r w:rsidR="00520162" w:rsidRPr="008A3740">
        <w:rPr>
          <w:rFonts w:ascii="Verdana" w:hAnsi="Verdana"/>
          <w:bCs/>
          <w:sz w:val="20"/>
          <w:szCs w:val="20"/>
          <w:lang w:val="en-US"/>
        </w:rPr>
        <w:t xml:space="preserve">udgments, resulted in </w:t>
      </w:r>
      <w:r w:rsidRPr="008A3740">
        <w:rPr>
          <w:rFonts w:ascii="Verdana" w:hAnsi="Verdana"/>
          <w:bCs/>
          <w:sz w:val="20"/>
          <w:szCs w:val="20"/>
          <w:lang w:val="en-US"/>
        </w:rPr>
        <w:t>their non-execution</w:t>
      </w:r>
      <w:r w:rsidR="006026A8" w:rsidRPr="008A3740">
        <w:rPr>
          <w:rFonts w:ascii="Verdana" w:hAnsi="Verdana"/>
          <w:bCs/>
          <w:sz w:val="20"/>
          <w:szCs w:val="20"/>
          <w:lang w:val="en-US"/>
        </w:rPr>
        <w:t>. This failure to comply with the judgments</w:t>
      </w:r>
      <w:r w:rsidRPr="008A3740">
        <w:rPr>
          <w:rFonts w:ascii="Verdana" w:hAnsi="Verdana"/>
          <w:bCs/>
          <w:sz w:val="20"/>
          <w:szCs w:val="20"/>
          <w:lang w:val="en-US"/>
        </w:rPr>
        <w:t xml:space="preserve"> deprived the victim of </w:t>
      </w:r>
      <w:r w:rsidR="006026A8" w:rsidRPr="008A3740">
        <w:rPr>
          <w:rFonts w:ascii="Verdana" w:hAnsi="Verdana"/>
          <w:bCs/>
          <w:sz w:val="20"/>
          <w:szCs w:val="20"/>
          <w:lang w:val="en-US"/>
        </w:rPr>
        <w:t xml:space="preserve">the right to lead </w:t>
      </w:r>
      <w:r w:rsidRPr="008A3740">
        <w:rPr>
          <w:rFonts w:ascii="Verdana" w:hAnsi="Verdana"/>
          <w:bCs/>
          <w:sz w:val="20"/>
          <w:szCs w:val="20"/>
          <w:lang w:val="en-US"/>
        </w:rPr>
        <w:t>a life with dignity</w:t>
      </w:r>
      <w:r w:rsidR="006026A8" w:rsidRPr="008A3740">
        <w:rPr>
          <w:rFonts w:ascii="Verdana" w:hAnsi="Verdana"/>
          <w:bCs/>
          <w:sz w:val="20"/>
          <w:szCs w:val="20"/>
          <w:lang w:val="en-US"/>
        </w:rPr>
        <w:t>,</w:t>
      </w:r>
      <w:r w:rsidRPr="008A3740">
        <w:rPr>
          <w:rFonts w:ascii="Verdana" w:hAnsi="Verdana"/>
          <w:bCs/>
          <w:sz w:val="20"/>
          <w:szCs w:val="20"/>
          <w:lang w:val="en-US"/>
        </w:rPr>
        <w:t xml:space="preserve"> </w:t>
      </w:r>
      <w:r w:rsidR="006026A8" w:rsidRPr="008A3740">
        <w:rPr>
          <w:rFonts w:ascii="Verdana" w:hAnsi="Verdana"/>
          <w:bCs/>
          <w:sz w:val="20"/>
          <w:szCs w:val="20"/>
          <w:lang w:val="en-US"/>
        </w:rPr>
        <w:t>enjoy a healthy old age and</w:t>
      </w:r>
      <w:r w:rsidRPr="008A3740">
        <w:rPr>
          <w:rFonts w:ascii="Verdana" w:hAnsi="Verdana"/>
          <w:bCs/>
          <w:sz w:val="20"/>
          <w:szCs w:val="20"/>
          <w:lang w:val="en-US"/>
        </w:rPr>
        <w:t xml:space="preserve"> </w:t>
      </w:r>
      <w:r w:rsidR="00A82000" w:rsidRPr="008A3740">
        <w:rPr>
          <w:rFonts w:ascii="Verdana" w:hAnsi="Verdana"/>
          <w:bCs/>
          <w:sz w:val="20"/>
          <w:szCs w:val="20"/>
          <w:lang w:val="en-US"/>
        </w:rPr>
        <w:t xml:space="preserve">cover his </w:t>
      </w:r>
      <w:r w:rsidRPr="008A3740">
        <w:rPr>
          <w:rFonts w:ascii="Verdana" w:hAnsi="Verdana"/>
          <w:bCs/>
          <w:sz w:val="20"/>
          <w:szCs w:val="20"/>
          <w:lang w:val="en-US"/>
        </w:rPr>
        <w:t xml:space="preserve">most basic </w:t>
      </w:r>
      <w:r w:rsidR="00467894" w:rsidRPr="008A3740">
        <w:rPr>
          <w:rFonts w:ascii="Verdana" w:hAnsi="Verdana"/>
          <w:bCs/>
          <w:sz w:val="20"/>
          <w:szCs w:val="20"/>
          <w:lang w:val="en-US"/>
        </w:rPr>
        <w:t>necessities</w:t>
      </w:r>
      <w:r w:rsidRPr="008A3740">
        <w:rPr>
          <w:rFonts w:ascii="Verdana" w:hAnsi="Verdana"/>
          <w:bCs/>
          <w:sz w:val="20"/>
          <w:szCs w:val="20"/>
          <w:lang w:val="en-US"/>
        </w:rPr>
        <w:t>, such as food, housing an</w:t>
      </w:r>
      <w:r w:rsidR="00A82000" w:rsidRPr="008A3740">
        <w:rPr>
          <w:rFonts w:ascii="Verdana" w:hAnsi="Verdana"/>
          <w:bCs/>
          <w:sz w:val="20"/>
          <w:szCs w:val="20"/>
          <w:lang w:val="en-US"/>
        </w:rPr>
        <w:t>d</w:t>
      </w:r>
      <w:r w:rsidRPr="008A3740">
        <w:rPr>
          <w:rFonts w:ascii="Verdana" w:hAnsi="Verdana"/>
          <w:bCs/>
          <w:sz w:val="20"/>
          <w:szCs w:val="20"/>
          <w:lang w:val="en-US"/>
        </w:rPr>
        <w:t xml:space="preserve"> health care, in order to improve his quality of life and that of his family</w:t>
      </w:r>
      <w:r w:rsidRPr="008A3740">
        <w:rPr>
          <w:rFonts w:ascii="Verdana" w:hAnsi="Verdana"/>
          <w:b/>
          <w:bCs/>
          <w:sz w:val="20"/>
          <w:szCs w:val="20"/>
          <w:lang w:val="en-US"/>
        </w:rPr>
        <w:t>.</w:t>
      </w:r>
      <w:r w:rsidRPr="008A3740">
        <w:rPr>
          <w:rFonts w:ascii="Verdana" w:hAnsi="Verdana"/>
          <w:bCs/>
          <w:sz w:val="20"/>
          <w:szCs w:val="20"/>
          <w:lang w:val="en-US"/>
        </w:rPr>
        <w:t xml:space="preserve"> The representatives indicated that, as a consequence of the suspension of his pension, Mr. Muelle Flores was unable to co</w:t>
      </w:r>
      <w:r w:rsidR="00A82000" w:rsidRPr="008A3740">
        <w:rPr>
          <w:rFonts w:ascii="Verdana" w:hAnsi="Verdana"/>
          <w:bCs/>
          <w:sz w:val="20"/>
          <w:szCs w:val="20"/>
          <w:lang w:val="en-US"/>
        </w:rPr>
        <w:t xml:space="preserve">ntribute to </w:t>
      </w:r>
      <w:r w:rsidR="00361755" w:rsidRPr="008A3740">
        <w:rPr>
          <w:rFonts w:ascii="Verdana" w:hAnsi="Verdana"/>
          <w:bCs/>
          <w:sz w:val="20"/>
          <w:szCs w:val="20"/>
          <w:lang w:val="en-US"/>
        </w:rPr>
        <w:t xml:space="preserve">the </w:t>
      </w:r>
      <w:r w:rsidR="00A82000" w:rsidRPr="008A3740">
        <w:rPr>
          <w:rFonts w:ascii="Verdana" w:hAnsi="Verdana"/>
          <w:bCs/>
          <w:sz w:val="20"/>
          <w:szCs w:val="20"/>
          <w:lang w:val="en-US"/>
        </w:rPr>
        <w:t xml:space="preserve">social </w:t>
      </w:r>
      <w:r w:rsidR="00444FC0" w:rsidRPr="008A3740">
        <w:rPr>
          <w:rFonts w:ascii="Verdana" w:hAnsi="Verdana"/>
          <w:bCs/>
          <w:sz w:val="20"/>
          <w:szCs w:val="20"/>
          <w:lang w:val="en-US"/>
        </w:rPr>
        <w:t>health insurance</w:t>
      </w:r>
      <w:r w:rsidR="00361755" w:rsidRPr="008A3740">
        <w:rPr>
          <w:rFonts w:ascii="Verdana" w:hAnsi="Verdana"/>
          <w:bCs/>
          <w:sz w:val="20"/>
          <w:szCs w:val="20"/>
          <w:lang w:val="en-US"/>
        </w:rPr>
        <w:t xml:space="preserve"> system</w:t>
      </w:r>
      <w:r w:rsidRPr="008A3740">
        <w:rPr>
          <w:rFonts w:ascii="Verdana" w:hAnsi="Verdana"/>
          <w:bCs/>
          <w:sz w:val="20"/>
          <w:szCs w:val="20"/>
          <w:lang w:val="en-US"/>
        </w:rPr>
        <w:t xml:space="preserve">, and therefore did not benefit from medical insurance and medical care </w:t>
      </w:r>
      <w:r w:rsidR="00FC4359" w:rsidRPr="008A3740">
        <w:rPr>
          <w:rFonts w:ascii="Verdana" w:hAnsi="Verdana"/>
          <w:bCs/>
          <w:sz w:val="20"/>
          <w:szCs w:val="20"/>
          <w:lang w:val="en-US"/>
        </w:rPr>
        <w:t>o</w:t>
      </w:r>
      <w:r w:rsidR="00361755" w:rsidRPr="008A3740">
        <w:rPr>
          <w:rFonts w:ascii="Verdana" w:hAnsi="Verdana"/>
          <w:bCs/>
          <w:sz w:val="20"/>
          <w:szCs w:val="20"/>
          <w:lang w:val="en-US"/>
        </w:rPr>
        <w:t>n</w:t>
      </w:r>
      <w:r w:rsidR="00A82000" w:rsidRPr="008A3740">
        <w:rPr>
          <w:rFonts w:ascii="Verdana" w:hAnsi="Verdana"/>
          <w:bCs/>
          <w:sz w:val="20"/>
          <w:szCs w:val="20"/>
          <w:lang w:val="en-US"/>
        </w:rPr>
        <w:t xml:space="preserve"> </w:t>
      </w:r>
      <w:r w:rsidRPr="008A3740">
        <w:rPr>
          <w:rFonts w:ascii="Verdana" w:hAnsi="Verdana"/>
          <w:bCs/>
          <w:sz w:val="20"/>
          <w:szCs w:val="20"/>
          <w:lang w:val="en-US"/>
        </w:rPr>
        <w:t xml:space="preserve">the same </w:t>
      </w:r>
      <w:r w:rsidR="00FC4359" w:rsidRPr="008A3740">
        <w:rPr>
          <w:rFonts w:ascii="Verdana" w:hAnsi="Verdana"/>
          <w:bCs/>
          <w:sz w:val="20"/>
          <w:szCs w:val="20"/>
          <w:lang w:val="en-US"/>
        </w:rPr>
        <w:t xml:space="preserve">terms </w:t>
      </w:r>
      <w:r w:rsidRPr="008A3740">
        <w:rPr>
          <w:rFonts w:ascii="Verdana" w:hAnsi="Verdana"/>
          <w:bCs/>
          <w:sz w:val="20"/>
          <w:szCs w:val="20"/>
          <w:lang w:val="en-US"/>
        </w:rPr>
        <w:t xml:space="preserve">as other pensioners under Decree Law No. 20530. As a result, he incurred financial expenses </w:t>
      </w:r>
      <w:r w:rsidR="00520162" w:rsidRPr="008A3740">
        <w:rPr>
          <w:rFonts w:ascii="Verdana" w:hAnsi="Verdana"/>
          <w:bCs/>
          <w:sz w:val="20"/>
          <w:szCs w:val="20"/>
          <w:lang w:val="en-US"/>
        </w:rPr>
        <w:t xml:space="preserve">in </w:t>
      </w:r>
      <w:r w:rsidR="006026A8" w:rsidRPr="008A3740">
        <w:rPr>
          <w:rFonts w:ascii="Verdana" w:hAnsi="Verdana"/>
          <w:bCs/>
          <w:sz w:val="20"/>
          <w:szCs w:val="20"/>
          <w:lang w:val="en-US"/>
        </w:rPr>
        <w:t xml:space="preserve">treating </w:t>
      </w:r>
      <w:r w:rsidR="006932C9" w:rsidRPr="008A3740">
        <w:rPr>
          <w:rFonts w:ascii="Verdana" w:hAnsi="Verdana"/>
          <w:bCs/>
          <w:sz w:val="20"/>
          <w:szCs w:val="20"/>
          <w:lang w:val="en-US"/>
        </w:rPr>
        <w:t>his health problems</w:t>
      </w:r>
      <w:r w:rsidRPr="008A3740">
        <w:rPr>
          <w:rFonts w:ascii="Verdana" w:hAnsi="Verdana"/>
          <w:bCs/>
          <w:sz w:val="20"/>
          <w:szCs w:val="20"/>
          <w:lang w:val="en-US"/>
        </w:rPr>
        <w:t xml:space="preserve">. </w:t>
      </w:r>
      <w:r w:rsidR="00A82000" w:rsidRPr="008A3740">
        <w:rPr>
          <w:rFonts w:ascii="Verdana" w:hAnsi="Verdana"/>
          <w:bCs/>
          <w:sz w:val="20"/>
          <w:szCs w:val="20"/>
          <w:lang w:val="en-US"/>
        </w:rPr>
        <w:t>T</w:t>
      </w:r>
      <w:r w:rsidRPr="008A3740">
        <w:rPr>
          <w:rFonts w:ascii="Verdana" w:hAnsi="Verdana"/>
          <w:bCs/>
          <w:sz w:val="20"/>
          <w:szCs w:val="20"/>
          <w:lang w:val="en-US"/>
        </w:rPr>
        <w:t xml:space="preserve">he representatives </w:t>
      </w:r>
      <w:r w:rsidR="00A82000" w:rsidRPr="008A3740">
        <w:rPr>
          <w:rFonts w:ascii="Verdana" w:hAnsi="Verdana"/>
          <w:bCs/>
          <w:sz w:val="20"/>
          <w:szCs w:val="20"/>
          <w:lang w:val="en-US"/>
        </w:rPr>
        <w:t>also stated that</w:t>
      </w:r>
      <w:r w:rsidRPr="008A3740">
        <w:rPr>
          <w:rFonts w:ascii="Verdana" w:hAnsi="Verdana"/>
          <w:bCs/>
          <w:sz w:val="20"/>
          <w:szCs w:val="20"/>
          <w:lang w:val="en-US"/>
        </w:rPr>
        <w:t>, “</w:t>
      </w:r>
      <w:r w:rsidR="006932C9" w:rsidRPr="008A3740">
        <w:rPr>
          <w:rFonts w:ascii="Verdana" w:hAnsi="Verdana"/>
          <w:bCs/>
          <w:sz w:val="20"/>
          <w:szCs w:val="20"/>
          <w:lang w:val="en-US"/>
        </w:rPr>
        <w:t xml:space="preserve">it should not be forgotten </w:t>
      </w:r>
      <w:r w:rsidRPr="008A3740">
        <w:rPr>
          <w:rFonts w:ascii="Verdana" w:hAnsi="Verdana"/>
          <w:bCs/>
          <w:sz w:val="20"/>
          <w:szCs w:val="20"/>
          <w:lang w:val="en-US"/>
        </w:rPr>
        <w:t xml:space="preserve">that </w:t>
      </w:r>
      <w:r w:rsidR="00520162" w:rsidRPr="008A3740">
        <w:rPr>
          <w:rFonts w:ascii="Verdana" w:hAnsi="Verdana"/>
          <w:bCs/>
          <w:sz w:val="20"/>
          <w:szCs w:val="20"/>
          <w:lang w:val="en-US"/>
        </w:rPr>
        <w:t xml:space="preserve">full </w:t>
      </w:r>
      <w:r w:rsidRPr="008A3740">
        <w:rPr>
          <w:rFonts w:ascii="Verdana" w:hAnsi="Verdana"/>
          <w:bCs/>
          <w:sz w:val="20"/>
          <w:szCs w:val="20"/>
          <w:lang w:val="en-US"/>
        </w:rPr>
        <w:t xml:space="preserve">respect </w:t>
      </w:r>
      <w:r w:rsidR="006932C9" w:rsidRPr="008A3740">
        <w:rPr>
          <w:rFonts w:ascii="Verdana" w:hAnsi="Verdana"/>
          <w:bCs/>
          <w:sz w:val="20"/>
          <w:szCs w:val="20"/>
          <w:lang w:val="en-US"/>
        </w:rPr>
        <w:t xml:space="preserve">for </w:t>
      </w:r>
      <w:r w:rsidR="00520162" w:rsidRPr="008A3740">
        <w:rPr>
          <w:rFonts w:ascii="Verdana" w:hAnsi="Verdana"/>
          <w:bCs/>
          <w:sz w:val="20"/>
          <w:szCs w:val="20"/>
          <w:lang w:val="en-US"/>
        </w:rPr>
        <w:t>the guarantees of due legal process</w:t>
      </w:r>
      <w:r w:rsidRPr="008A3740">
        <w:rPr>
          <w:rFonts w:ascii="Verdana" w:hAnsi="Verdana"/>
          <w:bCs/>
          <w:sz w:val="20"/>
          <w:szCs w:val="20"/>
          <w:lang w:val="en-US"/>
        </w:rPr>
        <w:t xml:space="preserve"> and judicial protection</w:t>
      </w:r>
      <w:r w:rsidR="00444FC0" w:rsidRPr="008A3740">
        <w:rPr>
          <w:rFonts w:ascii="Verdana" w:hAnsi="Verdana"/>
          <w:bCs/>
          <w:sz w:val="20"/>
          <w:szCs w:val="20"/>
          <w:lang w:val="en-US"/>
        </w:rPr>
        <w:t xml:space="preserve"> ultimately</w:t>
      </w:r>
      <w:r w:rsidRPr="008A3740">
        <w:rPr>
          <w:rFonts w:ascii="Verdana" w:hAnsi="Verdana"/>
          <w:bCs/>
          <w:sz w:val="20"/>
          <w:szCs w:val="20"/>
          <w:lang w:val="en-US"/>
        </w:rPr>
        <w:t xml:space="preserve"> constitu</w:t>
      </w:r>
      <w:r w:rsidR="00A82000" w:rsidRPr="008A3740">
        <w:rPr>
          <w:rFonts w:ascii="Verdana" w:hAnsi="Verdana"/>
          <w:bCs/>
          <w:sz w:val="20"/>
          <w:szCs w:val="20"/>
          <w:lang w:val="en-US"/>
        </w:rPr>
        <w:t xml:space="preserve">te the main </w:t>
      </w:r>
      <w:r w:rsidR="004E6447" w:rsidRPr="008A3740">
        <w:rPr>
          <w:rFonts w:ascii="Verdana" w:hAnsi="Verdana"/>
          <w:bCs/>
          <w:sz w:val="20"/>
          <w:szCs w:val="20"/>
          <w:lang w:val="en-US"/>
        </w:rPr>
        <w:t>su</w:t>
      </w:r>
      <w:r w:rsidR="006932C9" w:rsidRPr="008A3740">
        <w:rPr>
          <w:rFonts w:ascii="Verdana" w:hAnsi="Verdana"/>
          <w:bCs/>
          <w:sz w:val="20"/>
          <w:szCs w:val="20"/>
          <w:lang w:val="en-US"/>
        </w:rPr>
        <w:t>pport</w:t>
      </w:r>
      <w:r w:rsidRPr="008A3740">
        <w:rPr>
          <w:rFonts w:ascii="Verdana" w:hAnsi="Verdana"/>
          <w:bCs/>
          <w:sz w:val="20"/>
          <w:szCs w:val="20"/>
          <w:lang w:val="en-US"/>
        </w:rPr>
        <w:t xml:space="preserve"> </w:t>
      </w:r>
      <w:r w:rsidR="006932C9" w:rsidRPr="008A3740">
        <w:rPr>
          <w:rFonts w:ascii="Verdana" w:hAnsi="Verdana"/>
          <w:bCs/>
          <w:sz w:val="20"/>
          <w:szCs w:val="20"/>
          <w:lang w:val="en-US"/>
        </w:rPr>
        <w:t xml:space="preserve">for </w:t>
      </w:r>
      <w:r w:rsidRPr="008A3740">
        <w:rPr>
          <w:rFonts w:ascii="Verdana" w:hAnsi="Verdana"/>
          <w:bCs/>
          <w:sz w:val="20"/>
          <w:szCs w:val="20"/>
          <w:lang w:val="en-US"/>
        </w:rPr>
        <w:t xml:space="preserve">the </w:t>
      </w:r>
      <w:r w:rsidR="006026A8" w:rsidRPr="008A3740">
        <w:rPr>
          <w:rFonts w:ascii="Verdana" w:hAnsi="Verdana"/>
          <w:bCs/>
          <w:sz w:val="20"/>
          <w:szCs w:val="20"/>
          <w:lang w:val="en-US"/>
        </w:rPr>
        <w:t xml:space="preserve">realization of </w:t>
      </w:r>
      <w:r w:rsidRPr="008A3740">
        <w:rPr>
          <w:rFonts w:ascii="Verdana" w:hAnsi="Verdana"/>
          <w:bCs/>
          <w:sz w:val="20"/>
          <w:szCs w:val="20"/>
          <w:lang w:val="en-US"/>
        </w:rPr>
        <w:t>and compliance with economic, social and cultural rights.”</w:t>
      </w:r>
      <w:r w:rsidRPr="008A3740">
        <w:rPr>
          <w:rFonts w:ascii="Verdana" w:hAnsi="Verdana"/>
          <w:b/>
          <w:bCs/>
          <w:sz w:val="20"/>
          <w:szCs w:val="20"/>
          <w:lang w:val="en-US"/>
        </w:rPr>
        <w:t xml:space="preserve"> </w:t>
      </w:r>
      <w:r w:rsidRPr="008A3740">
        <w:rPr>
          <w:rFonts w:ascii="Verdana" w:hAnsi="Verdana"/>
          <w:bCs/>
          <w:sz w:val="20"/>
          <w:szCs w:val="20"/>
          <w:lang w:val="en-US"/>
        </w:rPr>
        <w:t xml:space="preserve">Finally, the representatives </w:t>
      </w:r>
      <w:r w:rsidR="00520162" w:rsidRPr="008A3740">
        <w:rPr>
          <w:rFonts w:ascii="Verdana" w:hAnsi="Verdana"/>
          <w:bCs/>
          <w:sz w:val="20"/>
          <w:szCs w:val="20"/>
          <w:lang w:val="en-US"/>
        </w:rPr>
        <w:t xml:space="preserve">emphasized </w:t>
      </w:r>
      <w:r w:rsidRPr="008A3740">
        <w:rPr>
          <w:rFonts w:ascii="Verdana" w:hAnsi="Verdana"/>
          <w:bCs/>
          <w:sz w:val="20"/>
          <w:szCs w:val="20"/>
          <w:lang w:val="en-US"/>
        </w:rPr>
        <w:t xml:space="preserve">that the </w:t>
      </w:r>
      <w:r w:rsidR="00361755" w:rsidRPr="008A3740">
        <w:rPr>
          <w:rFonts w:ascii="Verdana" w:hAnsi="Verdana"/>
          <w:bCs/>
          <w:sz w:val="20"/>
          <w:szCs w:val="20"/>
          <w:lang w:val="en-US"/>
        </w:rPr>
        <w:t xml:space="preserve">instant </w:t>
      </w:r>
      <w:r w:rsidRPr="008A3740">
        <w:rPr>
          <w:rFonts w:ascii="Verdana" w:hAnsi="Verdana"/>
          <w:bCs/>
          <w:sz w:val="20"/>
          <w:szCs w:val="20"/>
          <w:lang w:val="en-US"/>
        </w:rPr>
        <w:t>case “</w:t>
      </w:r>
      <w:r w:rsidR="00361755" w:rsidRPr="008A3740">
        <w:rPr>
          <w:rFonts w:ascii="Verdana" w:hAnsi="Verdana"/>
          <w:bCs/>
          <w:sz w:val="20"/>
          <w:szCs w:val="20"/>
          <w:lang w:val="en-US"/>
        </w:rPr>
        <w:t xml:space="preserve">is of the utmost </w:t>
      </w:r>
      <w:r w:rsidRPr="008A3740">
        <w:rPr>
          <w:rFonts w:ascii="Verdana" w:hAnsi="Verdana"/>
          <w:bCs/>
          <w:sz w:val="20"/>
          <w:szCs w:val="20"/>
          <w:lang w:val="en-US"/>
        </w:rPr>
        <w:t xml:space="preserve">importance and interest since </w:t>
      </w:r>
      <w:r w:rsidR="00520162" w:rsidRPr="008A3740">
        <w:rPr>
          <w:rFonts w:ascii="Verdana" w:hAnsi="Verdana"/>
          <w:bCs/>
          <w:sz w:val="20"/>
          <w:szCs w:val="20"/>
          <w:lang w:val="en-US"/>
        </w:rPr>
        <w:t xml:space="preserve">it </w:t>
      </w:r>
      <w:r w:rsidR="006026A8" w:rsidRPr="008A3740">
        <w:rPr>
          <w:rFonts w:ascii="Verdana" w:hAnsi="Verdana"/>
          <w:bCs/>
          <w:sz w:val="20"/>
          <w:szCs w:val="20"/>
          <w:lang w:val="en-US"/>
        </w:rPr>
        <w:t xml:space="preserve">seeks to ensure </w:t>
      </w:r>
      <w:r w:rsidR="00520162" w:rsidRPr="008A3740">
        <w:rPr>
          <w:rFonts w:ascii="Verdana" w:hAnsi="Verdana"/>
          <w:bCs/>
          <w:sz w:val="20"/>
          <w:szCs w:val="20"/>
          <w:lang w:val="en-US"/>
        </w:rPr>
        <w:t xml:space="preserve">the effective protection of </w:t>
      </w:r>
      <w:r w:rsidRPr="008A3740">
        <w:rPr>
          <w:rFonts w:ascii="Verdana" w:hAnsi="Verdana"/>
          <w:bCs/>
          <w:sz w:val="20"/>
          <w:szCs w:val="20"/>
          <w:lang w:val="en-US"/>
        </w:rPr>
        <w:t xml:space="preserve">the rights of </w:t>
      </w:r>
      <w:r w:rsidR="006932C9" w:rsidRPr="008A3740">
        <w:rPr>
          <w:rFonts w:ascii="Verdana" w:hAnsi="Verdana"/>
          <w:bCs/>
          <w:sz w:val="20"/>
          <w:szCs w:val="20"/>
          <w:lang w:val="en-US"/>
        </w:rPr>
        <w:t xml:space="preserve">older </w:t>
      </w:r>
      <w:r w:rsidRPr="008A3740">
        <w:rPr>
          <w:rFonts w:ascii="Verdana" w:hAnsi="Verdana"/>
          <w:bCs/>
          <w:sz w:val="20"/>
          <w:szCs w:val="20"/>
          <w:lang w:val="en-US"/>
        </w:rPr>
        <w:t>person</w:t>
      </w:r>
      <w:r w:rsidR="006932C9" w:rsidRPr="008A3740">
        <w:rPr>
          <w:rFonts w:ascii="Verdana" w:hAnsi="Verdana"/>
          <w:bCs/>
          <w:sz w:val="20"/>
          <w:szCs w:val="20"/>
          <w:lang w:val="en-US"/>
        </w:rPr>
        <w:t>s</w:t>
      </w:r>
      <w:r w:rsidR="00520162" w:rsidRPr="008A3740">
        <w:rPr>
          <w:rFonts w:ascii="Verdana" w:hAnsi="Verdana"/>
          <w:bCs/>
          <w:sz w:val="20"/>
          <w:szCs w:val="20"/>
          <w:lang w:val="en-US"/>
        </w:rPr>
        <w:t xml:space="preserve">, </w:t>
      </w:r>
      <w:r w:rsidR="004E6447" w:rsidRPr="008A3740">
        <w:rPr>
          <w:rFonts w:ascii="Verdana" w:hAnsi="Verdana"/>
          <w:bCs/>
          <w:sz w:val="20"/>
          <w:szCs w:val="20"/>
          <w:lang w:val="en-US"/>
        </w:rPr>
        <w:t xml:space="preserve">whose </w:t>
      </w:r>
      <w:r w:rsidR="00361755" w:rsidRPr="008A3740">
        <w:rPr>
          <w:rFonts w:ascii="Verdana" w:hAnsi="Verdana"/>
          <w:bCs/>
          <w:sz w:val="20"/>
          <w:szCs w:val="20"/>
          <w:lang w:val="en-US"/>
        </w:rPr>
        <w:t xml:space="preserve">situation </w:t>
      </w:r>
      <w:r w:rsidR="004E6447" w:rsidRPr="008A3740">
        <w:rPr>
          <w:rFonts w:ascii="Verdana" w:hAnsi="Verdana"/>
          <w:bCs/>
          <w:sz w:val="20"/>
          <w:szCs w:val="20"/>
          <w:lang w:val="en-US"/>
        </w:rPr>
        <w:t>is</w:t>
      </w:r>
      <w:r w:rsidRPr="008A3740">
        <w:rPr>
          <w:rFonts w:ascii="Verdana" w:hAnsi="Verdana"/>
          <w:bCs/>
          <w:sz w:val="20"/>
          <w:szCs w:val="20"/>
          <w:lang w:val="en-US"/>
        </w:rPr>
        <w:t xml:space="preserve"> c</w:t>
      </w:r>
      <w:r w:rsidR="004E6447" w:rsidRPr="008A3740">
        <w:rPr>
          <w:rFonts w:ascii="Verdana" w:hAnsi="Verdana"/>
          <w:bCs/>
          <w:sz w:val="20"/>
          <w:szCs w:val="20"/>
          <w:lang w:val="en-US"/>
        </w:rPr>
        <w:t>h</w:t>
      </w:r>
      <w:r w:rsidRPr="008A3740">
        <w:rPr>
          <w:rFonts w:ascii="Verdana" w:hAnsi="Verdana"/>
          <w:bCs/>
          <w:sz w:val="20"/>
          <w:szCs w:val="20"/>
          <w:lang w:val="en-US"/>
        </w:rPr>
        <w:t>aracteriz</w:t>
      </w:r>
      <w:r w:rsidR="004E6447" w:rsidRPr="008A3740">
        <w:rPr>
          <w:rFonts w:ascii="Verdana" w:hAnsi="Verdana"/>
          <w:bCs/>
          <w:sz w:val="20"/>
          <w:szCs w:val="20"/>
          <w:lang w:val="en-US"/>
        </w:rPr>
        <w:t xml:space="preserve">ed by </w:t>
      </w:r>
      <w:r w:rsidR="00361755" w:rsidRPr="008A3740">
        <w:rPr>
          <w:rFonts w:ascii="Verdana" w:hAnsi="Verdana"/>
          <w:bCs/>
          <w:sz w:val="20"/>
          <w:szCs w:val="20"/>
          <w:lang w:val="en-US"/>
        </w:rPr>
        <w:t xml:space="preserve">a </w:t>
      </w:r>
      <w:r w:rsidRPr="008A3740">
        <w:rPr>
          <w:rFonts w:ascii="Verdana" w:hAnsi="Verdana"/>
          <w:bCs/>
          <w:sz w:val="20"/>
          <w:szCs w:val="20"/>
          <w:lang w:val="en-US"/>
        </w:rPr>
        <w:t xml:space="preserve">high </w:t>
      </w:r>
      <w:r w:rsidR="00361755" w:rsidRPr="008A3740">
        <w:rPr>
          <w:rFonts w:ascii="Verdana" w:hAnsi="Verdana"/>
          <w:bCs/>
          <w:sz w:val="20"/>
          <w:szCs w:val="20"/>
          <w:lang w:val="en-US"/>
        </w:rPr>
        <w:t xml:space="preserve">level of </w:t>
      </w:r>
      <w:r w:rsidRPr="008A3740">
        <w:rPr>
          <w:rFonts w:ascii="Verdana" w:hAnsi="Verdana"/>
          <w:bCs/>
          <w:sz w:val="20"/>
          <w:szCs w:val="20"/>
          <w:lang w:val="en-US"/>
        </w:rPr>
        <w:t>social and economic vulnerability</w:t>
      </w:r>
      <w:r w:rsidR="006932C9" w:rsidRPr="008A3740">
        <w:rPr>
          <w:rFonts w:ascii="Verdana" w:hAnsi="Verdana"/>
          <w:bCs/>
          <w:sz w:val="20"/>
          <w:szCs w:val="20"/>
          <w:lang w:val="en-US"/>
        </w:rPr>
        <w:t>.”</w:t>
      </w:r>
    </w:p>
    <w:p w14:paraId="4864472F" w14:textId="77777777" w:rsidR="008E6A56" w:rsidRPr="008A3740" w:rsidRDefault="008E6A56" w:rsidP="008E6A56">
      <w:pPr>
        <w:tabs>
          <w:tab w:val="left" w:pos="567"/>
          <w:tab w:val="left" w:pos="720"/>
        </w:tabs>
        <w:rPr>
          <w:rFonts w:ascii="Verdana" w:hAnsi="Verdana"/>
          <w:b/>
          <w:bCs/>
          <w:sz w:val="20"/>
          <w:szCs w:val="20"/>
          <w:lang w:val="en-US"/>
        </w:rPr>
      </w:pPr>
    </w:p>
    <w:p w14:paraId="4A0BB6E2" w14:textId="77777777" w:rsidR="008E6A56" w:rsidRPr="008A3740" w:rsidRDefault="008E6A56" w:rsidP="00D17A65">
      <w:pPr>
        <w:numPr>
          <w:ilvl w:val="0"/>
          <w:numId w:val="3"/>
        </w:numPr>
        <w:tabs>
          <w:tab w:val="left" w:pos="567"/>
          <w:tab w:val="left" w:pos="720"/>
        </w:tabs>
        <w:ind w:left="0" w:firstLine="0"/>
        <w:rPr>
          <w:rFonts w:ascii="Verdana" w:hAnsi="Verdana"/>
          <w:bCs/>
          <w:sz w:val="20"/>
          <w:szCs w:val="20"/>
          <w:lang w:val="en-US"/>
        </w:rPr>
      </w:pPr>
      <w:r w:rsidRPr="008A3740">
        <w:rPr>
          <w:rFonts w:ascii="Verdana" w:hAnsi="Verdana"/>
          <w:bCs/>
          <w:sz w:val="20"/>
          <w:szCs w:val="20"/>
          <w:lang w:val="en-US"/>
        </w:rPr>
        <w:t xml:space="preserve">Neither the </w:t>
      </w:r>
      <w:r w:rsidRPr="008A3740">
        <w:rPr>
          <w:rFonts w:ascii="Verdana" w:hAnsi="Verdana"/>
          <w:b/>
          <w:bCs/>
          <w:i/>
          <w:sz w:val="20"/>
          <w:szCs w:val="20"/>
          <w:lang w:val="en-US"/>
        </w:rPr>
        <w:t>Commission</w:t>
      </w:r>
      <w:r w:rsidRPr="008A3740">
        <w:rPr>
          <w:rFonts w:ascii="Verdana" w:hAnsi="Verdana"/>
          <w:bCs/>
          <w:sz w:val="20"/>
          <w:szCs w:val="20"/>
          <w:lang w:val="en-US"/>
        </w:rPr>
        <w:t xml:space="preserve"> nor the </w:t>
      </w:r>
      <w:r w:rsidRPr="008A3740">
        <w:rPr>
          <w:rFonts w:ascii="Verdana" w:hAnsi="Verdana"/>
          <w:b/>
          <w:bCs/>
          <w:i/>
          <w:sz w:val="20"/>
          <w:szCs w:val="20"/>
          <w:lang w:val="en-US"/>
        </w:rPr>
        <w:t>State</w:t>
      </w:r>
      <w:r w:rsidRPr="008A3740">
        <w:rPr>
          <w:rFonts w:ascii="Verdana" w:hAnsi="Verdana"/>
          <w:bCs/>
          <w:sz w:val="20"/>
          <w:szCs w:val="20"/>
          <w:lang w:val="en-US"/>
        </w:rPr>
        <w:t xml:space="preserve"> presented arguments regarding the alleged violation of Article 26 of the Convention.</w:t>
      </w:r>
    </w:p>
    <w:p w14:paraId="3E73C9A7" w14:textId="77777777" w:rsidR="008E6A56" w:rsidRPr="008A3740" w:rsidRDefault="008E6A56" w:rsidP="008E6A56">
      <w:pPr>
        <w:pStyle w:val="Ttulo3"/>
        <w:rPr>
          <w:lang w:val="en-US"/>
        </w:rPr>
      </w:pPr>
      <w:bookmarkStart w:id="107" w:name="_Toc5009887"/>
      <w:r w:rsidRPr="008A3740">
        <w:rPr>
          <w:lang w:val="en-US"/>
        </w:rPr>
        <w:t>C.2 Considerations of the Court</w:t>
      </w:r>
      <w:bookmarkEnd w:id="107"/>
    </w:p>
    <w:p w14:paraId="7B0BE56E" w14:textId="77777777" w:rsidR="008E6A56" w:rsidRPr="008A3740" w:rsidRDefault="008E6A56" w:rsidP="008E6A56">
      <w:pPr>
        <w:rPr>
          <w:lang w:val="en-US"/>
        </w:rPr>
      </w:pPr>
    </w:p>
    <w:p w14:paraId="126D9E08"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pacing w:val="-2"/>
          <w:sz w:val="20"/>
          <w:szCs w:val="20"/>
          <w:lang w:val="en-US"/>
        </w:rPr>
      </w:pPr>
      <w:r w:rsidRPr="008A3740">
        <w:rPr>
          <w:rFonts w:ascii="Verdana" w:eastAsia="Verdana" w:hAnsi="Verdana"/>
          <w:bCs/>
          <w:sz w:val="20"/>
          <w:szCs w:val="20"/>
          <w:lang w:val="en-US" w:eastAsia="x-none"/>
        </w:rPr>
        <w:t>The Court advi</w:t>
      </w:r>
      <w:r w:rsidR="008A0C6F" w:rsidRPr="008A3740">
        <w:rPr>
          <w:rFonts w:ascii="Verdana" w:eastAsia="Verdana" w:hAnsi="Verdana"/>
          <w:bCs/>
          <w:sz w:val="20"/>
          <w:szCs w:val="20"/>
          <w:lang w:val="en-US" w:eastAsia="x-none"/>
        </w:rPr>
        <w:t xml:space="preserve">ses </w:t>
      </w:r>
      <w:r w:rsidRPr="008A3740">
        <w:rPr>
          <w:rFonts w:ascii="Verdana" w:eastAsia="Verdana" w:hAnsi="Verdana"/>
          <w:bCs/>
          <w:sz w:val="20"/>
          <w:szCs w:val="20"/>
          <w:lang w:val="en-US" w:eastAsia="x-none"/>
        </w:rPr>
        <w:t>that in the instant case, the legal problem p</w:t>
      </w:r>
      <w:r w:rsidR="006026A8" w:rsidRPr="008A3740">
        <w:rPr>
          <w:rFonts w:ascii="Verdana" w:eastAsia="Verdana" w:hAnsi="Verdana"/>
          <w:bCs/>
          <w:sz w:val="20"/>
          <w:szCs w:val="20"/>
          <w:lang w:val="en-US" w:eastAsia="x-none"/>
        </w:rPr>
        <w:t xml:space="preserve">resented </w:t>
      </w:r>
      <w:r w:rsidRPr="008A3740">
        <w:rPr>
          <w:rFonts w:ascii="Verdana" w:eastAsia="Verdana" w:hAnsi="Verdana"/>
          <w:bCs/>
          <w:sz w:val="20"/>
          <w:szCs w:val="20"/>
          <w:lang w:val="en-US" w:eastAsia="x-none"/>
        </w:rPr>
        <w:t xml:space="preserve">by the representatives </w:t>
      </w:r>
      <w:r w:rsidR="008A0C6F" w:rsidRPr="008A3740">
        <w:rPr>
          <w:rFonts w:ascii="Verdana" w:eastAsia="Verdana" w:hAnsi="Verdana"/>
          <w:bCs/>
          <w:sz w:val="20"/>
          <w:szCs w:val="20"/>
          <w:lang w:val="en-US" w:eastAsia="x-none"/>
        </w:rPr>
        <w:t xml:space="preserve">is related </w:t>
      </w:r>
      <w:r w:rsidRPr="008A3740">
        <w:rPr>
          <w:rFonts w:ascii="Verdana" w:eastAsia="Verdana" w:hAnsi="Verdana"/>
          <w:bCs/>
          <w:sz w:val="20"/>
          <w:szCs w:val="20"/>
          <w:lang w:val="en-US" w:eastAsia="x-none"/>
        </w:rPr>
        <w:t xml:space="preserve">to the scope of the right to social </w:t>
      </w:r>
      <w:r w:rsidR="008A0C6F" w:rsidRPr="008A3740">
        <w:rPr>
          <w:rFonts w:ascii="Verdana" w:eastAsia="Verdana" w:hAnsi="Verdana"/>
          <w:bCs/>
          <w:sz w:val="20"/>
          <w:szCs w:val="20"/>
          <w:lang w:val="en-US" w:eastAsia="x-none"/>
        </w:rPr>
        <w:t>security, understood as an autonom</w:t>
      </w:r>
      <w:r w:rsidRPr="008A3740">
        <w:rPr>
          <w:rFonts w:ascii="Verdana" w:eastAsia="Verdana" w:hAnsi="Verdana"/>
          <w:bCs/>
          <w:sz w:val="20"/>
          <w:szCs w:val="20"/>
          <w:lang w:val="en-US" w:eastAsia="x-none"/>
        </w:rPr>
        <w:t xml:space="preserve">ous right derived from Article 26 of the American Convention. </w:t>
      </w:r>
      <w:r w:rsidR="00080B23" w:rsidRPr="008A3740">
        <w:rPr>
          <w:rFonts w:ascii="Verdana" w:eastAsia="Verdana" w:hAnsi="Verdana"/>
          <w:bCs/>
          <w:sz w:val="20"/>
          <w:szCs w:val="20"/>
          <w:lang w:val="en-US" w:eastAsia="x-none"/>
        </w:rPr>
        <w:t>Thus</w:t>
      </w:r>
      <w:r w:rsidRPr="008A3740">
        <w:rPr>
          <w:rFonts w:ascii="Verdana" w:eastAsia="Verdana" w:hAnsi="Verdana"/>
          <w:bCs/>
          <w:sz w:val="20"/>
          <w:szCs w:val="20"/>
          <w:lang w:val="en-US" w:eastAsia="x-none"/>
        </w:rPr>
        <w:t xml:space="preserve">, the arguments of the representatives follow the </w:t>
      </w:r>
      <w:r w:rsidR="00080B23" w:rsidRPr="008A3740">
        <w:rPr>
          <w:rFonts w:ascii="Verdana" w:eastAsia="Verdana" w:hAnsi="Verdana"/>
          <w:bCs/>
          <w:sz w:val="20"/>
          <w:szCs w:val="20"/>
          <w:lang w:val="en-US" w:eastAsia="x-none"/>
        </w:rPr>
        <w:t xml:space="preserve">same </w:t>
      </w:r>
      <w:r w:rsidRPr="008A3740">
        <w:rPr>
          <w:rFonts w:ascii="Verdana" w:eastAsia="Verdana" w:hAnsi="Verdana"/>
          <w:bCs/>
          <w:sz w:val="20"/>
          <w:szCs w:val="20"/>
          <w:lang w:val="en-US" w:eastAsia="x-none"/>
        </w:rPr>
        <w:t>approach adopted by this Court since the case of Lagos del Campo v. Peru</w:t>
      </w:r>
      <w:r w:rsidR="00B90A86" w:rsidRPr="008A3740">
        <w:rPr>
          <w:rFonts w:ascii="Verdana" w:eastAsia="Verdana" w:hAnsi="Verdana"/>
          <w:bCs/>
          <w:sz w:val="20"/>
          <w:szCs w:val="20"/>
          <w:lang w:val="en-US" w:eastAsia="x-none"/>
        </w:rPr>
        <w:t>,</w:t>
      </w:r>
      <w:r w:rsidRPr="008A3740">
        <w:rPr>
          <w:rStyle w:val="Refdenotaalpie"/>
          <w:rFonts w:eastAsia="Verdana"/>
          <w:szCs w:val="20"/>
          <w:lang w:val="en-US" w:eastAsia="x-none"/>
        </w:rPr>
        <w:footnoteReference w:id="175"/>
      </w:r>
      <w:r w:rsidRPr="008A3740">
        <w:rPr>
          <w:rFonts w:ascii="Verdana" w:eastAsia="Verdana" w:hAnsi="Verdana"/>
          <w:bCs/>
          <w:sz w:val="20"/>
          <w:szCs w:val="20"/>
          <w:lang w:val="en-US" w:eastAsia="x-none"/>
        </w:rPr>
        <w:t xml:space="preserve"> </w:t>
      </w:r>
      <w:r w:rsidR="00080B23" w:rsidRPr="008A3740">
        <w:rPr>
          <w:rFonts w:ascii="Verdana" w:eastAsia="Verdana" w:hAnsi="Verdana"/>
          <w:bCs/>
          <w:sz w:val="20"/>
          <w:szCs w:val="20"/>
          <w:lang w:val="en-US" w:eastAsia="x-none"/>
        </w:rPr>
        <w:t xml:space="preserve">which </w:t>
      </w:r>
      <w:r w:rsidRPr="008A3740">
        <w:rPr>
          <w:rFonts w:ascii="Verdana" w:eastAsia="Verdana" w:hAnsi="Verdana"/>
          <w:bCs/>
          <w:sz w:val="20"/>
          <w:szCs w:val="20"/>
          <w:lang w:val="en-US" w:eastAsia="x-none"/>
        </w:rPr>
        <w:t>has been continued in subsequent decisions.</w:t>
      </w:r>
      <w:r w:rsidRPr="008A3740">
        <w:rPr>
          <w:rStyle w:val="Refdenotaalpie"/>
          <w:rFonts w:eastAsia="Verdana"/>
          <w:szCs w:val="20"/>
          <w:lang w:val="en-US" w:eastAsia="x-none"/>
        </w:rPr>
        <w:footnoteReference w:id="176"/>
      </w:r>
      <w:r w:rsidRPr="008A3740">
        <w:rPr>
          <w:rFonts w:ascii="Verdana" w:eastAsia="Verdana" w:hAnsi="Verdana"/>
          <w:bCs/>
          <w:sz w:val="20"/>
          <w:szCs w:val="20"/>
          <w:lang w:val="en-US" w:eastAsia="x-none"/>
        </w:rPr>
        <w:t xml:space="preserve"> In this regard, the Court recalls that in the case of </w:t>
      </w:r>
      <w:r w:rsidRPr="008A3740">
        <w:rPr>
          <w:rFonts w:ascii="Verdana" w:eastAsia="Verdana" w:hAnsi="Verdana"/>
          <w:bCs/>
          <w:i/>
          <w:sz w:val="20"/>
          <w:szCs w:val="20"/>
          <w:lang w:val="en-US" w:eastAsia="x-none"/>
        </w:rPr>
        <w:t>Poblete Vilches et al. v. Chile</w:t>
      </w:r>
      <w:r w:rsidRPr="008A3740">
        <w:rPr>
          <w:rFonts w:ascii="Verdana" w:eastAsia="Verdana" w:hAnsi="Verdana"/>
          <w:bCs/>
          <w:sz w:val="20"/>
          <w:szCs w:val="20"/>
          <w:lang w:val="en-US" w:eastAsia="x-none"/>
        </w:rPr>
        <w:t xml:space="preserve"> it stated the following:</w:t>
      </w:r>
    </w:p>
    <w:p w14:paraId="12545022" w14:textId="77777777" w:rsidR="008E6A56" w:rsidRPr="008A3740" w:rsidRDefault="008E6A56" w:rsidP="008E6A56">
      <w:pPr>
        <w:pStyle w:val="Estilo1"/>
        <w:tabs>
          <w:tab w:val="left" w:pos="709"/>
          <w:tab w:val="left" w:pos="1134"/>
        </w:tabs>
        <w:spacing w:after="0"/>
        <w:ind w:left="0" w:right="-4" w:firstLine="0"/>
        <w:rPr>
          <w:rFonts w:eastAsia="Verdana"/>
          <w:bCs/>
          <w:i w:val="0"/>
          <w:szCs w:val="20"/>
          <w:lang w:val="en-US" w:eastAsia="x-none"/>
        </w:rPr>
      </w:pPr>
    </w:p>
    <w:p w14:paraId="4792D6CF" w14:textId="77777777" w:rsidR="008E6A56" w:rsidRPr="008A3740" w:rsidRDefault="008E6A56" w:rsidP="008E6A56">
      <w:pPr>
        <w:pStyle w:val="Estilo1"/>
        <w:tabs>
          <w:tab w:val="left" w:pos="709"/>
          <w:tab w:val="left" w:pos="1134"/>
          <w:tab w:val="left" w:pos="8505"/>
        </w:tabs>
        <w:spacing w:after="0"/>
        <w:ind w:left="709" w:right="856" w:firstLine="0"/>
        <w:rPr>
          <w:i w:val="0"/>
          <w:sz w:val="18"/>
          <w:szCs w:val="18"/>
          <w:lang w:val="en-US"/>
        </w:rPr>
      </w:pPr>
      <w:r w:rsidRPr="008A3740">
        <w:rPr>
          <w:i w:val="0"/>
          <w:sz w:val="18"/>
          <w:szCs w:val="18"/>
          <w:lang w:val="en-US"/>
        </w:rPr>
        <w:t xml:space="preserve">Thus, </w:t>
      </w:r>
      <w:r w:rsidR="00080B23" w:rsidRPr="008A3740">
        <w:rPr>
          <w:i w:val="0"/>
          <w:sz w:val="18"/>
          <w:szCs w:val="18"/>
          <w:lang w:val="en-US"/>
        </w:rPr>
        <w:t xml:space="preserve">it may </w:t>
      </w:r>
      <w:r w:rsidR="008961D3" w:rsidRPr="008A3740">
        <w:rPr>
          <w:i w:val="0"/>
          <w:sz w:val="18"/>
          <w:szCs w:val="18"/>
          <w:lang w:val="en-US"/>
        </w:rPr>
        <w:t xml:space="preserve">be clearly </w:t>
      </w:r>
      <w:r w:rsidRPr="008A3740">
        <w:rPr>
          <w:i w:val="0"/>
          <w:sz w:val="18"/>
          <w:szCs w:val="18"/>
          <w:lang w:val="en-US"/>
        </w:rPr>
        <w:t>interpret</w:t>
      </w:r>
      <w:r w:rsidR="00080B23" w:rsidRPr="008A3740">
        <w:rPr>
          <w:i w:val="0"/>
          <w:sz w:val="18"/>
          <w:szCs w:val="18"/>
          <w:lang w:val="en-US"/>
        </w:rPr>
        <w:t>ed</w:t>
      </w:r>
      <w:r w:rsidRPr="008A3740">
        <w:rPr>
          <w:i w:val="0"/>
          <w:sz w:val="18"/>
          <w:szCs w:val="18"/>
          <w:lang w:val="en-US"/>
        </w:rPr>
        <w:t xml:space="preserve"> that the American Convention </w:t>
      </w:r>
      <w:r w:rsidR="008961D3" w:rsidRPr="008A3740">
        <w:rPr>
          <w:i w:val="0"/>
          <w:sz w:val="18"/>
          <w:szCs w:val="18"/>
          <w:lang w:val="en-US"/>
        </w:rPr>
        <w:t xml:space="preserve">embodied </w:t>
      </w:r>
      <w:r w:rsidRPr="008A3740">
        <w:rPr>
          <w:i w:val="0"/>
          <w:sz w:val="18"/>
          <w:szCs w:val="18"/>
          <w:lang w:val="en-US"/>
        </w:rPr>
        <w:t xml:space="preserve">in its </w:t>
      </w:r>
      <w:r w:rsidR="000726A0" w:rsidRPr="008A3740">
        <w:rPr>
          <w:i w:val="0"/>
          <w:sz w:val="18"/>
          <w:szCs w:val="18"/>
          <w:lang w:val="en-US"/>
        </w:rPr>
        <w:t>catalogue</w:t>
      </w:r>
      <w:r w:rsidRPr="008A3740">
        <w:rPr>
          <w:i w:val="0"/>
          <w:sz w:val="18"/>
          <w:szCs w:val="18"/>
          <w:lang w:val="en-US"/>
        </w:rPr>
        <w:t xml:space="preserve"> of  </w:t>
      </w:r>
      <w:r w:rsidR="00DB74BA" w:rsidRPr="008A3740">
        <w:rPr>
          <w:i w:val="0"/>
          <w:sz w:val="18"/>
          <w:szCs w:val="18"/>
          <w:lang w:val="en-US"/>
        </w:rPr>
        <w:t xml:space="preserve">protected </w:t>
      </w:r>
      <w:r w:rsidRPr="008A3740">
        <w:rPr>
          <w:i w:val="0"/>
          <w:sz w:val="18"/>
          <w:szCs w:val="18"/>
          <w:lang w:val="en-US"/>
        </w:rPr>
        <w:t xml:space="preserve">rights </w:t>
      </w:r>
      <w:r w:rsidR="00DB74BA" w:rsidRPr="008A3740">
        <w:rPr>
          <w:i w:val="0"/>
          <w:sz w:val="18"/>
          <w:szCs w:val="18"/>
          <w:lang w:val="en-US"/>
        </w:rPr>
        <w:t xml:space="preserve">the </w:t>
      </w:r>
      <w:r w:rsidRPr="008A3740">
        <w:rPr>
          <w:i w:val="0"/>
          <w:sz w:val="18"/>
          <w:szCs w:val="18"/>
          <w:lang w:val="en-US"/>
        </w:rPr>
        <w:t>economic, social, cultural a</w:t>
      </w:r>
      <w:r w:rsidR="008961D3" w:rsidRPr="008A3740">
        <w:rPr>
          <w:i w:val="0"/>
          <w:sz w:val="18"/>
          <w:szCs w:val="18"/>
          <w:lang w:val="en-US"/>
        </w:rPr>
        <w:t>nd environmental rights (ESCER)</w:t>
      </w:r>
      <w:r w:rsidRPr="008A3740">
        <w:rPr>
          <w:i w:val="0"/>
          <w:sz w:val="18"/>
          <w:szCs w:val="18"/>
          <w:lang w:val="en-US"/>
        </w:rPr>
        <w:t xml:space="preserve"> </w:t>
      </w:r>
      <w:r w:rsidR="00470911" w:rsidRPr="008A3740">
        <w:rPr>
          <w:i w:val="0"/>
          <w:sz w:val="18"/>
          <w:szCs w:val="18"/>
          <w:lang w:val="en-US"/>
        </w:rPr>
        <w:t xml:space="preserve">derived from </w:t>
      </w:r>
      <w:r w:rsidR="0066272E" w:rsidRPr="008A3740">
        <w:rPr>
          <w:i w:val="0"/>
          <w:sz w:val="18"/>
          <w:szCs w:val="18"/>
          <w:lang w:val="en-US"/>
        </w:rPr>
        <w:t xml:space="preserve">the </w:t>
      </w:r>
      <w:r w:rsidR="004212B0" w:rsidRPr="008A3740">
        <w:rPr>
          <w:i w:val="0"/>
          <w:sz w:val="18"/>
          <w:szCs w:val="18"/>
          <w:lang w:val="en-US"/>
        </w:rPr>
        <w:t>standards</w:t>
      </w:r>
      <w:r w:rsidRPr="008A3740">
        <w:rPr>
          <w:i w:val="0"/>
          <w:sz w:val="18"/>
          <w:szCs w:val="18"/>
          <w:lang w:val="en-US"/>
        </w:rPr>
        <w:t xml:space="preserve"> </w:t>
      </w:r>
      <w:r w:rsidR="004212B0" w:rsidRPr="008A3740">
        <w:rPr>
          <w:i w:val="0"/>
          <w:sz w:val="18"/>
          <w:szCs w:val="18"/>
          <w:lang w:val="en-US"/>
        </w:rPr>
        <w:t xml:space="preserve">set forth </w:t>
      </w:r>
      <w:r w:rsidRPr="008A3740">
        <w:rPr>
          <w:i w:val="0"/>
          <w:sz w:val="18"/>
          <w:szCs w:val="18"/>
          <w:lang w:val="en-US"/>
        </w:rPr>
        <w:t>in the Charter of the Organization of American States</w:t>
      </w:r>
      <w:r w:rsidR="00520162" w:rsidRPr="008A3740">
        <w:rPr>
          <w:i w:val="0"/>
          <w:sz w:val="18"/>
          <w:szCs w:val="18"/>
          <w:lang w:val="en-US"/>
        </w:rPr>
        <w:t xml:space="preserve"> (OAS), a</w:t>
      </w:r>
      <w:r w:rsidR="00D42D0C" w:rsidRPr="008A3740">
        <w:rPr>
          <w:i w:val="0"/>
          <w:sz w:val="18"/>
          <w:szCs w:val="18"/>
          <w:lang w:val="en-US"/>
        </w:rPr>
        <w:t xml:space="preserve">nd </w:t>
      </w:r>
      <w:r w:rsidR="00520162" w:rsidRPr="008A3740">
        <w:rPr>
          <w:i w:val="0"/>
          <w:sz w:val="18"/>
          <w:szCs w:val="18"/>
          <w:lang w:val="en-US"/>
        </w:rPr>
        <w:t xml:space="preserve">from </w:t>
      </w:r>
      <w:r w:rsidR="0066272E" w:rsidRPr="008A3740">
        <w:rPr>
          <w:i w:val="0"/>
          <w:sz w:val="18"/>
          <w:szCs w:val="18"/>
          <w:lang w:val="en-US"/>
        </w:rPr>
        <w:lastRenderedPageBreak/>
        <w:t xml:space="preserve">the </w:t>
      </w:r>
      <w:r w:rsidR="00075F37" w:rsidRPr="008A3740">
        <w:rPr>
          <w:i w:val="0"/>
          <w:sz w:val="18"/>
          <w:szCs w:val="18"/>
          <w:lang w:val="en-US"/>
        </w:rPr>
        <w:t xml:space="preserve">rules of interpretation </w:t>
      </w:r>
      <w:r w:rsidR="00B90A86" w:rsidRPr="008A3740">
        <w:rPr>
          <w:i w:val="0"/>
          <w:sz w:val="18"/>
          <w:szCs w:val="18"/>
          <w:lang w:val="en-US"/>
        </w:rPr>
        <w:t xml:space="preserve">established </w:t>
      </w:r>
      <w:r w:rsidRPr="008A3740">
        <w:rPr>
          <w:i w:val="0"/>
          <w:sz w:val="18"/>
          <w:szCs w:val="18"/>
          <w:lang w:val="en-US"/>
        </w:rPr>
        <w:t xml:space="preserve">in Article 29 of the Convention; </w:t>
      </w:r>
      <w:r w:rsidR="004212B0" w:rsidRPr="008A3740">
        <w:rPr>
          <w:i w:val="0"/>
          <w:sz w:val="18"/>
          <w:szCs w:val="18"/>
          <w:lang w:val="en-US"/>
        </w:rPr>
        <w:t>in particular</w:t>
      </w:r>
      <w:r w:rsidRPr="008A3740">
        <w:rPr>
          <w:i w:val="0"/>
          <w:sz w:val="18"/>
          <w:szCs w:val="18"/>
          <w:lang w:val="en-US"/>
        </w:rPr>
        <w:t xml:space="preserve">, </w:t>
      </w:r>
      <w:r w:rsidR="00DB74BA" w:rsidRPr="008A3740">
        <w:rPr>
          <w:i w:val="0"/>
          <w:sz w:val="18"/>
          <w:szCs w:val="18"/>
          <w:lang w:val="en-US"/>
        </w:rPr>
        <w:t xml:space="preserve">it prohibits any restriction or exclusion of the </w:t>
      </w:r>
      <w:r w:rsidRPr="008A3740">
        <w:rPr>
          <w:i w:val="0"/>
          <w:sz w:val="18"/>
          <w:szCs w:val="18"/>
          <w:lang w:val="en-US"/>
        </w:rPr>
        <w:t xml:space="preserve">rights established in the American Declaration and even those recognized in </w:t>
      </w:r>
      <w:r w:rsidR="00DB74BA" w:rsidRPr="008A3740">
        <w:rPr>
          <w:i w:val="0"/>
          <w:sz w:val="18"/>
          <w:szCs w:val="18"/>
          <w:lang w:val="en-US"/>
        </w:rPr>
        <w:t xml:space="preserve">the </w:t>
      </w:r>
      <w:r w:rsidR="00D42D0C" w:rsidRPr="008A3740">
        <w:rPr>
          <w:i w:val="0"/>
          <w:sz w:val="18"/>
          <w:szCs w:val="18"/>
          <w:lang w:val="en-US"/>
        </w:rPr>
        <w:t xml:space="preserve">domestic </w:t>
      </w:r>
      <w:r w:rsidR="00DB74BA" w:rsidRPr="008A3740">
        <w:rPr>
          <w:i w:val="0"/>
          <w:sz w:val="18"/>
          <w:szCs w:val="18"/>
          <w:lang w:val="en-US"/>
        </w:rPr>
        <w:t>sphere</w:t>
      </w:r>
      <w:r w:rsidRPr="008A3740">
        <w:rPr>
          <w:i w:val="0"/>
          <w:sz w:val="18"/>
          <w:szCs w:val="18"/>
          <w:lang w:val="en-US"/>
        </w:rPr>
        <w:t xml:space="preserve">. </w:t>
      </w:r>
      <w:r w:rsidR="00DB74BA" w:rsidRPr="008A3740">
        <w:rPr>
          <w:i w:val="0"/>
          <w:sz w:val="18"/>
          <w:szCs w:val="18"/>
          <w:lang w:val="en-US"/>
        </w:rPr>
        <w:t>L</w:t>
      </w:r>
      <w:r w:rsidRPr="008A3740">
        <w:rPr>
          <w:i w:val="0"/>
          <w:sz w:val="18"/>
          <w:szCs w:val="18"/>
          <w:lang w:val="en-US"/>
        </w:rPr>
        <w:t xml:space="preserve">ikewise, </w:t>
      </w:r>
      <w:r w:rsidR="00DB74BA" w:rsidRPr="008A3740">
        <w:rPr>
          <w:i w:val="0"/>
          <w:sz w:val="18"/>
          <w:szCs w:val="18"/>
          <w:lang w:val="en-US"/>
        </w:rPr>
        <w:t xml:space="preserve">in </w:t>
      </w:r>
      <w:r w:rsidR="004C047A" w:rsidRPr="008A3740">
        <w:rPr>
          <w:i w:val="0"/>
          <w:sz w:val="18"/>
          <w:szCs w:val="18"/>
          <w:lang w:val="en-US"/>
        </w:rPr>
        <w:t xml:space="preserve">line </w:t>
      </w:r>
      <w:r w:rsidR="00DB74BA" w:rsidRPr="008A3740">
        <w:rPr>
          <w:i w:val="0"/>
          <w:sz w:val="18"/>
          <w:szCs w:val="18"/>
          <w:lang w:val="en-US"/>
        </w:rPr>
        <w:t xml:space="preserve">with </w:t>
      </w:r>
      <w:r w:rsidRPr="008A3740">
        <w:rPr>
          <w:i w:val="0"/>
          <w:sz w:val="18"/>
          <w:szCs w:val="18"/>
          <w:lang w:val="en-US"/>
        </w:rPr>
        <w:t>a system</w:t>
      </w:r>
      <w:r w:rsidR="00960F8D" w:rsidRPr="008A3740">
        <w:rPr>
          <w:i w:val="0"/>
          <w:sz w:val="18"/>
          <w:szCs w:val="18"/>
          <w:lang w:val="en-US"/>
        </w:rPr>
        <w:t>atic, teleological and evolutive</w:t>
      </w:r>
      <w:r w:rsidRPr="008A3740">
        <w:rPr>
          <w:i w:val="0"/>
          <w:sz w:val="18"/>
          <w:szCs w:val="18"/>
          <w:lang w:val="en-US"/>
        </w:rPr>
        <w:t xml:space="preserve"> interpretation, the Court has </w:t>
      </w:r>
      <w:r w:rsidR="004C047A" w:rsidRPr="008A3740">
        <w:rPr>
          <w:i w:val="0"/>
          <w:sz w:val="18"/>
          <w:szCs w:val="18"/>
          <w:lang w:val="en-US"/>
        </w:rPr>
        <w:t xml:space="preserve">referred to </w:t>
      </w:r>
      <w:r w:rsidR="00520162" w:rsidRPr="008A3740">
        <w:rPr>
          <w:i w:val="0"/>
          <w:sz w:val="18"/>
          <w:szCs w:val="18"/>
          <w:lang w:val="en-US"/>
        </w:rPr>
        <w:t xml:space="preserve">the </w:t>
      </w:r>
      <w:r w:rsidR="008A0C6F" w:rsidRPr="008A3740">
        <w:rPr>
          <w:i w:val="0"/>
          <w:sz w:val="18"/>
          <w:szCs w:val="18"/>
          <w:lang w:val="en-US"/>
        </w:rPr>
        <w:t xml:space="preserve">national and </w:t>
      </w:r>
      <w:r w:rsidRPr="008A3740">
        <w:rPr>
          <w:i w:val="0"/>
          <w:sz w:val="18"/>
          <w:szCs w:val="18"/>
          <w:lang w:val="en-US"/>
        </w:rPr>
        <w:t xml:space="preserve">international </w:t>
      </w:r>
      <w:r w:rsidRPr="008A3740">
        <w:rPr>
          <w:sz w:val="18"/>
          <w:szCs w:val="18"/>
          <w:lang w:val="en-US"/>
        </w:rPr>
        <w:t>corpus iuris</w:t>
      </w:r>
      <w:r w:rsidRPr="008A3740">
        <w:rPr>
          <w:i w:val="0"/>
          <w:sz w:val="18"/>
          <w:szCs w:val="18"/>
          <w:lang w:val="en-US"/>
        </w:rPr>
        <w:t xml:space="preserve"> in th</w:t>
      </w:r>
      <w:r w:rsidR="00960F8D" w:rsidRPr="008A3740">
        <w:rPr>
          <w:i w:val="0"/>
          <w:sz w:val="18"/>
          <w:szCs w:val="18"/>
          <w:lang w:val="en-US"/>
        </w:rPr>
        <w:t xml:space="preserve">is matter </w:t>
      </w:r>
      <w:r w:rsidR="008A0C6F" w:rsidRPr="008A3740">
        <w:rPr>
          <w:i w:val="0"/>
          <w:sz w:val="18"/>
          <w:szCs w:val="18"/>
          <w:lang w:val="en-US"/>
        </w:rPr>
        <w:t xml:space="preserve">to give </w:t>
      </w:r>
      <w:r w:rsidRPr="008A3740">
        <w:rPr>
          <w:i w:val="0"/>
          <w:sz w:val="18"/>
          <w:szCs w:val="18"/>
          <w:lang w:val="en-US"/>
        </w:rPr>
        <w:t xml:space="preserve">specific </w:t>
      </w:r>
      <w:r w:rsidR="008A0C6F" w:rsidRPr="008A3740">
        <w:rPr>
          <w:i w:val="0"/>
          <w:sz w:val="18"/>
          <w:szCs w:val="18"/>
          <w:lang w:val="en-US"/>
        </w:rPr>
        <w:t xml:space="preserve">content to the scope of the </w:t>
      </w:r>
      <w:r w:rsidRPr="008A3740">
        <w:rPr>
          <w:i w:val="0"/>
          <w:sz w:val="18"/>
          <w:szCs w:val="18"/>
          <w:lang w:val="en-US"/>
        </w:rPr>
        <w:t xml:space="preserve">rights </w:t>
      </w:r>
      <w:r w:rsidR="008A0C6F" w:rsidRPr="008A3740">
        <w:rPr>
          <w:i w:val="0"/>
          <w:sz w:val="18"/>
          <w:szCs w:val="18"/>
          <w:lang w:val="en-US"/>
        </w:rPr>
        <w:t xml:space="preserve">protected </w:t>
      </w:r>
      <w:r w:rsidRPr="008A3740">
        <w:rPr>
          <w:i w:val="0"/>
          <w:sz w:val="18"/>
          <w:szCs w:val="18"/>
          <w:lang w:val="en-US"/>
        </w:rPr>
        <w:t xml:space="preserve">by the Convention, </w:t>
      </w:r>
      <w:r w:rsidR="008A0C6F" w:rsidRPr="008A3740">
        <w:rPr>
          <w:i w:val="0"/>
          <w:sz w:val="18"/>
          <w:szCs w:val="18"/>
          <w:lang w:val="en-US"/>
        </w:rPr>
        <w:t>in order to de</w:t>
      </w:r>
      <w:r w:rsidR="00C44AD8" w:rsidRPr="008A3740">
        <w:rPr>
          <w:i w:val="0"/>
          <w:sz w:val="18"/>
          <w:szCs w:val="18"/>
          <w:lang w:val="en-US"/>
        </w:rPr>
        <w:t xml:space="preserve">termine </w:t>
      </w:r>
      <w:r w:rsidR="008A0C6F" w:rsidRPr="008A3740">
        <w:rPr>
          <w:i w:val="0"/>
          <w:sz w:val="18"/>
          <w:szCs w:val="18"/>
          <w:lang w:val="en-US"/>
        </w:rPr>
        <w:t>the scope of</w:t>
      </w:r>
      <w:r w:rsidRPr="008A3740">
        <w:rPr>
          <w:i w:val="0"/>
          <w:sz w:val="18"/>
          <w:szCs w:val="18"/>
          <w:lang w:val="en-US"/>
        </w:rPr>
        <w:t xml:space="preserve"> the specific obligations </w:t>
      </w:r>
      <w:r w:rsidR="00C44AD8" w:rsidRPr="008A3740">
        <w:rPr>
          <w:i w:val="0"/>
          <w:sz w:val="18"/>
          <w:szCs w:val="18"/>
          <w:lang w:val="en-US"/>
        </w:rPr>
        <w:t xml:space="preserve">related to </w:t>
      </w:r>
      <w:r w:rsidRPr="008A3740">
        <w:rPr>
          <w:i w:val="0"/>
          <w:sz w:val="18"/>
          <w:szCs w:val="18"/>
          <w:lang w:val="en-US"/>
        </w:rPr>
        <w:t>each right.</w:t>
      </w:r>
      <w:r w:rsidRPr="008A3740">
        <w:rPr>
          <w:rStyle w:val="Refdenotaalpie"/>
          <w:i w:val="0"/>
          <w:sz w:val="18"/>
          <w:lang w:val="en-US"/>
        </w:rPr>
        <w:footnoteReference w:id="177"/>
      </w:r>
    </w:p>
    <w:p w14:paraId="67478E5A" w14:textId="77777777" w:rsidR="008E6A56" w:rsidRPr="008A3740" w:rsidRDefault="008E6A56" w:rsidP="008E6A56">
      <w:pPr>
        <w:pStyle w:val="Estilo1"/>
        <w:tabs>
          <w:tab w:val="left" w:pos="709"/>
          <w:tab w:val="left" w:pos="1134"/>
          <w:tab w:val="left" w:pos="8505"/>
        </w:tabs>
        <w:spacing w:after="0"/>
        <w:ind w:left="0" w:right="855" w:firstLine="0"/>
        <w:rPr>
          <w:rFonts w:eastAsia="Verdana"/>
          <w:bCs/>
          <w:i w:val="0"/>
          <w:szCs w:val="20"/>
          <w:lang w:val="en-US" w:eastAsia="x-none"/>
        </w:rPr>
      </w:pPr>
    </w:p>
    <w:p w14:paraId="3F2CF3A7"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hAnsi="Verdana"/>
          <w:sz w:val="20"/>
          <w:szCs w:val="20"/>
          <w:lang w:val="en-US" w:eastAsia="en-US"/>
        </w:rPr>
        <w:t xml:space="preserve">In this </w:t>
      </w:r>
      <w:r w:rsidRPr="008A3740">
        <w:rPr>
          <w:rFonts w:ascii="Verdana" w:eastAsia="Times" w:hAnsi="Verdana" w:cs="Arial"/>
          <w:sz w:val="20"/>
          <w:szCs w:val="20"/>
          <w:lang w:val="en-US"/>
        </w:rPr>
        <w:t>section, the Court will rule</w:t>
      </w:r>
      <w:r w:rsidR="004C047A" w:rsidRPr="008A3740">
        <w:rPr>
          <w:rFonts w:ascii="Verdana" w:eastAsia="Times" w:hAnsi="Verdana" w:cs="Arial"/>
          <w:sz w:val="20"/>
          <w:szCs w:val="20"/>
          <w:lang w:val="en-US"/>
        </w:rPr>
        <w:t>,</w:t>
      </w:r>
      <w:r w:rsidRPr="008A3740">
        <w:rPr>
          <w:rFonts w:ascii="Verdana" w:eastAsia="Times" w:hAnsi="Verdana" w:cs="Arial"/>
          <w:sz w:val="20"/>
          <w:szCs w:val="20"/>
          <w:lang w:val="en-US"/>
        </w:rPr>
        <w:t xml:space="preserve"> for the first time</w:t>
      </w:r>
      <w:r w:rsidR="004C047A" w:rsidRPr="008A3740">
        <w:rPr>
          <w:rFonts w:ascii="Verdana" w:eastAsia="Times" w:hAnsi="Verdana" w:cs="Arial"/>
          <w:sz w:val="20"/>
          <w:szCs w:val="20"/>
          <w:lang w:val="en-US"/>
        </w:rPr>
        <w:t>, on</w:t>
      </w:r>
      <w:r w:rsidRPr="008A3740">
        <w:rPr>
          <w:rFonts w:ascii="Verdana" w:eastAsia="Times" w:hAnsi="Verdana" w:cs="Arial"/>
          <w:sz w:val="20"/>
          <w:szCs w:val="20"/>
          <w:lang w:val="en-US"/>
        </w:rPr>
        <w:t xml:space="preserve"> </w:t>
      </w:r>
      <w:r w:rsidRPr="008A3740">
        <w:rPr>
          <w:rFonts w:ascii="Verdana" w:hAnsi="Verdana"/>
          <w:sz w:val="20"/>
          <w:szCs w:val="20"/>
          <w:lang w:val="en-US" w:eastAsia="en-US"/>
        </w:rPr>
        <w:t xml:space="preserve">the right to social security, </w:t>
      </w:r>
      <w:r w:rsidR="00363F61" w:rsidRPr="008A3740">
        <w:rPr>
          <w:rFonts w:ascii="Verdana" w:hAnsi="Verdana"/>
          <w:sz w:val="20"/>
          <w:szCs w:val="20"/>
          <w:lang w:val="en-US" w:eastAsia="en-US"/>
        </w:rPr>
        <w:t xml:space="preserve">specifically </w:t>
      </w:r>
      <w:r w:rsidRPr="008A3740">
        <w:rPr>
          <w:rFonts w:ascii="Verdana" w:hAnsi="Verdana"/>
          <w:sz w:val="20"/>
          <w:szCs w:val="20"/>
          <w:lang w:val="en-US" w:eastAsia="en-US"/>
        </w:rPr>
        <w:t>the autonomous right to a pension, as an integral part of ESCER</w:t>
      </w:r>
      <w:r w:rsidRPr="008A3740">
        <w:rPr>
          <w:rFonts w:ascii="Verdana" w:eastAsia="Times" w:hAnsi="Verdana" w:cs="Arial"/>
          <w:sz w:val="20"/>
          <w:szCs w:val="20"/>
          <w:lang w:val="en-US"/>
        </w:rPr>
        <w:t xml:space="preserve"> and </w:t>
      </w:r>
      <w:r w:rsidR="004C047A" w:rsidRPr="008A3740">
        <w:rPr>
          <w:rFonts w:ascii="Verdana" w:eastAsia="Times" w:hAnsi="Verdana" w:cs="Arial"/>
          <w:sz w:val="20"/>
          <w:szCs w:val="20"/>
          <w:lang w:val="en-US"/>
        </w:rPr>
        <w:t xml:space="preserve">to that end </w:t>
      </w:r>
      <w:r w:rsidRPr="008A3740">
        <w:rPr>
          <w:rFonts w:ascii="Verdana" w:eastAsia="Times" w:hAnsi="Verdana" w:cs="Arial"/>
          <w:sz w:val="20"/>
          <w:szCs w:val="20"/>
          <w:lang w:val="en-US"/>
        </w:rPr>
        <w:t>will proceed as follows: a) the right to social security as an autonomous and justiciable right; b) the content of the right to social security</w:t>
      </w:r>
      <w:r w:rsidR="004C047A" w:rsidRPr="008A3740">
        <w:rPr>
          <w:rFonts w:ascii="Verdana" w:eastAsia="Times" w:hAnsi="Verdana" w:cs="Arial"/>
          <w:sz w:val="20"/>
          <w:szCs w:val="20"/>
          <w:lang w:val="en-US"/>
        </w:rPr>
        <w:t xml:space="preserve">, and c) </w:t>
      </w:r>
      <w:r w:rsidR="0066272E" w:rsidRPr="008A3740">
        <w:rPr>
          <w:rFonts w:ascii="Verdana" w:eastAsia="Times" w:hAnsi="Verdana" w:cs="Arial"/>
          <w:sz w:val="20"/>
          <w:szCs w:val="20"/>
          <w:lang w:val="en-US"/>
        </w:rPr>
        <w:t xml:space="preserve">effects on the </w:t>
      </w:r>
      <w:r w:rsidRPr="008A3740">
        <w:rPr>
          <w:rFonts w:ascii="Verdana" w:eastAsia="Times" w:hAnsi="Verdana" w:cs="Arial"/>
          <w:sz w:val="20"/>
          <w:szCs w:val="20"/>
          <w:lang w:val="en-US"/>
        </w:rPr>
        <w:t xml:space="preserve">right to social security in the </w:t>
      </w:r>
      <w:r w:rsidR="0066272E" w:rsidRPr="008A3740">
        <w:rPr>
          <w:rFonts w:ascii="Verdana" w:eastAsia="Times" w:hAnsi="Verdana" w:cs="Arial"/>
          <w:sz w:val="20"/>
          <w:szCs w:val="20"/>
          <w:lang w:val="en-US"/>
        </w:rPr>
        <w:t xml:space="preserve">instant </w:t>
      </w:r>
      <w:r w:rsidRPr="008A3740">
        <w:rPr>
          <w:rFonts w:ascii="Verdana" w:eastAsia="Times" w:hAnsi="Verdana" w:cs="Arial"/>
          <w:sz w:val="20"/>
          <w:szCs w:val="20"/>
          <w:lang w:val="en-US"/>
        </w:rPr>
        <w:t>case.</w:t>
      </w:r>
    </w:p>
    <w:p w14:paraId="3A8C2928" w14:textId="77777777" w:rsidR="008E6A56" w:rsidRPr="008A3740" w:rsidRDefault="008E6A56" w:rsidP="008E6A56">
      <w:pPr>
        <w:rPr>
          <w:rFonts w:ascii="Verdana" w:hAnsi="Verdana"/>
          <w:b/>
          <w:i/>
          <w:sz w:val="20"/>
          <w:szCs w:val="20"/>
          <w:lang w:val="en-US" w:eastAsia="en-US"/>
        </w:rPr>
      </w:pPr>
    </w:p>
    <w:p w14:paraId="2E13B50E" w14:textId="77777777" w:rsidR="008E6A56" w:rsidRPr="008A3740" w:rsidRDefault="008E6A56" w:rsidP="00D17A65">
      <w:pPr>
        <w:pStyle w:val="Prrafodelista"/>
        <w:numPr>
          <w:ilvl w:val="0"/>
          <w:numId w:val="12"/>
        </w:numPr>
        <w:rPr>
          <w:rFonts w:ascii="Verdana" w:hAnsi="Verdana"/>
          <w:b/>
          <w:i/>
          <w:sz w:val="20"/>
          <w:szCs w:val="20"/>
          <w:lang w:val="en-US"/>
        </w:rPr>
      </w:pPr>
      <w:r w:rsidRPr="008A3740">
        <w:rPr>
          <w:rFonts w:ascii="Verdana" w:hAnsi="Verdana"/>
          <w:b/>
          <w:i/>
          <w:sz w:val="20"/>
          <w:szCs w:val="20"/>
          <w:lang w:val="en-US"/>
        </w:rPr>
        <w:t>The right to social security as an autonomous and justiciable right</w:t>
      </w:r>
    </w:p>
    <w:p w14:paraId="4515A58A" w14:textId="77777777" w:rsidR="008E6A56" w:rsidRPr="008A3740" w:rsidRDefault="008E6A56" w:rsidP="008E6A56">
      <w:pPr>
        <w:pStyle w:val="Prrafodelista"/>
        <w:ind w:left="1080"/>
        <w:rPr>
          <w:rFonts w:ascii="Verdana" w:hAnsi="Verdana"/>
          <w:b/>
          <w:i/>
          <w:sz w:val="20"/>
          <w:szCs w:val="20"/>
          <w:lang w:val="en-US"/>
        </w:rPr>
      </w:pPr>
    </w:p>
    <w:p w14:paraId="6A7C7599"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New Roman" w:hAnsi="Verdana" w:cs="Tahoma"/>
          <w:color w:val="333333"/>
          <w:sz w:val="20"/>
          <w:szCs w:val="20"/>
          <w:lang w:val="en-US"/>
        </w:rPr>
      </w:pPr>
      <w:r w:rsidRPr="008A3740">
        <w:rPr>
          <w:rFonts w:ascii="Verdana" w:hAnsi="Verdana"/>
          <w:sz w:val="20"/>
          <w:szCs w:val="20"/>
          <w:lang w:val="en-US"/>
        </w:rPr>
        <w:t xml:space="preserve">To identify those rights that can </w:t>
      </w:r>
      <w:r w:rsidR="008A0C6F" w:rsidRPr="008A3740">
        <w:rPr>
          <w:rFonts w:ascii="Verdana" w:hAnsi="Verdana"/>
          <w:sz w:val="20"/>
          <w:szCs w:val="20"/>
          <w:lang w:val="en-US"/>
        </w:rPr>
        <w:t xml:space="preserve">be </w:t>
      </w:r>
      <w:r w:rsidRPr="008A3740">
        <w:rPr>
          <w:rFonts w:ascii="Verdana" w:hAnsi="Verdana"/>
          <w:sz w:val="20"/>
          <w:szCs w:val="20"/>
          <w:lang w:val="en-US"/>
        </w:rPr>
        <w:t>deriv</w:t>
      </w:r>
      <w:r w:rsidR="00CF004B" w:rsidRPr="008A3740">
        <w:rPr>
          <w:rFonts w:ascii="Verdana" w:hAnsi="Verdana"/>
          <w:sz w:val="20"/>
          <w:szCs w:val="20"/>
          <w:lang w:val="en-US"/>
        </w:rPr>
        <w:t xml:space="preserve">ed </w:t>
      </w:r>
      <w:r w:rsidRPr="008A3740">
        <w:rPr>
          <w:rFonts w:ascii="Verdana" w:hAnsi="Verdana"/>
          <w:sz w:val="20"/>
          <w:szCs w:val="20"/>
          <w:lang w:val="en-US"/>
        </w:rPr>
        <w:t xml:space="preserve">interpretatively from Article 26, </w:t>
      </w:r>
      <w:r w:rsidR="00CF004B" w:rsidRPr="008A3740">
        <w:rPr>
          <w:rFonts w:ascii="Verdana" w:hAnsi="Verdana"/>
          <w:sz w:val="20"/>
          <w:szCs w:val="20"/>
          <w:lang w:val="en-US"/>
        </w:rPr>
        <w:t xml:space="preserve">it is </w:t>
      </w:r>
      <w:r w:rsidR="004C047A" w:rsidRPr="008A3740">
        <w:rPr>
          <w:rFonts w:ascii="Verdana" w:hAnsi="Verdana"/>
          <w:sz w:val="20"/>
          <w:szCs w:val="20"/>
          <w:lang w:val="en-US"/>
        </w:rPr>
        <w:t xml:space="preserve">necessary </w:t>
      </w:r>
      <w:r w:rsidR="00CF004B" w:rsidRPr="008A3740">
        <w:rPr>
          <w:rFonts w:ascii="Verdana" w:hAnsi="Verdana"/>
          <w:sz w:val="20"/>
          <w:szCs w:val="20"/>
          <w:lang w:val="en-US"/>
        </w:rPr>
        <w:t xml:space="preserve">to </w:t>
      </w:r>
      <w:r w:rsidRPr="008A3740">
        <w:rPr>
          <w:rFonts w:ascii="Verdana" w:hAnsi="Verdana"/>
          <w:sz w:val="20"/>
          <w:szCs w:val="20"/>
          <w:lang w:val="en-US"/>
        </w:rPr>
        <w:t xml:space="preserve">consider </w:t>
      </w:r>
      <w:r w:rsidR="004C047A" w:rsidRPr="008A3740">
        <w:rPr>
          <w:rFonts w:ascii="Verdana" w:hAnsi="Verdana"/>
          <w:sz w:val="20"/>
          <w:szCs w:val="20"/>
          <w:lang w:val="en-US"/>
        </w:rPr>
        <w:t xml:space="preserve">that this </w:t>
      </w:r>
      <w:r w:rsidR="00363F61" w:rsidRPr="008A3740">
        <w:rPr>
          <w:rFonts w:ascii="Verdana" w:hAnsi="Verdana"/>
          <w:sz w:val="20"/>
          <w:szCs w:val="20"/>
          <w:lang w:val="en-US"/>
        </w:rPr>
        <w:t xml:space="preserve">refers directly </w:t>
      </w:r>
      <w:r w:rsidR="008A0C6F" w:rsidRPr="008A3740">
        <w:rPr>
          <w:rFonts w:ascii="Verdana" w:hAnsi="Verdana"/>
          <w:sz w:val="20"/>
          <w:szCs w:val="20"/>
          <w:lang w:val="en-US"/>
        </w:rPr>
        <w:t xml:space="preserve">to the </w:t>
      </w:r>
      <w:r w:rsidRPr="008A3740">
        <w:rPr>
          <w:rFonts w:ascii="Verdana" w:eastAsia="Times" w:hAnsi="Verdana" w:cs="Arial"/>
          <w:sz w:val="20"/>
          <w:szCs w:val="20"/>
          <w:lang w:val="en-US"/>
        </w:rPr>
        <w:t>economic, social</w:t>
      </w:r>
      <w:r w:rsidR="008A0C6F" w:rsidRPr="008A3740">
        <w:rPr>
          <w:rFonts w:ascii="Verdana" w:eastAsia="Times" w:hAnsi="Verdana" w:cs="Arial"/>
          <w:sz w:val="20"/>
          <w:szCs w:val="20"/>
          <w:lang w:val="en-US"/>
        </w:rPr>
        <w:t>, educational</w:t>
      </w:r>
      <w:r w:rsidRPr="008A3740">
        <w:rPr>
          <w:rFonts w:ascii="Verdana" w:eastAsia="Times" w:hAnsi="Verdana" w:cs="Arial"/>
          <w:sz w:val="20"/>
          <w:szCs w:val="20"/>
          <w:lang w:val="en-US"/>
        </w:rPr>
        <w:t>, scien</w:t>
      </w:r>
      <w:r w:rsidR="008A0C6F" w:rsidRPr="008A3740">
        <w:rPr>
          <w:rFonts w:ascii="Verdana" w:eastAsia="Times" w:hAnsi="Verdana" w:cs="Arial"/>
          <w:sz w:val="20"/>
          <w:szCs w:val="20"/>
          <w:lang w:val="en-US"/>
        </w:rPr>
        <w:t>tific and cultural standards</w:t>
      </w:r>
      <w:r w:rsidRPr="008A3740">
        <w:rPr>
          <w:rFonts w:ascii="Verdana" w:eastAsia="Times" w:hAnsi="Verdana" w:cs="Arial"/>
          <w:sz w:val="20"/>
          <w:szCs w:val="20"/>
          <w:lang w:val="en-US"/>
        </w:rPr>
        <w:t xml:space="preserve"> </w:t>
      </w:r>
      <w:r w:rsidR="004C047A" w:rsidRPr="008A3740">
        <w:rPr>
          <w:rFonts w:ascii="Verdana" w:eastAsia="Times" w:hAnsi="Verdana" w:cs="Arial"/>
          <w:sz w:val="20"/>
          <w:szCs w:val="20"/>
          <w:lang w:val="en-US"/>
        </w:rPr>
        <w:t xml:space="preserve">set forth </w:t>
      </w:r>
      <w:r w:rsidRPr="008A3740">
        <w:rPr>
          <w:rFonts w:ascii="Verdana" w:eastAsia="Times" w:hAnsi="Verdana" w:cs="Arial"/>
          <w:sz w:val="20"/>
          <w:szCs w:val="20"/>
          <w:lang w:val="en-US"/>
        </w:rPr>
        <w:t>in the OAS Charter</w:t>
      </w:r>
      <w:r w:rsidRPr="008A3740">
        <w:rPr>
          <w:rFonts w:ascii="Verdana" w:hAnsi="Verdana"/>
          <w:sz w:val="20"/>
          <w:szCs w:val="20"/>
          <w:lang w:val="en-US"/>
        </w:rPr>
        <w:t>. From a reading of th</w:t>
      </w:r>
      <w:r w:rsidR="004C047A" w:rsidRPr="008A3740">
        <w:rPr>
          <w:rFonts w:ascii="Verdana" w:hAnsi="Verdana"/>
          <w:sz w:val="20"/>
          <w:szCs w:val="20"/>
          <w:lang w:val="en-US"/>
        </w:rPr>
        <w:t xml:space="preserve">e latter </w:t>
      </w:r>
      <w:r w:rsidRPr="008A3740">
        <w:rPr>
          <w:rFonts w:ascii="Verdana" w:hAnsi="Verdana"/>
          <w:sz w:val="20"/>
          <w:szCs w:val="20"/>
          <w:lang w:val="en-US"/>
        </w:rPr>
        <w:t xml:space="preserve">instrument, </w:t>
      </w:r>
      <w:r w:rsidRPr="008A3740">
        <w:rPr>
          <w:rFonts w:ascii="Verdana" w:eastAsia="Times" w:hAnsi="Verdana" w:cs="Arial"/>
          <w:sz w:val="20"/>
          <w:szCs w:val="20"/>
          <w:lang w:val="en-US"/>
        </w:rPr>
        <w:t xml:space="preserve">the Court </w:t>
      </w:r>
      <w:r w:rsidR="00CF004B" w:rsidRPr="008A3740">
        <w:rPr>
          <w:rFonts w:ascii="Verdana" w:eastAsia="Times" w:hAnsi="Verdana" w:cs="Arial"/>
          <w:sz w:val="20"/>
          <w:szCs w:val="20"/>
          <w:lang w:val="en-US"/>
        </w:rPr>
        <w:t xml:space="preserve">notes that it </w:t>
      </w:r>
      <w:r w:rsidRPr="008A3740">
        <w:rPr>
          <w:rFonts w:ascii="Verdana" w:eastAsia="Times" w:hAnsi="Verdana" w:cs="Arial"/>
          <w:sz w:val="20"/>
          <w:szCs w:val="20"/>
          <w:lang w:val="en-US"/>
        </w:rPr>
        <w:t>recogniz</w:t>
      </w:r>
      <w:r w:rsidR="00CC66B2" w:rsidRPr="008A3740">
        <w:rPr>
          <w:rFonts w:ascii="Verdana" w:eastAsia="Times" w:hAnsi="Verdana" w:cs="Arial"/>
          <w:sz w:val="20"/>
          <w:szCs w:val="20"/>
          <w:lang w:val="en-US"/>
        </w:rPr>
        <w:t>es social security in Article 3(</w:t>
      </w:r>
      <w:r w:rsidRPr="008A3740">
        <w:rPr>
          <w:rFonts w:ascii="Verdana" w:eastAsia="Times" w:hAnsi="Verdana" w:cs="Arial"/>
          <w:sz w:val="20"/>
          <w:szCs w:val="20"/>
          <w:lang w:val="en-US"/>
        </w:rPr>
        <w:t>j)</w:t>
      </w:r>
      <w:r w:rsidRPr="008A3740">
        <w:rPr>
          <w:rStyle w:val="Refdenotaalpie"/>
          <w:rFonts w:eastAsia="Times"/>
          <w:szCs w:val="20"/>
          <w:lang w:val="en-US"/>
        </w:rPr>
        <w:footnoteReference w:id="178"/>
      </w:r>
      <w:r w:rsidRPr="008A3740">
        <w:rPr>
          <w:rFonts w:ascii="Verdana" w:eastAsia="Times" w:hAnsi="Verdana" w:cs="Arial"/>
          <w:sz w:val="20"/>
          <w:szCs w:val="20"/>
          <w:lang w:val="en-US"/>
        </w:rPr>
        <w:t xml:space="preserve"> stating that “</w:t>
      </w:r>
      <w:r w:rsidRPr="008A3740">
        <w:rPr>
          <w:rFonts w:ascii="Verdana" w:hAnsi="Verdana"/>
          <w:color w:val="000000"/>
          <w:spacing w:val="-2"/>
          <w:sz w:val="20"/>
          <w:szCs w:val="20"/>
          <w:lang w:val="en-US"/>
        </w:rPr>
        <w:t>Social justice and social security are the bases of lasting peace</w:t>
      </w:r>
      <w:r w:rsidRPr="008A3740">
        <w:rPr>
          <w:rFonts w:ascii="Verdana" w:eastAsia="Times" w:hAnsi="Verdana" w:cs="Arial"/>
          <w:sz w:val="20"/>
          <w:szCs w:val="20"/>
          <w:lang w:val="en-US"/>
        </w:rPr>
        <w:t xml:space="preserve">.” Likewise, </w:t>
      </w:r>
      <w:r w:rsidRPr="008A3740">
        <w:rPr>
          <w:rFonts w:ascii="Verdana" w:hAnsi="Verdana"/>
          <w:sz w:val="20"/>
          <w:szCs w:val="20"/>
          <w:lang w:val="en-US"/>
        </w:rPr>
        <w:t>Article 45(b)</w:t>
      </w:r>
      <w:r w:rsidRPr="008A3740">
        <w:rPr>
          <w:rStyle w:val="Refdenotaalpie"/>
          <w:szCs w:val="20"/>
          <w:lang w:val="en-US"/>
        </w:rPr>
        <w:footnoteReference w:id="179"/>
      </w:r>
      <w:r w:rsidRPr="008A3740">
        <w:rPr>
          <w:rFonts w:ascii="Verdana" w:hAnsi="Verdana"/>
          <w:sz w:val="20"/>
          <w:szCs w:val="20"/>
          <w:lang w:val="en-US"/>
        </w:rPr>
        <w:t xml:space="preserve"> of the OAS Charter establishes that “b) </w:t>
      </w:r>
      <w:r w:rsidRPr="008A3740">
        <w:rPr>
          <w:rFonts w:ascii="Verdana" w:hAnsi="Verdana"/>
          <w:color w:val="000000"/>
          <w:spacing w:val="-2"/>
          <w:sz w:val="20"/>
          <w:szCs w:val="20"/>
          <w:lang w:val="en-US"/>
        </w:rPr>
        <w:t>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r w:rsidRPr="008A3740">
        <w:rPr>
          <w:rFonts w:ascii="Verdana" w:hAnsi="Verdana" w:cs="Tahoma"/>
          <w:color w:val="000000"/>
          <w:sz w:val="20"/>
          <w:szCs w:val="20"/>
          <w:lang w:val="en-US"/>
        </w:rPr>
        <w:t xml:space="preserve">.” </w:t>
      </w:r>
      <w:r w:rsidR="00CC66B2" w:rsidRPr="008A3740">
        <w:rPr>
          <w:rFonts w:ascii="Verdana" w:hAnsi="Verdana" w:cs="Tahoma"/>
          <w:color w:val="000000"/>
          <w:sz w:val="20"/>
          <w:szCs w:val="20"/>
          <w:lang w:val="en-US"/>
        </w:rPr>
        <w:t>Meanwhile</w:t>
      </w:r>
      <w:r w:rsidRPr="008A3740">
        <w:rPr>
          <w:rFonts w:ascii="Verdana" w:hAnsi="Verdana" w:cs="Tahoma"/>
          <w:color w:val="000000"/>
          <w:sz w:val="20"/>
          <w:szCs w:val="20"/>
          <w:lang w:val="en-US"/>
        </w:rPr>
        <w:t>, Article</w:t>
      </w:r>
      <w:r w:rsidRPr="008A3740">
        <w:rPr>
          <w:rFonts w:ascii="Verdana" w:hAnsi="Verdana"/>
          <w:sz w:val="20"/>
          <w:szCs w:val="20"/>
          <w:lang w:val="en-US"/>
        </w:rPr>
        <w:t xml:space="preserve"> 45 of the Cha</w:t>
      </w:r>
      <w:r w:rsidR="00352BCC" w:rsidRPr="008A3740">
        <w:rPr>
          <w:rFonts w:ascii="Verdana" w:hAnsi="Verdana"/>
          <w:sz w:val="20"/>
          <w:szCs w:val="20"/>
          <w:lang w:val="en-US"/>
        </w:rPr>
        <w:t>r</w:t>
      </w:r>
      <w:r w:rsidRPr="008A3740">
        <w:rPr>
          <w:rFonts w:ascii="Verdana" w:hAnsi="Verdana"/>
          <w:sz w:val="20"/>
          <w:szCs w:val="20"/>
          <w:lang w:val="en-US"/>
        </w:rPr>
        <w:t>ter</w:t>
      </w:r>
      <w:r w:rsidRPr="008A3740">
        <w:rPr>
          <w:rStyle w:val="Refdenotaalpie"/>
          <w:szCs w:val="20"/>
          <w:lang w:val="en-US"/>
        </w:rPr>
        <w:footnoteReference w:id="180"/>
      </w:r>
      <w:r w:rsidRPr="008A3740">
        <w:rPr>
          <w:rFonts w:ascii="Verdana" w:hAnsi="Verdana"/>
          <w:sz w:val="20"/>
          <w:szCs w:val="20"/>
          <w:lang w:val="en-US"/>
        </w:rPr>
        <w:t xml:space="preserve"> establishes that “</w:t>
      </w:r>
      <w:r w:rsidRPr="008A3740">
        <w:rPr>
          <w:rFonts w:ascii="Verdana" w:hAnsi="Verdana"/>
          <w:color w:val="000000"/>
          <w:spacing w:val="-2"/>
          <w:sz w:val="20"/>
          <w:szCs w:val="20"/>
          <w:lang w:val="en-US"/>
        </w:rPr>
        <w:t>man can only achieve the full realization of his aspirations within a just social order</w:t>
      </w:r>
      <w:r w:rsidR="004C047A" w:rsidRPr="008A3740">
        <w:rPr>
          <w:rFonts w:ascii="Verdana" w:hAnsi="Verdana"/>
          <w:sz w:val="20"/>
          <w:szCs w:val="20"/>
          <w:lang w:val="en-US"/>
        </w:rPr>
        <w:t>.</w:t>
      </w:r>
      <w:r w:rsidRPr="008A3740">
        <w:rPr>
          <w:rFonts w:ascii="Verdana" w:hAnsi="Verdana"/>
          <w:sz w:val="20"/>
          <w:szCs w:val="20"/>
          <w:lang w:val="en-US"/>
        </w:rPr>
        <w:t xml:space="preserve">” </w:t>
      </w:r>
      <w:r w:rsidR="004C047A" w:rsidRPr="008A3740">
        <w:rPr>
          <w:rFonts w:ascii="Verdana" w:hAnsi="Verdana"/>
          <w:sz w:val="20"/>
          <w:szCs w:val="20"/>
          <w:lang w:val="en-US"/>
        </w:rPr>
        <w:t>T</w:t>
      </w:r>
      <w:r w:rsidRPr="008A3740">
        <w:rPr>
          <w:rFonts w:ascii="Verdana" w:hAnsi="Verdana"/>
          <w:sz w:val="20"/>
          <w:szCs w:val="20"/>
          <w:lang w:val="en-US"/>
        </w:rPr>
        <w:t>herefore</w:t>
      </w:r>
      <w:r w:rsidR="004C047A" w:rsidRPr="008A3740">
        <w:rPr>
          <w:rFonts w:ascii="Verdana" w:hAnsi="Verdana"/>
          <w:sz w:val="20"/>
          <w:szCs w:val="20"/>
          <w:lang w:val="en-US"/>
        </w:rPr>
        <w:t>,</w:t>
      </w:r>
      <w:r w:rsidRPr="008A3740">
        <w:rPr>
          <w:rFonts w:ascii="Verdana" w:hAnsi="Verdana"/>
          <w:sz w:val="20"/>
          <w:szCs w:val="20"/>
          <w:lang w:val="en-US"/>
        </w:rPr>
        <w:t xml:space="preserve"> the Member States agree to dedicate every effort to the application of certain principles and mechanisms, including, </w:t>
      </w:r>
      <w:r w:rsidRPr="008A3740">
        <w:rPr>
          <w:rFonts w:ascii="Verdana" w:hAnsi="Verdana" w:cs="Tahoma"/>
          <w:color w:val="000000"/>
          <w:sz w:val="20"/>
          <w:szCs w:val="20"/>
          <w:lang w:val="en-US"/>
        </w:rPr>
        <w:t>“</w:t>
      </w:r>
      <w:r w:rsidR="00CC66B2" w:rsidRPr="008A3740">
        <w:rPr>
          <w:rFonts w:ascii="Verdana" w:hAnsi="Verdana" w:cs="Tahoma"/>
          <w:color w:val="000000"/>
          <w:sz w:val="20"/>
          <w:szCs w:val="20"/>
          <w:lang w:val="en-US"/>
        </w:rPr>
        <w:t>(</w:t>
      </w:r>
      <w:r w:rsidRPr="008A3740">
        <w:rPr>
          <w:rFonts w:ascii="Verdana" w:hAnsi="Verdana" w:cs="Tahoma"/>
          <w:color w:val="000000"/>
          <w:sz w:val="20"/>
          <w:szCs w:val="20"/>
          <w:lang w:val="en-US"/>
        </w:rPr>
        <w:t xml:space="preserve">h) the </w:t>
      </w:r>
      <w:r w:rsidRPr="008A3740">
        <w:rPr>
          <w:rFonts w:ascii="Verdana" w:hAnsi="Verdana"/>
          <w:color w:val="000000"/>
          <w:spacing w:val="-2"/>
          <w:sz w:val="20"/>
          <w:szCs w:val="20"/>
          <w:lang w:val="en-US"/>
        </w:rPr>
        <w:t>development of an efficient social security policy</w:t>
      </w:r>
      <w:r w:rsidRPr="008A3740">
        <w:rPr>
          <w:rFonts w:ascii="Verdana" w:hAnsi="Verdana"/>
          <w:sz w:val="20"/>
          <w:szCs w:val="20"/>
          <w:lang w:val="en-US"/>
        </w:rPr>
        <w:t xml:space="preserve">.” </w:t>
      </w:r>
      <w:r w:rsidR="00CC66B2" w:rsidRPr="008A3740">
        <w:rPr>
          <w:rFonts w:ascii="Verdana" w:hAnsi="Verdana"/>
          <w:sz w:val="20"/>
          <w:szCs w:val="20"/>
          <w:lang w:val="en-US"/>
        </w:rPr>
        <w:t>I</w:t>
      </w:r>
      <w:r w:rsidRPr="008A3740">
        <w:rPr>
          <w:rFonts w:ascii="Verdana" w:hAnsi="Verdana"/>
          <w:sz w:val="20"/>
          <w:szCs w:val="20"/>
          <w:lang w:val="en-US"/>
        </w:rPr>
        <w:t xml:space="preserve">n Article 46 of the Charter the States recognize that </w:t>
      </w:r>
      <w:r w:rsidRPr="008A3740">
        <w:rPr>
          <w:rFonts w:ascii="Verdana" w:hAnsi="Verdana" w:cs="Tahoma"/>
          <w:color w:val="000000"/>
          <w:sz w:val="20"/>
          <w:szCs w:val="20"/>
          <w:lang w:val="en-US"/>
        </w:rPr>
        <w:t>“</w:t>
      </w:r>
      <w:r w:rsidRPr="008A3740">
        <w:rPr>
          <w:rFonts w:ascii="Verdana" w:hAnsi="Verdana"/>
          <w:color w:val="000000"/>
          <w:spacing w:val="-2"/>
          <w:sz w:val="20"/>
          <w:szCs w:val="20"/>
          <w:lang w:val="en-US"/>
        </w:rPr>
        <w:t>to facilitate the process of Latin American regional integration, it is necessary to harmonize the social legislation of the developing countries</w:t>
      </w:r>
      <w:r w:rsidRPr="008A3740">
        <w:rPr>
          <w:rFonts w:ascii="Verdana" w:hAnsi="Verdana" w:cs="Tahoma"/>
          <w:color w:val="000000"/>
          <w:sz w:val="20"/>
          <w:szCs w:val="20"/>
          <w:lang w:val="en-US"/>
        </w:rPr>
        <w:t xml:space="preserve">, </w:t>
      </w:r>
      <w:r w:rsidRPr="008A3740">
        <w:rPr>
          <w:rFonts w:ascii="Verdana" w:hAnsi="Verdana"/>
          <w:color w:val="000000"/>
          <w:spacing w:val="-2"/>
          <w:sz w:val="20"/>
          <w:szCs w:val="20"/>
          <w:lang w:val="en-US"/>
        </w:rPr>
        <w:t>especially in the labor and social security fields, so that the rights of the workers shall be equally protected, and they agree to make the greatest efforts possible to achieve this goal.</w:t>
      </w:r>
      <w:r w:rsidRPr="008A3740">
        <w:rPr>
          <w:rFonts w:ascii="Verdana" w:hAnsi="Verdana" w:cs="Tahoma"/>
          <w:color w:val="000000"/>
          <w:sz w:val="20"/>
          <w:szCs w:val="20"/>
          <w:lang w:val="en-US"/>
        </w:rPr>
        <w:t>”</w:t>
      </w:r>
    </w:p>
    <w:p w14:paraId="43B85FF3" w14:textId="77777777" w:rsidR="008E6A56" w:rsidRPr="008A3740" w:rsidRDefault="008E6A56" w:rsidP="008E6A56">
      <w:pPr>
        <w:pStyle w:val="Prrafodelista"/>
        <w:ind w:left="0"/>
        <w:rPr>
          <w:rFonts w:ascii="Verdana" w:hAnsi="Verdana"/>
          <w:sz w:val="20"/>
          <w:szCs w:val="20"/>
          <w:lang w:val="en-US"/>
        </w:rPr>
      </w:pPr>
    </w:p>
    <w:p w14:paraId="1345C04D"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hAnsi="Verdana"/>
          <w:sz w:val="20"/>
          <w:szCs w:val="20"/>
          <w:lang w:val="en-US"/>
        </w:rPr>
        <w:t xml:space="preserve">Thus, </w:t>
      </w:r>
      <w:r w:rsidR="00BE3971" w:rsidRPr="008A3740">
        <w:rPr>
          <w:rFonts w:ascii="Verdana" w:hAnsi="Verdana"/>
          <w:sz w:val="20"/>
          <w:szCs w:val="20"/>
          <w:lang w:val="en-US"/>
        </w:rPr>
        <w:t xml:space="preserve">the Court considers </w:t>
      </w:r>
      <w:r w:rsidR="00D32943" w:rsidRPr="008A3740">
        <w:rPr>
          <w:rFonts w:ascii="Verdana" w:hAnsi="Verdana"/>
          <w:sz w:val="20"/>
          <w:szCs w:val="20"/>
          <w:lang w:val="en-US"/>
        </w:rPr>
        <w:t>that the right to social security is referred to with a sufficient degree of specificity in the OAS Charter to establish its existence and implicit recognition</w:t>
      </w:r>
      <w:r w:rsidR="00E53313" w:rsidRPr="008A3740">
        <w:rPr>
          <w:rFonts w:ascii="Verdana" w:hAnsi="Verdana"/>
          <w:sz w:val="20"/>
          <w:szCs w:val="20"/>
          <w:lang w:val="en-US"/>
        </w:rPr>
        <w:t xml:space="preserve">. </w:t>
      </w:r>
      <w:r w:rsidR="00D32943" w:rsidRPr="008A3740">
        <w:rPr>
          <w:rFonts w:ascii="Verdana" w:hAnsi="Verdana"/>
          <w:sz w:val="20"/>
          <w:szCs w:val="20"/>
          <w:lang w:val="en-US"/>
        </w:rPr>
        <w:t>In particular, from the different references</w:t>
      </w:r>
      <w:r w:rsidR="004C047A" w:rsidRPr="008A3740">
        <w:rPr>
          <w:rFonts w:ascii="Verdana" w:hAnsi="Verdana"/>
          <w:sz w:val="20"/>
          <w:szCs w:val="20"/>
          <w:lang w:val="en-US"/>
        </w:rPr>
        <w:t>, the Court</w:t>
      </w:r>
      <w:r w:rsidR="00D32943" w:rsidRPr="008A3740">
        <w:rPr>
          <w:rFonts w:ascii="Verdana" w:hAnsi="Verdana"/>
          <w:sz w:val="20"/>
          <w:szCs w:val="20"/>
          <w:lang w:val="en-US"/>
        </w:rPr>
        <w:t xml:space="preserve"> notes that the purpose of the right to social security is to ensure life, health and a decent standard of living to everyone in their old age, or in the case of events that deprive them of the possibility of working;</w:t>
      </w:r>
      <w:r w:rsidRPr="008A3740">
        <w:rPr>
          <w:rFonts w:ascii="Verdana" w:hAnsi="Verdana"/>
          <w:sz w:val="20"/>
          <w:szCs w:val="20"/>
          <w:lang w:val="en-US"/>
        </w:rPr>
        <w:t xml:space="preserve"> </w:t>
      </w:r>
      <w:r w:rsidR="00BE3971" w:rsidRPr="008A3740">
        <w:rPr>
          <w:rFonts w:ascii="Verdana" w:hAnsi="Verdana"/>
          <w:sz w:val="20"/>
          <w:szCs w:val="20"/>
          <w:lang w:val="en-US"/>
        </w:rPr>
        <w:t>that is</w:t>
      </w:r>
      <w:r w:rsidR="00D32943" w:rsidRPr="008A3740">
        <w:rPr>
          <w:rFonts w:ascii="Verdana" w:hAnsi="Verdana"/>
          <w:sz w:val="20"/>
          <w:szCs w:val="20"/>
          <w:lang w:val="en-US"/>
        </w:rPr>
        <w:t>,</w:t>
      </w:r>
      <w:r w:rsidR="00BE3971" w:rsidRPr="008A3740">
        <w:rPr>
          <w:rFonts w:ascii="Verdana" w:hAnsi="Verdana"/>
          <w:sz w:val="20"/>
          <w:szCs w:val="20"/>
          <w:lang w:val="en-US"/>
        </w:rPr>
        <w:t xml:space="preserve"> </w:t>
      </w:r>
      <w:r w:rsidR="00352BCC" w:rsidRPr="008A3740">
        <w:rPr>
          <w:rFonts w:ascii="Verdana" w:hAnsi="Verdana"/>
          <w:sz w:val="20"/>
          <w:szCs w:val="20"/>
          <w:lang w:val="en-US"/>
        </w:rPr>
        <w:t>in relation to future events</w:t>
      </w:r>
      <w:r w:rsidRPr="008A3740">
        <w:rPr>
          <w:rFonts w:ascii="Verdana" w:hAnsi="Verdana"/>
          <w:sz w:val="20"/>
          <w:szCs w:val="20"/>
          <w:lang w:val="en-US"/>
        </w:rPr>
        <w:t xml:space="preserve"> that </w:t>
      </w:r>
      <w:r w:rsidR="00352BCC" w:rsidRPr="008A3740">
        <w:rPr>
          <w:rFonts w:ascii="Verdana" w:hAnsi="Verdana"/>
          <w:sz w:val="20"/>
          <w:szCs w:val="20"/>
          <w:lang w:val="en-US"/>
        </w:rPr>
        <w:t xml:space="preserve">could </w:t>
      </w:r>
      <w:r w:rsidRPr="008A3740">
        <w:rPr>
          <w:rFonts w:ascii="Verdana" w:hAnsi="Verdana"/>
          <w:sz w:val="20"/>
          <w:szCs w:val="20"/>
          <w:lang w:val="en-US"/>
        </w:rPr>
        <w:t>affect the</w:t>
      </w:r>
      <w:r w:rsidR="00D32943" w:rsidRPr="008A3740">
        <w:rPr>
          <w:rFonts w:ascii="Verdana" w:hAnsi="Verdana"/>
          <w:sz w:val="20"/>
          <w:szCs w:val="20"/>
          <w:lang w:val="en-US"/>
        </w:rPr>
        <w:t>ir</w:t>
      </w:r>
      <w:r w:rsidRPr="008A3740">
        <w:rPr>
          <w:rFonts w:ascii="Verdana" w:hAnsi="Verdana"/>
          <w:sz w:val="20"/>
          <w:szCs w:val="20"/>
          <w:lang w:val="en-US"/>
        </w:rPr>
        <w:t xml:space="preserve"> quality of </w:t>
      </w:r>
      <w:r w:rsidR="00D32943" w:rsidRPr="008A3740">
        <w:rPr>
          <w:rFonts w:ascii="Verdana" w:hAnsi="Verdana"/>
          <w:sz w:val="20"/>
          <w:szCs w:val="20"/>
          <w:lang w:val="en-US"/>
        </w:rPr>
        <w:t>life</w:t>
      </w:r>
      <w:r w:rsidRPr="008A3740">
        <w:rPr>
          <w:rFonts w:ascii="Verdana" w:hAnsi="Verdana"/>
          <w:sz w:val="20"/>
          <w:szCs w:val="20"/>
          <w:lang w:val="en-US"/>
        </w:rPr>
        <w:t>.</w:t>
      </w:r>
      <w:r w:rsidRPr="008A3740">
        <w:rPr>
          <w:rFonts w:ascii="Verdana" w:eastAsia="Times" w:hAnsi="Verdana" w:cs="Arial"/>
          <w:sz w:val="20"/>
          <w:szCs w:val="20"/>
          <w:lang w:val="en-US"/>
        </w:rPr>
        <w:t xml:space="preserve"> </w:t>
      </w:r>
      <w:r w:rsidR="00D32943" w:rsidRPr="008A3740">
        <w:rPr>
          <w:rFonts w:ascii="Verdana" w:eastAsia="Times" w:hAnsi="Verdana" w:cs="Arial"/>
          <w:sz w:val="20"/>
          <w:szCs w:val="20"/>
          <w:lang w:val="en-US"/>
        </w:rPr>
        <w:t xml:space="preserve">Accordingly, </w:t>
      </w:r>
      <w:r w:rsidRPr="008A3740">
        <w:rPr>
          <w:rFonts w:ascii="Verdana" w:hAnsi="Verdana"/>
          <w:sz w:val="20"/>
          <w:szCs w:val="20"/>
          <w:lang w:val="en-US" w:eastAsia="en-US"/>
        </w:rPr>
        <w:t xml:space="preserve">the Court considers that the right to social security is a right protected by Article 26 of the </w:t>
      </w:r>
      <w:r w:rsidR="00D32943" w:rsidRPr="008A3740">
        <w:rPr>
          <w:rFonts w:ascii="Verdana" w:hAnsi="Verdana"/>
          <w:sz w:val="20"/>
          <w:szCs w:val="20"/>
          <w:lang w:val="en-US" w:eastAsia="en-US"/>
        </w:rPr>
        <w:t xml:space="preserve">American </w:t>
      </w:r>
      <w:r w:rsidRPr="008A3740">
        <w:rPr>
          <w:rFonts w:ascii="Verdana" w:hAnsi="Verdana"/>
          <w:sz w:val="20"/>
          <w:szCs w:val="20"/>
          <w:lang w:val="en-US" w:eastAsia="en-US"/>
        </w:rPr>
        <w:t xml:space="preserve">Convention. </w:t>
      </w:r>
    </w:p>
    <w:p w14:paraId="75EF0756" w14:textId="77777777" w:rsidR="008E6A56" w:rsidRPr="008A3740" w:rsidRDefault="008E6A56" w:rsidP="008E6A56">
      <w:pPr>
        <w:widowControl/>
        <w:tabs>
          <w:tab w:val="left" w:pos="567"/>
          <w:tab w:val="num" w:pos="12305"/>
        </w:tabs>
        <w:adjustRightInd/>
        <w:textAlignment w:val="auto"/>
        <w:rPr>
          <w:rFonts w:ascii="Verdana" w:eastAsia="Times" w:hAnsi="Verdana" w:cs="Arial"/>
          <w:sz w:val="20"/>
          <w:szCs w:val="20"/>
          <w:lang w:val="en-US"/>
        </w:rPr>
      </w:pPr>
    </w:p>
    <w:p w14:paraId="6DF96560"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eastAsia="Times" w:hAnsi="Verdana" w:cs="Arial"/>
          <w:sz w:val="20"/>
          <w:szCs w:val="20"/>
          <w:lang w:val="en-US"/>
        </w:rPr>
        <w:t>It is for this Court, then, to determine the scope of the right to social security, in particular the right to a pension in the context of this case (</w:t>
      </w:r>
      <w:r w:rsidRPr="008A3740">
        <w:rPr>
          <w:rFonts w:ascii="Verdana" w:eastAsia="Times" w:hAnsi="Verdana" w:cs="Arial"/>
          <w:i/>
          <w:sz w:val="20"/>
          <w:szCs w:val="20"/>
          <w:lang w:val="en-US"/>
        </w:rPr>
        <w:t>supra</w:t>
      </w:r>
      <w:r w:rsidRPr="008A3740">
        <w:rPr>
          <w:rFonts w:ascii="Verdana" w:eastAsia="Times" w:hAnsi="Verdana" w:cs="Arial"/>
          <w:sz w:val="20"/>
          <w:szCs w:val="20"/>
          <w:lang w:val="en-US"/>
        </w:rPr>
        <w:t xml:space="preserve"> para. 171), in light of the </w:t>
      </w:r>
      <w:r w:rsidRPr="008A3740">
        <w:rPr>
          <w:rFonts w:ascii="Verdana" w:eastAsia="Times" w:hAnsi="Verdana" w:cs="Arial"/>
          <w:i/>
          <w:sz w:val="20"/>
          <w:szCs w:val="20"/>
          <w:lang w:val="en-US"/>
        </w:rPr>
        <w:t>international corpus iuris</w:t>
      </w:r>
      <w:r w:rsidR="001E65C6" w:rsidRPr="008A3740">
        <w:rPr>
          <w:rFonts w:ascii="Verdana" w:eastAsia="Times" w:hAnsi="Verdana" w:cs="Arial"/>
          <w:sz w:val="20"/>
          <w:szCs w:val="20"/>
          <w:lang w:val="en-US"/>
        </w:rPr>
        <w:t xml:space="preserve"> o</w:t>
      </w:r>
      <w:r w:rsidRPr="008A3740">
        <w:rPr>
          <w:rFonts w:ascii="Verdana" w:eastAsia="Times" w:hAnsi="Verdana" w:cs="Arial"/>
          <w:sz w:val="20"/>
          <w:szCs w:val="20"/>
          <w:lang w:val="en-US"/>
        </w:rPr>
        <w:t>n the mat</w:t>
      </w:r>
      <w:r w:rsidR="00747D92" w:rsidRPr="008A3740">
        <w:rPr>
          <w:rFonts w:ascii="Verdana" w:eastAsia="Times" w:hAnsi="Verdana" w:cs="Arial"/>
          <w:sz w:val="20"/>
          <w:szCs w:val="20"/>
          <w:lang w:val="en-US"/>
        </w:rPr>
        <w:t>ter</w:t>
      </w:r>
      <w:r w:rsidRPr="008A3740">
        <w:rPr>
          <w:rFonts w:ascii="Verdana" w:eastAsia="Times" w:hAnsi="Verdana" w:cs="Arial"/>
          <w:sz w:val="20"/>
          <w:szCs w:val="20"/>
          <w:lang w:val="en-US"/>
        </w:rPr>
        <w:t xml:space="preserve">. The Court recalls that the </w:t>
      </w:r>
      <w:r w:rsidRPr="008A3740">
        <w:rPr>
          <w:rFonts w:ascii="Verdana" w:hAnsi="Verdana"/>
          <w:sz w:val="20"/>
          <w:szCs w:val="20"/>
          <w:lang w:val="en-US"/>
        </w:rPr>
        <w:t xml:space="preserve">obligations contained in Articles 1(1) and 2 of the </w:t>
      </w:r>
      <w:r w:rsidRPr="008A3740">
        <w:rPr>
          <w:rFonts w:ascii="Verdana" w:hAnsi="Verdana"/>
          <w:sz w:val="20"/>
          <w:szCs w:val="20"/>
          <w:lang w:val="en-US"/>
        </w:rPr>
        <w:lastRenderedPageBreak/>
        <w:t>American Convention constitu</w:t>
      </w:r>
      <w:r w:rsidR="00C44AD8" w:rsidRPr="008A3740">
        <w:rPr>
          <w:rFonts w:ascii="Verdana" w:hAnsi="Verdana"/>
          <w:sz w:val="20"/>
          <w:szCs w:val="20"/>
          <w:lang w:val="en-US"/>
        </w:rPr>
        <w:t>te</w:t>
      </w:r>
      <w:r w:rsidRPr="008A3740">
        <w:rPr>
          <w:rFonts w:ascii="Verdana" w:hAnsi="Verdana"/>
          <w:sz w:val="20"/>
          <w:szCs w:val="20"/>
          <w:lang w:val="en-US"/>
        </w:rPr>
        <w:t xml:space="preserve">, </w:t>
      </w:r>
      <w:r w:rsidR="00836EF4" w:rsidRPr="008A3740">
        <w:rPr>
          <w:rFonts w:ascii="Verdana" w:hAnsi="Verdana"/>
          <w:sz w:val="20"/>
          <w:szCs w:val="20"/>
          <w:lang w:val="en-US"/>
        </w:rPr>
        <w:t>ultimately</w:t>
      </w:r>
      <w:r w:rsidRPr="008A3740">
        <w:rPr>
          <w:rFonts w:ascii="Verdana" w:hAnsi="Verdana"/>
          <w:sz w:val="20"/>
          <w:szCs w:val="20"/>
          <w:lang w:val="en-US"/>
        </w:rPr>
        <w:t>, the bas</w:t>
      </w:r>
      <w:r w:rsidR="00836EF4" w:rsidRPr="008A3740">
        <w:rPr>
          <w:rFonts w:ascii="Verdana" w:hAnsi="Verdana"/>
          <w:sz w:val="20"/>
          <w:szCs w:val="20"/>
          <w:lang w:val="en-US"/>
        </w:rPr>
        <w:t xml:space="preserve">is for determining </w:t>
      </w:r>
      <w:r w:rsidRPr="008A3740">
        <w:rPr>
          <w:rFonts w:ascii="Verdana" w:hAnsi="Verdana"/>
          <w:sz w:val="20"/>
          <w:szCs w:val="20"/>
          <w:lang w:val="en-US"/>
        </w:rPr>
        <w:t>a State’s international responsibility for violations of the rights recognized in the Convention,</w:t>
      </w:r>
      <w:r w:rsidRPr="008A3740">
        <w:rPr>
          <w:rStyle w:val="Refdenotaalpie"/>
          <w:szCs w:val="20"/>
          <w:lang w:val="en-US"/>
        </w:rPr>
        <w:footnoteReference w:id="181"/>
      </w:r>
      <w:r w:rsidRPr="008A3740">
        <w:rPr>
          <w:rFonts w:ascii="Verdana" w:hAnsi="Verdana"/>
          <w:sz w:val="20"/>
          <w:szCs w:val="20"/>
          <w:lang w:val="en-US"/>
        </w:rPr>
        <w:t xml:space="preserve"> including those recognized under Article 26. However, </w:t>
      </w:r>
      <w:r w:rsidR="00B66980" w:rsidRPr="008A3740">
        <w:rPr>
          <w:rFonts w:ascii="Verdana" w:hAnsi="Verdana"/>
          <w:sz w:val="20"/>
          <w:szCs w:val="20"/>
          <w:lang w:val="en-US"/>
        </w:rPr>
        <w:t>the American Convention</w:t>
      </w:r>
      <w:r w:rsidR="001E65C6" w:rsidRPr="008A3740">
        <w:rPr>
          <w:rFonts w:ascii="Verdana" w:hAnsi="Verdana"/>
          <w:sz w:val="20"/>
          <w:szCs w:val="20"/>
          <w:lang w:val="en-US"/>
        </w:rPr>
        <w:t xml:space="preserve"> itself explicitly refers to the general rules of international law for its interpretation and application</w:t>
      </w:r>
      <w:r w:rsidR="00B66980" w:rsidRPr="008A3740">
        <w:rPr>
          <w:rFonts w:ascii="Verdana" w:hAnsi="Verdana"/>
          <w:sz w:val="20"/>
          <w:szCs w:val="20"/>
          <w:lang w:val="en-US"/>
        </w:rPr>
        <w:t xml:space="preserve">, </w:t>
      </w:r>
      <w:r w:rsidR="001E65C6" w:rsidRPr="008A3740">
        <w:rPr>
          <w:rFonts w:ascii="Verdana" w:hAnsi="Verdana"/>
          <w:sz w:val="20"/>
          <w:szCs w:val="20"/>
          <w:lang w:val="en-US"/>
        </w:rPr>
        <w:t xml:space="preserve">specifically through Article 29, </w:t>
      </w:r>
      <w:r w:rsidR="00B66980" w:rsidRPr="008A3740">
        <w:rPr>
          <w:rFonts w:ascii="Verdana" w:hAnsi="Verdana"/>
          <w:sz w:val="20"/>
          <w:szCs w:val="20"/>
          <w:lang w:val="en-US"/>
        </w:rPr>
        <w:t xml:space="preserve">which establishes the </w:t>
      </w:r>
      <w:r w:rsidR="0013290A" w:rsidRPr="008A3740">
        <w:rPr>
          <w:rFonts w:ascii="Verdana" w:hAnsi="Verdana"/>
          <w:i/>
          <w:sz w:val="20"/>
          <w:szCs w:val="20"/>
          <w:lang w:val="en-US"/>
        </w:rPr>
        <w:t>pro persona</w:t>
      </w:r>
      <w:r w:rsidR="00D03529" w:rsidRPr="008A3740">
        <w:rPr>
          <w:rFonts w:ascii="Verdana" w:hAnsi="Verdana"/>
          <w:i/>
          <w:sz w:val="20"/>
          <w:szCs w:val="20"/>
          <w:lang w:val="en-US"/>
        </w:rPr>
        <w:t>e</w:t>
      </w:r>
      <w:r w:rsidR="008D1A9C" w:rsidRPr="008A3740">
        <w:rPr>
          <w:rFonts w:ascii="Verdana" w:hAnsi="Verdana"/>
          <w:i/>
          <w:sz w:val="20"/>
          <w:szCs w:val="20"/>
          <w:lang w:val="en-US"/>
        </w:rPr>
        <w:t xml:space="preserve"> principle</w:t>
      </w:r>
      <w:r w:rsidRPr="008A3740">
        <w:rPr>
          <w:rFonts w:ascii="Verdana" w:hAnsi="Verdana"/>
          <w:i/>
          <w:sz w:val="20"/>
          <w:szCs w:val="20"/>
          <w:lang w:val="en-US"/>
        </w:rPr>
        <w:t>.</w:t>
      </w:r>
      <w:r w:rsidRPr="008A3740">
        <w:rPr>
          <w:rStyle w:val="Refdenotaalpie"/>
          <w:szCs w:val="20"/>
          <w:lang w:val="en-US"/>
        </w:rPr>
        <w:footnoteReference w:id="182"/>
      </w:r>
      <w:r w:rsidR="00FD2387" w:rsidRPr="008A3740">
        <w:rPr>
          <w:rFonts w:ascii="Verdana" w:hAnsi="Verdana"/>
          <w:sz w:val="20"/>
          <w:szCs w:val="20"/>
          <w:lang w:val="en-US"/>
        </w:rPr>
        <w:t xml:space="preserve"> Thus, </w:t>
      </w:r>
      <w:r w:rsidR="007D0DD4" w:rsidRPr="008A3740">
        <w:rPr>
          <w:rFonts w:ascii="Verdana" w:hAnsi="Verdana"/>
          <w:sz w:val="20"/>
          <w:szCs w:val="20"/>
          <w:lang w:val="en-US"/>
        </w:rPr>
        <w:t xml:space="preserve">as has been </w:t>
      </w:r>
      <w:r w:rsidR="002B0B5A" w:rsidRPr="008A3740">
        <w:rPr>
          <w:rFonts w:ascii="Verdana" w:hAnsi="Verdana"/>
          <w:sz w:val="20"/>
          <w:szCs w:val="20"/>
          <w:lang w:val="en-US"/>
        </w:rPr>
        <w:t>the consistent practice of this Court</w:t>
      </w:r>
      <w:r w:rsidR="00363F61" w:rsidRPr="008A3740">
        <w:rPr>
          <w:rFonts w:ascii="Verdana" w:hAnsi="Verdana"/>
          <w:sz w:val="20"/>
          <w:szCs w:val="20"/>
          <w:lang w:val="en-US"/>
        </w:rPr>
        <w:t>,</w:t>
      </w:r>
      <w:r w:rsidRPr="008A3740">
        <w:rPr>
          <w:rStyle w:val="Refdenotaalpie"/>
          <w:szCs w:val="20"/>
          <w:lang w:val="en-US"/>
        </w:rPr>
        <w:footnoteReference w:id="183"/>
      </w:r>
      <w:r w:rsidRPr="008A3740">
        <w:rPr>
          <w:rFonts w:ascii="Verdana" w:hAnsi="Verdana"/>
          <w:sz w:val="20"/>
          <w:szCs w:val="20"/>
          <w:lang w:val="en-US"/>
        </w:rPr>
        <w:t xml:space="preserve"> </w:t>
      </w:r>
      <w:r w:rsidR="007D0DD4" w:rsidRPr="008A3740">
        <w:rPr>
          <w:rFonts w:ascii="Verdana" w:hAnsi="Verdana"/>
          <w:sz w:val="20"/>
          <w:szCs w:val="20"/>
          <w:lang w:val="en-US"/>
        </w:rPr>
        <w:t xml:space="preserve">when </w:t>
      </w:r>
      <w:r w:rsidR="00124DF2" w:rsidRPr="008A3740">
        <w:rPr>
          <w:rFonts w:ascii="Verdana" w:hAnsi="Verdana"/>
          <w:sz w:val="20"/>
          <w:szCs w:val="20"/>
          <w:lang w:val="en-US"/>
        </w:rPr>
        <w:t xml:space="preserve">determining </w:t>
      </w:r>
      <w:r w:rsidRPr="008A3740">
        <w:rPr>
          <w:rFonts w:ascii="Verdana" w:hAnsi="Verdana"/>
          <w:sz w:val="20"/>
          <w:szCs w:val="20"/>
          <w:lang w:val="en-US"/>
        </w:rPr>
        <w:t xml:space="preserve">the compatibility of </w:t>
      </w:r>
      <w:r w:rsidR="002B0B5A" w:rsidRPr="008A3740">
        <w:rPr>
          <w:rFonts w:ascii="Verdana" w:hAnsi="Verdana"/>
          <w:sz w:val="20"/>
          <w:szCs w:val="20"/>
          <w:lang w:val="en-US"/>
        </w:rPr>
        <w:t xml:space="preserve">a State’s </w:t>
      </w:r>
      <w:r w:rsidR="00124DF2" w:rsidRPr="008A3740">
        <w:rPr>
          <w:rFonts w:ascii="Verdana" w:hAnsi="Verdana"/>
          <w:sz w:val="20"/>
          <w:szCs w:val="20"/>
          <w:lang w:val="en-US"/>
        </w:rPr>
        <w:t xml:space="preserve">acts and omissions, or of its norms, with the American Convention or other treaties over which it has </w:t>
      </w:r>
      <w:r w:rsidR="00363F61" w:rsidRPr="008A3740">
        <w:rPr>
          <w:rFonts w:ascii="Verdana" w:hAnsi="Verdana"/>
          <w:sz w:val="20"/>
          <w:szCs w:val="20"/>
          <w:lang w:val="en-US"/>
        </w:rPr>
        <w:t>jurisdiction</w:t>
      </w:r>
      <w:r w:rsidRPr="008A3740">
        <w:rPr>
          <w:rFonts w:ascii="Verdana" w:hAnsi="Verdana"/>
          <w:sz w:val="20"/>
          <w:szCs w:val="20"/>
          <w:lang w:val="en-US"/>
        </w:rPr>
        <w:t xml:space="preserve">, </w:t>
      </w:r>
      <w:r w:rsidR="002B0B5A" w:rsidRPr="008A3740">
        <w:rPr>
          <w:rFonts w:ascii="Verdana" w:hAnsi="Verdana"/>
          <w:sz w:val="20"/>
          <w:szCs w:val="20"/>
          <w:lang w:val="en-US"/>
        </w:rPr>
        <w:t>it is able to interpret the corresponding obligations and rights in light of other pertinent treaties and norms</w:t>
      </w:r>
      <w:r w:rsidR="00124DF2" w:rsidRPr="008A3740">
        <w:rPr>
          <w:rFonts w:ascii="Verdana" w:hAnsi="Verdana"/>
          <w:sz w:val="20"/>
          <w:szCs w:val="20"/>
          <w:lang w:val="en-US"/>
        </w:rPr>
        <w:t>.</w:t>
      </w:r>
    </w:p>
    <w:p w14:paraId="13B30CE3" w14:textId="77777777" w:rsidR="008E6A56" w:rsidRPr="008A3740" w:rsidRDefault="008E6A56" w:rsidP="008E6A56">
      <w:pPr>
        <w:widowControl/>
        <w:tabs>
          <w:tab w:val="left" w:pos="567"/>
        </w:tabs>
        <w:adjustRightInd/>
        <w:textAlignment w:val="auto"/>
        <w:rPr>
          <w:rFonts w:ascii="Verdana" w:hAnsi="Verdana"/>
          <w:sz w:val="20"/>
          <w:szCs w:val="20"/>
          <w:lang w:val="en-US"/>
        </w:rPr>
      </w:pPr>
    </w:p>
    <w:p w14:paraId="5702216D"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hAnsi="Verdana"/>
          <w:sz w:val="20"/>
          <w:szCs w:val="20"/>
          <w:lang w:val="en-US"/>
        </w:rPr>
        <w:t xml:space="preserve">Accordingly, the Court will use the sources, principles and criteria of the international </w:t>
      </w:r>
      <w:r w:rsidRPr="008A3740">
        <w:rPr>
          <w:rFonts w:ascii="Verdana" w:hAnsi="Verdana"/>
          <w:i/>
          <w:sz w:val="20"/>
          <w:szCs w:val="20"/>
          <w:lang w:val="en-US"/>
        </w:rPr>
        <w:t xml:space="preserve">corpus iuris </w:t>
      </w:r>
      <w:r w:rsidRPr="008A3740">
        <w:rPr>
          <w:rFonts w:ascii="Verdana" w:hAnsi="Verdana"/>
          <w:sz w:val="20"/>
          <w:szCs w:val="20"/>
          <w:lang w:val="en-US"/>
        </w:rPr>
        <w:t xml:space="preserve">as special </w:t>
      </w:r>
      <w:r w:rsidR="007D0DD4" w:rsidRPr="008A3740">
        <w:rPr>
          <w:rFonts w:ascii="Verdana" w:hAnsi="Verdana"/>
          <w:sz w:val="20"/>
          <w:szCs w:val="20"/>
          <w:lang w:val="en-US"/>
        </w:rPr>
        <w:t xml:space="preserve">rules </w:t>
      </w:r>
      <w:r w:rsidRPr="008A3740">
        <w:rPr>
          <w:rFonts w:ascii="Verdana" w:hAnsi="Verdana"/>
          <w:sz w:val="20"/>
          <w:szCs w:val="20"/>
          <w:lang w:val="en-US"/>
        </w:rPr>
        <w:t xml:space="preserve">that are applicable </w:t>
      </w:r>
      <w:r w:rsidR="007D0DD4" w:rsidRPr="008A3740">
        <w:rPr>
          <w:rFonts w:ascii="Verdana" w:hAnsi="Verdana"/>
          <w:sz w:val="20"/>
          <w:szCs w:val="20"/>
          <w:lang w:val="en-US"/>
        </w:rPr>
        <w:t xml:space="preserve">in </w:t>
      </w:r>
      <w:r w:rsidRPr="008A3740">
        <w:rPr>
          <w:rFonts w:ascii="Verdana" w:hAnsi="Verdana"/>
          <w:sz w:val="20"/>
          <w:szCs w:val="20"/>
          <w:lang w:val="en-US"/>
        </w:rPr>
        <w:t>determining the content of th</w:t>
      </w:r>
      <w:r w:rsidR="00B66980" w:rsidRPr="008A3740">
        <w:rPr>
          <w:rFonts w:ascii="Verdana" w:hAnsi="Verdana"/>
          <w:sz w:val="20"/>
          <w:szCs w:val="20"/>
          <w:lang w:val="en-US"/>
        </w:rPr>
        <w:t>e right to social security. The</w:t>
      </w:r>
      <w:r w:rsidRPr="008A3740">
        <w:rPr>
          <w:rFonts w:ascii="Verdana" w:hAnsi="Verdana"/>
          <w:sz w:val="20"/>
          <w:szCs w:val="20"/>
          <w:lang w:val="en-US"/>
        </w:rPr>
        <w:t xml:space="preserve"> Court </w:t>
      </w:r>
      <w:r w:rsidR="00C44AD8" w:rsidRPr="008A3740">
        <w:rPr>
          <w:rFonts w:ascii="Verdana" w:hAnsi="Verdana"/>
          <w:sz w:val="20"/>
          <w:szCs w:val="20"/>
          <w:lang w:val="en-US"/>
        </w:rPr>
        <w:t xml:space="preserve">advises </w:t>
      </w:r>
      <w:r w:rsidRPr="008A3740">
        <w:rPr>
          <w:rFonts w:ascii="Verdana" w:hAnsi="Verdana"/>
          <w:sz w:val="20"/>
          <w:szCs w:val="20"/>
          <w:lang w:val="en-US"/>
        </w:rPr>
        <w:t>that the</w:t>
      </w:r>
      <w:r w:rsidR="00B66980" w:rsidRPr="008A3740">
        <w:rPr>
          <w:rFonts w:ascii="Verdana" w:hAnsi="Verdana"/>
          <w:sz w:val="20"/>
          <w:szCs w:val="20"/>
          <w:lang w:val="en-US"/>
        </w:rPr>
        <w:t>se</w:t>
      </w:r>
      <w:r w:rsidRPr="008A3740">
        <w:rPr>
          <w:rFonts w:ascii="Verdana" w:hAnsi="Verdana"/>
          <w:sz w:val="20"/>
          <w:szCs w:val="20"/>
          <w:lang w:val="en-US"/>
        </w:rPr>
        <w:t xml:space="preserve"> norms will </w:t>
      </w:r>
      <w:r w:rsidR="00960F8D" w:rsidRPr="008A3740">
        <w:rPr>
          <w:rFonts w:ascii="Verdana" w:hAnsi="Verdana"/>
          <w:sz w:val="20"/>
          <w:szCs w:val="20"/>
          <w:lang w:val="en-US"/>
        </w:rPr>
        <w:t xml:space="preserve">be used to </w:t>
      </w:r>
      <w:r w:rsidRPr="008A3740">
        <w:rPr>
          <w:rFonts w:ascii="Verdana" w:hAnsi="Verdana"/>
          <w:sz w:val="20"/>
          <w:szCs w:val="20"/>
          <w:lang w:val="en-US"/>
        </w:rPr>
        <w:t>supplement the provis</w:t>
      </w:r>
      <w:r w:rsidR="00960F8D" w:rsidRPr="008A3740">
        <w:rPr>
          <w:rFonts w:ascii="Verdana" w:hAnsi="Verdana"/>
          <w:sz w:val="20"/>
          <w:szCs w:val="20"/>
          <w:lang w:val="en-US"/>
        </w:rPr>
        <w:t>ions of the American Convention, and</w:t>
      </w:r>
      <w:r w:rsidRPr="008A3740">
        <w:rPr>
          <w:rFonts w:ascii="Verdana" w:hAnsi="Verdana"/>
          <w:sz w:val="20"/>
          <w:szCs w:val="20"/>
          <w:lang w:val="en-US"/>
        </w:rPr>
        <w:t xml:space="preserve"> affirms that is not assuming a jurisdiction over some treaties that it does not have, nor is it </w:t>
      </w:r>
      <w:r w:rsidR="00363F61" w:rsidRPr="008A3740">
        <w:rPr>
          <w:rFonts w:ascii="Verdana" w:hAnsi="Verdana"/>
          <w:sz w:val="20"/>
          <w:szCs w:val="20"/>
          <w:lang w:val="en-US"/>
        </w:rPr>
        <w:t xml:space="preserve">granting </w:t>
      </w:r>
      <w:r w:rsidRPr="008A3740">
        <w:rPr>
          <w:rFonts w:ascii="Verdana" w:hAnsi="Verdana"/>
          <w:sz w:val="20"/>
          <w:szCs w:val="20"/>
          <w:lang w:val="en-US"/>
        </w:rPr>
        <w:t xml:space="preserve">Convention </w:t>
      </w:r>
      <w:r w:rsidR="000C13AC" w:rsidRPr="008A3740">
        <w:rPr>
          <w:rFonts w:ascii="Verdana" w:hAnsi="Verdana"/>
          <w:sz w:val="20"/>
          <w:szCs w:val="20"/>
          <w:lang w:val="en-US"/>
        </w:rPr>
        <w:t>status</w:t>
      </w:r>
      <w:r w:rsidRPr="008A3740">
        <w:rPr>
          <w:rFonts w:ascii="Verdana" w:hAnsi="Verdana"/>
          <w:sz w:val="20"/>
          <w:szCs w:val="20"/>
          <w:lang w:val="en-US"/>
        </w:rPr>
        <w:t xml:space="preserve"> to norms contained in other national or internati</w:t>
      </w:r>
      <w:r w:rsidR="00960F8D" w:rsidRPr="008A3740">
        <w:rPr>
          <w:rFonts w:ascii="Verdana" w:hAnsi="Verdana"/>
          <w:sz w:val="20"/>
          <w:szCs w:val="20"/>
          <w:lang w:val="en-US"/>
        </w:rPr>
        <w:t xml:space="preserve">onal instruments related to </w:t>
      </w:r>
      <w:r w:rsidRPr="008A3740">
        <w:rPr>
          <w:rFonts w:ascii="Verdana" w:hAnsi="Verdana"/>
          <w:sz w:val="20"/>
          <w:szCs w:val="20"/>
          <w:lang w:val="en-US"/>
        </w:rPr>
        <w:t>ESCER.</w:t>
      </w:r>
      <w:r w:rsidRPr="008A3740">
        <w:rPr>
          <w:rStyle w:val="Refdenotaalpie"/>
          <w:szCs w:val="20"/>
          <w:lang w:val="en-US"/>
        </w:rPr>
        <w:footnoteReference w:id="184"/>
      </w:r>
      <w:r w:rsidR="00960F8D" w:rsidRPr="008A3740">
        <w:rPr>
          <w:rFonts w:ascii="Verdana" w:hAnsi="Verdana"/>
          <w:sz w:val="20"/>
          <w:szCs w:val="20"/>
          <w:lang w:val="en-US"/>
        </w:rPr>
        <w:t xml:space="preserve"> </w:t>
      </w:r>
      <w:r w:rsidR="00EA7C5F" w:rsidRPr="008A3740">
        <w:rPr>
          <w:rFonts w:ascii="Verdana" w:hAnsi="Verdana"/>
          <w:sz w:val="20"/>
          <w:szCs w:val="20"/>
          <w:lang w:val="en-US"/>
        </w:rPr>
        <w:t>On</w:t>
      </w:r>
      <w:r w:rsidRPr="008A3740">
        <w:rPr>
          <w:rFonts w:ascii="Verdana" w:hAnsi="Verdana"/>
          <w:sz w:val="20"/>
          <w:szCs w:val="20"/>
          <w:lang w:val="en-US"/>
        </w:rPr>
        <w:t xml:space="preserve"> the contrary, the Court will make an interpretation pursuant to the standards established in Article 29, and its </w:t>
      </w:r>
      <w:r w:rsidR="000C13AC" w:rsidRPr="008A3740">
        <w:rPr>
          <w:rFonts w:ascii="Verdana" w:hAnsi="Verdana"/>
          <w:sz w:val="20"/>
          <w:szCs w:val="20"/>
          <w:lang w:val="en-US"/>
        </w:rPr>
        <w:t xml:space="preserve">own </w:t>
      </w:r>
      <w:r w:rsidR="002B0B5A" w:rsidRPr="008A3740">
        <w:rPr>
          <w:rFonts w:ascii="Verdana" w:hAnsi="Verdana"/>
          <w:sz w:val="20"/>
          <w:szCs w:val="20"/>
          <w:lang w:val="en-US"/>
        </w:rPr>
        <w:t>case law</w:t>
      </w:r>
      <w:r w:rsidRPr="008A3740">
        <w:rPr>
          <w:rFonts w:ascii="Verdana" w:hAnsi="Verdana"/>
          <w:sz w:val="20"/>
          <w:szCs w:val="20"/>
          <w:lang w:val="en-US"/>
        </w:rPr>
        <w:t>, in order to update the meaning of the rights derived from the OAS Charter that are recognized by Article 26 of the Convention. The determination of the right to social security will place special emphasis on the American Declaration, given that this Court has established that:</w:t>
      </w:r>
    </w:p>
    <w:p w14:paraId="07C93EF3" w14:textId="77777777" w:rsidR="008E6A56" w:rsidRPr="008A3740" w:rsidRDefault="008E6A56" w:rsidP="008E6A56">
      <w:pPr>
        <w:pStyle w:val="Estilo1"/>
        <w:tabs>
          <w:tab w:val="left" w:pos="709"/>
          <w:tab w:val="left" w:pos="1134"/>
        </w:tabs>
        <w:spacing w:after="0"/>
        <w:ind w:left="0" w:right="-4" w:firstLine="0"/>
        <w:rPr>
          <w:rFonts w:eastAsia="Times" w:cs="Arial"/>
          <w:i w:val="0"/>
          <w:szCs w:val="20"/>
          <w:lang w:val="en-US" w:eastAsia="es-CR"/>
        </w:rPr>
      </w:pPr>
    </w:p>
    <w:p w14:paraId="4E80966A" w14:textId="77777777" w:rsidR="008E6A56" w:rsidRPr="008A3740" w:rsidRDefault="008E6A56" w:rsidP="008E6A56">
      <w:pPr>
        <w:autoSpaceDE w:val="0"/>
        <w:autoSpaceDN w:val="0"/>
        <w:ind w:left="708" w:right="900"/>
        <w:rPr>
          <w:rFonts w:ascii="Verdana" w:hAnsi="Verdana" w:cs="Verdana"/>
          <w:sz w:val="20"/>
          <w:szCs w:val="20"/>
          <w:lang w:val="en-US"/>
        </w:rPr>
      </w:pPr>
      <w:r w:rsidRPr="008A3740">
        <w:rPr>
          <w:rFonts w:ascii="Verdana" w:hAnsi="Verdana" w:cs="Verdana"/>
          <w:sz w:val="20"/>
          <w:szCs w:val="20"/>
          <w:lang w:val="en-US"/>
        </w:rPr>
        <w:t>[…]</w:t>
      </w:r>
      <w:r w:rsidR="00BF6A75" w:rsidRPr="008A3740">
        <w:rPr>
          <w:rFonts w:ascii="Verdana" w:hAnsi="Verdana" w:cs="Verdana"/>
          <w:sz w:val="20"/>
          <w:szCs w:val="20"/>
          <w:lang w:val="en-US"/>
        </w:rPr>
        <w:t xml:space="preserve"> </w:t>
      </w:r>
      <w:r w:rsidRPr="008A3740">
        <w:rPr>
          <w:rFonts w:ascii="Verdana" w:hAnsi="Verdana" w:cs="Arial"/>
          <w:sz w:val="20"/>
          <w:szCs w:val="20"/>
          <w:lang w:val="en-US"/>
        </w:rPr>
        <w:t>the Member States of the Organization have signaled their agreement that the Declaration contains and defines the fundamental human rights referred to in the Charter. Thus</w:t>
      </w:r>
      <w:r w:rsidR="009D1C1A" w:rsidRPr="008A3740">
        <w:rPr>
          <w:rFonts w:ascii="Verdana" w:hAnsi="Verdana" w:cs="Arial"/>
          <w:sz w:val="20"/>
          <w:szCs w:val="20"/>
          <w:lang w:val="en-US"/>
        </w:rPr>
        <w:t>,</w:t>
      </w:r>
      <w:r w:rsidRPr="008A3740">
        <w:rPr>
          <w:rFonts w:ascii="Verdana" w:hAnsi="Verdana" w:cs="Arial"/>
          <w:sz w:val="20"/>
          <w:szCs w:val="20"/>
          <w:lang w:val="en-US"/>
        </w:rPr>
        <w:t xml:space="preserve"> the Charter of the Organization cannot be interpreted and applied as far as human rights are concerned without relating its norms, consistent with the practice of the organs of the OAS, to the corresponding provisions of the Declaration</w:t>
      </w:r>
      <w:r w:rsidRPr="008A3740">
        <w:rPr>
          <w:rFonts w:ascii="Verdana" w:hAnsi="Verdana" w:cs="Verdana"/>
          <w:sz w:val="20"/>
          <w:szCs w:val="20"/>
          <w:lang w:val="en-US"/>
        </w:rPr>
        <w:t>.</w:t>
      </w:r>
      <w:r w:rsidRPr="008A3740">
        <w:rPr>
          <w:rFonts w:ascii="Verdana" w:hAnsi="Verdana"/>
          <w:sz w:val="20"/>
          <w:szCs w:val="20"/>
          <w:vertAlign w:val="superscript"/>
          <w:lang w:val="en-US"/>
        </w:rPr>
        <w:footnoteReference w:id="185"/>
      </w:r>
    </w:p>
    <w:p w14:paraId="36174BCE" w14:textId="77777777" w:rsidR="008E6A56" w:rsidRPr="008A3740" w:rsidRDefault="008E6A56" w:rsidP="008E6A56">
      <w:pPr>
        <w:tabs>
          <w:tab w:val="left" w:pos="567"/>
        </w:tabs>
        <w:rPr>
          <w:rFonts w:ascii="Verdana" w:hAnsi="Verdana"/>
          <w:sz w:val="20"/>
          <w:szCs w:val="20"/>
          <w:lang w:val="en-US" w:eastAsia="en-US"/>
        </w:rPr>
      </w:pPr>
    </w:p>
    <w:p w14:paraId="36C3FBDF"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i/>
          <w:sz w:val="20"/>
          <w:szCs w:val="20"/>
          <w:lang w:val="en-US"/>
        </w:rPr>
      </w:pPr>
      <w:r w:rsidRPr="008A3740">
        <w:rPr>
          <w:rFonts w:ascii="Verdana" w:eastAsia="Times" w:hAnsi="Verdana" w:cs="Arial"/>
          <w:sz w:val="20"/>
          <w:szCs w:val="20"/>
          <w:lang w:val="en-US"/>
        </w:rPr>
        <w:t xml:space="preserve">Similarly, this Court has indicated on other occasions that human rights treaties are living instruments, </w:t>
      </w:r>
      <w:r w:rsidR="007D0DD4" w:rsidRPr="008A3740">
        <w:rPr>
          <w:rFonts w:ascii="Verdana" w:eastAsia="Times" w:hAnsi="Verdana" w:cs="Arial"/>
          <w:sz w:val="20"/>
          <w:szCs w:val="20"/>
          <w:lang w:val="en-US"/>
        </w:rPr>
        <w:t xml:space="preserve">the </w:t>
      </w:r>
      <w:r w:rsidRPr="008A3740">
        <w:rPr>
          <w:rFonts w:ascii="Verdana" w:eastAsia="Times" w:hAnsi="Verdana" w:cs="Arial"/>
          <w:sz w:val="20"/>
          <w:szCs w:val="20"/>
          <w:lang w:val="en-US"/>
        </w:rPr>
        <w:t xml:space="preserve">interpretation </w:t>
      </w:r>
      <w:r w:rsidR="007D0DD4" w:rsidRPr="008A3740">
        <w:rPr>
          <w:rFonts w:ascii="Verdana" w:eastAsia="Times" w:hAnsi="Verdana" w:cs="Arial"/>
          <w:sz w:val="20"/>
          <w:szCs w:val="20"/>
          <w:lang w:val="en-US"/>
        </w:rPr>
        <w:t xml:space="preserve">of which </w:t>
      </w:r>
      <w:r w:rsidRPr="008A3740">
        <w:rPr>
          <w:rFonts w:ascii="Verdana" w:eastAsia="Times" w:hAnsi="Verdana" w:cs="Arial"/>
          <w:sz w:val="20"/>
          <w:szCs w:val="20"/>
          <w:lang w:val="en-US"/>
        </w:rPr>
        <w:t xml:space="preserve">must </w:t>
      </w:r>
      <w:r w:rsidR="00BF6A75" w:rsidRPr="008A3740">
        <w:rPr>
          <w:rFonts w:ascii="Verdana" w:eastAsia="Times" w:hAnsi="Verdana" w:cs="Arial"/>
          <w:sz w:val="20"/>
          <w:szCs w:val="20"/>
          <w:lang w:val="en-US"/>
        </w:rPr>
        <w:t xml:space="preserve">accompany </w:t>
      </w:r>
      <w:r w:rsidRPr="008A3740">
        <w:rPr>
          <w:rFonts w:ascii="Verdana" w:eastAsia="Times" w:hAnsi="Verdana" w:cs="Arial"/>
          <w:sz w:val="20"/>
          <w:szCs w:val="20"/>
          <w:lang w:val="en-US"/>
        </w:rPr>
        <w:t xml:space="preserve">the evolution of the times and current living conditions. </w:t>
      </w:r>
      <w:r w:rsidR="000C13AC" w:rsidRPr="008A3740">
        <w:rPr>
          <w:rFonts w:ascii="Verdana" w:eastAsia="Times" w:hAnsi="Verdana" w:cs="Arial"/>
          <w:sz w:val="20"/>
          <w:szCs w:val="20"/>
          <w:lang w:val="en-US"/>
        </w:rPr>
        <w:t xml:space="preserve">An </w:t>
      </w:r>
      <w:r w:rsidRPr="008A3740">
        <w:rPr>
          <w:rFonts w:ascii="Verdana" w:eastAsia="Times" w:hAnsi="Verdana" w:cs="Arial"/>
          <w:sz w:val="20"/>
          <w:szCs w:val="20"/>
          <w:lang w:val="en-US"/>
        </w:rPr>
        <w:t>evol</w:t>
      </w:r>
      <w:r w:rsidR="002035CD" w:rsidRPr="008A3740">
        <w:rPr>
          <w:rFonts w:ascii="Verdana" w:eastAsia="Times" w:hAnsi="Verdana" w:cs="Arial"/>
          <w:sz w:val="20"/>
          <w:szCs w:val="20"/>
          <w:lang w:val="en-US"/>
        </w:rPr>
        <w:t xml:space="preserve">ving </w:t>
      </w:r>
      <w:r w:rsidRPr="008A3740">
        <w:rPr>
          <w:rFonts w:ascii="Verdana" w:eastAsia="Times" w:hAnsi="Verdana" w:cs="Arial"/>
          <w:sz w:val="20"/>
          <w:szCs w:val="20"/>
          <w:lang w:val="en-US"/>
        </w:rPr>
        <w:t>interpretation is cons</w:t>
      </w:r>
      <w:r w:rsidR="007D0DD4" w:rsidRPr="008A3740">
        <w:rPr>
          <w:rFonts w:ascii="Verdana" w:eastAsia="Times" w:hAnsi="Verdana" w:cs="Arial"/>
          <w:sz w:val="20"/>
          <w:szCs w:val="20"/>
          <w:lang w:val="en-US"/>
        </w:rPr>
        <w:t xml:space="preserve">istent </w:t>
      </w:r>
      <w:r w:rsidRPr="008A3740">
        <w:rPr>
          <w:rFonts w:ascii="Verdana" w:eastAsia="Times" w:hAnsi="Verdana" w:cs="Arial"/>
          <w:sz w:val="20"/>
          <w:szCs w:val="20"/>
          <w:lang w:val="en-US"/>
        </w:rPr>
        <w:t xml:space="preserve">with the general rules of interpretation established in Article 29 of the American Convention, as well as </w:t>
      </w:r>
      <w:r w:rsidR="007D0DD4" w:rsidRPr="008A3740">
        <w:rPr>
          <w:rFonts w:ascii="Verdana" w:eastAsia="Times" w:hAnsi="Verdana" w:cs="Arial"/>
          <w:sz w:val="20"/>
          <w:szCs w:val="20"/>
          <w:lang w:val="en-US"/>
        </w:rPr>
        <w:t xml:space="preserve">in </w:t>
      </w:r>
      <w:r w:rsidRPr="008A3740">
        <w:rPr>
          <w:rFonts w:ascii="Verdana" w:eastAsia="Times" w:hAnsi="Verdana" w:cs="Arial"/>
          <w:sz w:val="20"/>
          <w:szCs w:val="20"/>
          <w:lang w:val="en-US"/>
        </w:rPr>
        <w:t>the Vienna Convention.</w:t>
      </w:r>
      <w:r w:rsidRPr="008A3740">
        <w:rPr>
          <w:rStyle w:val="Refdenotaalpie"/>
          <w:rFonts w:eastAsia="Times"/>
          <w:szCs w:val="20"/>
          <w:lang w:val="en-US"/>
        </w:rPr>
        <w:footnoteReference w:id="186"/>
      </w:r>
      <w:r w:rsidRPr="008A3740">
        <w:rPr>
          <w:rFonts w:ascii="Verdana" w:eastAsia="Times" w:hAnsi="Verdana" w:cs="Arial"/>
          <w:sz w:val="20"/>
          <w:szCs w:val="20"/>
          <w:lang w:val="en-US"/>
        </w:rPr>
        <w:t xml:space="preserve"> </w:t>
      </w:r>
      <w:r w:rsidR="00BF6A75" w:rsidRPr="008A3740">
        <w:rPr>
          <w:rFonts w:ascii="Verdana" w:eastAsia="Times" w:hAnsi="Verdana" w:cs="Arial"/>
          <w:sz w:val="20"/>
          <w:szCs w:val="20"/>
          <w:lang w:val="en-US"/>
        </w:rPr>
        <w:t xml:space="preserve">In </w:t>
      </w:r>
      <w:r w:rsidR="00BF6A75" w:rsidRPr="008A3740">
        <w:rPr>
          <w:rFonts w:ascii="Verdana" w:eastAsia="Times" w:hAnsi="Verdana" w:cs="Arial"/>
          <w:sz w:val="20"/>
          <w:szCs w:val="20"/>
          <w:lang w:val="en-US"/>
        </w:rPr>
        <w:lastRenderedPageBreak/>
        <w:t>addition</w:t>
      </w:r>
      <w:r w:rsidRPr="008A3740">
        <w:rPr>
          <w:rFonts w:ascii="Verdana" w:eastAsia="Times" w:hAnsi="Verdana" w:cs="Arial"/>
          <w:sz w:val="20"/>
          <w:szCs w:val="20"/>
          <w:lang w:val="en-US"/>
        </w:rPr>
        <w:t>, Article 31</w:t>
      </w:r>
      <w:r w:rsidR="007D0DD4" w:rsidRPr="008A3740">
        <w:rPr>
          <w:rFonts w:ascii="Verdana" w:eastAsia="Times" w:hAnsi="Verdana" w:cs="Arial"/>
          <w:sz w:val="20"/>
          <w:szCs w:val="20"/>
          <w:lang w:val="en-US"/>
        </w:rPr>
        <w:t>, paragraph 3</w:t>
      </w:r>
      <w:r w:rsidRPr="008A3740">
        <w:rPr>
          <w:rFonts w:ascii="Verdana" w:eastAsia="Times" w:hAnsi="Verdana" w:cs="Arial"/>
          <w:sz w:val="20"/>
          <w:szCs w:val="20"/>
          <w:lang w:val="en-US"/>
        </w:rPr>
        <w:t xml:space="preserve"> of the Vienna Convention auth</w:t>
      </w:r>
      <w:r w:rsidR="002035CD" w:rsidRPr="008A3740">
        <w:rPr>
          <w:rFonts w:ascii="Verdana" w:eastAsia="Times" w:hAnsi="Verdana" w:cs="Arial"/>
          <w:sz w:val="20"/>
          <w:szCs w:val="20"/>
          <w:lang w:val="en-US"/>
        </w:rPr>
        <w:t xml:space="preserve">orizes </w:t>
      </w:r>
      <w:r w:rsidR="00BF6A75" w:rsidRPr="008A3740">
        <w:rPr>
          <w:rFonts w:ascii="Verdana" w:eastAsia="Times" w:hAnsi="Verdana" w:cs="Arial"/>
          <w:sz w:val="20"/>
          <w:szCs w:val="20"/>
          <w:lang w:val="en-US"/>
        </w:rPr>
        <w:t xml:space="preserve">relevant agreements </w:t>
      </w:r>
      <w:r w:rsidR="003A2D3D" w:rsidRPr="008A3740">
        <w:rPr>
          <w:rFonts w:ascii="Verdana" w:hAnsi="Verdana" w:cs="Arial"/>
          <w:color w:val="000000"/>
          <w:sz w:val="20"/>
          <w:szCs w:val="20"/>
          <w:shd w:val="clear" w:color="auto" w:fill="FFFFFF"/>
          <w:lang w:val="en-US"/>
        </w:rPr>
        <w:t>reg</w:t>
      </w:r>
      <w:r w:rsidR="007D0DD4" w:rsidRPr="008A3740">
        <w:rPr>
          <w:rFonts w:ascii="Verdana" w:hAnsi="Verdana" w:cs="Arial"/>
          <w:color w:val="000000"/>
          <w:sz w:val="20"/>
          <w:szCs w:val="20"/>
          <w:shd w:val="clear" w:color="auto" w:fill="FFFFFF"/>
          <w:lang w:val="en-US"/>
        </w:rPr>
        <w:t>arding the interpretation of a</w:t>
      </w:r>
      <w:r w:rsidR="003A2D3D" w:rsidRPr="008A3740">
        <w:rPr>
          <w:rFonts w:ascii="Verdana" w:hAnsi="Verdana" w:cs="Arial"/>
          <w:color w:val="000000"/>
          <w:sz w:val="20"/>
          <w:szCs w:val="20"/>
          <w:shd w:val="clear" w:color="auto" w:fill="FFFFFF"/>
          <w:lang w:val="en-US"/>
        </w:rPr>
        <w:t xml:space="preserve"> treaty or the application of its provisions</w:t>
      </w:r>
      <w:r w:rsidR="00BF6A75" w:rsidRPr="008A3740">
        <w:rPr>
          <w:rFonts w:ascii="Verdana" w:eastAsia="Times" w:hAnsi="Verdana" w:cs="Arial"/>
          <w:sz w:val="20"/>
          <w:szCs w:val="20"/>
          <w:lang w:val="en-US"/>
        </w:rPr>
        <w:t xml:space="preserve"> or </w:t>
      </w:r>
      <w:r w:rsidR="003A2D3D" w:rsidRPr="008A3740">
        <w:rPr>
          <w:rFonts w:ascii="Verdana" w:eastAsia="Times" w:hAnsi="Verdana" w:cs="Arial"/>
          <w:sz w:val="20"/>
          <w:szCs w:val="20"/>
          <w:lang w:val="en-US"/>
        </w:rPr>
        <w:t xml:space="preserve">relevant </w:t>
      </w:r>
      <w:r w:rsidR="00BF6A75" w:rsidRPr="008A3740">
        <w:rPr>
          <w:rFonts w:ascii="Verdana" w:eastAsia="Times" w:hAnsi="Verdana" w:cs="Arial"/>
          <w:sz w:val="20"/>
          <w:szCs w:val="20"/>
          <w:lang w:val="en-US"/>
        </w:rPr>
        <w:t xml:space="preserve">rules of </w:t>
      </w:r>
      <w:r w:rsidR="002035CD" w:rsidRPr="008A3740">
        <w:rPr>
          <w:rFonts w:ascii="Verdana" w:eastAsia="Times" w:hAnsi="Verdana" w:cs="Arial"/>
          <w:sz w:val="20"/>
          <w:szCs w:val="20"/>
          <w:lang w:val="en-US"/>
        </w:rPr>
        <w:t xml:space="preserve">international law that </w:t>
      </w:r>
      <w:r w:rsidRPr="008A3740">
        <w:rPr>
          <w:rFonts w:ascii="Verdana" w:eastAsia="Times" w:hAnsi="Verdana" w:cs="Arial"/>
          <w:sz w:val="20"/>
          <w:szCs w:val="20"/>
          <w:lang w:val="en-US"/>
        </w:rPr>
        <w:t>States ha</w:t>
      </w:r>
      <w:r w:rsidR="003A2D3D" w:rsidRPr="008A3740">
        <w:rPr>
          <w:rFonts w:ascii="Verdana" w:eastAsia="Times" w:hAnsi="Verdana" w:cs="Arial"/>
          <w:sz w:val="20"/>
          <w:szCs w:val="20"/>
          <w:lang w:val="en-US"/>
        </w:rPr>
        <w:t xml:space="preserve">ve expressed </w:t>
      </w:r>
      <w:r w:rsidR="000C13AC" w:rsidRPr="008A3740">
        <w:rPr>
          <w:rFonts w:ascii="Verdana" w:eastAsia="Times" w:hAnsi="Verdana" w:cs="Arial"/>
          <w:sz w:val="20"/>
          <w:szCs w:val="20"/>
          <w:lang w:val="en-US"/>
        </w:rPr>
        <w:t>on treaty</w:t>
      </w:r>
      <w:r w:rsidRPr="008A3740">
        <w:rPr>
          <w:rFonts w:ascii="Verdana" w:eastAsia="Times" w:hAnsi="Verdana" w:cs="Arial"/>
          <w:sz w:val="20"/>
          <w:szCs w:val="20"/>
          <w:lang w:val="en-US"/>
        </w:rPr>
        <w:t xml:space="preserve"> mat</w:t>
      </w:r>
      <w:r w:rsidR="002035CD" w:rsidRPr="008A3740">
        <w:rPr>
          <w:rFonts w:ascii="Verdana" w:eastAsia="Times" w:hAnsi="Verdana" w:cs="Arial"/>
          <w:sz w:val="20"/>
          <w:szCs w:val="20"/>
          <w:lang w:val="en-US"/>
        </w:rPr>
        <w:t>ters</w:t>
      </w:r>
      <w:r w:rsidRPr="008A3740">
        <w:rPr>
          <w:rFonts w:ascii="Verdana" w:eastAsia="Times" w:hAnsi="Verdana" w:cs="Arial"/>
          <w:sz w:val="20"/>
          <w:szCs w:val="20"/>
          <w:lang w:val="en-US"/>
        </w:rPr>
        <w:t xml:space="preserve">, which are some of </w:t>
      </w:r>
      <w:r w:rsidR="002035CD" w:rsidRPr="008A3740">
        <w:rPr>
          <w:rFonts w:ascii="Verdana" w:eastAsia="Times" w:hAnsi="Verdana" w:cs="Arial"/>
          <w:sz w:val="20"/>
          <w:szCs w:val="20"/>
          <w:lang w:val="en-US"/>
        </w:rPr>
        <w:t xml:space="preserve">the methods </w:t>
      </w:r>
      <w:r w:rsidRPr="008A3740">
        <w:rPr>
          <w:rFonts w:ascii="Verdana" w:eastAsia="Times" w:hAnsi="Verdana" w:cs="Arial"/>
          <w:sz w:val="20"/>
          <w:szCs w:val="20"/>
          <w:lang w:val="en-US"/>
        </w:rPr>
        <w:t>related to an evolving vision of the Treaty. Thus, in order to determine the scope of the right to social security, particularly the right to a pension in the context of a contribut</w:t>
      </w:r>
      <w:r w:rsidR="002035CD" w:rsidRPr="008A3740">
        <w:rPr>
          <w:rFonts w:ascii="Verdana" w:eastAsia="Times" w:hAnsi="Verdana" w:cs="Arial"/>
          <w:sz w:val="20"/>
          <w:szCs w:val="20"/>
          <w:lang w:val="en-US"/>
        </w:rPr>
        <w:t xml:space="preserve">ory </w:t>
      </w:r>
      <w:r w:rsidR="007D0DD4" w:rsidRPr="008A3740">
        <w:rPr>
          <w:rFonts w:ascii="Verdana" w:eastAsia="Times" w:hAnsi="Verdana" w:cs="Arial"/>
          <w:sz w:val="20"/>
          <w:szCs w:val="20"/>
          <w:lang w:val="en-US"/>
        </w:rPr>
        <w:t xml:space="preserve">State </w:t>
      </w:r>
      <w:r w:rsidR="002035CD" w:rsidRPr="008A3740">
        <w:rPr>
          <w:rFonts w:ascii="Verdana" w:eastAsia="Times" w:hAnsi="Verdana" w:cs="Arial"/>
          <w:sz w:val="20"/>
          <w:szCs w:val="20"/>
          <w:lang w:val="en-US"/>
        </w:rPr>
        <w:t>pension system</w:t>
      </w:r>
      <w:r w:rsidRPr="008A3740">
        <w:rPr>
          <w:rFonts w:ascii="Verdana" w:eastAsia="Times" w:hAnsi="Verdana" w:cs="Arial"/>
          <w:sz w:val="20"/>
          <w:szCs w:val="20"/>
          <w:lang w:val="en-US"/>
        </w:rPr>
        <w:t xml:space="preserve">, implicit in the </w:t>
      </w:r>
      <w:r w:rsidRPr="008A3740">
        <w:rPr>
          <w:rFonts w:ascii="Verdana" w:hAnsi="Verdana" w:cs="Tahoma"/>
          <w:sz w:val="20"/>
          <w:szCs w:val="20"/>
          <w:lang w:val="en-US"/>
        </w:rPr>
        <w:t xml:space="preserve">economic, social, educational, scientific and cultural standards set forth in the OAS Charter, the Court will refer to the relevant instruments of the </w:t>
      </w:r>
      <w:r w:rsidRPr="008A3740">
        <w:rPr>
          <w:rFonts w:ascii="Verdana" w:hAnsi="Verdana" w:cs="Tahoma"/>
          <w:i/>
          <w:sz w:val="20"/>
          <w:szCs w:val="20"/>
          <w:lang w:val="en-US"/>
        </w:rPr>
        <w:t>international corpus iuris</w:t>
      </w:r>
      <w:r w:rsidRPr="008A3740">
        <w:rPr>
          <w:rFonts w:ascii="Verdana" w:hAnsi="Verdana" w:cs="Tahoma"/>
          <w:sz w:val="20"/>
          <w:szCs w:val="20"/>
          <w:lang w:val="en-US"/>
        </w:rPr>
        <w:t>.</w:t>
      </w:r>
    </w:p>
    <w:p w14:paraId="17A27248" w14:textId="77777777" w:rsidR="008E6A56" w:rsidRPr="008A3740" w:rsidRDefault="008E6A56" w:rsidP="008E6A56">
      <w:pPr>
        <w:widowControl/>
        <w:tabs>
          <w:tab w:val="left" w:pos="567"/>
        </w:tabs>
        <w:adjustRightInd/>
        <w:textAlignment w:val="auto"/>
        <w:rPr>
          <w:rFonts w:ascii="Verdana" w:eastAsia="Times" w:hAnsi="Verdana" w:cs="Arial"/>
          <w:i/>
          <w:sz w:val="20"/>
          <w:szCs w:val="20"/>
          <w:lang w:val="en-US"/>
        </w:rPr>
      </w:pPr>
    </w:p>
    <w:p w14:paraId="4E06E695"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i/>
          <w:sz w:val="20"/>
          <w:szCs w:val="20"/>
          <w:lang w:val="en-US"/>
        </w:rPr>
      </w:pPr>
      <w:r w:rsidRPr="008A3740">
        <w:rPr>
          <w:rFonts w:ascii="Verdana" w:hAnsi="Verdana"/>
          <w:sz w:val="20"/>
          <w:szCs w:val="20"/>
          <w:lang w:val="en-US" w:eastAsia="en-US"/>
        </w:rPr>
        <w:t xml:space="preserve">This Court will </w:t>
      </w:r>
      <w:r w:rsidR="008C4716" w:rsidRPr="008A3740">
        <w:rPr>
          <w:rFonts w:ascii="Verdana" w:hAnsi="Verdana"/>
          <w:sz w:val="20"/>
          <w:szCs w:val="20"/>
          <w:lang w:val="en-US" w:eastAsia="en-US"/>
        </w:rPr>
        <w:t xml:space="preserve">now </w:t>
      </w:r>
      <w:r w:rsidRPr="008A3740">
        <w:rPr>
          <w:rFonts w:ascii="Verdana" w:hAnsi="Verdana"/>
          <w:sz w:val="20"/>
          <w:szCs w:val="20"/>
          <w:lang w:val="en-US" w:eastAsia="en-US"/>
        </w:rPr>
        <w:t>examine the scope and content of this right for the purposes of this case.</w:t>
      </w:r>
    </w:p>
    <w:p w14:paraId="79C8C555" w14:textId="77777777" w:rsidR="008E6A56" w:rsidRPr="008A3740" w:rsidRDefault="008E6A56" w:rsidP="008E6A56">
      <w:pPr>
        <w:pStyle w:val="Estilo1"/>
        <w:tabs>
          <w:tab w:val="left" w:pos="709"/>
          <w:tab w:val="left" w:pos="1134"/>
        </w:tabs>
        <w:spacing w:after="0"/>
        <w:ind w:left="0" w:right="-4" w:firstLine="0"/>
        <w:rPr>
          <w:rFonts w:eastAsia="Times" w:cs="Arial"/>
          <w:i w:val="0"/>
          <w:szCs w:val="20"/>
          <w:lang w:val="en-US" w:eastAsia="es-CR"/>
        </w:rPr>
      </w:pPr>
    </w:p>
    <w:p w14:paraId="26473A9A" w14:textId="77777777" w:rsidR="008E6A56" w:rsidRPr="008A3740" w:rsidRDefault="008E6A56" w:rsidP="00D17A65">
      <w:pPr>
        <w:pStyle w:val="Prrafodelista"/>
        <w:numPr>
          <w:ilvl w:val="0"/>
          <w:numId w:val="12"/>
        </w:numPr>
        <w:rPr>
          <w:rFonts w:ascii="Verdana" w:hAnsi="Verdana"/>
          <w:b/>
          <w:i/>
          <w:strike/>
          <w:sz w:val="20"/>
          <w:szCs w:val="20"/>
          <w:lang w:val="en-US"/>
        </w:rPr>
      </w:pPr>
      <w:r w:rsidRPr="008A3740">
        <w:rPr>
          <w:rFonts w:ascii="Verdana" w:eastAsia="Times" w:hAnsi="Verdana" w:cs="Arial"/>
          <w:b/>
          <w:i/>
          <w:sz w:val="20"/>
          <w:szCs w:val="20"/>
          <w:lang w:val="en-US"/>
        </w:rPr>
        <w:t xml:space="preserve">The content of the right to social security </w:t>
      </w:r>
    </w:p>
    <w:p w14:paraId="159FEF01" w14:textId="77777777" w:rsidR="008E6A56" w:rsidRPr="008A3740" w:rsidRDefault="008E6A56" w:rsidP="008E6A56">
      <w:pPr>
        <w:pStyle w:val="Estilo1"/>
        <w:tabs>
          <w:tab w:val="left" w:pos="709"/>
          <w:tab w:val="left" w:pos="1134"/>
        </w:tabs>
        <w:spacing w:after="0"/>
        <w:ind w:left="0" w:right="-4" w:firstLine="0"/>
        <w:rPr>
          <w:rFonts w:eastAsia="Times" w:cs="Arial"/>
          <w:i w:val="0"/>
          <w:strike/>
          <w:szCs w:val="20"/>
          <w:lang w:val="en-US" w:eastAsia="es-CR"/>
        </w:rPr>
      </w:pPr>
    </w:p>
    <w:p w14:paraId="33A0B0A9"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hAnsi="Verdana"/>
          <w:sz w:val="20"/>
          <w:szCs w:val="20"/>
          <w:lang w:val="en-US" w:eastAsia="en-US"/>
        </w:rPr>
        <w:t xml:space="preserve">As noted previously, Article 45(b) of the OAS Charter expressly states that work </w:t>
      </w:r>
      <w:r w:rsidRPr="008A3740">
        <w:rPr>
          <w:rFonts w:ascii="Verdana" w:hAnsi="Verdana"/>
          <w:color w:val="000000"/>
          <w:spacing w:val="-2"/>
          <w:sz w:val="20"/>
          <w:szCs w:val="20"/>
          <w:lang w:val="en-US"/>
        </w:rPr>
        <w:t>should be performed under conditions</w:t>
      </w:r>
      <w:r w:rsidRPr="008A3740">
        <w:rPr>
          <w:rFonts w:ascii="Verdana" w:hAnsi="Verdana" w:cs="Tahoma"/>
          <w:color w:val="000000"/>
          <w:sz w:val="20"/>
          <w:szCs w:val="20"/>
          <w:lang w:val="en-US"/>
        </w:rPr>
        <w:t xml:space="preserve"> </w:t>
      </w:r>
      <w:r w:rsidR="000547A1" w:rsidRPr="008A3740">
        <w:rPr>
          <w:rFonts w:ascii="Verdana" w:hAnsi="Verdana"/>
          <w:color w:val="000000"/>
          <w:spacing w:val="-2"/>
          <w:sz w:val="20"/>
          <w:szCs w:val="20"/>
          <w:lang w:val="en-US"/>
        </w:rPr>
        <w:t>that ensure life, health</w:t>
      </w:r>
      <w:r w:rsidRPr="008A3740">
        <w:rPr>
          <w:rFonts w:ascii="Verdana" w:hAnsi="Verdana"/>
          <w:color w:val="000000"/>
          <w:spacing w:val="-2"/>
          <w:sz w:val="20"/>
          <w:szCs w:val="20"/>
          <w:lang w:val="en-US"/>
        </w:rPr>
        <w:t xml:space="preserve"> and a decent standard of living for the worker and his family, both during his working years and in his old age, or when any circumstance deprives him of the possibility of working</w:t>
      </w:r>
      <w:r w:rsidRPr="008A3740">
        <w:rPr>
          <w:rFonts w:ascii="Verdana" w:hAnsi="Verdana" w:cs="Tahoma"/>
          <w:color w:val="000000"/>
          <w:sz w:val="20"/>
          <w:szCs w:val="20"/>
          <w:lang w:val="en-US"/>
        </w:rPr>
        <w:t xml:space="preserve">. </w:t>
      </w:r>
    </w:p>
    <w:p w14:paraId="36A61F2F" w14:textId="77777777" w:rsidR="008E6A56" w:rsidRPr="008A3740" w:rsidRDefault="008E6A56" w:rsidP="008E6A56">
      <w:pPr>
        <w:widowControl/>
        <w:tabs>
          <w:tab w:val="left" w:pos="567"/>
        </w:tabs>
        <w:adjustRightInd/>
        <w:textAlignment w:val="auto"/>
        <w:rPr>
          <w:rFonts w:ascii="Verdana" w:eastAsia="Times" w:hAnsi="Verdana" w:cs="Arial"/>
          <w:sz w:val="20"/>
          <w:szCs w:val="20"/>
          <w:lang w:val="en-US"/>
        </w:rPr>
      </w:pPr>
    </w:p>
    <w:p w14:paraId="1E07151C"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hAnsi="Verdana"/>
          <w:sz w:val="20"/>
          <w:szCs w:val="20"/>
          <w:lang w:val="en-US" w:eastAsia="en-US"/>
        </w:rPr>
        <w:t>Likewise, Article XVI</w:t>
      </w:r>
      <w:r w:rsidRPr="008A3740">
        <w:rPr>
          <w:rStyle w:val="Refdenotaalpie"/>
          <w:szCs w:val="20"/>
          <w:lang w:val="en-US" w:eastAsia="en-US"/>
        </w:rPr>
        <w:footnoteReference w:id="187"/>
      </w:r>
      <w:r w:rsidRPr="008A3740">
        <w:rPr>
          <w:rFonts w:ascii="Verdana" w:hAnsi="Verdana"/>
          <w:sz w:val="20"/>
          <w:szCs w:val="20"/>
          <w:lang w:val="en-US" w:eastAsia="en-US"/>
        </w:rPr>
        <w:t xml:space="preserve"> of the American Declaration specifies the right to social security, stating that “</w:t>
      </w:r>
      <w:r w:rsidR="000547A1" w:rsidRPr="008A3740">
        <w:rPr>
          <w:rFonts w:ascii="Verdana" w:hAnsi="Verdana"/>
          <w:sz w:val="20"/>
          <w:szCs w:val="20"/>
          <w:lang w:val="en-US"/>
        </w:rPr>
        <w:t>e</w:t>
      </w:r>
      <w:r w:rsidRPr="008A3740">
        <w:rPr>
          <w:rFonts w:ascii="Verdana" w:hAnsi="Verdana" w:cs="Arial"/>
          <w:sz w:val="20"/>
          <w:szCs w:val="20"/>
          <w:lang w:val="en-US"/>
        </w:rPr>
        <w:t>very person has the right to social security which will protect him from the consequences of unemployment, old age, and any disabilities arising from causes beyond his control that make it physically or mentally impossible for him to earn a living</w:t>
      </w:r>
      <w:r w:rsidRPr="008A3740">
        <w:rPr>
          <w:rFonts w:ascii="Verdana" w:hAnsi="Verdana"/>
          <w:sz w:val="20"/>
          <w:szCs w:val="20"/>
          <w:lang w:val="en-US"/>
        </w:rPr>
        <w:t>.”</w:t>
      </w:r>
      <w:r w:rsidRPr="008A3740">
        <w:rPr>
          <w:rFonts w:ascii="Verdana" w:hAnsi="Verdana"/>
          <w:sz w:val="20"/>
          <w:szCs w:val="20"/>
          <w:lang w:val="en-US" w:eastAsia="en-US"/>
        </w:rPr>
        <w:t xml:space="preserve"> </w:t>
      </w:r>
    </w:p>
    <w:p w14:paraId="10C18E25" w14:textId="77777777" w:rsidR="008E6A56" w:rsidRPr="008A3740" w:rsidRDefault="008E6A56" w:rsidP="008E6A56">
      <w:pPr>
        <w:pStyle w:val="Prrafodelista"/>
        <w:ind w:left="0"/>
        <w:rPr>
          <w:rFonts w:ascii="Verdana" w:hAnsi="Verdana"/>
          <w:sz w:val="20"/>
          <w:szCs w:val="20"/>
          <w:lang w:val="en-US" w:eastAsia="en-US"/>
        </w:rPr>
      </w:pPr>
    </w:p>
    <w:p w14:paraId="6C76D30B"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hAnsi="Verdana"/>
          <w:sz w:val="20"/>
          <w:szCs w:val="20"/>
          <w:lang w:val="en-US" w:eastAsia="en-US"/>
        </w:rPr>
        <w:t xml:space="preserve">Similarly, Article </w:t>
      </w:r>
      <w:r w:rsidRPr="008A3740">
        <w:rPr>
          <w:rFonts w:ascii="Verdana" w:hAnsi="Verdana"/>
          <w:sz w:val="20"/>
          <w:szCs w:val="20"/>
          <w:lang w:val="en-US"/>
        </w:rPr>
        <w:t>9 of the Additional Protocol to the American Convention on Human Rights in the Area of Economic, Social and Cultural Rights or "Protocol of San Salvador" (hereinafter "Protocol of San Salvador),</w:t>
      </w:r>
      <w:r w:rsidRPr="008A3740">
        <w:rPr>
          <w:rStyle w:val="Refdenotaalpie"/>
          <w:szCs w:val="20"/>
          <w:lang w:val="en-US"/>
        </w:rPr>
        <w:footnoteReference w:id="188"/>
      </w:r>
      <w:r w:rsidRPr="008A3740">
        <w:rPr>
          <w:rFonts w:ascii="Verdana" w:hAnsi="Verdana"/>
          <w:sz w:val="20"/>
          <w:szCs w:val="20"/>
          <w:lang w:val="en-US"/>
        </w:rPr>
        <w:t xml:space="preserve"> establishes that “1) </w:t>
      </w:r>
      <w:r w:rsidRPr="008A3740">
        <w:rPr>
          <w:rFonts w:ascii="Verdana" w:hAnsi="Verdana" w:cs="Tahoma"/>
          <w:color w:val="000000"/>
          <w:sz w:val="20"/>
          <w:szCs w:val="20"/>
          <w:lang w:val="en-US"/>
        </w:rPr>
        <w:t>Everyone shall have the right to social security protecting him from the consequences of old age and of disability which prevents him, physically or mentally, from securing the means for a dignified and decent existence. In the event of the death of a beneficiary, social security benefits shall be applied to his dependents.</w:t>
      </w:r>
      <w:r w:rsidRPr="008A3740">
        <w:rPr>
          <w:rFonts w:ascii="Verdana" w:hAnsi="Verdana"/>
          <w:sz w:val="20"/>
          <w:szCs w:val="20"/>
          <w:lang w:val="en-US"/>
        </w:rPr>
        <w:t xml:space="preserve"> 2) I</w:t>
      </w:r>
      <w:r w:rsidRPr="008A3740">
        <w:rPr>
          <w:rFonts w:ascii="Verdana" w:hAnsi="Verdana" w:cs="Tahoma"/>
          <w:color w:val="000000"/>
          <w:sz w:val="20"/>
          <w:szCs w:val="20"/>
          <w:lang w:val="en-US"/>
        </w:rPr>
        <w:t>n the case of persons who are employed, the right to social security shall cover at least medical care and an allowance or retirement benefit in the case of work accidents or occupational disease and, in the case of women, paid maternity leave before and after childbirth</w:t>
      </w:r>
      <w:r w:rsidRPr="008A3740">
        <w:rPr>
          <w:rFonts w:ascii="Verdana" w:hAnsi="Verdana"/>
          <w:sz w:val="20"/>
          <w:szCs w:val="20"/>
          <w:lang w:val="en-US"/>
        </w:rPr>
        <w:t>.”</w:t>
      </w:r>
    </w:p>
    <w:p w14:paraId="258B3047" w14:textId="77777777" w:rsidR="008E6A56" w:rsidRPr="008A3740" w:rsidRDefault="008E6A56" w:rsidP="008E6A56">
      <w:pPr>
        <w:pStyle w:val="Prrafodelista"/>
        <w:ind w:left="0"/>
        <w:rPr>
          <w:rFonts w:ascii="Verdana" w:eastAsia="Times" w:hAnsi="Verdana" w:cs="Arial"/>
          <w:sz w:val="20"/>
          <w:szCs w:val="20"/>
          <w:lang w:val="en-US"/>
        </w:rPr>
      </w:pPr>
    </w:p>
    <w:p w14:paraId="67C7E131"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eastAsia="Times" w:hAnsi="Verdana" w:cs="Arial"/>
          <w:sz w:val="20"/>
          <w:szCs w:val="20"/>
          <w:lang w:val="en-US"/>
        </w:rPr>
        <w:t xml:space="preserve">In the universal sphere, </w:t>
      </w:r>
      <w:r w:rsidRPr="008A3740">
        <w:rPr>
          <w:rFonts w:ascii="Verdana" w:hAnsi="Verdana"/>
          <w:sz w:val="20"/>
          <w:szCs w:val="20"/>
          <w:lang w:val="en-US"/>
        </w:rPr>
        <w:t>Article 22 of the Universal Declaration of Human Rights</w:t>
      </w:r>
      <w:r w:rsidRPr="008A3740">
        <w:rPr>
          <w:rStyle w:val="Refdenotaalpie"/>
          <w:szCs w:val="20"/>
          <w:lang w:val="en-US"/>
        </w:rPr>
        <w:footnoteReference w:id="189"/>
      </w:r>
      <w:r w:rsidRPr="008A3740">
        <w:rPr>
          <w:rFonts w:ascii="Verdana" w:hAnsi="Verdana"/>
          <w:sz w:val="20"/>
          <w:szCs w:val="20"/>
          <w:lang w:val="en-US"/>
        </w:rPr>
        <w:t xml:space="preserve"> establishes that “</w:t>
      </w:r>
      <w:r w:rsidR="000547A1" w:rsidRPr="008A3740">
        <w:rPr>
          <w:rFonts w:ascii="Verdana" w:hAnsi="Verdana"/>
          <w:sz w:val="20"/>
          <w:szCs w:val="20"/>
          <w:lang w:val="en-GB"/>
        </w:rPr>
        <w:t>[</w:t>
      </w:r>
      <w:r w:rsidR="000547A1" w:rsidRPr="008A3740">
        <w:rPr>
          <w:rFonts w:ascii="Verdana" w:hAnsi="Verdana"/>
          <w:sz w:val="20"/>
          <w:szCs w:val="20"/>
          <w:lang w:val="en-US"/>
        </w:rPr>
        <w:t>e]</w:t>
      </w:r>
      <w:r w:rsidRPr="008A3740">
        <w:rPr>
          <w:rFonts w:ascii="Verdana" w:hAnsi="Verdana"/>
          <w:sz w:val="20"/>
          <w:szCs w:val="20"/>
          <w:lang w:val="en-US"/>
        </w:rPr>
        <w:t xml:space="preserve">veryone, as a member of society, has the right to social security and is entitled to </w:t>
      </w:r>
      <w:r w:rsidR="003A2D3D" w:rsidRPr="008A3740">
        <w:rPr>
          <w:rFonts w:ascii="Verdana" w:hAnsi="Verdana"/>
          <w:sz w:val="20"/>
          <w:szCs w:val="20"/>
          <w:lang w:val="en-US"/>
        </w:rPr>
        <w:t xml:space="preserve">the </w:t>
      </w:r>
      <w:r w:rsidRPr="008A3740">
        <w:rPr>
          <w:rFonts w:ascii="Verdana" w:hAnsi="Verdana"/>
          <w:sz w:val="20"/>
          <w:szCs w:val="20"/>
          <w:lang w:val="en-US"/>
        </w:rPr>
        <w:t>realization, through national effort and international co-operation and in accordance with the organization and resources of each State, of the economic, social and cultural rights indispensable for his dignity and the</w:t>
      </w:r>
      <w:r w:rsidRPr="008A3740">
        <w:rPr>
          <w:lang w:val="en-US"/>
        </w:rPr>
        <w:t xml:space="preserve"> </w:t>
      </w:r>
      <w:r w:rsidRPr="008A3740">
        <w:rPr>
          <w:rFonts w:ascii="Verdana" w:hAnsi="Verdana"/>
          <w:sz w:val="20"/>
          <w:szCs w:val="20"/>
          <w:lang w:val="en-US"/>
        </w:rPr>
        <w:t xml:space="preserve">free development of his personality.” Similarly, </w:t>
      </w:r>
      <w:r w:rsidR="000547A1" w:rsidRPr="008A3740">
        <w:rPr>
          <w:rFonts w:ascii="Verdana" w:hAnsi="Verdana"/>
          <w:sz w:val="20"/>
          <w:szCs w:val="20"/>
          <w:lang w:val="en-US"/>
        </w:rPr>
        <w:t>Article 25 provides that “e</w:t>
      </w:r>
      <w:r w:rsidRPr="008A3740">
        <w:rPr>
          <w:rFonts w:ascii="Verdana" w:hAnsi="Verdana"/>
          <w:sz w:val="20"/>
          <w:szCs w:val="20"/>
          <w:lang w:val="en-US"/>
        </w:rPr>
        <w:t>veryone has the right to a</w:t>
      </w:r>
      <w:r w:rsidR="00616B52" w:rsidRPr="008A3740">
        <w:rPr>
          <w:rFonts w:ascii="Verdana" w:hAnsi="Verdana"/>
          <w:sz w:val="20"/>
          <w:szCs w:val="20"/>
          <w:lang w:val="en-US"/>
        </w:rPr>
        <w:t>n adequate</w:t>
      </w:r>
      <w:r w:rsidRPr="008A3740">
        <w:rPr>
          <w:rFonts w:ascii="Verdana" w:hAnsi="Verdana"/>
          <w:sz w:val="20"/>
          <w:szCs w:val="20"/>
          <w:lang w:val="en-US"/>
        </w:rPr>
        <w:t xml:space="preserve"> standard of living </w:t>
      </w:r>
      <w:r w:rsidRPr="008A3740">
        <w:rPr>
          <w:rFonts w:ascii="Verdana" w:hAnsi="Verdana"/>
          <w:sz w:val="20"/>
          <w:szCs w:val="20"/>
          <w:shd w:val="clear" w:color="auto" w:fill="FFFFFF"/>
          <w:lang w:val="en-US"/>
        </w:rPr>
        <w:t xml:space="preserve">[…] and to </w:t>
      </w:r>
      <w:r w:rsidRPr="008A3740">
        <w:rPr>
          <w:rFonts w:ascii="Verdana" w:hAnsi="Verdana"/>
          <w:sz w:val="20"/>
          <w:szCs w:val="20"/>
          <w:lang w:val="en-US"/>
        </w:rPr>
        <w:t xml:space="preserve">security in the event of </w:t>
      </w:r>
      <w:r w:rsidRPr="008A3740">
        <w:rPr>
          <w:rFonts w:ascii="Verdana" w:hAnsi="Verdana"/>
          <w:sz w:val="20"/>
          <w:szCs w:val="20"/>
          <w:lang w:val="en-US"/>
        </w:rPr>
        <w:lastRenderedPageBreak/>
        <w:t>unemployment, sickness, disability, widowhood, old age or other lack of livelihood in circumstances beyond his control</w:t>
      </w:r>
      <w:r w:rsidRPr="008A3740">
        <w:rPr>
          <w:rFonts w:ascii="Verdana" w:hAnsi="Verdana"/>
          <w:sz w:val="20"/>
          <w:szCs w:val="20"/>
          <w:shd w:val="clear" w:color="auto" w:fill="FFFFFF"/>
          <w:lang w:val="en-US"/>
        </w:rPr>
        <w:t>.”</w:t>
      </w:r>
      <w:r w:rsidRPr="008A3740">
        <w:rPr>
          <w:rFonts w:ascii="Verdana" w:eastAsia="Times" w:hAnsi="Verdana" w:cs="Arial"/>
          <w:sz w:val="20"/>
          <w:szCs w:val="20"/>
          <w:lang w:val="en-US"/>
        </w:rPr>
        <w:t xml:space="preserve"> For its part, Article 9 of the </w:t>
      </w:r>
      <w:r w:rsidRPr="008A3740">
        <w:rPr>
          <w:rFonts w:ascii="Verdana" w:hAnsi="Verdana"/>
          <w:sz w:val="20"/>
          <w:szCs w:val="20"/>
          <w:lang w:val="en-US"/>
        </w:rPr>
        <w:t>International Covenant on Economic, Social and Cultural Rights</w:t>
      </w:r>
      <w:r w:rsidRPr="008A3740">
        <w:rPr>
          <w:rStyle w:val="Refdenotaalpie"/>
          <w:szCs w:val="20"/>
          <w:lang w:val="en-US"/>
        </w:rPr>
        <w:footnoteReference w:id="190"/>
      </w:r>
      <w:r w:rsidRPr="008A3740">
        <w:rPr>
          <w:rFonts w:ascii="Verdana" w:hAnsi="Verdana"/>
          <w:sz w:val="20"/>
          <w:szCs w:val="20"/>
          <w:lang w:val="en-US"/>
        </w:rPr>
        <w:t xml:space="preserve"> (</w:t>
      </w:r>
      <w:r w:rsidRPr="008A3740">
        <w:rPr>
          <w:rFonts w:ascii="Verdana" w:hAnsi="Verdana" w:cs="Arial"/>
          <w:color w:val="222222"/>
          <w:sz w:val="20"/>
          <w:szCs w:val="20"/>
          <w:shd w:val="clear" w:color="auto" w:fill="FFFFFF"/>
          <w:lang w:val="en-US"/>
        </w:rPr>
        <w:t>ICESCR</w:t>
      </w:r>
      <w:r w:rsidRPr="008A3740">
        <w:rPr>
          <w:rFonts w:ascii="Verdana" w:hAnsi="Verdana"/>
          <w:sz w:val="20"/>
          <w:szCs w:val="20"/>
          <w:lang w:val="en-US"/>
        </w:rPr>
        <w:t>) also recognizes “</w:t>
      </w:r>
      <w:r w:rsidRPr="008A3740">
        <w:rPr>
          <w:rFonts w:ascii="Verdana" w:hAnsi="Verdana"/>
          <w:bCs/>
          <w:sz w:val="20"/>
          <w:szCs w:val="20"/>
          <w:lang w:val="en-US"/>
        </w:rPr>
        <w:t xml:space="preserve">the right of everyone to social security, including social </w:t>
      </w:r>
      <w:r w:rsidR="00F90469" w:rsidRPr="008A3740">
        <w:rPr>
          <w:rFonts w:ascii="Verdana" w:hAnsi="Verdana"/>
          <w:bCs/>
          <w:sz w:val="20"/>
          <w:szCs w:val="20"/>
          <w:lang w:val="en-US"/>
        </w:rPr>
        <w:t>insurance</w:t>
      </w:r>
      <w:r w:rsidRPr="008A3740">
        <w:rPr>
          <w:rFonts w:ascii="Verdana" w:hAnsi="Verdana"/>
          <w:bCs/>
          <w:sz w:val="20"/>
          <w:szCs w:val="20"/>
          <w:lang w:val="en-US"/>
        </w:rPr>
        <w:t>.”</w:t>
      </w:r>
    </w:p>
    <w:p w14:paraId="7A1706FD" w14:textId="77777777" w:rsidR="008E6A56" w:rsidRPr="008A3740" w:rsidRDefault="008E6A56" w:rsidP="008E6A56">
      <w:pPr>
        <w:widowControl/>
        <w:tabs>
          <w:tab w:val="left" w:pos="567"/>
        </w:tabs>
        <w:adjustRightInd/>
        <w:textAlignment w:val="auto"/>
        <w:rPr>
          <w:rFonts w:ascii="Verdana" w:eastAsia="Times" w:hAnsi="Verdana" w:cs="Arial"/>
          <w:sz w:val="20"/>
          <w:szCs w:val="20"/>
          <w:lang w:val="en-US"/>
        </w:rPr>
      </w:pPr>
    </w:p>
    <w:p w14:paraId="60741138" w14:textId="77777777" w:rsidR="008E6A56" w:rsidRPr="008A3740" w:rsidRDefault="003A2D3D"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eastAsia="Times" w:hAnsi="Verdana" w:cs="Arial"/>
          <w:sz w:val="20"/>
          <w:szCs w:val="20"/>
          <w:lang w:val="en-US"/>
        </w:rPr>
        <w:t>Furthermore,</w:t>
      </w:r>
      <w:r w:rsidR="000547A1" w:rsidRPr="008A3740">
        <w:rPr>
          <w:rFonts w:ascii="Verdana" w:eastAsia="Times" w:hAnsi="Verdana" w:cs="Arial"/>
          <w:sz w:val="20"/>
          <w:szCs w:val="20"/>
          <w:lang w:val="en-US"/>
        </w:rPr>
        <w:t xml:space="preserve"> the right to social security i</w:t>
      </w:r>
      <w:r w:rsidR="008E6A56" w:rsidRPr="008A3740">
        <w:rPr>
          <w:rFonts w:ascii="Verdana" w:eastAsia="Times" w:hAnsi="Verdana" w:cs="Arial"/>
          <w:sz w:val="20"/>
          <w:szCs w:val="20"/>
          <w:lang w:val="en-US"/>
        </w:rPr>
        <w:t xml:space="preserve">s </w:t>
      </w:r>
      <w:r w:rsidRPr="008A3740">
        <w:rPr>
          <w:rFonts w:ascii="Verdana" w:eastAsia="Times" w:hAnsi="Verdana" w:cs="Arial"/>
          <w:sz w:val="20"/>
          <w:szCs w:val="20"/>
          <w:lang w:val="en-US"/>
        </w:rPr>
        <w:t xml:space="preserve">established </w:t>
      </w:r>
      <w:r w:rsidR="008E6A56" w:rsidRPr="008A3740">
        <w:rPr>
          <w:rFonts w:ascii="Verdana" w:eastAsia="Times" w:hAnsi="Verdana" w:cs="Arial"/>
          <w:sz w:val="20"/>
          <w:szCs w:val="20"/>
          <w:lang w:val="en-US"/>
        </w:rPr>
        <w:t xml:space="preserve">in Articles 10 and 11 of the </w:t>
      </w:r>
      <w:r w:rsidRPr="008A3740">
        <w:rPr>
          <w:rFonts w:ascii="Verdana" w:eastAsia="Times" w:hAnsi="Verdana" w:cs="Arial"/>
          <w:sz w:val="20"/>
          <w:szCs w:val="20"/>
          <w:lang w:val="en-US"/>
        </w:rPr>
        <w:t xml:space="preserve">1993 </w:t>
      </w:r>
      <w:r w:rsidR="008E6A56" w:rsidRPr="008A3740">
        <w:rPr>
          <w:rFonts w:ascii="Verdana" w:eastAsia="Times" w:hAnsi="Verdana" w:cs="Arial"/>
          <w:sz w:val="20"/>
          <w:szCs w:val="20"/>
          <w:lang w:val="en-US"/>
        </w:rPr>
        <w:t xml:space="preserve">Constitution of </w:t>
      </w:r>
      <w:r w:rsidRPr="008A3740">
        <w:rPr>
          <w:rFonts w:ascii="Verdana" w:eastAsia="Times" w:hAnsi="Verdana" w:cs="Arial"/>
          <w:sz w:val="20"/>
          <w:szCs w:val="20"/>
          <w:lang w:val="en-US"/>
        </w:rPr>
        <w:t>Peru</w:t>
      </w:r>
      <w:r w:rsidR="008E6A56" w:rsidRPr="008A3740">
        <w:rPr>
          <w:rFonts w:ascii="Verdana" w:eastAsia="Times" w:hAnsi="Verdana" w:cs="Arial"/>
          <w:sz w:val="20"/>
          <w:szCs w:val="20"/>
          <w:lang w:val="en-US"/>
        </w:rPr>
        <w:t>.</w:t>
      </w:r>
      <w:r w:rsidR="008E6A56" w:rsidRPr="008A3740">
        <w:rPr>
          <w:rStyle w:val="Refdenotaalpie"/>
          <w:rFonts w:eastAsia="Times"/>
          <w:szCs w:val="20"/>
          <w:lang w:val="en-US"/>
        </w:rPr>
        <w:footnoteReference w:id="191"/>
      </w:r>
    </w:p>
    <w:p w14:paraId="5FC56E2E" w14:textId="77777777" w:rsidR="008E6A56" w:rsidRPr="008A3740" w:rsidRDefault="008E6A56" w:rsidP="008E6A56">
      <w:pPr>
        <w:widowControl/>
        <w:tabs>
          <w:tab w:val="left" w:pos="567"/>
        </w:tabs>
        <w:adjustRightInd/>
        <w:textAlignment w:val="auto"/>
        <w:rPr>
          <w:rFonts w:ascii="Verdana" w:eastAsia="Times" w:hAnsi="Verdana" w:cs="Arial"/>
          <w:sz w:val="20"/>
          <w:szCs w:val="20"/>
          <w:lang w:val="en-US"/>
        </w:rPr>
      </w:pPr>
    </w:p>
    <w:p w14:paraId="3420B693" w14:textId="77777777" w:rsidR="008E6A56" w:rsidRPr="008A3740" w:rsidRDefault="00167893"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eastAsia="Times" w:hAnsi="Verdana" w:cs="Arial"/>
          <w:sz w:val="20"/>
          <w:szCs w:val="20"/>
          <w:lang w:val="en-US"/>
        </w:rPr>
        <w:t>That said, from</w:t>
      </w:r>
      <w:r w:rsidR="008E6A56" w:rsidRPr="008A3740">
        <w:rPr>
          <w:rFonts w:ascii="Verdana" w:eastAsia="Times" w:hAnsi="Verdana" w:cs="Arial"/>
          <w:sz w:val="20"/>
          <w:szCs w:val="20"/>
          <w:lang w:val="en-US"/>
        </w:rPr>
        <w:t xml:space="preserve"> Article 45 of the OAS Charter, interpreted in light of the American Declaration and of </w:t>
      </w:r>
      <w:r w:rsidRPr="008A3740">
        <w:rPr>
          <w:rFonts w:ascii="Verdana" w:eastAsia="Times" w:hAnsi="Verdana" w:cs="Arial"/>
          <w:sz w:val="20"/>
          <w:szCs w:val="20"/>
          <w:lang w:val="en-US"/>
        </w:rPr>
        <w:t xml:space="preserve">other instruments </w:t>
      </w:r>
      <w:r w:rsidR="0066272E" w:rsidRPr="008A3740">
        <w:rPr>
          <w:rFonts w:ascii="Verdana" w:eastAsia="Times" w:hAnsi="Verdana" w:cs="Arial"/>
          <w:sz w:val="20"/>
          <w:szCs w:val="20"/>
          <w:lang w:val="en-US"/>
        </w:rPr>
        <w:t>mentioned,</w:t>
      </w:r>
      <w:r w:rsidR="006F4D0C" w:rsidRPr="008A3740">
        <w:rPr>
          <w:rFonts w:ascii="Verdana" w:eastAsia="Times" w:hAnsi="Verdana" w:cs="Arial"/>
          <w:sz w:val="20"/>
          <w:szCs w:val="20"/>
          <w:lang w:val="en-US"/>
        </w:rPr>
        <w:t xml:space="preserve"> may be derived certain </w:t>
      </w:r>
      <w:r w:rsidR="002035CD" w:rsidRPr="008A3740">
        <w:rPr>
          <w:rFonts w:ascii="Verdana" w:eastAsia="Times" w:hAnsi="Verdana" w:cs="Arial"/>
          <w:sz w:val="20"/>
          <w:szCs w:val="20"/>
          <w:lang w:val="en-US"/>
        </w:rPr>
        <w:t>constit</w:t>
      </w:r>
      <w:r w:rsidRPr="008A3740">
        <w:rPr>
          <w:rFonts w:ascii="Verdana" w:eastAsia="Times" w:hAnsi="Verdana" w:cs="Arial"/>
          <w:sz w:val="20"/>
          <w:szCs w:val="20"/>
          <w:lang w:val="en-US"/>
        </w:rPr>
        <w:t xml:space="preserve">uent elements </w:t>
      </w:r>
      <w:r w:rsidR="002035CD" w:rsidRPr="008A3740">
        <w:rPr>
          <w:rFonts w:ascii="Verdana" w:eastAsia="Times" w:hAnsi="Verdana" w:cs="Arial"/>
          <w:sz w:val="20"/>
          <w:szCs w:val="20"/>
          <w:lang w:val="en-US"/>
        </w:rPr>
        <w:t xml:space="preserve">of </w:t>
      </w:r>
      <w:r w:rsidR="008E6A56" w:rsidRPr="008A3740">
        <w:rPr>
          <w:rFonts w:ascii="Verdana" w:eastAsia="Times" w:hAnsi="Verdana" w:cs="Arial"/>
          <w:sz w:val="20"/>
          <w:szCs w:val="20"/>
          <w:lang w:val="en-US"/>
        </w:rPr>
        <w:t>the right to social security</w:t>
      </w:r>
      <w:r w:rsidR="006F4D0C" w:rsidRPr="008A3740">
        <w:rPr>
          <w:rFonts w:ascii="Verdana" w:eastAsia="Times" w:hAnsi="Verdana" w:cs="Arial"/>
          <w:sz w:val="20"/>
          <w:szCs w:val="20"/>
          <w:lang w:val="en-US"/>
        </w:rPr>
        <w:t>. F</w:t>
      </w:r>
      <w:r w:rsidR="008E6A56" w:rsidRPr="008A3740">
        <w:rPr>
          <w:rFonts w:ascii="Verdana" w:eastAsia="Times" w:hAnsi="Verdana" w:cs="Arial"/>
          <w:sz w:val="20"/>
          <w:szCs w:val="20"/>
          <w:lang w:val="en-US"/>
        </w:rPr>
        <w:t xml:space="preserve">or example, </w:t>
      </w:r>
      <w:r w:rsidR="006F4D0C" w:rsidRPr="008A3740">
        <w:rPr>
          <w:rFonts w:ascii="Verdana" w:eastAsia="Times" w:hAnsi="Verdana" w:cs="Arial"/>
          <w:sz w:val="20"/>
          <w:szCs w:val="20"/>
          <w:lang w:val="en-US"/>
        </w:rPr>
        <w:t xml:space="preserve">this is a </w:t>
      </w:r>
      <w:r w:rsidRPr="008A3740">
        <w:rPr>
          <w:rFonts w:ascii="Verdana" w:hAnsi="Verdana"/>
          <w:sz w:val="20"/>
          <w:szCs w:val="20"/>
          <w:lang w:val="en-US"/>
        </w:rPr>
        <w:t xml:space="preserve">right </w:t>
      </w:r>
      <w:r w:rsidR="006F4D0C" w:rsidRPr="008A3740">
        <w:rPr>
          <w:rFonts w:ascii="Verdana" w:hAnsi="Verdana"/>
          <w:sz w:val="20"/>
          <w:szCs w:val="20"/>
          <w:lang w:val="en-US"/>
        </w:rPr>
        <w:t xml:space="preserve">that </w:t>
      </w:r>
      <w:r w:rsidRPr="008A3740">
        <w:rPr>
          <w:rFonts w:ascii="Verdana" w:hAnsi="Verdana"/>
          <w:sz w:val="20"/>
          <w:szCs w:val="20"/>
          <w:lang w:val="en-US"/>
        </w:rPr>
        <w:t xml:space="preserve">seeks to protect the individual from future contingencies </w:t>
      </w:r>
      <w:r w:rsidR="00455518" w:rsidRPr="008A3740">
        <w:rPr>
          <w:rFonts w:ascii="Verdana" w:hAnsi="Verdana"/>
          <w:sz w:val="20"/>
          <w:szCs w:val="20"/>
          <w:lang w:val="en-US"/>
        </w:rPr>
        <w:t>that</w:t>
      </w:r>
      <w:r w:rsidRPr="008A3740">
        <w:rPr>
          <w:rFonts w:ascii="Verdana" w:hAnsi="Verdana"/>
          <w:sz w:val="20"/>
          <w:szCs w:val="20"/>
          <w:lang w:val="en-US"/>
        </w:rPr>
        <w:t xml:space="preserve">, </w:t>
      </w:r>
      <w:r w:rsidR="00647ED9" w:rsidRPr="008A3740">
        <w:rPr>
          <w:rFonts w:ascii="Verdana" w:hAnsi="Verdana"/>
          <w:sz w:val="20"/>
          <w:szCs w:val="20"/>
          <w:lang w:val="en-US"/>
        </w:rPr>
        <w:t xml:space="preserve">should </w:t>
      </w:r>
      <w:r w:rsidRPr="008A3740">
        <w:rPr>
          <w:rFonts w:ascii="Verdana" w:hAnsi="Verdana"/>
          <w:sz w:val="20"/>
          <w:szCs w:val="20"/>
          <w:lang w:val="en-US"/>
        </w:rPr>
        <w:t>they occur, would have harmful consequences for that person; therefore, measures must be taken to protect them</w:t>
      </w:r>
      <w:r w:rsidR="008E6A56" w:rsidRPr="008A3740">
        <w:rPr>
          <w:rFonts w:ascii="Verdana" w:eastAsia="Times" w:hAnsi="Verdana" w:cs="Arial"/>
          <w:sz w:val="20"/>
          <w:szCs w:val="20"/>
          <w:lang w:val="en-US"/>
        </w:rPr>
        <w:t>.</w:t>
      </w:r>
      <w:r w:rsidR="008E6A56" w:rsidRPr="008A3740">
        <w:rPr>
          <w:rStyle w:val="Refdenotaalpie"/>
          <w:rFonts w:eastAsia="Times"/>
          <w:szCs w:val="20"/>
          <w:lang w:val="en-US"/>
        </w:rPr>
        <w:footnoteReference w:id="192"/>
      </w:r>
      <w:r w:rsidR="008E6A56" w:rsidRPr="008A3740">
        <w:rPr>
          <w:rFonts w:ascii="Verdana" w:eastAsia="Times" w:hAnsi="Verdana" w:cs="Arial"/>
          <w:sz w:val="20"/>
          <w:szCs w:val="20"/>
          <w:lang w:val="en-US"/>
        </w:rPr>
        <w:t xml:space="preserve"> In </w:t>
      </w:r>
      <w:r w:rsidR="006F4D0C" w:rsidRPr="008A3740">
        <w:rPr>
          <w:rFonts w:ascii="Verdana" w:eastAsia="Times" w:hAnsi="Verdana" w:cs="Arial"/>
          <w:sz w:val="20"/>
          <w:szCs w:val="20"/>
          <w:lang w:val="en-US"/>
        </w:rPr>
        <w:t xml:space="preserve">this </w:t>
      </w:r>
      <w:r w:rsidR="008E6A56" w:rsidRPr="008A3740">
        <w:rPr>
          <w:rFonts w:ascii="Verdana" w:eastAsia="Times" w:hAnsi="Verdana" w:cs="Arial"/>
          <w:sz w:val="20"/>
          <w:szCs w:val="20"/>
          <w:lang w:val="en-US"/>
        </w:rPr>
        <w:t>particular</w:t>
      </w:r>
      <w:r w:rsidR="006F4D0C" w:rsidRPr="008A3740">
        <w:rPr>
          <w:rFonts w:ascii="Verdana" w:eastAsia="Times" w:hAnsi="Verdana" w:cs="Arial"/>
          <w:sz w:val="20"/>
          <w:szCs w:val="20"/>
          <w:lang w:val="en-US"/>
        </w:rPr>
        <w:t xml:space="preserve"> case</w:t>
      </w:r>
      <w:r w:rsidR="008E6A56" w:rsidRPr="008A3740">
        <w:rPr>
          <w:rFonts w:ascii="Verdana" w:eastAsia="Times" w:hAnsi="Verdana" w:cs="Arial"/>
          <w:sz w:val="20"/>
          <w:szCs w:val="20"/>
          <w:lang w:val="en-US"/>
        </w:rPr>
        <w:t xml:space="preserve">, </w:t>
      </w:r>
      <w:r w:rsidR="006F4D0C" w:rsidRPr="008A3740">
        <w:rPr>
          <w:rFonts w:ascii="Verdana" w:eastAsia="Times" w:hAnsi="Verdana" w:cs="Arial"/>
          <w:sz w:val="20"/>
          <w:szCs w:val="20"/>
          <w:lang w:val="en-US"/>
        </w:rPr>
        <w:t>t</w:t>
      </w:r>
      <w:r w:rsidRPr="008A3740">
        <w:rPr>
          <w:rFonts w:ascii="Verdana" w:eastAsia="Times" w:hAnsi="Verdana" w:cs="Arial"/>
          <w:sz w:val="20"/>
          <w:szCs w:val="20"/>
          <w:lang w:val="en-US"/>
        </w:rPr>
        <w:t xml:space="preserve">he right to social security </w:t>
      </w:r>
      <w:r w:rsidR="005E4572" w:rsidRPr="008A3740">
        <w:rPr>
          <w:rFonts w:ascii="Verdana" w:eastAsia="Times" w:hAnsi="Verdana" w:cs="Arial"/>
          <w:sz w:val="20"/>
          <w:szCs w:val="20"/>
          <w:lang w:val="en-US"/>
        </w:rPr>
        <w:t xml:space="preserve">aims </w:t>
      </w:r>
      <w:r w:rsidRPr="008A3740">
        <w:rPr>
          <w:rFonts w:ascii="Verdana" w:eastAsia="Times" w:hAnsi="Verdana" w:cs="Arial"/>
          <w:sz w:val="20"/>
          <w:szCs w:val="20"/>
          <w:lang w:val="en-US"/>
        </w:rPr>
        <w:t xml:space="preserve">to protect </w:t>
      </w:r>
      <w:r w:rsidR="006F4D0C" w:rsidRPr="008A3740">
        <w:rPr>
          <w:rFonts w:ascii="Verdana" w:eastAsia="Times" w:hAnsi="Verdana" w:cs="Arial"/>
          <w:sz w:val="20"/>
          <w:szCs w:val="20"/>
          <w:lang w:val="en-US"/>
        </w:rPr>
        <w:t>an</w:t>
      </w:r>
      <w:r w:rsidRPr="008A3740">
        <w:rPr>
          <w:rFonts w:ascii="Verdana" w:eastAsia="Times" w:hAnsi="Verdana" w:cs="Arial"/>
          <w:sz w:val="20"/>
          <w:szCs w:val="20"/>
          <w:lang w:val="en-US"/>
        </w:rPr>
        <w:t xml:space="preserve"> individual from situations that </w:t>
      </w:r>
      <w:r w:rsidR="006F4D0C" w:rsidRPr="008A3740">
        <w:rPr>
          <w:rFonts w:ascii="Verdana" w:eastAsia="Times" w:hAnsi="Verdana" w:cs="Arial"/>
          <w:sz w:val="20"/>
          <w:szCs w:val="20"/>
          <w:lang w:val="en-US"/>
        </w:rPr>
        <w:t>will</w:t>
      </w:r>
      <w:r w:rsidRPr="008A3740">
        <w:rPr>
          <w:rFonts w:ascii="Verdana" w:eastAsia="Times" w:hAnsi="Verdana" w:cs="Arial"/>
          <w:sz w:val="20"/>
          <w:szCs w:val="20"/>
          <w:lang w:val="en-US"/>
        </w:rPr>
        <w:t xml:space="preserve"> </w:t>
      </w:r>
      <w:r w:rsidR="00647ED9" w:rsidRPr="008A3740">
        <w:rPr>
          <w:rFonts w:ascii="Verdana" w:eastAsia="Times" w:hAnsi="Verdana" w:cs="Arial"/>
          <w:sz w:val="20"/>
          <w:szCs w:val="20"/>
          <w:lang w:val="en-US"/>
        </w:rPr>
        <w:t xml:space="preserve">arise </w:t>
      </w:r>
      <w:r w:rsidRPr="008A3740">
        <w:rPr>
          <w:rFonts w:ascii="Verdana" w:eastAsia="Times" w:hAnsi="Verdana" w:cs="Arial"/>
          <w:sz w:val="20"/>
          <w:szCs w:val="20"/>
          <w:lang w:val="en-US"/>
        </w:rPr>
        <w:t xml:space="preserve">when they reach a certain age and are physically or mentally </w:t>
      </w:r>
      <w:r w:rsidR="006F4D0C" w:rsidRPr="008A3740">
        <w:rPr>
          <w:rFonts w:ascii="Verdana" w:eastAsia="Times" w:hAnsi="Verdana" w:cs="Arial"/>
          <w:sz w:val="20"/>
          <w:szCs w:val="20"/>
          <w:lang w:val="en-US"/>
        </w:rPr>
        <w:t xml:space="preserve">unable </w:t>
      </w:r>
      <w:r w:rsidRPr="008A3740">
        <w:rPr>
          <w:rFonts w:ascii="Verdana" w:eastAsia="Times" w:hAnsi="Verdana" w:cs="Arial"/>
          <w:sz w:val="20"/>
          <w:szCs w:val="20"/>
          <w:lang w:val="en-US"/>
        </w:rPr>
        <w:t>to obtain the necessary means of subsistence for an adequate standard</w:t>
      </w:r>
      <w:r w:rsidR="00647ED9" w:rsidRPr="008A3740">
        <w:rPr>
          <w:rFonts w:ascii="Verdana" w:eastAsia="Times" w:hAnsi="Verdana" w:cs="Arial"/>
          <w:sz w:val="20"/>
          <w:szCs w:val="20"/>
          <w:lang w:val="en-US"/>
        </w:rPr>
        <w:t xml:space="preserve"> of living</w:t>
      </w:r>
      <w:r w:rsidRPr="008A3740">
        <w:rPr>
          <w:rFonts w:ascii="Verdana" w:eastAsia="Times" w:hAnsi="Verdana" w:cs="Arial"/>
          <w:sz w:val="20"/>
          <w:szCs w:val="20"/>
          <w:lang w:val="en-US"/>
        </w:rPr>
        <w:t xml:space="preserve">, which may, in turn, deprive them of their ability to </w:t>
      </w:r>
      <w:r w:rsidR="006F4D0C" w:rsidRPr="008A3740">
        <w:rPr>
          <w:rFonts w:ascii="Verdana" w:eastAsia="Times" w:hAnsi="Verdana" w:cs="Arial"/>
          <w:sz w:val="20"/>
          <w:szCs w:val="20"/>
          <w:lang w:val="en-US"/>
        </w:rPr>
        <w:t xml:space="preserve">fully exercise </w:t>
      </w:r>
      <w:r w:rsidRPr="008A3740">
        <w:rPr>
          <w:rFonts w:ascii="Verdana" w:eastAsia="Times" w:hAnsi="Verdana" w:cs="Arial"/>
          <w:sz w:val="20"/>
          <w:szCs w:val="20"/>
          <w:lang w:val="en-US"/>
        </w:rPr>
        <w:t>all their other rights</w:t>
      </w:r>
      <w:r w:rsidR="008E6A56" w:rsidRPr="008A3740">
        <w:rPr>
          <w:rFonts w:ascii="Verdana" w:eastAsia="Times" w:hAnsi="Verdana" w:cs="Arial"/>
          <w:sz w:val="20"/>
          <w:szCs w:val="20"/>
          <w:lang w:val="en-US"/>
        </w:rPr>
        <w:t xml:space="preserve">. </w:t>
      </w:r>
      <w:r w:rsidRPr="008A3740">
        <w:rPr>
          <w:rFonts w:ascii="Verdana" w:eastAsia="Times" w:hAnsi="Verdana" w:cs="Arial"/>
          <w:sz w:val="20"/>
          <w:szCs w:val="20"/>
          <w:lang w:val="en-US"/>
        </w:rPr>
        <w:t xml:space="preserve">This aspect also </w:t>
      </w:r>
      <w:r w:rsidR="00647ED9" w:rsidRPr="008A3740">
        <w:rPr>
          <w:rFonts w:ascii="Verdana" w:eastAsia="Times" w:hAnsi="Verdana" w:cs="Arial"/>
          <w:sz w:val="20"/>
          <w:szCs w:val="20"/>
          <w:lang w:val="en-US"/>
        </w:rPr>
        <w:t xml:space="preserve">concerns </w:t>
      </w:r>
      <w:r w:rsidRPr="008A3740">
        <w:rPr>
          <w:rFonts w:ascii="Verdana" w:eastAsia="Times" w:hAnsi="Verdana" w:cs="Arial"/>
          <w:sz w:val="20"/>
          <w:szCs w:val="20"/>
          <w:lang w:val="en-US"/>
        </w:rPr>
        <w:t xml:space="preserve">one of the constituent elements of the right, because </w:t>
      </w:r>
      <w:r w:rsidR="008E6A56" w:rsidRPr="008A3740">
        <w:rPr>
          <w:rFonts w:ascii="Verdana" w:hAnsi="Verdana"/>
          <w:snapToGrid w:val="0"/>
          <w:sz w:val="20"/>
          <w:szCs w:val="20"/>
          <w:lang w:val="en-US"/>
        </w:rPr>
        <w:t xml:space="preserve">social security </w:t>
      </w:r>
      <w:r w:rsidRPr="008A3740">
        <w:rPr>
          <w:rFonts w:ascii="Verdana" w:eastAsia="Times" w:hAnsi="Verdana" w:cs="Arial"/>
          <w:sz w:val="20"/>
          <w:szCs w:val="20"/>
          <w:lang w:val="en-US"/>
        </w:rPr>
        <w:t>must be implemented in a way that guarantees conditions that ensure life, health and a decent economic status</w:t>
      </w:r>
      <w:r w:rsidR="008E6A56" w:rsidRPr="008A3740">
        <w:rPr>
          <w:rFonts w:ascii="Verdana" w:hAnsi="Verdana" w:cs="Tahoma"/>
          <w:color w:val="000000"/>
          <w:sz w:val="20"/>
          <w:szCs w:val="20"/>
          <w:lang w:val="en-US"/>
        </w:rPr>
        <w:t xml:space="preserve">. </w:t>
      </w:r>
    </w:p>
    <w:p w14:paraId="6608F367" w14:textId="77777777" w:rsidR="008E6A56" w:rsidRPr="008A3740" w:rsidRDefault="008E6A56" w:rsidP="008E6A56">
      <w:pPr>
        <w:widowControl/>
        <w:tabs>
          <w:tab w:val="left" w:pos="567"/>
          <w:tab w:val="num" w:pos="12305"/>
        </w:tabs>
        <w:adjustRightInd/>
        <w:textAlignment w:val="auto"/>
        <w:rPr>
          <w:rFonts w:ascii="Verdana" w:eastAsia="Times" w:hAnsi="Verdana" w:cs="Arial"/>
          <w:sz w:val="20"/>
          <w:szCs w:val="20"/>
          <w:lang w:val="en-US"/>
        </w:rPr>
      </w:pPr>
    </w:p>
    <w:p w14:paraId="006E93A2"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eastAsia="Times" w:hAnsi="Verdana" w:cs="Arial"/>
          <w:sz w:val="20"/>
          <w:szCs w:val="20"/>
          <w:lang w:val="en-US"/>
        </w:rPr>
        <w:t xml:space="preserve">Although the right to social security is widely recognized in the international </w:t>
      </w:r>
      <w:r w:rsidRPr="008A3740">
        <w:rPr>
          <w:rFonts w:ascii="Verdana" w:eastAsia="Times" w:hAnsi="Verdana" w:cs="Arial"/>
          <w:i/>
          <w:sz w:val="20"/>
          <w:szCs w:val="20"/>
          <w:lang w:val="en-US"/>
        </w:rPr>
        <w:t>corpus iuris</w:t>
      </w:r>
      <w:r w:rsidRPr="008A3740">
        <w:rPr>
          <w:rFonts w:ascii="Verdana" w:eastAsia="Times" w:hAnsi="Verdana" w:cs="Arial"/>
          <w:sz w:val="20"/>
          <w:szCs w:val="20"/>
          <w:lang w:val="en-US"/>
        </w:rPr>
        <w:t>,</w:t>
      </w:r>
      <w:r w:rsidRPr="008A3740">
        <w:rPr>
          <w:rStyle w:val="Refdenotaalpie"/>
          <w:rFonts w:eastAsia="Times"/>
          <w:szCs w:val="20"/>
          <w:lang w:val="en-US"/>
        </w:rPr>
        <w:footnoteReference w:id="193"/>
      </w:r>
      <w:r w:rsidRPr="008A3740">
        <w:rPr>
          <w:rFonts w:ascii="Verdana" w:eastAsia="Times" w:hAnsi="Verdana" w:cs="Arial"/>
          <w:sz w:val="20"/>
          <w:szCs w:val="20"/>
          <w:lang w:val="en-US"/>
        </w:rPr>
        <w:t xml:space="preserve"> both the International Labour Organization (hereinafter “ILO”), and the United Nations Committee on Economic, Social and Cultural Rights</w:t>
      </w:r>
      <w:r w:rsidRPr="008A3740">
        <w:rPr>
          <w:rFonts w:ascii="Verdana" w:hAnsi="Verdana"/>
          <w:sz w:val="20"/>
          <w:szCs w:val="20"/>
          <w:lang w:val="en-US"/>
        </w:rPr>
        <w:t xml:space="preserve"> (hereinafter the “CESCR”)</w:t>
      </w:r>
      <w:r w:rsidR="002A76BA" w:rsidRPr="008A3740">
        <w:rPr>
          <w:rFonts w:ascii="Verdana" w:hAnsi="Verdana"/>
          <w:sz w:val="20"/>
          <w:szCs w:val="20"/>
          <w:lang w:val="en-US"/>
        </w:rPr>
        <w:t>,</w:t>
      </w:r>
      <w:r w:rsidRPr="008A3740">
        <w:rPr>
          <w:rFonts w:ascii="Verdana" w:hAnsi="Verdana"/>
          <w:sz w:val="20"/>
          <w:szCs w:val="20"/>
          <w:lang w:val="en-US"/>
        </w:rPr>
        <w:t xml:space="preserve"> following the principal instruments adopted by the f</w:t>
      </w:r>
      <w:r w:rsidR="002A76BA" w:rsidRPr="008A3740">
        <w:rPr>
          <w:rFonts w:ascii="Verdana" w:hAnsi="Verdana"/>
          <w:sz w:val="20"/>
          <w:szCs w:val="20"/>
          <w:lang w:val="en-US"/>
        </w:rPr>
        <w:t>ormer</w:t>
      </w:r>
      <w:r w:rsidRPr="008A3740">
        <w:rPr>
          <w:rFonts w:ascii="Verdana" w:hAnsi="Verdana"/>
          <w:sz w:val="20"/>
          <w:szCs w:val="20"/>
          <w:lang w:val="en-US"/>
        </w:rPr>
        <w:t>,</w:t>
      </w:r>
      <w:r w:rsidRPr="008A3740">
        <w:rPr>
          <w:rStyle w:val="Refdenotaalpie"/>
          <w:szCs w:val="20"/>
          <w:lang w:val="en-US"/>
        </w:rPr>
        <w:footnoteReference w:id="194"/>
      </w:r>
      <w:r w:rsidRPr="008A3740">
        <w:rPr>
          <w:rFonts w:ascii="Verdana" w:hAnsi="Verdana"/>
          <w:sz w:val="20"/>
          <w:szCs w:val="20"/>
          <w:lang w:val="en-US"/>
        </w:rPr>
        <w:t xml:space="preserve"> have developed the content of the right to social security with greater clarity, which will allow the Court to interpret the content of the right and obligations of the Peruvian Sta</w:t>
      </w:r>
      <w:r w:rsidR="006F4D0C" w:rsidRPr="008A3740">
        <w:rPr>
          <w:rFonts w:ascii="Verdana" w:hAnsi="Verdana"/>
          <w:sz w:val="20"/>
          <w:szCs w:val="20"/>
          <w:lang w:val="en-US"/>
        </w:rPr>
        <w:t xml:space="preserve">te pursuant to the facts of this </w:t>
      </w:r>
      <w:r w:rsidRPr="008A3740">
        <w:rPr>
          <w:rFonts w:ascii="Verdana" w:hAnsi="Verdana"/>
          <w:sz w:val="20"/>
          <w:szCs w:val="20"/>
          <w:lang w:val="en-US"/>
        </w:rPr>
        <w:t>case.</w:t>
      </w:r>
    </w:p>
    <w:p w14:paraId="2D225FD5" w14:textId="77777777" w:rsidR="008E6A56" w:rsidRPr="008A3740" w:rsidRDefault="008E6A56" w:rsidP="008E6A56">
      <w:pPr>
        <w:pStyle w:val="Prrafodelista"/>
        <w:rPr>
          <w:rFonts w:ascii="Verdana" w:eastAsia="Times" w:hAnsi="Verdana" w:cs="Arial"/>
          <w:sz w:val="20"/>
          <w:szCs w:val="20"/>
          <w:lang w:val="en-US"/>
        </w:rPr>
      </w:pPr>
    </w:p>
    <w:p w14:paraId="1AC327C7"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eastAsia="Times" w:hAnsi="Verdana" w:cs="Arial"/>
          <w:sz w:val="20"/>
          <w:szCs w:val="20"/>
          <w:lang w:val="en-US"/>
        </w:rPr>
        <w:t xml:space="preserve">In general terms, the ILO has defined the right to social security as </w:t>
      </w:r>
      <w:r w:rsidRPr="008A3740">
        <w:rPr>
          <w:rFonts w:ascii="Verdana" w:hAnsi="Verdana" w:cs="JansonTextLTStd-Roman"/>
          <w:sz w:val="20"/>
          <w:szCs w:val="20"/>
          <w:lang w:val="en-US"/>
        </w:rPr>
        <w:t>“</w:t>
      </w:r>
      <w:r w:rsidRPr="008A3740">
        <w:rPr>
          <w:rFonts w:ascii="Verdana" w:hAnsi="Verdana" w:cs="Arial"/>
          <w:color w:val="222222"/>
          <w:sz w:val="20"/>
          <w:szCs w:val="20"/>
          <w:shd w:val="clear" w:color="auto" w:fill="FFFFFF"/>
          <w:lang w:val="en-US"/>
        </w:rPr>
        <w:t>the </w:t>
      </w:r>
      <w:r w:rsidRPr="008A3740">
        <w:rPr>
          <w:rFonts w:ascii="Verdana" w:hAnsi="Verdana" w:cs="Arial"/>
          <w:bCs/>
          <w:color w:val="222222"/>
          <w:sz w:val="20"/>
          <w:szCs w:val="20"/>
          <w:shd w:val="clear" w:color="auto" w:fill="FFFFFF"/>
          <w:lang w:val="en-US"/>
        </w:rPr>
        <w:t>protection that a society provides to individuals and households to ensure access</w:t>
      </w:r>
      <w:r w:rsidR="00B77DD1" w:rsidRPr="008A3740">
        <w:rPr>
          <w:rFonts w:ascii="Verdana" w:hAnsi="Verdana" w:cs="Arial"/>
          <w:color w:val="222222"/>
          <w:sz w:val="20"/>
          <w:szCs w:val="20"/>
          <w:shd w:val="clear" w:color="auto" w:fill="FFFFFF"/>
          <w:lang w:val="en-US"/>
        </w:rPr>
        <w:t xml:space="preserve"> to health care and </w:t>
      </w:r>
      <w:r w:rsidRPr="008A3740">
        <w:rPr>
          <w:rFonts w:ascii="Verdana" w:hAnsi="Verdana" w:cs="Arial"/>
          <w:color w:val="222222"/>
          <w:sz w:val="20"/>
          <w:szCs w:val="20"/>
          <w:shd w:val="clear" w:color="auto" w:fill="FFFFFF"/>
          <w:lang w:val="en-US"/>
        </w:rPr>
        <w:t>to </w:t>
      </w:r>
      <w:r w:rsidRPr="008A3740">
        <w:rPr>
          <w:rFonts w:ascii="Verdana" w:hAnsi="Verdana" w:cs="Arial"/>
          <w:bCs/>
          <w:color w:val="222222"/>
          <w:sz w:val="20"/>
          <w:szCs w:val="20"/>
          <w:shd w:val="clear" w:color="auto" w:fill="FFFFFF"/>
          <w:lang w:val="en-US"/>
        </w:rPr>
        <w:t>guarantee</w:t>
      </w:r>
      <w:r w:rsidRPr="008A3740">
        <w:rPr>
          <w:rFonts w:ascii="Verdana" w:hAnsi="Verdana" w:cs="Arial"/>
          <w:color w:val="222222"/>
          <w:sz w:val="20"/>
          <w:szCs w:val="20"/>
          <w:shd w:val="clear" w:color="auto" w:fill="FFFFFF"/>
          <w:lang w:val="en-US"/>
        </w:rPr>
        <w:t> income </w:t>
      </w:r>
      <w:r w:rsidRPr="008A3740">
        <w:rPr>
          <w:rFonts w:ascii="Verdana" w:hAnsi="Verdana" w:cs="Arial"/>
          <w:bCs/>
          <w:color w:val="222222"/>
          <w:sz w:val="20"/>
          <w:szCs w:val="20"/>
          <w:shd w:val="clear" w:color="auto" w:fill="FFFFFF"/>
          <w:lang w:val="en-US"/>
        </w:rPr>
        <w:t>security</w:t>
      </w:r>
      <w:r w:rsidRPr="008A3740">
        <w:rPr>
          <w:rFonts w:ascii="Verdana" w:hAnsi="Verdana" w:cs="Arial"/>
          <w:color w:val="222222"/>
          <w:sz w:val="20"/>
          <w:szCs w:val="20"/>
          <w:shd w:val="clear" w:color="auto" w:fill="FFFFFF"/>
          <w:lang w:val="en-US"/>
        </w:rPr>
        <w:t>, particularly in cases of old age, unemployment, sickness, invalidity, work injury, maternity or loss of a breadwinner</w:t>
      </w:r>
      <w:r w:rsidRPr="008A3740">
        <w:rPr>
          <w:rFonts w:ascii="Verdana" w:hAnsi="Verdana" w:cs="JansonTextLTStd-Roman"/>
          <w:sz w:val="20"/>
          <w:szCs w:val="20"/>
          <w:lang w:val="en-US"/>
        </w:rPr>
        <w:t>.”</w:t>
      </w:r>
      <w:r w:rsidRPr="008A3740">
        <w:rPr>
          <w:rStyle w:val="Refdenotaalpie"/>
          <w:rFonts w:cs="JansonTextLTStd-Roman"/>
          <w:szCs w:val="20"/>
          <w:lang w:val="en-US"/>
        </w:rPr>
        <w:footnoteReference w:id="195"/>
      </w:r>
      <w:r w:rsidRPr="008A3740">
        <w:rPr>
          <w:rFonts w:ascii="Verdana" w:hAnsi="Verdana" w:cs="JansonTextLTStd-Roman"/>
          <w:sz w:val="20"/>
          <w:szCs w:val="20"/>
          <w:lang w:val="en-US"/>
        </w:rPr>
        <w:t xml:space="preserve"> In the specific </w:t>
      </w:r>
      <w:r w:rsidRPr="008A3740">
        <w:rPr>
          <w:rFonts w:ascii="Verdana" w:eastAsia="Times" w:hAnsi="Verdana" w:cs="Arial"/>
          <w:sz w:val="20"/>
          <w:szCs w:val="20"/>
          <w:lang w:val="en-US"/>
        </w:rPr>
        <w:t xml:space="preserve">case of </w:t>
      </w:r>
      <w:r w:rsidR="002A76BA" w:rsidRPr="008A3740">
        <w:rPr>
          <w:rFonts w:ascii="Verdana" w:eastAsia="Times" w:hAnsi="Verdana" w:cs="Arial"/>
          <w:sz w:val="20"/>
          <w:szCs w:val="20"/>
          <w:lang w:val="en-US"/>
        </w:rPr>
        <w:t xml:space="preserve">a </w:t>
      </w:r>
      <w:r w:rsidRPr="008A3740">
        <w:rPr>
          <w:rFonts w:ascii="Verdana" w:eastAsia="Times" w:hAnsi="Verdana" w:cs="Arial"/>
          <w:sz w:val="20"/>
          <w:szCs w:val="20"/>
          <w:lang w:val="en-US"/>
        </w:rPr>
        <w:t xml:space="preserve">retirement pension </w:t>
      </w:r>
      <w:r w:rsidR="00B77DD1" w:rsidRPr="008A3740">
        <w:rPr>
          <w:rFonts w:ascii="Verdana" w:eastAsia="Times" w:hAnsi="Verdana" w:cs="Arial"/>
          <w:sz w:val="20"/>
          <w:szCs w:val="20"/>
          <w:lang w:val="en-US"/>
        </w:rPr>
        <w:t xml:space="preserve">based </w:t>
      </w:r>
      <w:r w:rsidR="00B77DD1" w:rsidRPr="008A3740">
        <w:rPr>
          <w:rFonts w:ascii="Verdana" w:eastAsia="Times" w:hAnsi="Verdana" w:cs="Arial"/>
          <w:sz w:val="20"/>
          <w:szCs w:val="20"/>
          <w:lang w:val="en-US"/>
        </w:rPr>
        <w:lastRenderedPageBreak/>
        <w:t>on a contributory system,</w:t>
      </w:r>
      <w:r w:rsidR="002A76BA" w:rsidRPr="008A3740">
        <w:rPr>
          <w:rFonts w:ascii="Verdana" w:eastAsia="Times" w:hAnsi="Verdana" w:cs="Arial"/>
          <w:sz w:val="20"/>
          <w:szCs w:val="20"/>
          <w:lang w:val="en-US"/>
        </w:rPr>
        <w:t xml:space="preserve"> this</w:t>
      </w:r>
      <w:r w:rsidRPr="008A3740">
        <w:rPr>
          <w:rFonts w:ascii="Verdana" w:eastAsia="Times" w:hAnsi="Verdana" w:cs="Arial"/>
          <w:sz w:val="20"/>
          <w:szCs w:val="20"/>
          <w:lang w:val="en-US"/>
        </w:rPr>
        <w:t xml:space="preserve"> is a </w:t>
      </w:r>
      <w:r w:rsidRPr="008A3740">
        <w:rPr>
          <w:rFonts w:ascii="Verdana" w:hAnsi="Verdana"/>
          <w:color w:val="000000"/>
          <w:sz w:val="20"/>
          <w:szCs w:val="20"/>
          <w:shd w:val="clear" w:color="auto" w:fill="FFFFFF"/>
          <w:lang w:val="en-US"/>
        </w:rPr>
        <w:t xml:space="preserve">component of social security that </w:t>
      </w:r>
      <w:r w:rsidR="00B77DD1" w:rsidRPr="008A3740">
        <w:rPr>
          <w:rFonts w:ascii="Verdana" w:hAnsi="Verdana"/>
          <w:color w:val="000000"/>
          <w:sz w:val="20"/>
          <w:szCs w:val="20"/>
          <w:shd w:val="clear" w:color="auto" w:fill="FFFFFF"/>
          <w:lang w:val="en-US"/>
        </w:rPr>
        <w:t xml:space="preserve">aims to cover </w:t>
      </w:r>
      <w:r w:rsidR="00B969FB" w:rsidRPr="008A3740">
        <w:rPr>
          <w:rFonts w:ascii="Verdana" w:hAnsi="Verdana"/>
          <w:color w:val="000000"/>
          <w:sz w:val="20"/>
          <w:szCs w:val="20"/>
          <w:shd w:val="clear" w:color="auto" w:fill="FFFFFF"/>
          <w:lang w:val="en-US"/>
        </w:rPr>
        <w:t xml:space="preserve">subsistence </w:t>
      </w:r>
      <w:r w:rsidR="00B77DD1" w:rsidRPr="008A3740">
        <w:rPr>
          <w:rFonts w:ascii="Verdana" w:hAnsi="Verdana"/>
          <w:color w:val="000000"/>
          <w:sz w:val="20"/>
          <w:szCs w:val="20"/>
          <w:shd w:val="clear" w:color="auto" w:fill="FFFFFF"/>
          <w:lang w:val="en-US"/>
        </w:rPr>
        <w:t>needs of</w:t>
      </w:r>
      <w:r w:rsidR="00B969FB" w:rsidRPr="008A3740">
        <w:rPr>
          <w:rFonts w:ascii="Verdana" w:hAnsi="Verdana"/>
          <w:color w:val="000000"/>
          <w:sz w:val="20"/>
          <w:szCs w:val="20"/>
          <w:shd w:val="clear" w:color="auto" w:fill="FFFFFF"/>
          <w:lang w:val="en-US"/>
        </w:rPr>
        <w:t xml:space="preserve"> those who </w:t>
      </w:r>
      <w:r w:rsidR="00B77DD1" w:rsidRPr="008A3740">
        <w:rPr>
          <w:rFonts w:ascii="Verdana" w:hAnsi="Verdana"/>
          <w:color w:val="000000"/>
          <w:sz w:val="20"/>
          <w:szCs w:val="20"/>
          <w:shd w:val="clear" w:color="auto" w:fill="FFFFFF"/>
          <w:lang w:val="en-US"/>
        </w:rPr>
        <w:t xml:space="preserve">can </w:t>
      </w:r>
      <w:r w:rsidR="00B969FB" w:rsidRPr="008A3740">
        <w:rPr>
          <w:rFonts w:ascii="Verdana" w:hAnsi="Verdana"/>
          <w:color w:val="000000"/>
          <w:sz w:val="20"/>
          <w:szCs w:val="20"/>
          <w:shd w:val="clear" w:color="auto" w:fill="FFFFFF"/>
          <w:lang w:val="en-US"/>
        </w:rPr>
        <w:t xml:space="preserve">no longer work, </w:t>
      </w:r>
      <w:r w:rsidR="00301442" w:rsidRPr="008A3740">
        <w:rPr>
          <w:rFonts w:ascii="Verdana" w:hAnsi="Verdana"/>
          <w:color w:val="000000"/>
          <w:sz w:val="20"/>
          <w:szCs w:val="20"/>
          <w:shd w:val="clear" w:color="auto" w:fill="FFFFFF"/>
          <w:lang w:val="en-US"/>
        </w:rPr>
        <w:t>when</w:t>
      </w:r>
      <w:r w:rsidR="00B969FB" w:rsidRPr="008A3740">
        <w:rPr>
          <w:rFonts w:ascii="Verdana" w:hAnsi="Verdana"/>
          <w:color w:val="000000"/>
          <w:sz w:val="20"/>
          <w:szCs w:val="20"/>
          <w:shd w:val="clear" w:color="auto" w:fill="FFFFFF"/>
          <w:lang w:val="en-US"/>
        </w:rPr>
        <w:t xml:space="preserve"> the contingency</w:t>
      </w:r>
      <w:r w:rsidRPr="008A3740">
        <w:rPr>
          <w:rFonts w:ascii="Verdana" w:hAnsi="Verdana"/>
          <w:color w:val="000000"/>
          <w:sz w:val="20"/>
          <w:szCs w:val="20"/>
          <w:shd w:val="clear" w:color="auto" w:fill="FFFFFF"/>
          <w:lang w:val="en-US"/>
        </w:rPr>
        <w:t xml:space="preserve"> </w:t>
      </w:r>
      <w:r w:rsidR="00B77DD1" w:rsidRPr="008A3740">
        <w:rPr>
          <w:rFonts w:ascii="Verdana" w:hAnsi="Verdana"/>
          <w:color w:val="000000"/>
          <w:sz w:val="20"/>
          <w:szCs w:val="20"/>
          <w:shd w:val="clear" w:color="auto" w:fill="FFFFFF"/>
          <w:lang w:val="en-US"/>
        </w:rPr>
        <w:t>of survival beyond a</w:t>
      </w:r>
      <w:r w:rsidR="00B969FB" w:rsidRPr="008A3740">
        <w:rPr>
          <w:rFonts w:ascii="Verdana" w:hAnsi="Verdana"/>
          <w:color w:val="000000"/>
          <w:sz w:val="20"/>
          <w:szCs w:val="20"/>
          <w:shd w:val="clear" w:color="auto" w:fill="FFFFFF"/>
          <w:lang w:val="en-US"/>
        </w:rPr>
        <w:t xml:space="preserve"> prescribed age</w:t>
      </w:r>
      <w:r w:rsidR="00301442" w:rsidRPr="008A3740">
        <w:rPr>
          <w:rFonts w:ascii="Verdana" w:hAnsi="Verdana"/>
          <w:color w:val="000000"/>
          <w:sz w:val="20"/>
          <w:szCs w:val="20"/>
          <w:shd w:val="clear" w:color="auto" w:fill="FFFFFF"/>
          <w:lang w:val="en-US"/>
        </w:rPr>
        <w:t xml:space="preserve"> is met</w:t>
      </w:r>
      <w:r w:rsidRPr="008A3740">
        <w:rPr>
          <w:rFonts w:ascii="Verdana" w:hAnsi="Verdana"/>
          <w:color w:val="000000"/>
          <w:sz w:val="20"/>
          <w:szCs w:val="20"/>
          <w:shd w:val="clear" w:color="auto" w:fill="FFFFFF"/>
          <w:lang w:val="en-US"/>
        </w:rPr>
        <w:t xml:space="preserve">. </w:t>
      </w:r>
      <w:r w:rsidR="00205E90" w:rsidRPr="008A3740">
        <w:rPr>
          <w:rFonts w:ascii="Verdana" w:hAnsi="Verdana"/>
          <w:color w:val="000000"/>
          <w:sz w:val="20"/>
          <w:szCs w:val="20"/>
          <w:shd w:val="clear" w:color="auto" w:fill="FFFFFF"/>
          <w:lang w:val="en-US"/>
        </w:rPr>
        <w:t>In such</w:t>
      </w:r>
      <w:r w:rsidRPr="008A3740">
        <w:rPr>
          <w:rFonts w:ascii="Verdana" w:hAnsi="Verdana"/>
          <w:color w:val="000000"/>
          <w:sz w:val="20"/>
          <w:szCs w:val="20"/>
          <w:shd w:val="clear" w:color="auto" w:fill="FFFFFF"/>
          <w:lang w:val="en-US"/>
        </w:rPr>
        <w:t xml:space="preserve"> case</w:t>
      </w:r>
      <w:r w:rsidR="002A76BA" w:rsidRPr="008A3740">
        <w:rPr>
          <w:rFonts w:ascii="Verdana" w:hAnsi="Verdana"/>
          <w:color w:val="000000"/>
          <w:sz w:val="20"/>
          <w:szCs w:val="20"/>
          <w:shd w:val="clear" w:color="auto" w:fill="FFFFFF"/>
          <w:lang w:val="en-US"/>
        </w:rPr>
        <w:t>s, the old age pension is a form</w:t>
      </w:r>
      <w:r w:rsidRPr="008A3740">
        <w:rPr>
          <w:rFonts w:ascii="Verdana" w:hAnsi="Verdana"/>
          <w:color w:val="000000"/>
          <w:sz w:val="20"/>
          <w:szCs w:val="20"/>
          <w:shd w:val="clear" w:color="auto" w:fill="FFFFFF"/>
          <w:lang w:val="en-US"/>
        </w:rPr>
        <w:t xml:space="preserve"> of </w:t>
      </w:r>
      <w:r w:rsidR="002A76BA" w:rsidRPr="008A3740">
        <w:rPr>
          <w:rFonts w:ascii="Verdana" w:hAnsi="Verdana"/>
          <w:color w:val="000000"/>
          <w:sz w:val="20"/>
          <w:szCs w:val="20"/>
          <w:shd w:val="clear" w:color="auto" w:fill="FFFFFF"/>
          <w:lang w:val="en-US"/>
        </w:rPr>
        <w:t xml:space="preserve">deferred </w:t>
      </w:r>
      <w:r w:rsidRPr="008A3740">
        <w:rPr>
          <w:rFonts w:ascii="Verdana" w:hAnsi="Verdana"/>
          <w:color w:val="000000"/>
          <w:sz w:val="20"/>
          <w:szCs w:val="20"/>
          <w:shd w:val="clear" w:color="auto" w:fill="FFFFFF"/>
          <w:lang w:val="en-US"/>
        </w:rPr>
        <w:t xml:space="preserve">salary </w:t>
      </w:r>
      <w:r w:rsidR="002A76BA" w:rsidRPr="008A3740">
        <w:rPr>
          <w:rFonts w:ascii="Verdana" w:hAnsi="Verdana"/>
          <w:color w:val="000000"/>
          <w:sz w:val="20"/>
          <w:szCs w:val="20"/>
          <w:shd w:val="clear" w:color="auto" w:fill="FFFFFF"/>
          <w:lang w:val="en-US"/>
        </w:rPr>
        <w:t xml:space="preserve">for a </w:t>
      </w:r>
      <w:r w:rsidR="00301442" w:rsidRPr="008A3740">
        <w:rPr>
          <w:rFonts w:ascii="Verdana" w:hAnsi="Verdana"/>
          <w:color w:val="000000"/>
          <w:sz w:val="20"/>
          <w:szCs w:val="20"/>
          <w:shd w:val="clear" w:color="auto" w:fill="FFFFFF"/>
          <w:lang w:val="en-US"/>
        </w:rPr>
        <w:t>worker</w:t>
      </w:r>
      <w:r w:rsidRPr="008A3740">
        <w:rPr>
          <w:rFonts w:ascii="Verdana" w:hAnsi="Verdana"/>
          <w:color w:val="000000"/>
          <w:sz w:val="20"/>
          <w:szCs w:val="20"/>
          <w:shd w:val="clear" w:color="auto" w:fill="FFFFFF"/>
          <w:lang w:val="en-US"/>
        </w:rPr>
        <w:t xml:space="preserve">, </w:t>
      </w:r>
      <w:r w:rsidR="002A76BA" w:rsidRPr="008A3740">
        <w:rPr>
          <w:rFonts w:ascii="Verdana" w:hAnsi="Verdana"/>
          <w:color w:val="000000"/>
          <w:sz w:val="20"/>
          <w:szCs w:val="20"/>
          <w:shd w:val="clear" w:color="auto" w:fill="FFFFFF"/>
          <w:lang w:val="en-US"/>
        </w:rPr>
        <w:t xml:space="preserve">an acquired </w:t>
      </w:r>
      <w:r w:rsidR="004E5805" w:rsidRPr="008A3740">
        <w:rPr>
          <w:rFonts w:ascii="Verdana" w:hAnsi="Verdana"/>
          <w:color w:val="000000"/>
          <w:sz w:val="20"/>
          <w:szCs w:val="20"/>
          <w:shd w:val="clear" w:color="auto" w:fill="FFFFFF"/>
          <w:lang w:val="en-US"/>
        </w:rPr>
        <w:t xml:space="preserve">right </w:t>
      </w:r>
      <w:r w:rsidR="006672D8" w:rsidRPr="008A3740">
        <w:rPr>
          <w:rFonts w:ascii="Verdana" w:hAnsi="Verdana"/>
          <w:color w:val="000000"/>
          <w:sz w:val="20"/>
          <w:szCs w:val="20"/>
          <w:shd w:val="clear" w:color="auto" w:fill="FFFFFF"/>
          <w:lang w:val="en-US"/>
        </w:rPr>
        <w:t>after the</w:t>
      </w:r>
      <w:r w:rsidR="004E5805" w:rsidRPr="008A3740">
        <w:rPr>
          <w:rFonts w:ascii="Verdana" w:hAnsi="Verdana"/>
          <w:color w:val="000000"/>
          <w:sz w:val="20"/>
          <w:szCs w:val="20"/>
          <w:shd w:val="clear" w:color="auto" w:fill="FFFFFF"/>
          <w:lang w:val="en-US"/>
        </w:rPr>
        <w:t xml:space="preserve"> </w:t>
      </w:r>
      <w:r w:rsidR="00CB2BB1" w:rsidRPr="008A3740">
        <w:rPr>
          <w:rFonts w:ascii="Verdana" w:hAnsi="Verdana"/>
          <w:color w:val="000000"/>
          <w:sz w:val="20"/>
          <w:szCs w:val="20"/>
          <w:shd w:val="clear" w:color="auto" w:fill="FFFFFF"/>
          <w:lang w:val="en-US"/>
        </w:rPr>
        <w:t xml:space="preserve">accumulation of </w:t>
      </w:r>
      <w:r w:rsidRPr="008A3740">
        <w:rPr>
          <w:rFonts w:ascii="Verdana" w:hAnsi="Verdana"/>
          <w:color w:val="000000"/>
          <w:sz w:val="20"/>
          <w:szCs w:val="20"/>
          <w:shd w:val="clear" w:color="auto" w:fill="FFFFFF"/>
          <w:lang w:val="en-US"/>
        </w:rPr>
        <w:t xml:space="preserve">contributions and time </w:t>
      </w:r>
      <w:r w:rsidR="00CB2BB1" w:rsidRPr="008A3740">
        <w:rPr>
          <w:rFonts w:ascii="Verdana" w:hAnsi="Verdana"/>
          <w:color w:val="000000"/>
          <w:sz w:val="20"/>
          <w:szCs w:val="20"/>
          <w:shd w:val="clear" w:color="auto" w:fill="FFFFFF"/>
          <w:lang w:val="en-US"/>
        </w:rPr>
        <w:t>worked</w:t>
      </w:r>
      <w:r w:rsidRPr="008A3740">
        <w:rPr>
          <w:rFonts w:ascii="Verdana" w:hAnsi="Verdana"/>
          <w:color w:val="000000"/>
          <w:sz w:val="20"/>
          <w:szCs w:val="20"/>
          <w:shd w:val="clear" w:color="auto" w:fill="FFFFFF"/>
          <w:lang w:val="en-US"/>
        </w:rPr>
        <w:t>.</w:t>
      </w:r>
    </w:p>
    <w:p w14:paraId="4BD9C184" w14:textId="77777777" w:rsidR="008E6A56" w:rsidRPr="008A3740" w:rsidRDefault="008E6A56" w:rsidP="008E6A56">
      <w:pPr>
        <w:widowControl/>
        <w:tabs>
          <w:tab w:val="left" w:pos="567"/>
        </w:tabs>
        <w:adjustRightInd/>
        <w:textAlignment w:val="auto"/>
        <w:rPr>
          <w:rFonts w:ascii="Verdana" w:eastAsia="Times" w:hAnsi="Verdana" w:cs="Arial"/>
          <w:sz w:val="20"/>
          <w:szCs w:val="20"/>
          <w:lang w:val="en-US"/>
        </w:rPr>
      </w:pPr>
    </w:p>
    <w:p w14:paraId="7BE1BA55"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eastAsia="Times" w:hAnsi="Verdana" w:cs="Arial"/>
          <w:sz w:val="20"/>
          <w:szCs w:val="20"/>
          <w:lang w:val="en-US"/>
        </w:rPr>
        <w:t xml:space="preserve">In General Comment No. 19 on “the right to social security” the </w:t>
      </w:r>
      <w:r w:rsidR="004E5805" w:rsidRPr="008A3740">
        <w:rPr>
          <w:rFonts w:ascii="Verdana" w:eastAsia="Times" w:hAnsi="Verdana" w:cs="Arial"/>
          <w:sz w:val="20"/>
          <w:szCs w:val="20"/>
          <w:lang w:val="en-US"/>
        </w:rPr>
        <w:t>C</w:t>
      </w:r>
      <w:r w:rsidRPr="008A3740">
        <w:rPr>
          <w:rFonts w:ascii="Verdana" w:eastAsia="Times" w:hAnsi="Verdana" w:cs="Arial"/>
          <w:sz w:val="20"/>
          <w:szCs w:val="20"/>
          <w:lang w:val="en-US"/>
        </w:rPr>
        <w:t xml:space="preserve">ESCR has established that this right encompasses </w:t>
      </w:r>
      <w:r w:rsidRPr="008A3740">
        <w:rPr>
          <w:rFonts w:ascii="Verdana" w:hAnsi="Verdana"/>
          <w:snapToGrid w:val="0"/>
          <w:sz w:val="20"/>
          <w:szCs w:val="20"/>
          <w:lang w:val="en-US"/>
        </w:rPr>
        <w:t xml:space="preserve">the </w:t>
      </w:r>
      <w:r w:rsidR="00CB2BB1" w:rsidRPr="008A3740">
        <w:rPr>
          <w:rFonts w:ascii="Verdana" w:hAnsi="Verdana"/>
          <w:snapToGrid w:val="0"/>
          <w:sz w:val="20"/>
          <w:szCs w:val="20"/>
          <w:lang w:val="en-US"/>
        </w:rPr>
        <w:t xml:space="preserve">right to access </w:t>
      </w:r>
      <w:r w:rsidRPr="008A3740">
        <w:rPr>
          <w:rFonts w:ascii="Verdana" w:hAnsi="Verdana"/>
          <w:snapToGrid w:val="0"/>
          <w:sz w:val="20"/>
          <w:szCs w:val="20"/>
          <w:lang w:val="en-US"/>
        </w:rPr>
        <w:t>and ma</w:t>
      </w:r>
      <w:r w:rsidR="00B969FB" w:rsidRPr="008A3740">
        <w:rPr>
          <w:rFonts w:ascii="Verdana" w:hAnsi="Verdana"/>
          <w:snapToGrid w:val="0"/>
          <w:sz w:val="20"/>
          <w:szCs w:val="20"/>
          <w:lang w:val="en-US"/>
        </w:rPr>
        <w:t>i</w:t>
      </w:r>
      <w:r w:rsidRPr="008A3740">
        <w:rPr>
          <w:rFonts w:ascii="Verdana" w:hAnsi="Verdana"/>
          <w:snapToGrid w:val="0"/>
          <w:sz w:val="20"/>
          <w:szCs w:val="20"/>
          <w:lang w:val="en-US"/>
        </w:rPr>
        <w:t>nt</w:t>
      </w:r>
      <w:r w:rsidR="00B969FB" w:rsidRPr="008A3740">
        <w:rPr>
          <w:rFonts w:ascii="Verdana" w:hAnsi="Verdana"/>
          <w:snapToGrid w:val="0"/>
          <w:sz w:val="20"/>
          <w:szCs w:val="20"/>
          <w:lang w:val="en-US"/>
        </w:rPr>
        <w:t xml:space="preserve">ain </w:t>
      </w:r>
      <w:r w:rsidRPr="008A3740">
        <w:rPr>
          <w:rFonts w:ascii="Verdana" w:hAnsi="Verdana"/>
          <w:snapToGrid w:val="0"/>
          <w:sz w:val="20"/>
          <w:szCs w:val="20"/>
          <w:lang w:val="en-US"/>
        </w:rPr>
        <w:t xml:space="preserve">benefits, </w:t>
      </w:r>
      <w:r w:rsidR="00CB2BB1" w:rsidRPr="008A3740">
        <w:rPr>
          <w:rFonts w:ascii="Verdana" w:hAnsi="Verdana"/>
          <w:snapToGrid w:val="0"/>
          <w:sz w:val="20"/>
          <w:szCs w:val="20"/>
          <w:lang w:val="en-US"/>
        </w:rPr>
        <w:t xml:space="preserve">whether </w:t>
      </w:r>
      <w:r w:rsidRPr="008A3740">
        <w:rPr>
          <w:rFonts w:ascii="Verdana" w:hAnsi="Verdana"/>
          <w:snapToGrid w:val="0"/>
          <w:sz w:val="20"/>
          <w:szCs w:val="20"/>
          <w:lang w:val="en-US"/>
        </w:rPr>
        <w:t xml:space="preserve">in cash or in kind, </w:t>
      </w:r>
      <w:r w:rsidR="00B969FB" w:rsidRPr="008A3740">
        <w:rPr>
          <w:rFonts w:ascii="Verdana" w:hAnsi="Verdana"/>
          <w:snapToGrid w:val="0"/>
          <w:sz w:val="20"/>
          <w:szCs w:val="20"/>
          <w:lang w:val="en-US"/>
        </w:rPr>
        <w:t xml:space="preserve">without </w:t>
      </w:r>
      <w:r w:rsidRPr="008A3740">
        <w:rPr>
          <w:rFonts w:ascii="Verdana" w:hAnsi="Verdana"/>
          <w:snapToGrid w:val="0"/>
          <w:sz w:val="20"/>
          <w:szCs w:val="20"/>
          <w:lang w:val="en-US"/>
        </w:rPr>
        <w:t xml:space="preserve">discrimination, in order to </w:t>
      </w:r>
      <w:r w:rsidR="00CB2BB1" w:rsidRPr="008A3740">
        <w:rPr>
          <w:rFonts w:ascii="Verdana" w:hAnsi="Verdana"/>
          <w:snapToGrid w:val="0"/>
          <w:sz w:val="20"/>
          <w:szCs w:val="20"/>
          <w:lang w:val="en-US"/>
        </w:rPr>
        <w:t>secure protection</w:t>
      </w:r>
      <w:r w:rsidR="00A17CDF" w:rsidRPr="008A3740">
        <w:rPr>
          <w:rFonts w:ascii="Verdana" w:hAnsi="Verdana"/>
          <w:snapToGrid w:val="0"/>
          <w:sz w:val="20"/>
          <w:szCs w:val="20"/>
          <w:lang w:val="en-US"/>
        </w:rPr>
        <w:t xml:space="preserve">, </w:t>
      </w:r>
      <w:r w:rsidR="00A17CDF" w:rsidRPr="008A3740">
        <w:rPr>
          <w:rFonts w:ascii="Verdana" w:hAnsi="Verdana"/>
          <w:i/>
          <w:snapToGrid w:val="0"/>
          <w:sz w:val="20"/>
          <w:szCs w:val="20"/>
          <w:lang w:val="en-US"/>
        </w:rPr>
        <w:t>inter alia</w:t>
      </w:r>
      <w:r w:rsidR="00A17CDF" w:rsidRPr="008A3740">
        <w:rPr>
          <w:rFonts w:ascii="Verdana" w:hAnsi="Verdana"/>
          <w:snapToGrid w:val="0"/>
          <w:sz w:val="20"/>
          <w:szCs w:val="20"/>
          <w:lang w:val="en-US"/>
        </w:rPr>
        <w:t xml:space="preserve"> </w:t>
      </w:r>
      <w:r w:rsidRPr="008A3740">
        <w:rPr>
          <w:rFonts w:ascii="Verdana" w:hAnsi="Verdana"/>
          <w:snapToGrid w:val="0"/>
          <w:sz w:val="20"/>
          <w:szCs w:val="20"/>
          <w:lang w:val="en-US"/>
        </w:rPr>
        <w:t>(</w:t>
      </w:r>
      <w:r w:rsidRPr="008A3740">
        <w:rPr>
          <w:rFonts w:ascii="Verdana" w:hAnsi="Verdana"/>
          <w:i/>
          <w:snapToGrid w:val="0"/>
          <w:sz w:val="20"/>
          <w:szCs w:val="20"/>
          <w:lang w:val="en-US"/>
        </w:rPr>
        <w:t>infra</w:t>
      </w:r>
      <w:r w:rsidRPr="008A3740">
        <w:rPr>
          <w:rFonts w:ascii="Verdana" w:hAnsi="Verdana"/>
          <w:snapToGrid w:val="0"/>
          <w:sz w:val="20"/>
          <w:szCs w:val="20"/>
          <w:lang w:val="en-US"/>
        </w:rPr>
        <w:t xml:space="preserve"> para. 187)</w:t>
      </w:r>
      <w:r w:rsidR="00CB2BB1" w:rsidRPr="008A3740">
        <w:rPr>
          <w:rFonts w:ascii="Verdana" w:hAnsi="Verdana"/>
          <w:snapToGrid w:val="0"/>
          <w:sz w:val="20"/>
          <w:szCs w:val="20"/>
          <w:lang w:val="en-US"/>
        </w:rPr>
        <w:t xml:space="preserve"> from a lack of work-related income owing to old age</w:t>
      </w:r>
      <w:r w:rsidRPr="008A3740">
        <w:rPr>
          <w:rFonts w:ascii="Verdana" w:hAnsi="Verdana"/>
          <w:snapToGrid w:val="0"/>
          <w:sz w:val="20"/>
          <w:szCs w:val="20"/>
          <w:lang w:val="en-US"/>
        </w:rPr>
        <w:t>.</w:t>
      </w:r>
      <w:r w:rsidRPr="008A3740">
        <w:rPr>
          <w:rStyle w:val="Refdenotaalpie"/>
          <w:snapToGrid w:val="0"/>
          <w:szCs w:val="20"/>
          <w:lang w:val="en-US"/>
        </w:rPr>
        <w:footnoteReference w:id="196"/>
      </w:r>
    </w:p>
    <w:p w14:paraId="1DB63B14" w14:textId="77777777" w:rsidR="008E6A56" w:rsidRPr="008A3740" w:rsidRDefault="008E6A56" w:rsidP="008E6A56">
      <w:pPr>
        <w:widowControl/>
        <w:tabs>
          <w:tab w:val="left" w:pos="567"/>
        </w:tabs>
        <w:adjustRightInd/>
        <w:textAlignment w:val="auto"/>
        <w:rPr>
          <w:rFonts w:ascii="Verdana" w:eastAsia="Times" w:hAnsi="Verdana" w:cs="Arial"/>
          <w:sz w:val="20"/>
          <w:szCs w:val="20"/>
          <w:lang w:val="en-US"/>
        </w:rPr>
      </w:pPr>
    </w:p>
    <w:p w14:paraId="73052CD4"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eastAsia="Times" w:hAnsi="Verdana" w:cs="Arial"/>
          <w:sz w:val="20"/>
          <w:szCs w:val="20"/>
          <w:lang w:val="en-US"/>
        </w:rPr>
      </w:pPr>
      <w:r w:rsidRPr="008A3740">
        <w:rPr>
          <w:rFonts w:ascii="Verdana" w:hAnsi="Verdana"/>
          <w:snapToGrid w:val="0"/>
          <w:sz w:val="20"/>
          <w:szCs w:val="20"/>
          <w:lang w:val="en-US"/>
        </w:rPr>
        <w:t xml:space="preserve">Similarly, General Comment No. 19 of the </w:t>
      </w:r>
      <w:r w:rsidR="004E5805" w:rsidRPr="008A3740">
        <w:rPr>
          <w:rFonts w:ascii="Verdana" w:hAnsi="Verdana"/>
          <w:snapToGrid w:val="0"/>
          <w:sz w:val="20"/>
          <w:szCs w:val="20"/>
          <w:lang w:val="en-US"/>
        </w:rPr>
        <w:t>C</w:t>
      </w:r>
      <w:r w:rsidRPr="008A3740">
        <w:rPr>
          <w:rFonts w:ascii="Verdana" w:hAnsi="Verdana"/>
          <w:snapToGrid w:val="0"/>
          <w:sz w:val="20"/>
          <w:szCs w:val="20"/>
          <w:lang w:val="en-US"/>
        </w:rPr>
        <w:t xml:space="preserve">ESCR has established the </w:t>
      </w:r>
      <w:r w:rsidR="000A516E" w:rsidRPr="008A3740">
        <w:rPr>
          <w:rFonts w:ascii="Verdana" w:hAnsi="Verdana"/>
          <w:snapToGrid w:val="0"/>
          <w:sz w:val="20"/>
          <w:szCs w:val="20"/>
          <w:lang w:val="en-US"/>
        </w:rPr>
        <w:t xml:space="preserve">regulatory </w:t>
      </w:r>
      <w:r w:rsidRPr="008A3740">
        <w:rPr>
          <w:rFonts w:ascii="Verdana" w:hAnsi="Verdana"/>
          <w:snapToGrid w:val="0"/>
          <w:sz w:val="20"/>
          <w:szCs w:val="20"/>
          <w:lang w:val="en-US"/>
        </w:rPr>
        <w:t>content of the right to social security</w:t>
      </w:r>
      <w:r w:rsidR="004E5805" w:rsidRPr="008A3740">
        <w:rPr>
          <w:rFonts w:ascii="Verdana" w:hAnsi="Verdana"/>
          <w:snapToGrid w:val="0"/>
          <w:sz w:val="20"/>
          <w:szCs w:val="20"/>
          <w:lang w:val="en-US"/>
        </w:rPr>
        <w:t>,</w:t>
      </w:r>
      <w:r w:rsidRPr="008A3740">
        <w:rPr>
          <w:rStyle w:val="Refdenotaalpie"/>
          <w:snapToGrid w:val="0"/>
          <w:szCs w:val="20"/>
          <w:lang w:val="en-US"/>
        </w:rPr>
        <w:footnoteReference w:id="197"/>
      </w:r>
      <w:r w:rsidRPr="008A3740">
        <w:rPr>
          <w:rFonts w:ascii="Verdana" w:hAnsi="Verdana"/>
          <w:snapToGrid w:val="0"/>
          <w:sz w:val="20"/>
          <w:szCs w:val="20"/>
          <w:lang w:val="en-US"/>
        </w:rPr>
        <w:t xml:space="preserve"> </w:t>
      </w:r>
      <w:r w:rsidR="004E5805" w:rsidRPr="008A3740">
        <w:rPr>
          <w:rFonts w:ascii="Verdana" w:hAnsi="Verdana"/>
          <w:snapToGrid w:val="0"/>
          <w:sz w:val="20"/>
          <w:szCs w:val="20"/>
          <w:lang w:val="en-US"/>
        </w:rPr>
        <w:t>emphasizing</w:t>
      </w:r>
      <w:r w:rsidRPr="008A3740">
        <w:rPr>
          <w:rFonts w:ascii="Verdana" w:hAnsi="Verdana"/>
          <w:snapToGrid w:val="0"/>
          <w:sz w:val="20"/>
          <w:szCs w:val="20"/>
          <w:lang w:val="en-US"/>
        </w:rPr>
        <w:t xml:space="preserve"> that it includes the right not to be subject to arbitrary and unreasonable restrictions of existing social security coverage, whether obtained publicly or privately, as well as the right to equal enjoyment of adequate protection from social risks and contingencies. As fundamental elements of this right it established the following:</w:t>
      </w:r>
    </w:p>
    <w:p w14:paraId="2895B48F" w14:textId="77777777" w:rsidR="008E6A56" w:rsidRPr="008A3740" w:rsidRDefault="008E6A56" w:rsidP="008E6A56">
      <w:pPr>
        <w:widowControl/>
        <w:tabs>
          <w:tab w:val="left" w:pos="567"/>
          <w:tab w:val="num" w:pos="12305"/>
        </w:tabs>
        <w:adjustRightInd/>
        <w:textAlignment w:val="auto"/>
        <w:rPr>
          <w:rFonts w:ascii="Verdana" w:eastAsia="Times" w:hAnsi="Verdana" w:cs="Arial"/>
          <w:sz w:val="20"/>
          <w:szCs w:val="20"/>
          <w:lang w:val="en-US"/>
        </w:rPr>
      </w:pPr>
    </w:p>
    <w:p w14:paraId="123C8906" w14:textId="77777777" w:rsidR="008E6A56" w:rsidRPr="008A3740" w:rsidRDefault="008E6A56" w:rsidP="008E6A56">
      <w:pPr>
        <w:snapToGrid w:val="0"/>
        <w:spacing w:after="240"/>
        <w:ind w:left="360" w:right="540"/>
        <w:rPr>
          <w:rFonts w:ascii="Verdana" w:hAnsi="Verdana"/>
          <w:snapToGrid w:val="0"/>
          <w:sz w:val="18"/>
          <w:szCs w:val="18"/>
          <w:lang w:val="en-US"/>
        </w:rPr>
      </w:pPr>
      <w:r w:rsidRPr="008A3740">
        <w:rPr>
          <w:rFonts w:ascii="Verdana" w:hAnsi="Verdana"/>
          <w:i/>
          <w:snapToGrid w:val="0"/>
          <w:sz w:val="18"/>
          <w:szCs w:val="18"/>
          <w:lang w:val="en-US"/>
        </w:rPr>
        <w:t>a) Availability:</w:t>
      </w:r>
      <w:r w:rsidRPr="008A3740">
        <w:rPr>
          <w:rFonts w:ascii="Verdana" w:hAnsi="Verdana"/>
          <w:b/>
          <w:snapToGrid w:val="0"/>
          <w:sz w:val="18"/>
          <w:szCs w:val="18"/>
          <w:lang w:val="en-US"/>
        </w:rPr>
        <w:t xml:space="preserve"> </w:t>
      </w:r>
      <w:r w:rsidRPr="008A3740">
        <w:rPr>
          <w:rFonts w:ascii="Verdana" w:hAnsi="Verdana"/>
          <w:sz w:val="18"/>
          <w:szCs w:val="18"/>
          <w:lang w:val="en-US"/>
        </w:rPr>
        <w:t>The right to social security requires, for its implementation, that a system, whether composed of a single scheme or variety of schemes, is available and in place to ensure that benefits are provided for the relevant social risks and contingencies</w:t>
      </w:r>
      <w:r w:rsidRPr="008A3740">
        <w:rPr>
          <w:rFonts w:ascii="Verdana" w:hAnsi="Verdana"/>
          <w:snapToGrid w:val="0"/>
          <w:sz w:val="18"/>
          <w:szCs w:val="18"/>
          <w:lang w:val="en-US"/>
        </w:rPr>
        <w:t xml:space="preserve">. </w:t>
      </w:r>
      <w:r w:rsidRPr="008A3740">
        <w:rPr>
          <w:rFonts w:ascii="Verdana" w:hAnsi="Verdana"/>
          <w:sz w:val="18"/>
          <w:szCs w:val="18"/>
          <w:lang w:val="en-US"/>
        </w:rPr>
        <w:t>The system should be established under domestic law, and public authorities must take responsibility for the effective administration or supervision of the system. The schemes should also be sustainable, including those concerning provision of pensions, in order to ensure that the right can be realized for present and future generations.</w:t>
      </w:r>
    </w:p>
    <w:p w14:paraId="37617210" w14:textId="77777777" w:rsidR="008E6A56" w:rsidRPr="008A3740" w:rsidRDefault="008E6A56" w:rsidP="008E6A56">
      <w:pPr>
        <w:snapToGrid w:val="0"/>
        <w:spacing w:after="240"/>
        <w:ind w:left="360" w:right="540"/>
        <w:rPr>
          <w:rFonts w:ascii="Verdana" w:hAnsi="Verdana"/>
          <w:snapToGrid w:val="0"/>
          <w:sz w:val="18"/>
          <w:szCs w:val="18"/>
          <w:lang w:val="en-US"/>
        </w:rPr>
      </w:pPr>
      <w:r w:rsidRPr="008A3740">
        <w:rPr>
          <w:rFonts w:ascii="Verdana" w:hAnsi="Verdana"/>
          <w:i/>
          <w:snapToGrid w:val="0"/>
          <w:sz w:val="18"/>
          <w:szCs w:val="18"/>
          <w:lang w:val="en-US"/>
        </w:rPr>
        <w:t>b) Social risks and contingencies:</w:t>
      </w:r>
      <w:r w:rsidRPr="008A3740">
        <w:rPr>
          <w:rFonts w:ascii="Verdana" w:hAnsi="Verdana"/>
          <w:snapToGrid w:val="0"/>
          <w:sz w:val="18"/>
          <w:szCs w:val="18"/>
          <w:lang w:val="en-US"/>
        </w:rPr>
        <w:t xml:space="preserve"> </w:t>
      </w:r>
      <w:r w:rsidRPr="008A3740">
        <w:rPr>
          <w:rFonts w:ascii="Verdana" w:hAnsi="Verdana"/>
          <w:sz w:val="18"/>
          <w:szCs w:val="18"/>
          <w:lang w:val="en-US"/>
        </w:rPr>
        <w:t>The social security system should provide for the coverage of the following nine principal branches of social security, namely</w:t>
      </w:r>
      <w:r w:rsidRPr="008A3740">
        <w:rPr>
          <w:rFonts w:ascii="Verdana" w:hAnsi="Verdana"/>
          <w:snapToGrid w:val="0"/>
          <w:sz w:val="18"/>
          <w:szCs w:val="18"/>
          <w:lang w:val="en-US"/>
        </w:rPr>
        <w:t>: i) health care; ii) sickness; iii) old age; iv) unemployment; v) employment injury; vi) family and child support; vii) maternity; viii) disability, and ix) survivors and orphans. In relation to health care, States Parties have the obligation to guarantee that health systems are established to provide adequate access to health services for all;</w:t>
      </w:r>
      <w:r w:rsidRPr="008A3740">
        <w:rPr>
          <w:rStyle w:val="Refdenotaalpie"/>
          <w:snapToGrid w:val="0"/>
          <w:sz w:val="18"/>
          <w:szCs w:val="18"/>
          <w:lang w:val="en-US"/>
        </w:rPr>
        <w:footnoteReference w:id="198"/>
      </w:r>
      <w:r w:rsidRPr="008A3740">
        <w:rPr>
          <w:rFonts w:ascii="Verdana" w:hAnsi="Verdana"/>
          <w:snapToGrid w:val="0"/>
          <w:sz w:val="18"/>
          <w:szCs w:val="18"/>
          <w:lang w:val="en-US"/>
        </w:rPr>
        <w:t xml:space="preserve"> such services must be affordable.</w:t>
      </w:r>
      <w:r w:rsidRPr="008A3740">
        <w:rPr>
          <w:rStyle w:val="Refdenotaalpie"/>
          <w:snapToGrid w:val="0"/>
          <w:sz w:val="18"/>
          <w:szCs w:val="18"/>
          <w:lang w:val="en-US"/>
        </w:rPr>
        <w:footnoteReference w:id="199"/>
      </w:r>
      <w:r w:rsidRPr="008A3740">
        <w:rPr>
          <w:rFonts w:ascii="Verdana" w:hAnsi="Verdana"/>
          <w:snapToGrid w:val="0"/>
          <w:sz w:val="18"/>
          <w:szCs w:val="18"/>
          <w:lang w:val="en-US"/>
        </w:rPr>
        <w:t xml:space="preserve"> Regarding old age, States Parties should take appropriate measures to establish social security sche</w:t>
      </w:r>
      <w:r w:rsidR="006F2D46" w:rsidRPr="008A3740">
        <w:rPr>
          <w:rFonts w:ascii="Verdana" w:hAnsi="Verdana"/>
          <w:snapToGrid w:val="0"/>
          <w:sz w:val="18"/>
          <w:szCs w:val="18"/>
          <w:lang w:val="en-US"/>
        </w:rPr>
        <w:t>m</w:t>
      </w:r>
      <w:r w:rsidRPr="008A3740">
        <w:rPr>
          <w:rFonts w:ascii="Verdana" w:hAnsi="Verdana"/>
          <w:snapToGrid w:val="0"/>
          <w:sz w:val="18"/>
          <w:szCs w:val="18"/>
          <w:lang w:val="en-US"/>
        </w:rPr>
        <w:t xml:space="preserve">es that provide benefits to older persons, starting at a </w:t>
      </w:r>
      <w:r w:rsidR="00E53313" w:rsidRPr="008A3740">
        <w:rPr>
          <w:rFonts w:ascii="Verdana" w:hAnsi="Verdana"/>
          <w:snapToGrid w:val="0"/>
          <w:sz w:val="18"/>
          <w:szCs w:val="18"/>
          <w:lang w:val="en-US"/>
        </w:rPr>
        <w:lastRenderedPageBreak/>
        <w:t>specific</w:t>
      </w:r>
      <w:r w:rsidRPr="008A3740">
        <w:rPr>
          <w:rFonts w:ascii="Verdana" w:hAnsi="Verdana"/>
          <w:snapToGrid w:val="0"/>
          <w:sz w:val="18"/>
          <w:szCs w:val="18"/>
          <w:lang w:val="en-US"/>
        </w:rPr>
        <w:t xml:space="preserve"> age, to be prescribed by national law.</w:t>
      </w:r>
      <w:r w:rsidRPr="008A3740">
        <w:rPr>
          <w:rStyle w:val="Refdenotaalpie"/>
          <w:snapToGrid w:val="0"/>
          <w:sz w:val="18"/>
          <w:szCs w:val="18"/>
          <w:lang w:val="en-US"/>
        </w:rPr>
        <w:footnoteReference w:id="200"/>
      </w:r>
      <w:r w:rsidRPr="008A3740">
        <w:rPr>
          <w:rFonts w:ascii="Verdana" w:hAnsi="Verdana"/>
          <w:snapToGrid w:val="0"/>
          <w:sz w:val="18"/>
          <w:szCs w:val="18"/>
          <w:lang w:val="en-US"/>
        </w:rPr>
        <w:t xml:space="preserve"> </w:t>
      </w:r>
    </w:p>
    <w:p w14:paraId="3061A335" w14:textId="77777777" w:rsidR="008E6A56" w:rsidRPr="008A3740" w:rsidRDefault="008E6A56" w:rsidP="008E6A56">
      <w:pPr>
        <w:snapToGrid w:val="0"/>
        <w:spacing w:after="240"/>
        <w:ind w:left="360" w:right="540"/>
        <w:rPr>
          <w:rFonts w:ascii="Verdana" w:hAnsi="Verdana"/>
          <w:color w:val="000000"/>
          <w:sz w:val="18"/>
          <w:szCs w:val="18"/>
          <w:lang w:val="en-US"/>
        </w:rPr>
      </w:pPr>
      <w:r w:rsidRPr="008A3740">
        <w:rPr>
          <w:rFonts w:ascii="Verdana" w:hAnsi="Verdana"/>
          <w:i/>
          <w:snapToGrid w:val="0"/>
          <w:sz w:val="18"/>
          <w:szCs w:val="18"/>
          <w:lang w:val="en-US"/>
        </w:rPr>
        <w:t>c) Adequacy:</w:t>
      </w:r>
      <w:r w:rsidRPr="008A3740">
        <w:rPr>
          <w:rStyle w:val="Refdenotaalpie"/>
          <w:i/>
          <w:snapToGrid w:val="0"/>
          <w:sz w:val="18"/>
          <w:szCs w:val="18"/>
          <w:lang w:val="en-US"/>
        </w:rPr>
        <w:footnoteReference w:id="201"/>
      </w:r>
      <w:r w:rsidRPr="008A3740">
        <w:rPr>
          <w:rFonts w:ascii="Verdana" w:hAnsi="Verdana"/>
          <w:b/>
          <w:snapToGrid w:val="0"/>
          <w:sz w:val="18"/>
          <w:szCs w:val="18"/>
          <w:lang w:val="en-US"/>
        </w:rPr>
        <w:t xml:space="preserve"> </w:t>
      </w:r>
      <w:r w:rsidRPr="008A3740">
        <w:rPr>
          <w:rFonts w:ascii="Verdana" w:hAnsi="Verdana"/>
          <w:snapToGrid w:val="0"/>
          <w:sz w:val="18"/>
          <w:szCs w:val="18"/>
          <w:lang w:val="en-US"/>
        </w:rPr>
        <w:t xml:space="preserve">Benefits, whether in cash or in kind, must be adequate in amount and duration in order that everyone may realize his or her rights to family protection and assistance, an adequate standard of living and adequate access to health care. States Parties must also pay full respect to the principle of human dignity and the principle of non-discrimination, so as to avoid any adverse </w:t>
      </w:r>
      <w:r w:rsidR="00C26D0E" w:rsidRPr="008A3740">
        <w:rPr>
          <w:rFonts w:ascii="Verdana" w:hAnsi="Verdana"/>
          <w:snapToGrid w:val="0"/>
          <w:sz w:val="18"/>
          <w:szCs w:val="18"/>
          <w:lang w:val="en-US"/>
        </w:rPr>
        <w:t>effect on</w:t>
      </w:r>
      <w:r w:rsidRPr="008A3740">
        <w:rPr>
          <w:rFonts w:ascii="Verdana" w:hAnsi="Verdana"/>
          <w:snapToGrid w:val="0"/>
          <w:sz w:val="18"/>
          <w:szCs w:val="18"/>
          <w:lang w:val="en-US"/>
        </w:rPr>
        <w:t xml:space="preserve"> the levels of benefits and the form in which they are provided. The methods applied </w:t>
      </w:r>
      <w:r w:rsidRPr="008A3740">
        <w:rPr>
          <w:rFonts w:ascii="Verdana" w:hAnsi="Verdana"/>
          <w:sz w:val="18"/>
          <w:szCs w:val="18"/>
          <w:lang w:val="en-US"/>
        </w:rPr>
        <w:t>should ensure the adequacy of benefits.</w:t>
      </w:r>
      <w:r w:rsidRPr="008A3740">
        <w:rPr>
          <w:rFonts w:ascii="Verdana" w:hAnsi="Verdana"/>
          <w:snapToGrid w:val="0"/>
          <w:sz w:val="18"/>
          <w:szCs w:val="18"/>
          <w:lang w:val="en-US"/>
        </w:rPr>
        <w:t xml:space="preserve"> </w:t>
      </w:r>
      <w:r w:rsidRPr="008A3740">
        <w:rPr>
          <w:rFonts w:ascii="Verdana" w:hAnsi="Verdana"/>
          <w:sz w:val="18"/>
          <w:szCs w:val="18"/>
          <w:lang w:val="en-US"/>
        </w:rPr>
        <w:t>The adequacy criteria should be monitored regularly to ensure that beneficiaries are able to afford the goods and services they require</w:t>
      </w:r>
      <w:r w:rsidRPr="008A3740">
        <w:rPr>
          <w:rFonts w:ascii="Verdana" w:hAnsi="Verdana"/>
          <w:snapToGrid w:val="0"/>
          <w:sz w:val="18"/>
          <w:szCs w:val="18"/>
          <w:lang w:val="en-US"/>
        </w:rPr>
        <w:t xml:space="preserve"> to realize their Covenant rights. </w:t>
      </w:r>
      <w:r w:rsidRPr="008A3740">
        <w:rPr>
          <w:rFonts w:ascii="Verdana" w:hAnsi="Verdana"/>
          <w:sz w:val="18"/>
          <w:szCs w:val="18"/>
          <w:lang w:val="en-US"/>
        </w:rPr>
        <w:t xml:space="preserve">When a person makes contributions to a social security scheme that provides benefits to cover lack of income, there should be a reasonable relationship between earnings, paid contributions, and the amount of </w:t>
      </w:r>
      <w:r w:rsidR="009C2783" w:rsidRPr="008A3740">
        <w:rPr>
          <w:rFonts w:ascii="Verdana" w:hAnsi="Verdana"/>
          <w:sz w:val="18"/>
          <w:szCs w:val="18"/>
          <w:lang w:val="en-US"/>
        </w:rPr>
        <w:t xml:space="preserve">the </w:t>
      </w:r>
      <w:r w:rsidRPr="008A3740">
        <w:rPr>
          <w:rFonts w:ascii="Verdana" w:hAnsi="Verdana"/>
          <w:sz w:val="18"/>
          <w:szCs w:val="18"/>
          <w:lang w:val="en-US"/>
        </w:rPr>
        <w:t>relevant benefit</w:t>
      </w:r>
      <w:r w:rsidRPr="008A3740">
        <w:rPr>
          <w:rFonts w:ascii="Verdana" w:hAnsi="Verdana"/>
          <w:snapToGrid w:val="0"/>
          <w:sz w:val="18"/>
          <w:szCs w:val="18"/>
          <w:lang w:val="en-US"/>
        </w:rPr>
        <w:t>.</w:t>
      </w:r>
      <w:r w:rsidRPr="008A3740">
        <w:rPr>
          <w:rStyle w:val="Refdenotaalpie"/>
          <w:snapToGrid w:val="0"/>
          <w:sz w:val="18"/>
          <w:szCs w:val="18"/>
          <w:lang w:val="en-US"/>
        </w:rPr>
        <w:footnoteReference w:id="202"/>
      </w:r>
    </w:p>
    <w:p w14:paraId="2CBF0877" w14:textId="77777777" w:rsidR="008E6A56" w:rsidRPr="008A3740" w:rsidRDefault="008E6A56" w:rsidP="008E6A56">
      <w:pPr>
        <w:snapToGrid w:val="0"/>
        <w:spacing w:after="240"/>
        <w:ind w:left="360" w:right="540"/>
        <w:rPr>
          <w:rFonts w:ascii="Verdana" w:hAnsi="Verdana"/>
          <w:b/>
          <w:snapToGrid w:val="0"/>
          <w:sz w:val="18"/>
          <w:szCs w:val="18"/>
          <w:lang w:val="en-US"/>
        </w:rPr>
      </w:pPr>
      <w:r w:rsidRPr="008A3740">
        <w:rPr>
          <w:rFonts w:ascii="Verdana" w:hAnsi="Verdana"/>
          <w:i/>
          <w:snapToGrid w:val="0"/>
          <w:sz w:val="18"/>
          <w:szCs w:val="18"/>
          <w:lang w:val="en-US"/>
        </w:rPr>
        <w:t>d) Accessibility:</w:t>
      </w:r>
      <w:r w:rsidRPr="008A3740">
        <w:rPr>
          <w:rFonts w:ascii="Verdana" w:hAnsi="Verdana"/>
          <w:b/>
          <w:snapToGrid w:val="0"/>
          <w:sz w:val="18"/>
          <w:szCs w:val="18"/>
          <w:lang w:val="en-US"/>
        </w:rPr>
        <w:t xml:space="preserve"> </w:t>
      </w:r>
      <w:r w:rsidRPr="008A3740">
        <w:rPr>
          <w:rFonts w:ascii="Verdana" w:hAnsi="Verdana"/>
          <w:snapToGrid w:val="0"/>
          <w:sz w:val="18"/>
          <w:szCs w:val="18"/>
          <w:lang w:val="en-US"/>
        </w:rPr>
        <w:t xml:space="preserve">which includes: i) Coverage: all persons should be covered by the social security system, without discrimination. </w:t>
      </w:r>
      <w:r w:rsidRPr="008A3740">
        <w:rPr>
          <w:rFonts w:ascii="Verdana" w:hAnsi="Verdana"/>
          <w:sz w:val="18"/>
          <w:szCs w:val="18"/>
          <w:lang w:val="en-US"/>
        </w:rPr>
        <w:t>In order to ensure universal coverage, non-contributory schemes will be necessary</w:t>
      </w:r>
      <w:r w:rsidRPr="008A3740">
        <w:rPr>
          <w:rFonts w:ascii="Verdana" w:hAnsi="Verdana"/>
          <w:snapToGrid w:val="0"/>
          <w:sz w:val="18"/>
          <w:szCs w:val="18"/>
          <w:lang w:val="en-US"/>
        </w:rPr>
        <w:t xml:space="preserve">; ii) Eligibility: the </w:t>
      </w:r>
      <w:r w:rsidRPr="008A3740">
        <w:rPr>
          <w:rFonts w:ascii="Verdana" w:hAnsi="Verdana"/>
          <w:sz w:val="18"/>
          <w:szCs w:val="18"/>
          <w:lang w:val="en-US"/>
        </w:rPr>
        <w:t>qualifying conditions for benefits must b</w:t>
      </w:r>
      <w:r w:rsidR="009050BD" w:rsidRPr="008A3740">
        <w:rPr>
          <w:rFonts w:ascii="Verdana" w:hAnsi="Verdana"/>
          <w:sz w:val="18"/>
          <w:szCs w:val="18"/>
          <w:lang w:val="en-US"/>
        </w:rPr>
        <w:t xml:space="preserve">e reasonable, proportionate and </w:t>
      </w:r>
      <w:r w:rsidRPr="008A3740">
        <w:rPr>
          <w:rFonts w:ascii="Verdana" w:hAnsi="Verdana"/>
          <w:sz w:val="18"/>
          <w:szCs w:val="18"/>
          <w:lang w:val="en-US"/>
        </w:rPr>
        <w:t>transparent</w:t>
      </w:r>
      <w:r w:rsidRPr="008A3740">
        <w:rPr>
          <w:rFonts w:ascii="Verdana" w:hAnsi="Verdana"/>
          <w:snapToGrid w:val="0"/>
          <w:sz w:val="18"/>
          <w:szCs w:val="18"/>
          <w:lang w:val="en-US"/>
        </w:rPr>
        <w:t>; iii) Affordability: if</w:t>
      </w:r>
      <w:r w:rsidRPr="008A3740">
        <w:rPr>
          <w:rFonts w:ascii="Verdana" w:hAnsi="Verdana"/>
          <w:sz w:val="18"/>
          <w:szCs w:val="18"/>
          <w:lang w:val="en-US"/>
        </w:rPr>
        <w:t xml:space="preserve"> a social security scheme requires contributions, those contributions should be stipulated in advance.</w:t>
      </w:r>
      <w:r w:rsidRPr="008A3740">
        <w:rPr>
          <w:lang w:val="en-US"/>
        </w:rPr>
        <w:t xml:space="preserve"> </w:t>
      </w:r>
      <w:r w:rsidRPr="008A3740">
        <w:rPr>
          <w:rFonts w:ascii="Verdana" w:hAnsi="Verdana"/>
          <w:snapToGrid w:val="0"/>
          <w:sz w:val="18"/>
          <w:szCs w:val="18"/>
          <w:lang w:val="en-US"/>
        </w:rPr>
        <w:t>The direct and indirect costs associated with making contributions must be affordable for all and must not compromise the realization of other rights;</w:t>
      </w:r>
      <w:r w:rsidRPr="008A3740">
        <w:rPr>
          <w:rFonts w:ascii="Verdana" w:hAnsi="Verdana"/>
          <w:b/>
          <w:snapToGrid w:val="0"/>
          <w:sz w:val="18"/>
          <w:szCs w:val="18"/>
          <w:lang w:val="en-US"/>
        </w:rPr>
        <w:t xml:space="preserve"> </w:t>
      </w:r>
      <w:r w:rsidRPr="008A3740">
        <w:rPr>
          <w:rFonts w:ascii="Verdana" w:hAnsi="Verdana"/>
          <w:snapToGrid w:val="0"/>
          <w:sz w:val="18"/>
          <w:szCs w:val="18"/>
          <w:lang w:val="en-US"/>
        </w:rPr>
        <w:t xml:space="preserve">iv) Participation and information: beneficiaries of  </w:t>
      </w:r>
      <w:r w:rsidRPr="008A3740">
        <w:rPr>
          <w:rFonts w:ascii="Verdana" w:hAnsi="Verdana"/>
          <w:sz w:val="18"/>
          <w:szCs w:val="18"/>
          <w:lang w:val="en-US"/>
        </w:rPr>
        <w:t xml:space="preserve">social security schemes must be able to participate in </w:t>
      </w:r>
      <w:r w:rsidRPr="008A3740">
        <w:rPr>
          <w:rFonts w:ascii="Verdana" w:hAnsi="Verdana"/>
          <w:sz w:val="18"/>
          <w:szCs w:val="18"/>
          <w:lang w:val="en-US"/>
        </w:rPr>
        <w:lastRenderedPageBreak/>
        <w:t>the administration of the social security system</w:t>
      </w:r>
      <w:r w:rsidRPr="008A3740">
        <w:rPr>
          <w:rFonts w:ascii="Verdana" w:hAnsi="Verdana"/>
          <w:snapToGrid w:val="0"/>
          <w:sz w:val="18"/>
          <w:szCs w:val="18"/>
          <w:lang w:val="en-US"/>
        </w:rPr>
        <w:t>.</w:t>
      </w:r>
      <w:r w:rsidRPr="008A3740">
        <w:rPr>
          <w:rStyle w:val="Refdenotaalpie"/>
          <w:snapToGrid w:val="0"/>
          <w:sz w:val="18"/>
          <w:szCs w:val="18"/>
          <w:lang w:val="en-US"/>
        </w:rPr>
        <w:footnoteReference w:id="203"/>
      </w:r>
      <w:r w:rsidRPr="008A3740">
        <w:rPr>
          <w:rFonts w:ascii="Verdana" w:hAnsi="Verdana"/>
          <w:snapToGrid w:val="0"/>
          <w:sz w:val="18"/>
          <w:szCs w:val="18"/>
          <w:lang w:val="en-US"/>
        </w:rPr>
        <w:t xml:space="preserve"> </w:t>
      </w:r>
      <w:r w:rsidRPr="008A3740">
        <w:rPr>
          <w:rFonts w:ascii="Verdana" w:hAnsi="Verdana"/>
          <w:sz w:val="18"/>
          <w:szCs w:val="18"/>
          <w:lang w:val="en-US"/>
        </w:rPr>
        <w:t>The system should be established under national law and ensure the right of individuals and organizations to seek, receive and impart information on all social security entitlements in a clear and transparent manner</w:t>
      </w:r>
      <w:r w:rsidRPr="008A3740">
        <w:rPr>
          <w:rFonts w:ascii="Verdana" w:hAnsi="Verdana"/>
          <w:snapToGrid w:val="0"/>
          <w:sz w:val="18"/>
          <w:szCs w:val="18"/>
          <w:lang w:val="en-US"/>
        </w:rPr>
        <w:t>, and v)</w:t>
      </w:r>
      <w:r w:rsidRPr="008A3740">
        <w:rPr>
          <w:rFonts w:ascii="Verdana" w:hAnsi="Verdana"/>
          <w:b/>
          <w:snapToGrid w:val="0"/>
          <w:sz w:val="18"/>
          <w:szCs w:val="18"/>
          <w:lang w:val="en-US"/>
        </w:rPr>
        <w:t xml:space="preserve"> </w:t>
      </w:r>
      <w:r w:rsidRPr="008A3740">
        <w:rPr>
          <w:rFonts w:ascii="Verdana" w:hAnsi="Verdana"/>
          <w:snapToGrid w:val="0"/>
          <w:sz w:val="18"/>
          <w:szCs w:val="18"/>
          <w:lang w:val="en-US"/>
        </w:rPr>
        <w:t>Physical</w:t>
      </w:r>
      <w:r w:rsidRPr="008A3740">
        <w:rPr>
          <w:rFonts w:ascii="Verdana" w:hAnsi="Verdana"/>
          <w:b/>
          <w:snapToGrid w:val="0"/>
          <w:sz w:val="18"/>
          <w:szCs w:val="18"/>
          <w:lang w:val="en-US"/>
        </w:rPr>
        <w:t xml:space="preserve"> </w:t>
      </w:r>
      <w:r w:rsidRPr="008A3740">
        <w:rPr>
          <w:rFonts w:ascii="Verdana" w:hAnsi="Verdana"/>
          <w:snapToGrid w:val="0"/>
          <w:sz w:val="18"/>
          <w:szCs w:val="18"/>
          <w:lang w:val="en-US"/>
        </w:rPr>
        <w:t xml:space="preserve">access: benefits </w:t>
      </w:r>
      <w:r w:rsidRPr="008A3740">
        <w:rPr>
          <w:rFonts w:ascii="Verdana" w:hAnsi="Verdana"/>
          <w:sz w:val="18"/>
          <w:szCs w:val="18"/>
          <w:lang w:val="en-US"/>
        </w:rPr>
        <w:t>should be provided in a timely manner and beneficiaries should have physical access to the social security services in order to access benefits and information, and make contributions where relevant</w:t>
      </w:r>
      <w:r w:rsidRPr="008A3740">
        <w:rPr>
          <w:rFonts w:ascii="Verdana" w:hAnsi="Verdana"/>
          <w:snapToGrid w:val="0"/>
          <w:sz w:val="18"/>
          <w:szCs w:val="18"/>
          <w:lang w:val="en-US"/>
        </w:rPr>
        <w:t xml:space="preserve"> […].</w:t>
      </w:r>
    </w:p>
    <w:p w14:paraId="37B47966" w14:textId="77777777" w:rsidR="008E6A56" w:rsidRPr="008A3740" w:rsidRDefault="008E6A56" w:rsidP="008E6A56">
      <w:pPr>
        <w:snapToGrid w:val="0"/>
        <w:spacing w:after="240"/>
        <w:ind w:left="360" w:right="540"/>
        <w:rPr>
          <w:rFonts w:ascii="Verdana" w:hAnsi="Verdana"/>
          <w:snapToGrid w:val="0"/>
          <w:sz w:val="18"/>
          <w:szCs w:val="18"/>
          <w:lang w:val="en-US"/>
        </w:rPr>
      </w:pPr>
      <w:r w:rsidRPr="008A3740">
        <w:rPr>
          <w:rFonts w:ascii="Verdana" w:hAnsi="Verdana"/>
          <w:i/>
          <w:snapToGrid w:val="0"/>
          <w:sz w:val="18"/>
          <w:szCs w:val="18"/>
          <w:lang w:val="en-US"/>
        </w:rPr>
        <w:t>e) Relationship with other rights:</w:t>
      </w:r>
      <w:r w:rsidRPr="008A3740">
        <w:rPr>
          <w:rFonts w:ascii="Verdana" w:hAnsi="Verdana"/>
          <w:snapToGrid w:val="0"/>
          <w:sz w:val="18"/>
          <w:szCs w:val="18"/>
          <w:lang w:val="en-US"/>
        </w:rPr>
        <w:t xml:space="preserve"> The right to social security plays an important role in supporting the realization of many economic, social and cultural rights. </w:t>
      </w:r>
    </w:p>
    <w:p w14:paraId="21A2126D" w14:textId="77777777" w:rsidR="008E6A56" w:rsidRPr="008A3740" w:rsidRDefault="00EE27D6" w:rsidP="00D17A65">
      <w:pPr>
        <w:widowControl/>
        <w:numPr>
          <w:ilvl w:val="0"/>
          <w:numId w:val="3"/>
        </w:numPr>
        <w:tabs>
          <w:tab w:val="left" w:pos="567"/>
          <w:tab w:val="num" w:pos="1569"/>
          <w:tab w:val="num" w:pos="12305"/>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Furthermore</w:t>
      </w:r>
      <w:r w:rsidR="008E6A56" w:rsidRPr="008A3740">
        <w:rPr>
          <w:rFonts w:ascii="Verdana" w:hAnsi="Verdana"/>
          <w:snapToGrid w:val="0"/>
          <w:sz w:val="20"/>
          <w:szCs w:val="20"/>
          <w:lang w:val="en-US"/>
        </w:rPr>
        <w:t xml:space="preserve">, General Comment No. 19 has established that the right </w:t>
      </w:r>
      <w:r w:rsidR="009050BD" w:rsidRPr="008A3740">
        <w:rPr>
          <w:rFonts w:ascii="Verdana" w:hAnsi="Verdana"/>
          <w:snapToGrid w:val="0"/>
          <w:sz w:val="20"/>
          <w:szCs w:val="20"/>
          <w:lang w:val="en-US"/>
        </w:rPr>
        <w:t xml:space="preserve">of </w:t>
      </w:r>
      <w:r w:rsidR="008E6A56" w:rsidRPr="008A3740">
        <w:rPr>
          <w:rFonts w:ascii="Verdana" w:hAnsi="Verdana"/>
          <w:snapToGrid w:val="0"/>
          <w:sz w:val="20"/>
          <w:szCs w:val="20"/>
          <w:lang w:val="en-US"/>
        </w:rPr>
        <w:t xml:space="preserve">access to justice forms part of the right to social security. Thus, any </w:t>
      </w:r>
      <w:r w:rsidR="009050BD" w:rsidRPr="008A3740">
        <w:rPr>
          <w:rFonts w:ascii="Verdana" w:hAnsi="Verdana"/>
          <w:snapToGrid w:val="0"/>
          <w:sz w:val="20"/>
          <w:szCs w:val="20"/>
          <w:lang w:val="en-US"/>
        </w:rPr>
        <w:t xml:space="preserve">individuals </w:t>
      </w:r>
      <w:r w:rsidR="008E6A56" w:rsidRPr="008A3740">
        <w:rPr>
          <w:rFonts w:ascii="Verdana" w:hAnsi="Verdana"/>
          <w:snapToGrid w:val="0"/>
          <w:sz w:val="20"/>
          <w:szCs w:val="20"/>
          <w:lang w:val="en-US"/>
        </w:rPr>
        <w:t>or groups who have experienced violations of their right to social security should have ac</w:t>
      </w:r>
      <w:r w:rsidR="00977C05" w:rsidRPr="008A3740">
        <w:rPr>
          <w:rFonts w:ascii="Verdana" w:hAnsi="Verdana"/>
          <w:snapToGrid w:val="0"/>
          <w:sz w:val="20"/>
          <w:szCs w:val="20"/>
          <w:lang w:val="en-US"/>
        </w:rPr>
        <w:t>c</w:t>
      </w:r>
      <w:r w:rsidR="008E6A56" w:rsidRPr="008A3740">
        <w:rPr>
          <w:rFonts w:ascii="Verdana" w:hAnsi="Verdana"/>
          <w:snapToGrid w:val="0"/>
          <w:sz w:val="20"/>
          <w:szCs w:val="20"/>
          <w:lang w:val="en-US"/>
        </w:rPr>
        <w:t>ess to effective judicial or other appropriate remedies, at both national and international levels, including adequate reparations.</w:t>
      </w:r>
      <w:r w:rsidR="008E6A56" w:rsidRPr="008A3740">
        <w:rPr>
          <w:rStyle w:val="Refdenotaalpie"/>
          <w:snapToGrid w:val="0"/>
          <w:szCs w:val="20"/>
          <w:lang w:val="en-US"/>
        </w:rPr>
        <w:footnoteReference w:id="204"/>
      </w:r>
      <w:r w:rsidR="008E6A56" w:rsidRPr="008A3740">
        <w:rPr>
          <w:rFonts w:ascii="Verdana" w:hAnsi="Verdana"/>
          <w:snapToGrid w:val="0"/>
          <w:sz w:val="20"/>
          <w:szCs w:val="20"/>
          <w:lang w:val="en-US"/>
        </w:rPr>
        <w:t xml:space="preserve"> </w:t>
      </w:r>
    </w:p>
    <w:p w14:paraId="61A9A74D" w14:textId="77777777" w:rsidR="008E6A56" w:rsidRPr="008A3740" w:rsidRDefault="008E6A56" w:rsidP="008E6A56">
      <w:pPr>
        <w:widowControl/>
        <w:tabs>
          <w:tab w:val="left" w:pos="567"/>
        </w:tabs>
        <w:adjustRightInd/>
        <w:textAlignment w:val="auto"/>
        <w:rPr>
          <w:rFonts w:ascii="Verdana" w:hAnsi="Verdana"/>
          <w:snapToGrid w:val="0"/>
          <w:sz w:val="20"/>
          <w:szCs w:val="20"/>
          <w:lang w:val="en-US"/>
        </w:rPr>
      </w:pPr>
    </w:p>
    <w:p w14:paraId="44842EA8"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 xml:space="preserve">States also have the obligation to facilitate the realization </w:t>
      </w:r>
      <w:r w:rsidR="00667948" w:rsidRPr="008A3740">
        <w:rPr>
          <w:rFonts w:ascii="Verdana" w:hAnsi="Verdana"/>
          <w:snapToGrid w:val="0"/>
          <w:sz w:val="20"/>
          <w:szCs w:val="20"/>
          <w:lang w:val="en-US"/>
        </w:rPr>
        <w:t>of the right to social security</w:t>
      </w:r>
      <w:r w:rsidRPr="008A3740">
        <w:rPr>
          <w:rFonts w:ascii="Verdana" w:hAnsi="Verdana"/>
          <w:snapToGrid w:val="0"/>
          <w:sz w:val="20"/>
          <w:szCs w:val="20"/>
          <w:lang w:val="en-US"/>
        </w:rPr>
        <w:t xml:space="preserve"> by adopting positive measures to assist individuals and communities to enjoy this right.</w:t>
      </w:r>
      <w:r w:rsidRPr="008A3740">
        <w:rPr>
          <w:rStyle w:val="Refdenotaalpie"/>
          <w:snapToGrid w:val="0"/>
          <w:szCs w:val="20"/>
          <w:lang w:val="en-US"/>
        </w:rPr>
        <w:footnoteReference w:id="205"/>
      </w:r>
      <w:r w:rsidRPr="008A3740">
        <w:rPr>
          <w:rFonts w:ascii="Verdana" w:hAnsi="Verdana"/>
          <w:snapToGrid w:val="0"/>
          <w:sz w:val="20"/>
          <w:szCs w:val="20"/>
          <w:lang w:val="en-US"/>
        </w:rPr>
        <w:t xml:space="preserve"> Not only must </w:t>
      </w:r>
      <w:r w:rsidR="004B7941" w:rsidRPr="008A3740">
        <w:rPr>
          <w:rFonts w:ascii="Verdana" w:hAnsi="Verdana"/>
          <w:snapToGrid w:val="0"/>
          <w:sz w:val="20"/>
          <w:szCs w:val="20"/>
          <w:lang w:val="en-US"/>
        </w:rPr>
        <w:t xml:space="preserve">the </w:t>
      </w:r>
      <w:r w:rsidRPr="008A3740">
        <w:rPr>
          <w:rFonts w:ascii="Verdana" w:hAnsi="Verdana"/>
          <w:snapToGrid w:val="0"/>
          <w:sz w:val="20"/>
          <w:szCs w:val="20"/>
          <w:lang w:val="en-US"/>
        </w:rPr>
        <w:t xml:space="preserve">States facilitate said exercise, but </w:t>
      </w:r>
      <w:r w:rsidR="004B7941" w:rsidRPr="008A3740">
        <w:rPr>
          <w:rFonts w:ascii="Verdana" w:hAnsi="Verdana"/>
          <w:snapToGrid w:val="0"/>
          <w:sz w:val="20"/>
          <w:szCs w:val="20"/>
          <w:lang w:val="en-US"/>
        </w:rPr>
        <w:t xml:space="preserve">they must </w:t>
      </w:r>
      <w:r w:rsidRPr="008A3740">
        <w:rPr>
          <w:rFonts w:ascii="Verdana" w:hAnsi="Verdana"/>
          <w:snapToGrid w:val="0"/>
          <w:sz w:val="20"/>
          <w:szCs w:val="20"/>
          <w:lang w:val="en-US"/>
        </w:rPr>
        <w:t>also ensure that “</w:t>
      </w:r>
      <w:r w:rsidR="004B7941" w:rsidRPr="008A3740">
        <w:rPr>
          <w:rFonts w:ascii="Verdana" w:hAnsi="Verdana"/>
          <w:snapToGrid w:val="0"/>
          <w:sz w:val="20"/>
          <w:szCs w:val="20"/>
          <w:lang w:val="en-US"/>
        </w:rPr>
        <w:t xml:space="preserve">before </w:t>
      </w:r>
      <w:r w:rsidR="004B7941" w:rsidRPr="008A3740">
        <w:rPr>
          <w:rFonts w:ascii="Verdana" w:hAnsi="Verdana"/>
          <w:sz w:val="20"/>
          <w:szCs w:val="20"/>
          <w:lang w:val="en-US"/>
        </w:rPr>
        <w:t>any action is carried out by the</w:t>
      </w:r>
      <w:r w:rsidRPr="008A3740">
        <w:rPr>
          <w:rFonts w:ascii="Verdana" w:hAnsi="Verdana"/>
          <w:sz w:val="20"/>
          <w:szCs w:val="20"/>
          <w:lang w:val="en-US"/>
        </w:rPr>
        <w:t xml:space="preserve"> State party, or by any other third party, that interferes with the right of an individual to social security the relevant authorities must ensure that such actions are performed in a manner warranted by law, compatible with the Covenant, and include: (a) an opportunity for genuine consultation with those affected; (b) timely and full disclosure of information on the proposed measures; (c) reasonable notice of </w:t>
      </w:r>
      <w:r w:rsidR="004B7941" w:rsidRPr="008A3740">
        <w:rPr>
          <w:rFonts w:ascii="Verdana" w:hAnsi="Verdana"/>
          <w:sz w:val="20"/>
          <w:szCs w:val="20"/>
          <w:lang w:val="en-US"/>
        </w:rPr>
        <w:t xml:space="preserve">the </w:t>
      </w:r>
      <w:r w:rsidRPr="008A3740">
        <w:rPr>
          <w:rFonts w:ascii="Verdana" w:hAnsi="Verdana"/>
          <w:sz w:val="20"/>
          <w:szCs w:val="20"/>
          <w:lang w:val="en-US"/>
        </w:rPr>
        <w:t>proposed actions; (d) legal recourse and remedies for those affected; and (e) legal assistance for obtaining legal remedies</w:t>
      </w:r>
      <w:r w:rsidRPr="008A3740">
        <w:rPr>
          <w:rFonts w:ascii="Verdana" w:hAnsi="Verdana"/>
          <w:snapToGrid w:val="0"/>
          <w:sz w:val="20"/>
          <w:szCs w:val="20"/>
          <w:lang w:val="en-US"/>
        </w:rPr>
        <w:t>[…].”</w:t>
      </w:r>
      <w:r w:rsidRPr="008A3740">
        <w:rPr>
          <w:rStyle w:val="Refdenotaalpie"/>
          <w:snapToGrid w:val="0"/>
          <w:szCs w:val="20"/>
          <w:lang w:val="en-US"/>
        </w:rPr>
        <w:footnoteReference w:id="206"/>
      </w:r>
    </w:p>
    <w:p w14:paraId="1DFEBC46" w14:textId="77777777" w:rsidR="008E6A56" w:rsidRPr="008A3740" w:rsidRDefault="008E6A56" w:rsidP="008E6A56">
      <w:pPr>
        <w:pStyle w:val="Prrafodelista"/>
        <w:rPr>
          <w:rFonts w:ascii="Verdana" w:hAnsi="Verdana"/>
          <w:snapToGrid w:val="0"/>
          <w:sz w:val="20"/>
          <w:szCs w:val="20"/>
          <w:lang w:val="en-US"/>
        </w:rPr>
      </w:pPr>
    </w:p>
    <w:p w14:paraId="508989B8"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napToGrid w:val="0"/>
          <w:sz w:val="20"/>
          <w:szCs w:val="20"/>
          <w:lang w:val="en-US"/>
        </w:rPr>
      </w:pPr>
      <w:r w:rsidRPr="008A3740">
        <w:rPr>
          <w:rFonts w:ascii="Verdana" w:hAnsi="Verdana"/>
          <w:snapToGrid w:val="0"/>
          <w:sz w:val="20"/>
          <w:szCs w:val="20"/>
          <w:lang w:val="en-US"/>
        </w:rPr>
        <w:t>That said, the Court considers</w:t>
      </w:r>
      <w:r w:rsidRPr="008A3740">
        <w:rPr>
          <w:rFonts w:ascii="Verdana" w:eastAsia="Times" w:hAnsi="Verdana" w:cs="Arial"/>
          <w:sz w:val="20"/>
          <w:szCs w:val="20"/>
          <w:lang w:val="en-US"/>
        </w:rPr>
        <w:t xml:space="preserve"> that the nature and scope of the obligations </w:t>
      </w:r>
      <w:r w:rsidR="00977C05" w:rsidRPr="008A3740">
        <w:rPr>
          <w:rFonts w:ascii="Verdana" w:eastAsia="Times" w:hAnsi="Verdana" w:cs="Arial"/>
          <w:sz w:val="20"/>
          <w:szCs w:val="20"/>
          <w:lang w:val="en-US"/>
        </w:rPr>
        <w:t xml:space="preserve">derived from </w:t>
      </w:r>
      <w:r w:rsidRPr="008A3740">
        <w:rPr>
          <w:rFonts w:ascii="Verdana" w:eastAsia="Times" w:hAnsi="Verdana" w:cs="Arial"/>
          <w:sz w:val="20"/>
          <w:szCs w:val="20"/>
          <w:lang w:val="en-US"/>
        </w:rPr>
        <w:t>the</w:t>
      </w:r>
      <w:r w:rsidR="001647BE" w:rsidRPr="008A3740">
        <w:rPr>
          <w:rFonts w:ascii="Verdana" w:eastAsia="Times" w:hAnsi="Verdana" w:cs="Arial"/>
          <w:sz w:val="20"/>
          <w:szCs w:val="20"/>
          <w:lang w:val="en-US"/>
        </w:rPr>
        <w:t xml:space="preserve"> protection of</w:t>
      </w:r>
      <w:r w:rsidR="004B7941" w:rsidRPr="008A3740">
        <w:rPr>
          <w:rFonts w:ascii="Verdana" w:eastAsia="Times" w:hAnsi="Verdana" w:cs="Arial"/>
          <w:sz w:val="20"/>
          <w:szCs w:val="20"/>
          <w:lang w:val="en-US"/>
        </w:rPr>
        <w:t xml:space="preserve"> social security</w:t>
      </w:r>
      <w:r w:rsidR="001647BE" w:rsidRPr="008A3740">
        <w:rPr>
          <w:rFonts w:ascii="Verdana" w:eastAsia="Times" w:hAnsi="Verdana" w:cs="Arial"/>
          <w:sz w:val="20"/>
          <w:szCs w:val="20"/>
          <w:lang w:val="en-US"/>
        </w:rPr>
        <w:t xml:space="preserve"> include</w:t>
      </w:r>
      <w:r w:rsidRPr="008A3740">
        <w:rPr>
          <w:rFonts w:ascii="Verdana" w:eastAsia="Times" w:hAnsi="Verdana" w:cs="Arial"/>
          <w:sz w:val="20"/>
          <w:szCs w:val="20"/>
          <w:lang w:val="en-US"/>
        </w:rPr>
        <w:t xml:space="preserve"> aspects that are </w:t>
      </w:r>
      <w:r w:rsidRPr="008A3740">
        <w:rPr>
          <w:rFonts w:ascii="Verdana" w:eastAsia="Times" w:hAnsi="Verdana" w:cs="Arial"/>
          <w:iCs/>
          <w:sz w:val="20"/>
          <w:szCs w:val="20"/>
          <w:lang w:val="en-US"/>
        </w:rPr>
        <w:t>immediately enforceable</w:t>
      </w:r>
      <w:r w:rsidRPr="008A3740">
        <w:rPr>
          <w:rFonts w:ascii="Verdana" w:eastAsia="Times" w:hAnsi="Verdana" w:cs="Arial"/>
          <w:sz w:val="20"/>
          <w:szCs w:val="20"/>
          <w:lang w:val="en-US"/>
        </w:rPr>
        <w:t xml:space="preserve">, as well as aspects </w:t>
      </w:r>
      <w:r w:rsidRPr="008A3740">
        <w:rPr>
          <w:rFonts w:ascii="Verdana" w:eastAsia="Times" w:hAnsi="Verdana" w:cs="Arial"/>
          <w:iCs/>
          <w:sz w:val="20"/>
          <w:szCs w:val="20"/>
          <w:lang w:val="en-US"/>
        </w:rPr>
        <w:t>of a progressive nature</w:t>
      </w:r>
      <w:r w:rsidRPr="008A3740">
        <w:rPr>
          <w:rFonts w:ascii="Verdana" w:eastAsia="Times" w:hAnsi="Verdana" w:cs="Arial"/>
          <w:sz w:val="20"/>
          <w:szCs w:val="20"/>
          <w:lang w:val="en-US"/>
        </w:rPr>
        <w:t>.</w:t>
      </w:r>
      <w:r w:rsidRPr="008A3740">
        <w:rPr>
          <w:rStyle w:val="Refdenotaalpie"/>
          <w:rFonts w:eastAsia="Times"/>
          <w:szCs w:val="20"/>
          <w:lang w:val="en-US"/>
        </w:rPr>
        <w:footnoteReference w:id="207"/>
      </w:r>
      <w:r w:rsidR="004551BA" w:rsidRPr="008A3740">
        <w:rPr>
          <w:rFonts w:ascii="Verdana" w:eastAsia="Times" w:hAnsi="Verdana" w:cs="Arial"/>
          <w:sz w:val="20"/>
          <w:szCs w:val="20"/>
          <w:lang w:val="en-US"/>
        </w:rPr>
        <w:t xml:space="preserve"> Regarding the former (</w:t>
      </w:r>
      <w:r w:rsidRPr="008A3740">
        <w:rPr>
          <w:rFonts w:ascii="Verdana" w:eastAsia="Times" w:hAnsi="Verdana" w:cs="Arial"/>
          <w:sz w:val="20"/>
          <w:szCs w:val="20"/>
          <w:lang w:val="en-US"/>
        </w:rPr>
        <w:t xml:space="preserve">obligations </w:t>
      </w:r>
      <w:r w:rsidR="004551BA" w:rsidRPr="008A3740">
        <w:rPr>
          <w:rFonts w:ascii="Verdana" w:eastAsia="Times" w:hAnsi="Verdana" w:cs="Arial"/>
          <w:sz w:val="20"/>
          <w:szCs w:val="20"/>
          <w:lang w:val="en-US"/>
        </w:rPr>
        <w:t>of an immediate nature</w:t>
      </w:r>
      <w:r w:rsidRPr="008A3740">
        <w:rPr>
          <w:rFonts w:ascii="Verdana" w:eastAsia="Times" w:hAnsi="Verdana" w:cs="Arial"/>
          <w:sz w:val="20"/>
          <w:szCs w:val="20"/>
          <w:lang w:val="en-US"/>
        </w:rPr>
        <w:t xml:space="preserve">), </w:t>
      </w:r>
      <w:r w:rsidR="004551BA" w:rsidRPr="008A3740">
        <w:rPr>
          <w:rFonts w:ascii="Verdana" w:eastAsia="Times" w:hAnsi="Verdana" w:cs="Arial"/>
          <w:sz w:val="20"/>
          <w:szCs w:val="20"/>
          <w:lang w:val="en-US"/>
        </w:rPr>
        <w:t xml:space="preserve">the Court recalls that </w:t>
      </w:r>
      <w:r w:rsidRPr="008A3740">
        <w:rPr>
          <w:rFonts w:ascii="Verdana" w:eastAsia="Times" w:hAnsi="Verdana" w:cs="Arial"/>
          <w:sz w:val="20"/>
          <w:szCs w:val="20"/>
          <w:lang w:val="en-US"/>
        </w:rPr>
        <w:t xml:space="preserve">States must take effective measures to ensure access, without discrimination, to the benefits recognized by </w:t>
      </w:r>
      <w:r w:rsidRPr="008A3740">
        <w:rPr>
          <w:rFonts w:ascii="Verdana" w:hAnsi="Verdana"/>
          <w:sz w:val="20"/>
          <w:szCs w:val="20"/>
          <w:lang w:val="en-US"/>
        </w:rPr>
        <w:t xml:space="preserve">the right to social security </w:t>
      </w:r>
      <w:r w:rsidRPr="008A3740">
        <w:rPr>
          <w:rFonts w:ascii="Verdana" w:eastAsia="Times" w:hAnsi="Verdana" w:cs="Arial"/>
          <w:sz w:val="20"/>
          <w:szCs w:val="20"/>
          <w:lang w:val="en-US"/>
        </w:rPr>
        <w:t xml:space="preserve">and </w:t>
      </w:r>
      <w:r w:rsidRPr="008A3740">
        <w:rPr>
          <w:rFonts w:ascii="Verdana" w:hAnsi="Verdana"/>
          <w:sz w:val="20"/>
          <w:szCs w:val="20"/>
          <w:lang w:val="en-US"/>
        </w:rPr>
        <w:t xml:space="preserve">equal rights </w:t>
      </w:r>
      <w:r w:rsidR="004551BA" w:rsidRPr="008A3740">
        <w:rPr>
          <w:rFonts w:ascii="Verdana" w:hAnsi="Verdana"/>
          <w:sz w:val="20"/>
          <w:szCs w:val="20"/>
          <w:lang w:val="en-US"/>
        </w:rPr>
        <w:t xml:space="preserve">for </w:t>
      </w:r>
      <w:r w:rsidRPr="008A3740">
        <w:rPr>
          <w:rFonts w:ascii="Verdana" w:hAnsi="Verdana"/>
          <w:sz w:val="20"/>
          <w:szCs w:val="20"/>
          <w:lang w:val="en-US"/>
        </w:rPr>
        <w:t>men and women, among other matters.</w:t>
      </w:r>
      <w:r w:rsidRPr="008A3740">
        <w:rPr>
          <w:rStyle w:val="Refdenotaalpie"/>
          <w:szCs w:val="20"/>
          <w:lang w:val="en-US"/>
        </w:rPr>
        <w:footnoteReference w:id="208"/>
      </w:r>
      <w:r w:rsidRPr="008A3740">
        <w:rPr>
          <w:rFonts w:ascii="Verdana" w:hAnsi="Verdana"/>
          <w:sz w:val="20"/>
          <w:szCs w:val="20"/>
          <w:lang w:val="en-US"/>
        </w:rPr>
        <w:t xml:space="preserve"> Regarding the latter (obligations of a progressive nature),</w:t>
      </w:r>
      <w:r w:rsidRPr="008A3740">
        <w:rPr>
          <w:rFonts w:ascii="Verdana" w:eastAsia="Times" w:hAnsi="Verdana" w:cs="Arial"/>
          <w:sz w:val="20"/>
          <w:szCs w:val="20"/>
          <w:lang w:val="en-US"/>
        </w:rPr>
        <w:t xml:space="preserve"> </w:t>
      </w:r>
      <w:r w:rsidR="004551BA" w:rsidRPr="008A3740">
        <w:rPr>
          <w:rFonts w:ascii="Verdana" w:eastAsia="Times" w:hAnsi="Verdana" w:cs="Arial"/>
          <w:sz w:val="20"/>
          <w:szCs w:val="20"/>
          <w:lang w:val="en-US"/>
        </w:rPr>
        <w:t xml:space="preserve">this </w:t>
      </w:r>
      <w:r w:rsidRPr="008A3740">
        <w:rPr>
          <w:rFonts w:ascii="Verdana" w:hAnsi="Verdana"/>
          <w:sz w:val="20"/>
          <w:szCs w:val="20"/>
          <w:lang w:val="en-US"/>
        </w:rPr>
        <w:t xml:space="preserve">means that the States </w:t>
      </w:r>
      <w:r w:rsidRPr="008A3740">
        <w:rPr>
          <w:rFonts w:ascii="Verdana" w:hAnsi="Verdana"/>
          <w:sz w:val="20"/>
          <w:szCs w:val="20"/>
          <w:lang w:val="en-US"/>
        </w:rPr>
        <w:lastRenderedPageBreak/>
        <w:t>Parties have the specific and constant obligation to advance as rapidly and efficiently as possible towards the full realization of this right,</w:t>
      </w:r>
      <w:r w:rsidRPr="008A3740">
        <w:rPr>
          <w:rStyle w:val="Refdenotaalpie"/>
          <w:szCs w:val="20"/>
          <w:lang w:val="en-US"/>
        </w:rPr>
        <w:footnoteReference w:id="209"/>
      </w:r>
      <w:r w:rsidRPr="008A3740">
        <w:rPr>
          <w:rFonts w:ascii="Verdana" w:hAnsi="Verdana"/>
          <w:sz w:val="20"/>
          <w:szCs w:val="20"/>
          <w:lang w:val="en-US"/>
        </w:rPr>
        <w:t xml:space="preserve"> subject to available resources, by legislation or other appropriate means.</w:t>
      </w:r>
      <w:r w:rsidRPr="008A3740">
        <w:rPr>
          <w:rStyle w:val="Refdenotaalpie"/>
          <w:szCs w:val="20"/>
          <w:lang w:val="en-US"/>
        </w:rPr>
        <w:footnoteReference w:id="210"/>
      </w:r>
      <w:r w:rsidRPr="008A3740">
        <w:rPr>
          <w:rFonts w:ascii="Verdana" w:hAnsi="Verdana"/>
          <w:sz w:val="20"/>
          <w:szCs w:val="20"/>
          <w:lang w:val="en-US"/>
        </w:rPr>
        <w:t xml:space="preserve"> </w:t>
      </w:r>
      <w:r w:rsidR="009118EF" w:rsidRPr="008A3740">
        <w:rPr>
          <w:rFonts w:ascii="Verdana" w:hAnsi="Verdana"/>
          <w:sz w:val="20"/>
          <w:szCs w:val="20"/>
          <w:lang w:val="en-US"/>
        </w:rPr>
        <w:t>T</w:t>
      </w:r>
      <w:r w:rsidRPr="008A3740">
        <w:rPr>
          <w:rFonts w:ascii="Verdana" w:hAnsi="Verdana"/>
          <w:sz w:val="20"/>
          <w:szCs w:val="20"/>
          <w:lang w:val="en-US"/>
        </w:rPr>
        <w:t xml:space="preserve">here is </w:t>
      </w:r>
      <w:r w:rsidR="009118EF" w:rsidRPr="008A3740">
        <w:rPr>
          <w:rFonts w:ascii="Verdana" w:hAnsi="Verdana"/>
          <w:sz w:val="20"/>
          <w:szCs w:val="20"/>
          <w:lang w:val="en-US"/>
        </w:rPr>
        <w:t xml:space="preserve">also </w:t>
      </w:r>
      <w:r w:rsidRPr="008A3740">
        <w:rPr>
          <w:rFonts w:ascii="Verdana" w:hAnsi="Verdana"/>
          <w:sz w:val="20"/>
          <w:szCs w:val="20"/>
          <w:lang w:val="en-US"/>
        </w:rPr>
        <w:t xml:space="preserve">an </w:t>
      </w:r>
      <w:r w:rsidRPr="008A3740">
        <w:rPr>
          <w:rFonts w:ascii="Verdana" w:hAnsi="Verdana"/>
          <w:sz w:val="20"/>
          <w:szCs w:val="20"/>
          <w:lang w:val="en-US" w:eastAsia="en-US"/>
        </w:rPr>
        <w:t xml:space="preserve">obligation of </w:t>
      </w:r>
      <w:r w:rsidRPr="008A3740">
        <w:rPr>
          <w:rFonts w:ascii="Verdana" w:hAnsi="Verdana"/>
          <w:i/>
          <w:sz w:val="20"/>
          <w:szCs w:val="20"/>
          <w:lang w:val="en-US" w:eastAsia="en-US"/>
        </w:rPr>
        <w:t>non-re</w:t>
      </w:r>
      <w:r w:rsidR="00AA0D7D" w:rsidRPr="008A3740">
        <w:rPr>
          <w:rFonts w:ascii="Verdana" w:hAnsi="Verdana"/>
          <w:i/>
          <w:sz w:val="20"/>
          <w:szCs w:val="20"/>
          <w:lang w:val="en-US" w:eastAsia="en-US"/>
        </w:rPr>
        <w:t xml:space="preserve">trogression </w:t>
      </w:r>
      <w:r w:rsidR="00EE27D6" w:rsidRPr="008A3740">
        <w:rPr>
          <w:rFonts w:ascii="Verdana" w:hAnsi="Verdana"/>
          <w:sz w:val="20"/>
          <w:szCs w:val="20"/>
          <w:lang w:val="en-US"/>
        </w:rPr>
        <w:t xml:space="preserve">regarding the realization of </w:t>
      </w:r>
      <w:r w:rsidRPr="008A3740">
        <w:rPr>
          <w:rFonts w:ascii="Verdana" w:hAnsi="Verdana"/>
          <w:sz w:val="20"/>
          <w:szCs w:val="20"/>
          <w:lang w:val="en-US"/>
        </w:rPr>
        <w:t xml:space="preserve">the rights </w:t>
      </w:r>
      <w:r w:rsidR="004B7941" w:rsidRPr="008A3740">
        <w:rPr>
          <w:rFonts w:ascii="Verdana" w:hAnsi="Verdana"/>
          <w:sz w:val="20"/>
          <w:szCs w:val="20"/>
          <w:lang w:val="en-US"/>
        </w:rPr>
        <w:t>attained</w:t>
      </w:r>
      <w:r w:rsidRPr="008A3740">
        <w:rPr>
          <w:rFonts w:ascii="Verdana" w:hAnsi="Verdana"/>
          <w:sz w:val="20"/>
          <w:szCs w:val="20"/>
          <w:lang w:val="en-US" w:eastAsia="en-US"/>
        </w:rPr>
        <w:t>.</w:t>
      </w:r>
      <w:r w:rsidRPr="008A3740">
        <w:rPr>
          <w:rFonts w:ascii="Verdana" w:hAnsi="Verdana"/>
          <w:sz w:val="20"/>
          <w:szCs w:val="20"/>
          <w:vertAlign w:val="superscript"/>
          <w:lang w:val="en-US" w:eastAsia="en-US"/>
        </w:rPr>
        <w:footnoteReference w:id="211"/>
      </w:r>
      <w:r w:rsidRPr="008A3740">
        <w:rPr>
          <w:rFonts w:ascii="Verdana" w:hAnsi="Verdana"/>
          <w:sz w:val="20"/>
          <w:szCs w:val="20"/>
          <w:lang w:val="en-US" w:eastAsia="en-US"/>
        </w:rPr>
        <w:t xml:space="preserve"> </w:t>
      </w:r>
      <w:r w:rsidR="009118EF" w:rsidRPr="008A3740">
        <w:rPr>
          <w:rFonts w:ascii="Verdana" w:hAnsi="Verdana"/>
          <w:sz w:val="20"/>
          <w:szCs w:val="20"/>
          <w:lang w:val="en-US"/>
        </w:rPr>
        <w:t xml:space="preserve">Consequently, the </w:t>
      </w:r>
      <w:r w:rsidRPr="008A3740">
        <w:rPr>
          <w:rFonts w:ascii="Verdana" w:hAnsi="Verdana"/>
          <w:sz w:val="20"/>
          <w:szCs w:val="20"/>
          <w:lang w:val="en-US"/>
        </w:rPr>
        <w:t xml:space="preserve">obligations </w:t>
      </w:r>
      <w:r w:rsidR="004551BA" w:rsidRPr="008A3740">
        <w:rPr>
          <w:rFonts w:ascii="Verdana" w:hAnsi="Verdana"/>
          <w:sz w:val="20"/>
          <w:szCs w:val="20"/>
          <w:lang w:val="en-US"/>
        </w:rPr>
        <w:t xml:space="preserve">to </w:t>
      </w:r>
      <w:r w:rsidRPr="008A3740">
        <w:rPr>
          <w:rFonts w:ascii="Verdana" w:hAnsi="Verdana"/>
          <w:sz w:val="20"/>
          <w:szCs w:val="20"/>
          <w:lang w:val="en-US"/>
        </w:rPr>
        <w:t>respect and guarantee</w:t>
      </w:r>
      <w:r w:rsidR="009118EF" w:rsidRPr="008A3740">
        <w:rPr>
          <w:rFonts w:ascii="Verdana" w:hAnsi="Verdana"/>
          <w:sz w:val="20"/>
          <w:szCs w:val="20"/>
          <w:lang w:val="en-US"/>
        </w:rPr>
        <w:t xml:space="preserve"> </w:t>
      </w:r>
      <w:r w:rsidR="004551BA" w:rsidRPr="008A3740">
        <w:rPr>
          <w:rFonts w:ascii="Verdana" w:hAnsi="Verdana"/>
          <w:sz w:val="20"/>
          <w:szCs w:val="20"/>
          <w:lang w:val="en-US"/>
        </w:rPr>
        <w:t xml:space="preserve">rights </w:t>
      </w:r>
      <w:r w:rsidR="009118EF" w:rsidRPr="008A3740">
        <w:rPr>
          <w:rFonts w:ascii="Verdana" w:hAnsi="Verdana"/>
          <w:sz w:val="20"/>
          <w:szCs w:val="20"/>
          <w:lang w:val="en-US"/>
        </w:rPr>
        <w:t>established in the Convention</w:t>
      </w:r>
      <w:r w:rsidR="004551BA" w:rsidRPr="008A3740">
        <w:rPr>
          <w:rFonts w:ascii="Verdana" w:hAnsi="Verdana"/>
          <w:sz w:val="20"/>
          <w:szCs w:val="20"/>
          <w:lang w:val="en-US"/>
        </w:rPr>
        <w:t xml:space="preserve">, as well as </w:t>
      </w:r>
      <w:r w:rsidRPr="008A3740">
        <w:rPr>
          <w:rFonts w:ascii="Verdana" w:hAnsi="Verdana"/>
          <w:sz w:val="20"/>
          <w:szCs w:val="20"/>
          <w:lang w:val="en-US"/>
        </w:rPr>
        <w:t>domestic legal effects (Articles 1(1) and 2 of the American Convention), are essentia</w:t>
      </w:r>
      <w:r w:rsidR="00EE27D6" w:rsidRPr="008A3740">
        <w:rPr>
          <w:rFonts w:ascii="Verdana" w:hAnsi="Verdana"/>
          <w:sz w:val="20"/>
          <w:szCs w:val="20"/>
          <w:lang w:val="en-US"/>
        </w:rPr>
        <w:t>l to achieve their</w:t>
      </w:r>
      <w:r w:rsidRPr="008A3740">
        <w:rPr>
          <w:rFonts w:ascii="Verdana" w:hAnsi="Verdana"/>
          <w:sz w:val="20"/>
          <w:szCs w:val="20"/>
          <w:lang w:val="en-US"/>
        </w:rPr>
        <w:t xml:space="preserve"> effectiveness</w:t>
      </w:r>
      <w:r w:rsidRPr="008A3740">
        <w:rPr>
          <w:rFonts w:ascii="Verdana" w:hAnsi="Verdana"/>
          <w:sz w:val="20"/>
          <w:szCs w:val="20"/>
          <w:lang w:val="en-US" w:eastAsia="en-US"/>
        </w:rPr>
        <w:t>.</w:t>
      </w:r>
    </w:p>
    <w:p w14:paraId="47752BD7" w14:textId="77777777" w:rsidR="008E6A56" w:rsidRPr="008A3740" w:rsidRDefault="008E6A56" w:rsidP="008E6A56">
      <w:pPr>
        <w:widowControl/>
        <w:tabs>
          <w:tab w:val="left" w:pos="567"/>
        </w:tabs>
        <w:adjustRightInd/>
        <w:textAlignment w:val="auto"/>
        <w:rPr>
          <w:rFonts w:ascii="Verdana" w:hAnsi="Verdana"/>
          <w:snapToGrid w:val="0"/>
          <w:sz w:val="20"/>
          <w:szCs w:val="20"/>
          <w:lang w:val="en-US"/>
        </w:rPr>
      </w:pPr>
    </w:p>
    <w:p w14:paraId="751FA255" w14:textId="77777777" w:rsidR="008E6A56" w:rsidRPr="008A3740" w:rsidRDefault="002B6DF8" w:rsidP="00D17A65">
      <w:pPr>
        <w:widowControl/>
        <w:numPr>
          <w:ilvl w:val="0"/>
          <w:numId w:val="3"/>
        </w:numPr>
        <w:tabs>
          <w:tab w:val="left" w:pos="567"/>
          <w:tab w:val="num" w:pos="1569"/>
          <w:tab w:val="num" w:pos="12305"/>
        </w:tabs>
        <w:adjustRightInd/>
        <w:ind w:left="0" w:firstLine="0"/>
        <w:textAlignment w:val="auto"/>
        <w:rPr>
          <w:rFonts w:ascii="Verdana" w:hAnsi="Verdana"/>
          <w:snapToGrid w:val="0"/>
          <w:sz w:val="20"/>
          <w:szCs w:val="20"/>
          <w:lang w:val="en-US"/>
        </w:rPr>
      </w:pPr>
      <w:r w:rsidRPr="008A3740">
        <w:rPr>
          <w:rFonts w:ascii="Verdana" w:hAnsi="Verdana"/>
          <w:sz w:val="20"/>
          <w:szCs w:val="20"/>
          <w:lang w:val="en-US" w:eastAsia="en-US"/>
        </w:rPr>
        <w:t>However</w:t>
      </w:r>
      <w:r w:rsidR="008E6A56" w:rsidRPr="008A3740">
        <w:rPr>
          <w:rFonts w:ascii="Verdana" w:hAnsi="Verdana"/>
          <w:sz w:val="20"/>
          <w:szCs w:val="20"/>
          <w:lang w:val="en-US" w:eastAsia="en-US"/>
        </w:rPr>
        <w:t>, the Court notes that th</w:t>
      </w:r>
      <w:r w:rsidR="00CC4FD2" w:rsidRPr="008A3740">
        <w:rPr>
          <w:rFonts w:ascii="Verdana" w:hAnsi="Verdana"/>
          <w:sz w:val="20"/>
          <w:szCs w:val="20"/>
          <w:lang w:val="en-US" w:eastAsia="en-US"/>
        </w:rPr>
        <w:t>e instant</w:t>
      </w:r>
      <w:r w:rsidR="004551BA" w:rsidRPr="008A3740">
        <w:rPr>
          <w:rFonts w:ascii="Verdana" w:hAnsi="Verdana"/>
          <w:sz w:val="20"/>
          <w:szCs w:val="20"/>
          <w:lang w:val="en-US" w:eastAsia="en-US"/>
        </w:rPr>
        <w:t xml:space="preserve"> case does not concern </w:t>
      </w:r>
      <w:r w:rsidR="00AA0D7D" w:rsidRPr="008A3740">
        <w:rPr>
          <w:rFonts w:ascii="Verdana" w:hAnsi="Verdana"/>
          <w:sz w:val="20"/>
          <w:szCs w:val="20"/>
          <w:lang w:val="en-US"/>
        </w:rPr>
        <w:t xml:space="preserve">the obligations of progressive development derived from Article 26 of the American Convention, but rather </w:t>
      </w:r>
      <w:r w:rsidR="00AA0D7D" w:rsidRPr="008A3740">
        <w:rPr>
          <w:rFonts w:ascii="Verdana" w:hAnsi="Verdana"/>
          <w:iCs/>
          <w:sz w:val="20"/>
          <w:szCs w:val="20"/>
          <w:lang w:val="en-US"/>
        </w:rPr>
        <w:t xml:space="preserve">the failure to implement </w:t>
      </w:r>
      <w:r w:rsidR="00AA0D7D" w:rsidRPr="008A3740">
        <w:rPr>
          <w:rFonts w:ascii="Verdana" w:hAnsi="Verdana"/>
          <w:sz w:val="20"/>
          <w:szCs w:val="20"/>
          <w:lang w:val="en-US"/>
        </w:rPr>
        <w:t xml:space="preserve">the right to a pension as an integral part of </w:t>
      </w:r>
      <w:r w:rsidR="00AD4E35" w:rsidRPr="008A3740">
        <w:rPr>
          <w:rFonts w:ascii="Verdana" w:hAnsi="Verdana"/>
          <w:sz w:val="20"/>
          <w:szCs w:val="20"/>
          <w:lang w:val="en-US"/>
        </w:rPr>
        <w:t xml:space="preserve">Mr. Muelle Flores’ </w:t>
      </w:r>
      <w:r w:rsidR="00AA0D7D" w:rsidRPr="008A3740">
        <w:rPr>
          <w:rFonts w:ascii="Verdana" w:hAnsi="Verdana"/>
          <w:sz w:val="20"/>
          <w:szCs w:val="20"/>
          <w:lang w:val="en-US"/>
        </w:rPr>
        <w:t>right to social security</w:t>
      </w:r>
      <w:r w:rsidR="00AD4E35" w:rsidRPr="008A3740">
        <w:rPr>
          <w:rFonts w:ascii="Verdana" w:hAnsi="Verdana"/>
          <w:sz w:val="20"/>
          <w:szCs w:val="20"/>
          <w:lang w:val="en-US"/>
        </w:rPr>
        <w:t>,</w:t>
      </w:r>
      <w:r w:rsidR="00AA0D7D" w:rsidRPr="008A3740">
        <w:rPr>
          <w:rFonts w:ascii="Verdana" w:hAnsi="Verdana"/>
          <w:sz w:val="20"/>
          <w:szCs w:val="20"/>
          <w:lang w:val="en-US"/>
        </w:rPr>
        <w:t xml:space="preserve"> owing to the failure to execute and comply with the judgments handed down in his favor in the domestic courts, </w:t>
      </w:r>
      <w:r w:rsidR="008E6A56" w:rsidRPr="008A3740">
        <w:rPr>
          <w:rFonts w:ascii="Verdana" w:hAnsi="Verdana"/>
          <w:sz w:val="20"/>
          <w:szCs w:val="20"/>
          <w:lang w:val="en-US" w:eastAsia="en-US"/>
        </w:rPr>
        <w:t xml:space="preserve">in the </w:t>
      </w:r>
      <w:r w:rsidR="00D740E9" w:rsidRPr="008A3740">
        <w:rPr>
          <w:rFonts w:ascii="Verdana" w:hAnsi="Verdana"/>
          <w:sz w:val="20"/>
          <w:szCs w:val="20"/>
          <w:lang w:val="en-US" w:eastAsia="en-US"/>
        </w:rPr>
        <w:t xml:space="preserve">context </w:t>
      </w:r>
      <w:r w:rsidR="009118EF" w:rsidRPr="008A3740">
        <w:rPr>
          <w:rFonts w:ascii="Verdana" w:hAnsi="Verdana"/>
          <w:sz w:val="20"/>
          <w:szCs w:val="20"/>
          <w:lang w:val="en-US" w:eastAsia="en-US"/>
        </w:rPr>
        <w:t xml:space="preserve">of the privatization of </w:t>
      </w:r>
      <w:r w:rsidR="008E6A56" w:rsidRPr="008A3740">
        <w:rPr>
          <w:rFonts w:ascii="Verdana" w:hAnsi="Verdana"/>
          <w:sz w:val="20"/>
          <w:szCs w:val="20"/>
          <w:lang w:val="en-US" w:eastAsia="en-US"/>
        </w:rPr>
        <w:t xml:space="preserve">the </w:t>
      </w:r>
      <w:r w:rsidR="00D740E9" w:rsidRPr="008A3740">
        <w:rPr>
          <w:rFonts w:ascii="Verdana" w:hAnsi="Verdana"/>
          <w:sz w:val="20"/>
          <w:szCs w:val="20"/>
          <w:lang w:val="en-US" w:eastAsia="en-US"/>
        </w:rPr>
        <w:t xml:space="preserve">State </w:t>
      </w:r>
      <w:r w:rsidR="008E6A56" w:rsidRPr="008A3740">
        <w:rPr>
          <w:rFonts w:ascii="Verdana" w:hAnsi="Verdana"/>
          <w:sz w:val="20"/>
          <w:szCs w:val="20"/>
          <w:lang w:val="en-US" w:eastAsia="en-US"/>
        </w:rPr>
        <w:t>company</w:t>
      </w:r>
      <w:r w:rsidR="00D740E9" w:rsidRPr="008A3740">
        <w:rPr>
          <w:rFonts w:ascii="Verdana" w:hAnsi="Verdana"/>
          <w:sz w:val="20"/>
          <w:szCs w:val="20"/>
          <w:lang w:val="en-US" w:eastAsia="en-US"/>
        </w:rPr>
        <w:t xml:space="preserve">, </w:t>
      </w:r>
      <w:r w:rsidR="00AA0D7D" w:rsidRPr="008A3740">
        <w:rPr>
          <w:rFonts w:ascii="Verdana" w:hAnsi="Verdana"/>
          <w:sz w:val="20"/>
          <w:szCs w:val="20"/>
          <w:lang w:val="en-US" w:eastAsia="en-US"/>
        </w:rPr>
        <w:t xml:space="preserve">following </w:t>
      </w:r>
      <w:r w:rsidR="00D740E9" w:rsidRPr="008A3740">
        <w:rPr>
          <w:rFonts w:ascii="Verdana" w:hAnsi="Verdana"/>
          <w:sz w:val="20"/>
          <w:szCs w:val="20"/>
          <w:lang w:val="en-US" w:eastAsia="en-US"/>
        </w:rPr>
        <w:t>his retirement</w:t>
      </w:r>
      <w:r w:rsidR="008E6A56" w:rsidRPr="008A3740">
        <w:rPr>
          <w:rFonts w:ascii="Verdana" w:hAnsi="Verdana"/>
          <w:sz w:val="20"/>
          <w:szCs w:val="20"/>
          <w:lang w:val="en-US" w:eastAsia="en-US"/>
        </w:rPr>
        <w:t xml:space="preserve">. Mr. Muelle Flores acquired </w:t>
      </w:r>
      <w:r w:rsidR="009118EF" w:rsidRPr="008A3740">
        <w:rPr>
          <w:rFonts w:ascii="Verdana" w:hAnsi="Verdana"/>
          <w:sz w:val="20"/>
          <w:szCs w:val="20"/>
          <w:lang w:val="en-US" w:eastAsia="en-US"/>
        </w:rPr>
        <w:t>his right to a</w:t>
      </w:r>
      <w:r w:rsidR="008E6A56" w:rsidRPr="008A3740">
        <w:rPr>
          <w:rFonts w:ascii="Verdana" w:hAnsi="Verdana"/>
          <w:sz w:val="20"/>
          <w:szCs w:val="20"/>
          <w:lang w:val="en-US" w:eastAsia="en-US"/>
        </w:rPr>
        <w:t xml:space="preserve"> pension under a </w:t>
      </w:r>
      <w:r w:rsidR="004551BA" w:rsidRPr="008A3740">
        <w:rPr>
          <w:rFonts w:ascii="Verdana" w:hAnsi="Verdana"/>
          <w:sz w:val="20"/>
          <w:szCs w:val="20"/>
          <w:lang w:val="en-US" w:eastAsia="en-US"/>
        </w:rPr>
        <w:t xml:space="preserve">State-administered </w:t>
      </w:r>
      <w:r w:rsidR="009118EF" w:rsidRPr="008A3740">
        <w:rPr>
          <w:rFonts w:ascii="Verdana" w:hAnsi="Verdana"/>
          <w:sz w:val="20"/>
          <w:szCs w:val="20"/>
          <w:lang w:val="en-US" w:eastAsia="en-US"/>
        </w:rPr>
        <w:t>contributory system</w:t>
      </w:r>
      <w:r w:rsidR="00AD4E35" w:rsidRPr="008A3740">
        <w:rPr>
          <w:rFonts w:ascii="Verdana" w:hAnsi="Verdana"/>
          <w:sz w:val="20"/>
          <w:szCs w:val="20"/>
          <w:lang w:val="en-US" w:eastAsia="en-US"/>
        </w:rPr>
        <w:t>;</w:t>
      </w:r>
      <w:r w:rsidR="008E6A56" w:rsidRPr="008A3740">
        <w:rPr>
          <w:rFonts w:ascii="Verdana" w:hAnsi="Verdana"/>
          <w:sz w:val="20"/>
          <w:szCs w:val="20"/>
          <w:lang w:val="en-US" w:eastAsia="en-US"/>
        </w:rPr>
        <w:t xml:space="preserve"> </w:t>
      </w:r>
      <w:r w:rsidR="009118EF" w:rsidRPr="008A3740">
        <w:rPr>
          <w:rFonts w:ascii="Verdana" w:hAnsi="Verdana"/>
          <w:sz w:val="20"/>
          <w:szCs w:val="20"/>
          <w:lang w:val="en-US" w:eastAsia="en-US"/>
        </w:rPr>
        <w:t xml:space="preserve">that is, he </w:t>
      </w:r>
      <w:r w:rsidR="008E6A56" w:rsidRPr="008A3740">
        <w:rPr>
          <w:rFonts w:ascii="Verdana" w:hAnsi="Verdana"/>
          <w:sz w:val="20"/>
          <w:szCs w:val="20"/>
          <w:lang w:val="en-US" w:eastAsia="en-US"/>
        </w:rPr>
        <w:t>acquired the right to receive a pension after</w:t>
      </w:r>
      <w:r w:rsidR="009118EF" w:rsidRPr="008A3740">
        <w:rPr>
          <w:rFonts w:ascii="Verdana" w:hAnsi="Verdana"/>
          <w:sz w:val="20"/>
          <w:szCs w:val="20"/>
          <w:lang w:val="en-US" w:eastAsia="en-US"/>
        </w:rPr>
        <w:t xml:space="preserve"> having paid his </w:t>
      </w:r>
      <w:r w:rsidR="008E6A56" w:rsidRPr="008A3740">
        <w:rPr>
          <w:rFonts w:ascii="Verdana" w:hAnsi="Verdana"/>
          <w:sz w:val="20"/>
          <w:szCs w:val="20"/>
          <w:lang w:val="en-US" w:eastAsia="en-US"/>
        </w:rPr>
        <w:t xml:space="preserve">contributions </w:t>
      </w:r>
      <w:r w:rsidR="00687305" w:rsidRPr="008A3740">
        <w:rPr>
          <w:rFonts w:ascii="Verdana" w:hAnsi="Verdana"/>
          <w:sz w:val="20"/>
          <w:szCs w:val="20"/>
          <w:lang w:val="en-US" w:eastAsia="en-US"/>
        </w:rPr>
        <w:t xml:space="preserve">for several </w:t>
      </w:r>
      <w:r w:rsidR="008E6A56" w:rsidRPr="008A3740">
        <w:rPr>
          <w:rFonts w:ascii="Verdana" w:hAnsi="Verdana"/>
          <w:sz w:val="20"/>
          <w:szCs w:val="20"/>
          <w:lang w:val="en-US" w:eastAsia="en-US"/>
        </w:rPr>
        <w:t xml:space="preserve">years. The legality of his </w:t>
      </w:r>
      <w:r w:rsidR="004551BA" w:rsidRPr="008A3740">
        <w:rPr>
          <w:rFonts w:ascii="Verdana" w:hAnsi="Verdana"/>
          <w:sz w:val="20"/>
          <w:szCs w:val="20"/>
          <w:lang w:val="en-US" w:eastAsia="en-US"/>
        </w:rPr>
        <w:t xml:space="preserve">enrolment in </w:t>
      </w:r>
      <w:r w:rsidR="00687305" w:rsidRPr="008A3740">
        <w:rPr>
          <w:rFonts w:ascii="Verdana" w:hAnsi="Verdana"/>
          <w:sz w:val="20"/>
          <w:szCs w:val="20"/>
          <w:lang w:val="en-US" w:eastAsia="en-US"/>
        </w:rPr>
        <w:t>this s</w:t>
      </w:r>
      <w:r w:rsidR="00792F51" w:rsidRPr="008A3740">
        <w:rPr>
          <w:rFonts w:ascii="Verdana" w:hAnsi="Verdana"/>
          <w:sz w:val="20"/>
          <w:szCs w:val="20"/>
          <w:lang w:val="en-US" w:eastAsia="en-US"/>
        </w:rPr>
        <w:t xml:space="preserve">ystem </w:t>
      </w:r>
      <w:r w:rsidR="008E6A56" w:rsidRPr="008A3740">
        <w:rPr>
          <w:rFonts w:ascii="Verdana" w:hAnsi="Verdana"/>
          <w:sz w:val="20"/>
          <w:szCs w:val="20"/>
          <w:lang w:val="en-US" w:eastAsia="en-US"/>
        </w:rPr>
        <w:t>was con</w:t>
      </w:r>
      <w:r w:rsidR="00687305" w:rsidRPr="008A3740">
        <w:rPr>
          <w:rFonts w:ascii="Verdana" w:hAnsi="Verdana"/>
          <w:sz w:val="20"/>
          <w:szCs w:val="20"/>
          <w:lang w:val="en-US" w:eastAsia="en-US"/>
        </w:rPr>
        <w:t xml:space="preserve">firmed </w:t>
      </w:r>
      <w:r w:rsidR="008E6A56" w:rsidRPr="008A3740">
        <w:rPr>
          <w:rFonts w:ascii="Verdana" w:hAnsi="Verdana"/>
          <w:sz w:val="20"/>
          <w:szCs w:val="20"/>
          <w:lang w:val="en-US" w:eastAsia="en-US"/>
        </w:rPr>
        <w:t>at the domestic level (</w:t>
      </w:r>
      <w:r w:rsidR="008E6A56" w:rsidRPr="008A3740">
        <w:rPr>
          <w:rFonts w:ascii="Verdana" w:hAnsi="Verdana"/>
          <w:i/>
          <w:sz w:val="20"/>
          <w:szCs w:val="20"/>
          <w:lang w:val="en-US" w:eastAsia="en-US"/>
        </w:rPr>
        <w:t>supra</w:t>
      </w:r>
      <w:r w:rsidR="008E6A56" w:rsidRPr="008A3740">
        <w:rPr>
          <w:rFonts w:ascii="Verdana" w:hAnsi="Verdana"/>
          <w:sz w:val="20"/>
          <w:szCs w:val="20"/>
          <w:lang w:val="en-US" w:eastAsia="en-US"/>
        </w:rPr>
        <w:t xml:space="preserve"> para. 74). </w:t>
      </w:r>
    </w:p>
    <w:p w14:paraId="59A37ECE" w14:textId="77777777" w:rsidR="008E6A56" w:rsidRPr="008A3740" w:rsidRDefault="008E6A56" w:rsidP="008E6A56">
      <w:pPr>
        <w:pStyle w:val="Prrafodelista"/>
        <w:rPr>
          <w:rFonts w:ascii="Verdana" w:hAnsi="Verdana"/>
          <w:sz w:val="20"/>
          <w:szCs w:val="20"/>
          <w:lang w:val="en-US" w:eastAsia="en-US"/>
        </w:rPr>
      </w:pPr>
    </w:p>
    <w:p w14:paraId="70447C46" w14:textId="77777777" w:rsidR="008E6A56" w:rsidRPr="008A3740" w:rsidRDefault="0070729B" w:rsidP="00D17A65">
      <w:pPr>
        <w:widowControl/>
        <w:numPr>
          <w:ilvl w:val="0"/>
          <w:numId w:val="3"/>
        </w:numPr>
        <w:tabs>
          <w:tab w:val="left" w:pos="567"/>
          <w:tab w:val="num" w:pos="1569"/>
          <w:tab w:val="num" w:pos="12305"/>
        </w:tabs>
        <w:adjustRightInd/>
        <w:ind w:left="0" w:firstLine="0"/>
        <w:textAlignment w:val="auto"/>
        <w:rPr>
          <w:rFonts w:ascii="Verdana" w:hAnsi="Verdana"/>
          <w:snapToGrid w:val="0"/>
          <w:sz w:val="20"/>
          <w:szCs w:val="20"/>
          <w:lang w:val="en-US"/>
        </w:rPr>
      </w:pPr>
      <w:r w:rsidRPr="008A3740">
        <w:rPr>
          <w:rFonts w:ascii="Verdana" w:hAnsi="Verdana"/>
          <w:sz w:val="20"/>
          <w:szCs w:val="20"/>
          <w:lang w:val="en-US" w:eastAsia="en-US"/>
        </w:rPr>
        <w:t>Accordingly</w:t>
      </w:r>
      <w:r w:rsidR="008E6A56" w:rsidRPr="008A3740">
        <w:rPr>
          <w:rFonts w:ascii="Verdana" w:hAnsi="Verdana"/>
          <w:sz w:val="20"/>
          <w:szCs w:val="20"/>
          <w:lang w:val="en-US" w:eastAsia="en-US"/>
        </w:rPr>
        <w:t>, based on the criteria and constitu</w:t>
      </w:r>
      <w:r w:rsidR="0038744C" w:rsidRPr="008A3740">
        <w:rPr>
          <w:rFonts w:ascii="Verdana" w:hAnsi="Verdana"/>
          <w:sz w:val="20"/>
          <w:szCs w:val="20"/>
          <w:lang w:val="en-US" w:eastAsia="en-US"/>
        </w:rPr>
        <w:t xml:space="preserve">ent elements of </w:t>
      </w:r>
      <w:r w:rsidR="008E6A56" w:rsidRPr="008A3740">
        <w:rPr>
          <w:rFonts w:ascii="Verdana" w:hAnsi="Verdana"/>
          <w:sz w:val="20"/>
          <w:szCs w:val="20"/>
          <w:lang w:val="en-US" w:eastAsia="en-US"/>
        </w:rPr>
        <w:t>the right to social security, and t</w:t>
      </w:r>
      <w:r w:rsidR="00AE7619" w:rsidRPr="008A3740">
        <w:rPr>
          <w:rFonts w:ascii="Verdana" w:hAnsi="Verdana"/>
          <w:sz w:val="20"/>
          <w:szCs w:val="20"/>
          <w:lang w:val="en-US" w:eastAsia="en-US"/>
        </w:rPr>
        <w:t xml:space="preserve">aking into account </w:t>
      </w:r>
      <w:r w:rsidR="008E6A56" w:rsidRPr="008A3740">
        <w:rPr>
          <w:rFonts w:ascii="Verdana" w:hAnsi="Verdana"/>
          <w:sz w:val="20"/>
          <w:szCs w:val="20"/>
          <w:lang w:val="en-US" w:eastAsia="en-US"/>
        </w:rPr>
        <w:t xml:space="preserve">the facts and </w:t>
      </w:r>
      <w:r w:rsidR="00AD4E35" w:rsidRPr="008A3740">
        <w:rPr>
          <w:rFonts w:ascii="Verdana" w:hAnsi="Verdana"/>
          <w:sz w:val="20"/>
          <w:szCs w:val="20"/>
          <w:lang w:val="en-US" w:eastAsia="en-US"/>
        </w:rPr>
        <w:t>specificities of this</w:t>
      </w:r>
      <w:r w:rsidR="00EE6DF5" w:rsidRPr="008A3740">
        <w:rPr>
          <w:rFonts w:ascii="Verdana" w:hAnsi="Verdana"/>
          <w:sz w:val="20"/>
          <w:szCs w:val="20"/>
          <w:lang w:val="en-US" w:eastAsia="en-US"/>
        </w:rPr>
        <w:t xml:space="preserve"> case</w:t>
      </w:r>
      <w:r w:rsidR="008E6A56" w:rsidRPr="008A3740">
        <w:rPr>
          <w:rFonts w:ascii="Verdana" w:hAnsi="Verdana"/>
          <w:sz w:val="20"/>
          <w:szCs w:val="20"/>
          <w:lang w:val="en-US" w:eastAsia="en-US"/>
        </w:rPr>
        <w:t>, the State’s obligations in relation to the right to a pension are as follows: a) the right to acce</w:t>
      </w:r>
      <w:r w:rsidR="00AE7619" w:rsidRPr="008A3740">
        <w:rPr>
          <w:rFonts w:ascii="Verdana" w:hAnsi="Verdana"/>
          <w:sz w:val="20"/>
          <w:szCs w:val="20"/>
          <w:lang w:val="en-US" w:eastAsia="en-US"/>
        </w:rPr>
        <w:t xml:space="preserve">ss </w:t>
      </w:r>
      <w:r w:rsidR="008E6A56" w:rsidRPr="008A3740">
        <w:rPr>
          <w:rFonts w:ascii="Verdana" w:hAnsi="Verdana"/>
          <w:sz w:val="20"/>
          <w:szCs w:val="20"/>
          <w:lang w:val="en-US" w:eastAsia="en-US"/>
        </w:rPr>
        <w:t xml:space="preserve">a pension after </w:t>
      </w:r>
      <w:r w:rsidR="00AE7619" w:rsidRPr="008A3740">
        <w:rPr>
          <w:rFonts w:ascii="Verdana" w:hAnsi="Verdana"/>
          <w:sz w:val="20"/>
          <w:szCs w:val="20"/>
          <w:lang w:val="en-US" w:eastAsia="en-US"/>
        </w:rPr>
        <w:t xml:space="preserve">reaching the </w:t>
      </w:r>
      <w:r w:rsidR="008E6A56" w:rsidRPr="008A3740">
        <w:rPr>
          <w:rFonts w:ascii="Verdana" w:hAnsi="Verdana"/>
          <w:sz w:val="20"/>
          <w:szCs w:val="20"/>
          <w:lang w:val="en-US" w:eastAsia="en-US"/>
        </w:rPr>
        <w:t xml:space="preserve">legal </w:t>
      </w:r>
      <w:r w:rsidR="00AE7619" w:rsidRPr="008A3740">
        <w:rPr>
          <w:rFonts w:ascii="Verdana" w:hAnsi="Verdana"/>
          <w:sz w:val="20"/>
          <w:szCs w:val="20"/>
          <w:lang w:val="en-US" w:eastAsia="en-US"/>
        </w:rPr>
        <w:t xml:space="preserve">age </w:t>
      </w:r>
      <w:r w:rsidR="005B1251" w:rsidRPr="008A3740">
        <w:rPr>
          <w:rFonts w:ascii="Verdana" w:hAnsi="Verdana"/>
          <w:sz w:val="20"/>
          <w:szCs w:val="20"/>
          <w:lang w:val="en-US" w:eastAsia="en-US"/>
        </w:rPr>
        <w:t xml:space="preserve">for that purpose </w:t>
      </w:r>
      <w:r w:rsidR="008E6A56" w:rsidRPr="008A3740">
        <w:rPr>
          <w:rFonts w:ascii="Verdana" w:hAnsi="Verdana"/>
          <w:sz w:val="20"/>
          <w:szCs w:val="20"/>
          <w:lang w:val="en-US" w:eastAsia="en-US"/>
        </w:rPr>
        <w:t>and the requi</w:t>
      </w:r>
      <w:r w:rsidR="00AE7619" w:rsidRPr="008A3740">
        <w:rPr>
          <w:rFonts w:ascii="Verdana" w:hAnsi="Verdana"/>
          <w:sz w:val="20"/>
          <w:szCs w:val="20"/>
          <w:lang w:val="en-US" w:eastAsia="en-US"/>
        </w:rPr>
        <w:t xml:space="preserve">rements </w:t>
      </w:r>
      <w:r w:rsidR="008E6A56" w:rsidRPr="008A3740">
        <w:rPr>
          <w:rFonts w:ascii="Verdana" w:hAnsi="Verdana"/>
          <w:sz w:val="20"/>
          <w:szCs w:val="20"/>
          <w:lang w:val="en-US" w:eastAsia="en-US"/>
        </w:rPr>
        <w:t xml:space="preserve">established by national law, </w:t>
      </w:r>
      <w:r w:rsidR="00E53313" w:rsidRPr="008A3740">
        <w:rPr>
          <w:rFonts w:ascii="Verdana" w:hAnsi="Verdana"/>
          <w:sz w:val="20"/>
          <w:szCs w:val="20"/>
          <w:lang w:val="en-US" w:eastAsia="en-US"/>
        </w:rPr>
        <w:t xml:space="preserve">for </w:t>
      </w:r>
      <w:r w:rsidR="008E6A56" w:rsidRPr="008A3740">
        <w:rPr>
          <w:rFonts w:ascii="Verdana" w:hAnsi="Verdana"/>
          <w:sz w:val="20"/>
          <w:szCs w:val="20"/>
          <w:lang w:val="en-US" w:eastAsia="en-US"/>
        </w:rPr>
        <w:t xml:space="preserve">which </w:t>
      </w:r>
      <w:r w:rsidR="00E53313" w:rsidRPr="008A3740">
        <w:rPr>
          <w:rFonts w:ascii="Verdana" w:hAnsi="Verdana"/>
          <w:sz w:val="20"/>
          <w:szCs w:val="20"/>
          <w:lang w:val="en-US" w:eastAsia="en-US"/>
        </w:rPr>
        <w:t xml:space="preserve">there must be </w:t>
      </w:r>
      <w:r w:rsidR="008E6A56" w:rsidRPr="008A3740">
        <w:rPr>
          <w:rFonts w:ascii="Verdana" w:hAnsi="Verdana"/>
          <w:sz w:val="20"/>
          <w:szCs w:val="20"/>
          <w:lang w:val="en-US" w:eastAsia="en-US"/>
        </w:rPr>
        <w:t xml:space="preserve">a </w:t>
      </w:r>
      <w:r w:rsidR="00E53313" w:rsidRPr="008A3740">
        <w:rPr>
          <w:rFonts w:ascii="Verdana" w:hAnsi="Verdana"/>
          <w:sz w:val="20"/>
          <w:szCs w:val="20"/>
          <w:lang w:val="en-US" w:eastAsia="en-US"/>
        </w:rPr>
        <w:t xml:space="preserve">functioning </w:t>
      </w:r>
      <w:r w:rsidR="008E6A56" w:rsidRPr="008A3740">
        <w:rPr>
          <w:rFonts w:ascii="Verdana" w:hAnsi="Verdana"/>
          <w:sz w:val="20"/>
          <w:szCs w:val="20"/>
          <w:lang w:val="en-US" w:eastAsia="en-US"/>
        </w:rPr>
        <w:t>social security system that g</w:t>
      </w:r>
      <w:r w:rsidR="00E53313" w:rsidRPr="008A3740">
        <w:rPr>
          <w:rFonts w:ascii="Verdana" w:hAnsi="Verdana"/>
          <w:sz w:val="20"/>
          <w:szCs w:val="20"/>
          <w:lang w:val="en-US" w:eastAsia="en-US"/>
        </w:rPr>
        <w:t>u</w:t>
      </w:r>
      <w:r w:rsidR="008E6A56" w:rsidRPr="008A3740">
        <w:rPr>
          <w:rFonts w:ascii="Verdana" w:hAnsi="Verdana"/>
          <w:sz w:val="20"/>
          <w:szCs w:val="20"/>
          <w:lang w:val="en-US" w:eastAsia="en-US"/>
        </w:rPr>
        <w:t>ara</w:t>
      </w:r>
      <w:r w:rsidR="005B1251" w:rsidRPr="008A3740">
        <w:rPr>
          <w:rFonts w:ascii="Verdana" w:hAnsi="Verdana"/>
          <w:sz w:val="20"/>
          <w:szCs w:val="20"/>
          <w:lang w:val="en-US" w:eastAsia="en-US"/>
        </w:rPr>
        <w:t>nt</w:t>
      </w:r>
      <w:r w:rsidR="00E53313" w:rsidRPr="008A3740">
        <w:rPr>
          <w:rFonts w:ascii="Verdana" w:hAnsi="Verdana"/>
          <w:sz w:val="20"/>
          <w:szCs w:val="20"/>
          <w:lang w:val="en-US" w:eastAsia="en-US"/>
        </w:rPr>
        <w:t xml:space="preserve">ees </w:t>
      </w:r>
      <w:r w:rsidR="005B1251" w:rsidRPr="008A3740">
        <w:rPr>
          <w:rFonts w:ascii="Verdana" w:hAnsi="Verdana"/>
          <w:sz w:val="20"/>
          <w:szCs w:val="20"/>
          <w:lang w:val="en-US" w:eastAsia="en-US"/>
        </w:rPr>
        <w:t>benefits. This system</w:t>
      </w:r>
      <w:r w:rsidR="008E6A56" w:rsidRPr="008A3740">
        <w:rPr>
          <w:rFonts w:ascii="Verdana" w:hAnsi="Verdana"/>
          <w:sz w:val="20"/>
          <w:szCs w:val="20"/>
          <w:lang w:val="en-US" w:eastAsia="en-US"/>
        </w:rPr>
        <w:t xml:space="preserve"> </w:t>
      </w:r>
      <w:r w:rsidR="005B1251" w:rsidRPr="008A3740">
        <w:rPr>
          <w:rFonts w:ascii="Verdana" w:hAnsi="Verdana"/>
          <w:sz w:val="20"/>
          <w:szCs w:val="20"/>
          <w:lang w:val="en-US" w:eastAsia="en-US"/>
        </w:rPr>
        <w:t xml:space="preserve">should be </w:t>
      </w:r>
      <w:r w:rsidR="008E6A56" w:rsidRPr="008A3740">
        <w:rPr>
          <w:rFonts w:ascii="Verdana" w:hAnsi="Verdana"/>
          <w:sz w:val="20"/>
          <w:szCs w:val="20"/>
          <w:lang w:val="en-US" w:eastAsia="en-US"/>
        </w:rPr>
        <w:t>administ</w:t>
      </w:r>
      <w:r w:rsidR="005B1251" w:rsidRPr="008A3740">
        <w:rPr>
          <w:rFonts w:ascii="Verdana" w:hAnsi="Verdana"/>
          <w:sz w:val="20"/>
          <w:szCs w:val="20"/>
          <w:lang w:val="en-US" w:eastAsia="en-US"/>
        </w:rPr>
        <w:t xml:space="preserve">ered </w:t>
      </w:r>
      <w:r w:rsidR="008E6A56" w:rsidRPr="008A3740">
        <w:rPr>
          <w:rFonts w:ascii="Verdana" w:hAnsi="Verdana"/>
          <w:sz w:val="20"/>
          <w:szCs w:val="20"/>
          <w:lang w:val="en-US" w:eastAsia="en-US"/>
        </w:rPr>
        <w:t>or supervis</w:t>
      </w:r>
      <w:r w:rsidR="0038744C" w:rsidRPr="008A3740">
        <w:rPr>
          <w:rFonts w:ascii="Verdana" w:hAnsi="Verdana"/>
          <w:sz w:val="20"/>
          <w:szCs w:val="20"/>
          <w:lang w:val="en-US" w:eastAsia="en-US"/>
        </w:rPr>
        <w:t xml:space="preserve">ed and </w:t>
      </w:r>
      <w:r w:rsidR="00EE6DF5" w:rsidRPr="008A3740">
        <w:rPr>
          <w:rFonts w:ascii="Verdana" w:hAnsi="Verdana"/>
          <w:sz w:val="20"/>
          <w:szCs w:val="20"/>
          <w:lang w:val="en-US" w:eastAsia="en-US"/>
        </w:rPr>
        <w:t xml:space="preserve">audited </w:t>
      </w:r>
      <w:r w:rsidR="008E6A56" w:rsidRPr="008A3740">
        <w:rPr>
          <w:rFonts w:ascii="Verdana" w:hAnsi="Verdana"/>
          <w:sz w:val="20"/>
          <w:szCs w:val="20"/>
          <w:lang w:val="en-US" w:eastAsia="en-US"/>
        </w:rPr>
        <w:t>by the State (</w:t>
      </w:r>
      <w:r w:rsidR="00EE6DF5" w:rsidRPr="008A3740">
        <w:rPr>
          <w:rFonts w:ascii="Verdana" w:hAnsi="Verdana"/>
          <w:sz w:val="20"/>
          <w:szCs w:val="20"/>
          <w:lang w:val="en-US" w:eastAsia="en-US"/>
        </w:rPr>
        <w:t xml:space="preserve">in the case of a </w:t>
      </w:r>
      <w:r w:rsidR="009D1D7D" w:rsidRPr="008A3740">
        <w:rPr>
          <w:rFonts w:ascii="Verdana" w:hAnsi="Verdana"/>
          <w:sz w:val="20"/>
          <w:szCs w:val="20"/>
          <w:lang w:val="en-US" w:eastAsia="en-US"/>
        </w:rPr>
        <w:t>privately administered</w:t>
      </w:r>
      <w:r w:rsidR="00EE6DF5" w:rsidRPr="008A3740">
        <w:rPr>
          <w:rFonts w:ascii="Verdana" w:hAnsi="Verdana"/>
          <w:sz w:val="20"/>
          <w:szCs w:val="20"/>
          <w:lang w:val="en-US" w:eastAsia="en-US"/>
        </w:rPr>
        <w:t xml:space="preserve"> system</w:t>
      </w:r>
      <w:r w:rsidR="008E6A56" w:rsidRPr="008A3740">
        <w:rPr>
          <w:rFonts w:ascii="Verdana" w:hAnsi="Verdana"/>
          <w:sz w:val="20"/>
          <w:szCs w:val="20"/>
          <w:lang w:val="en-US" w:eastAsia="en-US"/>
        </w:rPr>
        <w:t>); b) g</w:t>
      </w:r>
      <w:r w:rsidR="001C12AA" w:rsidRPr="008A3740">
        <w:rPr>
          <w:rFonts w:ascii="Verdana" w:hAnsi="Verdana"/>
          <w:sz w:val="20"/>
          <w:szCs w:val="20"/>
          <w:lang w:val="en-US" w:eastAsia="en-US"/>
        </w:rPr>
        <w:t xml:space="preserve">uarantee </w:t>
      </w:r>
      <w:r w:rsidR="008E6A56" w:rsidRPr="008A3740">
        <w:rPr>
          <w:rFonts w:ascii="Verdana" w:hAnsi="Verdana"/>
          <w:sz w:val="20"/>
          <w:szCs w:val="20"/>
          <w:lang w:val="en-US" w:eastAsia="en-US"/>
        </w:rPr>
        <w:t>th</w:t>
      </w:r>
      <w:r w:rsidR="00423153" w:rsidRPr="008A3740">
        <w:rPr>
          <w:rFonts w:ascii="Verdana" w:hAnsi="Verdana"/>
          <w:sz w:val="20"/>
          <w:szCs w:val="20"/>
          <w:lang w:val="en-US" w:eastAsia="en-US"/>
        </w:rPr>
        <w:t xml:space="preserve">at the benefits </w:t>
      </w:r>
      <w:r w:rsidR="001C12AA" w:rsidRPr="008A3740">
        <w:rPr>
          <w:rFonts w:ascii="Verdana" w:hAnsi="Verdana"/>
          <w:sz w:val="20"/>
          <w:szCs w:val="20"/>
          <w:lang w:val="en-US" w:eastAsia="en-US"/>
        </w:rPr>
        <w:t xml:space="preserve">are adequate </w:t>
      </w:r>
      <w:r w:rsidR="008E6A56" w:rsidRPr="008A3740">
        <w:rPr>
          <w:rFonts w:ascii="Verdana" w:hAnsi="Verdana"/>
          <w:sz w:val="20"/>
          <w:szCs w:val="20"/>
          <w:lang w:val="en-US" w:eastAsia="en-US"/>
        </w:rPr>
        <w:t xml:space="preserve">in amount and duration, </w:t>
      </w:r>
      <w:r w:rsidR="009D1D7D" w:rsidRPr="008A3740">
        <w:rPr>
          <w:rFonts w:ascii="Verdana" w:hAnsi="Verdana"/>
          <w:sz w:val="20"/>
          <w:szCs w:val="20"/>
          <w:lang w:val="en-US" w:eastAsia="en-US"/>
        </w:rPr>
        <w:t xml:space="preserve">to </w:t>
      </w:r>
      <w:r w:rsidR="00792F51" w:rsidRPr="008A3740">
        <w:rPr>
          <w:rFonts w:ascii="Verdana" w:hAnsi="Verdana"/>
          <w:sz w:val="20"/>
          <w:szCs w:val="20"/>
          <w:lang w:val="en-US" w:eastAsia="en-US"/>
        </w:rPr>
        <w:t xml:space="preserve">provide </w:t>
      </w:r>
      <w:r w:rsidR="00EE6DF5" w:rsidRPr="008A3740">
        <w:rPr>
          <w:rFonts w:ascii="Verdana" w:hAnsi="Verdana"/>
          <w:sz w:val="20"/>
          <w:szCs w:val="20"/>
          <w:lang w:val="en-US" w:eastAsia="en-US"/>
        </w:rPr>
        <w:t xml:space="preserve">the pensioner </w:t>
      </w:r>
      <w:r w:rsidR="00792F51" w:rsidRPr="008A3740">
        <w:rPr>
          <w:rFonts w:ascii="Verdana" w:hAnsi="Verdana"/>
          <w:sz w:val="20"/>
          <w:szCs w:val="20"/>
          <w:lang w:val="en-US" w:eastAsia="en-US"/>
        </w:rPr>
        <w:t xml:space="preserve">with </w:t>
      </w:r>
      <w:r w:rsidR="009D1D7D" w:rsidRPr="008A3740">
        <w:rPr>
          <w:rFonts w:ascii="Verdana" w:hAnsi="Verdana"/>
          <w:sz w:val="20"/>
          <w:szCs w:val="20"/>
          <w:lang w:val="en-US" w:eastAsia="en-US"/>
        </w:rPr>
        <w:t>a decent standard</w:t>
      </w:r>
      <w:r w:rsidR="008E6A56" w:rsidRPr="008A3740">
        <w:rPr>
          <w:rFonts w:ascii="Verdana" w:hAnsi="Verdana"/>
          <w:sz w:val="20"/>
          <w:szCs w:val="20"/>
          <w:lang w:val="en-US" w:eastAsia="en-US"/>
        </w:rPr>
        <w:t xml:space="preserve"> </w:t>
      </w:r>
      <w:r w:rsidR="009D1D7D" w:rsidRPr="008A3740">
        <w:rPr>
          <w:rFonts w:ascii="Verdana" w:hAnsi="Verdana"/>
          <w:sz w:val="20"/>
          <w:szCs w:val="20"/>
          <w:lang w:val="en-US" w:eastAsia="en-US"/>
        </w:rPr>
        <w:t xml:space="preserve">of living </w:t>
      </w:r>
      <w:r w:rsidR="008E6A56" w:rsidRPr="008A3740">
        <w:rPr>
          <w:rFonts w:ascii="Verdana" w:hAnsi="Verdana"/>
          <w:sz w:val="20"/>
          <w:szCs w:val="20"/>
          <w:lang w:val="en-US" w:eastAsia="en-US"/>
        </w:rPr>
        <w:t xml:space="preserve">and </w:t>
      </w:r>
      <w:r w:rsidR="009D1D7D" w:rsidRPr="008A3740">
        <w:rPr>
          <w:rFonts w:ascii="Verdana" w:hAnsi="Verdana"/>
          <w:sz w:val="20"/>
          <w:szCs w:val="20"/>
          <w:lang w:val="en-US" w:eastAsia="en-US"/>
        </w:rPr>
        <w:t xml:space="preserve">adequate </w:t>
      </w:r>
      <w:r w:rsidR="008E6A56" w:rsidRPr="008A3740">
        <w:rPr>
          <w:rFonts w:ascii="Verdana" w:hAnsi="Verdana"/>
          <w:sz w:val="20"/>
          <w:szCs w:val="20"/>
          <w:lang w:val="en-US" w:eastAsia="en-US"/>
        </w:rPr>
        <w:t xml:space="preserve">access to health care, without discrimination; c) </w:t>
      </w:r>
      <w:r w:rsidR="008B201D" w:rsidRPr="008A3740">
        <w:rPr>
          <w:rFonts w:ascii="Verdana" w:hAnsi="Verdana"/>
          <w:sz w:val="20"/>
          <w:szCs w:val="20"/>
          <w:lang w:val="en-US" w:eastAsia="en-US"/>
        </w:rPr>
        <w:t xml:space="preserve">ensure </w:t>
      </w:r>
      <w:r w:rsidR="00EE6DF5" w:rsidRPr="008A3740">
        <w:rPr>
          <w:rFonts w:ascii="Verdana" w:hAnsi="Verdana"/>
          <w:sz w:val="20"/>
          <w:szCs w:val="20"/>
          <w:lang w:val="en-US" w:eastAsia="en-US"/>
        </w:rPr>
        <w:t xml:space="preserve">the </w:t>
      </w:r>
      <w:r w:rsidR="008E6A56" w:rsidRPr="008A3740">
        <w:rPr>
          <w:rFonts w:ascii="Verdana" w:hAnsi="Verdana"/>
          <w:sz w:val="20"/>
          <w:szCs w:val="20"/>
          <w:lang w:val="en-US" w:eastAsia="en-US"/>
        </w:rPr>
        <w:t xml:space="preserve">accessibility </w:t>
      </w:r>
      <w:r w:rsidR="00EE6DF5" w:rsidRPr="008A3740">
        <w:rPr>
          <w:rFonts w:ascii="Verdana" w:hAnsi="Verdana"/>
          <w:sz w:val="20"/>
          <w:szCs w:val="20"/>
          <w:lang w:val="en-US" w:eastAsia="en-US"/>
        </w:rPr>
        <w:t xml:space="preserve">of the </w:t>
      </w:r>
      <w:r w:rsidR="008E6A56" w:rsidRPr="008A3740">
        <w:rPr>
          <w:rFonts w:ascii="Verdana" w:hAnsi="Verdana"/>
          <w:sz w:val="20"/>
          <w:szCs w:val="20"/>
          <w:lang w:val="en-US" w:eastAsia="en-US"/>
        </w:rPr>
        <w:t xml:space="preserve">pension, </w:t>
      </w:r>
      <w:r w:rsidR="008B201D" w:rsidRPr="008A3740">
        <w:rPr>
          <w:rFonts w:ascii="Verdana" w:hAnsi="Verdana"/>
          <w:sz w:val="20"/>
          <w:szCs w:val="20"/>
          <w:lang w:val="en-US" w:eastAsia="en-US"/>
        </w:rPr>
        <w:t xml:space="preserve">that is, </w:t>
      </w:r>
      <w:r w:rsidR="00AE7619" w:rsidRPr="008A3740">
        <w:rPr>
          <w:rFonts w:ascii="Verdana" w:hAnsi="Verdana"/>
          <w:sz w:val="20"/>
          <w:szCs w:val="20"/>
          <w:lang w:val="en-US" w:eastAsia="en-US"/>
        </w:rPr>
        <w:t>reasonable</w:t>
      </w:r>
      <w:r w:rsidR="008E6A56" w:rsidRPr="008A3740">
        <w:rPr>
          <w:rFonts w:ascii="Verdana" w:hAnsi="Verdana"/>
          <w:sz w:val="20"/>
          <w:szCs w:val="20"/>
          <w:lang w:val="en-US" w:eastAsia="en-US"/>
        </w:rPr>
        <w:t>, propor</w:t>
      </w:r>
      <w:r w:rsidR="00AE7619" w:rsidRPr="008A3740">
        <w:rPr>
          <w:rFonts w:ascii="Verdana" w:hAnsi="Verdana"/>
          <w:sz w:val="20"/>
          <w:szCs w:val="20"/>
          <w:lang w:val="en-US" w:eastAsia="en-US"/>
        </w:rPr>
        <w:t xml:space="preserve">tionate </w:t>
      </w:r>
      <w:r w:rsidR="008E6A56" w:rsidRPr="008A3740">
        <w:rPr>
          <w:rFonts w:ascii="Verdana" w:hAnsi="Verdana"/>
          <w:sz w:val="20"/>
          <w:szCs w:val="20"/>
          <w:lang w:val="en-US" w:eastAsia="en-US"/>
        </w:rPr>
        <w:t xml:space="preserve">and transparent </w:t>
      </w:r>
      <w:r w:rsidR="009D1D7D" w:rsidRPr="008A3740">
        <w:rPr>
          <w:rFonts w:ascii="Verdana" w:hAnsi="Verdana"/>
          <w:sz w:val="20"/>
          <w:szCs w:val="20"/>
          <w:lang w:val="en-US" w:eastAsia="en-US"/>
        </w:rPr>
        <w:t xml:space="preserve">conditions </w:t>
      </w:r>
      <w:r w:rsidR="007B34FF" w:rsidRPr="008A3740">
        <w:rPr>
          <w:rFonts w:ascii="Verdana" w:hAnsi="Verdana"/>
          <w:sz w:val="20"/>
          <w:szCs w:val="20"/>
          <w:lang w:val="en-US" w:eastAsia="en-US"/>
        </w:rPr>
        <w:t xml:space="preserve">of access. </w:t>
      </w:r>
      <w:r w:rsidR="008B201D" w:rsidRPr="008A3740">
        <w:rPr>
          <w:rFonts w:ascii="Verdana" w:hAnsi="Verdana"/>
          <w:sz w:val="20"/>
          <w:szCs w:val="20"/>
          <w:lang w:val="en-US" w:eastAsia="en-US"/>
        </w:rPr>
        <w:t xml:space="preserve">Also, </w:t>
      </w:r>
      <w:r w:rsidR="007B34FF" w:rsidRPr="008A3740">
        <w:rPr>
          <w:rFonts w:ascii="Verdana" w:hAnsi="Verdana"/>
          <w:sz w:val="20"/>
          <w:szCs w:val="20"/>
          <w:lang w:val="en-US" w:eastAsia="en-US"/>
        </w:rPr>
        <w:t xml:space="preserve">the cost of </w:t>
      </w:r>
      <w:r w:rsidR="008E6A56" w:rsidRPr="008A3740">
        <w:rPr>
          <w:rFonts w:ascii="Verdana" w:hAnsi="Verdana"/>
          <w:sz w:val="20"/>
          <w:szCs w:val="20"/>
          <w:lang w:val="en-US" w:eastAsia="en-US"/>
        </w:rPr>
        <w:t xml:space="preserve">the contributions </w:t>
      </w:r>
      <w:r w:rsidR="007B34FF" w:rsidRPr="008A3740">
        <w:rPr>
          <w:rFonts w:ascii="Verdana" w:hAnsi="Verdana"/>
          <w:sz w:val="20"/>
          <w:szCs w:val="20"/>
          <w:lang w:val="en-US" w:eastAsia="en-US"/>
        </w:rPr>
        <w:t>must be affordable</w:t>
      </w:r>
      <w:r w:rsidR="008E6A56" w:rsidRPr="008A3740">
        <w:rPr>
          <w:rFonts w:ascii="Verdana" w:hAnsi="Verdana"/>
          <w:sz w:val="20"/>
          <w:szCs w:val="20"/>
          <w:lang w:val="en-US" w:eastAsia="en-US"/>
        </w:rPr>
        <w:t xml:space="preserve"> and the beneficiaries </w:t>
      </w:r>
      <w:r w:rsidR="007B34FF" w:rsidRPr="008A3740">
        <w:rPr>
          <w:rFonts w:ascii="Verdana" w:hAnsi="Verdana"/>
          <w:sz w:val="20"/>
          <w:szCs w:val="20"/>
          <w:lang w:val="en-US" w:eastAsia="en-US"/>
        </w:rPr>
        <w:t xml:space="preserve">must </w:t>
      </w:r>
      <w:r w:rsidR="008E6A56" w:rsidRPr="008A3740">
        <w:rPr>
          <w:rFonts w:ascii="Verdana" w:hAnsi="Verdana"/>
          <w:sz w:val="20"/>
          <w:szCs w:val="20"/>
          <w:lang w:val="en-US" w:eastAsia="en-US"/>
        </w:rPr>
        <w:t xml:space="preserve">receive </w:t>
      </w:r>
      <w:r w:rsidR="007B34FF" w:rsidRPr="008A3740">
        <w:rPr>
          <w:rFonts w:ascii="Verdana" w:hAnsi="Verdana"/>
          <w:sz w:val="20"/>
          <w:szCs w:val="20"/>
          <w:lang w:val="en-US" w:eastAsia="en-US"/>
        </w:rPr>
        <w:t xml:space="preserve">clear and transparent </w:t>
      </w:r>
      <w:r w:rsidR="008E6A56" w:rsidRPr="008A3740">
        <w:rPr>
          <w:rFonts w:ascii="Verdana" w:hAnsi="Verdana"/>
          <w:sz w:val="20"/>
          <w:szCs w:val="20"/>
          <w:lang w:val="en-US" w:eastAsia="en-US"/>
        </w:rPr>
        <w:t xml:space="preserve">information, especially if </w:t>
      </w:r>
      <w:r w:rsidR="008B201D" w:rsidRPr="008A3740">
        <w:rPr>
          <w:rFonts w:ascii="Verdana" w:hAnsi="Verdana"/>
          <w:sz w:val="20"/>
          <w:szCs w:val="20"/>
          <w:lang w:val="en-US" w:eastAsia="en-US"/>
        </w:rPr>
        <w:t xml:space="preserve">any </w:t>
      </w:r>
      <w:r w:rsidR="003F6980" w:rsidRPr="008A3740">
        <w:rPr>
          <w:rFonts w:ascii="Verdana" w:hAnsi="Verdana"/>
          <w:sz w:val="20"/>
          <w:szCs w:val="20"/>
          <w:lang w:val="en-US" w:eastAsia="en-US"/>
        </w:rPr>
        <w:t xml:space="preserve">measure is </w:t>
      </w:r>
      <w:r w:rsidR="00792F51" w:rsidRPr="008A3740">
        <w:rPr>
          <w:rFonts w:ascii="Verdana" w:hAnsi="Verdana"/>
          <w:sz w:val="20"/>
          <w:szCs w:val="20"/>
          <w:lang w:val="en-US" w:eastAsia="en-US"/>
        </w:rPr>
        <w:t xml:space="preserve">adopted </w:t>
      </w:r>
      <w:r w:rsidR="003F6980" w:rsidRPr="008A3740">
        <w:rPr>
          <w:rFonts w:ascii="Verdana" w:hAnsi="Verdana"/>
          <w:sz w:val="20"/>
          <w:szCs w:val="20"/>
          <w:lang w:val="en-US" w:eastAsia="en-US"/>
        </w:rPr>
        <w:t xml:space="preserve">that could </w:t>
      </w:r>
      <w:r w:rsidR="008E6A56" w:rsidRPr="008A3740">
        <w:rPr>
          <w:rFonts w:ascii="Verdana" w:hAnsi="Verdana"/>
          <w:sz w:val="20"/>
          <w:szCs w:val="20"/>
          <w:lang w:val="en-US" w:eastAsia="en-US"/>
        </w:rPr>
        <w:t>af</w:t>
      </w:r>
      <w:r w:rsidR="003F6980" w:rsidRPr="008A3740">
        <w:rPr>
          <w:rFonts w:ascii="Verdana" w:hAnsi="Verdana"/>
          <w:sz w:val="20"/>
          <w:szCs w:val="20"/>
          <w:lang w:val="en-US" w:eastAsia="en-US"/>
        </w:rPr>
        <w:t>fect the</w:t>
      </w:r>
      <w:r w:rsidR="008B201D" w:rsidRPr="008A3740">
        <w:rPr>
          <w:rFonts w:ascii="Verdana" w:hAnsi="Verdana"/>
          <w:sz w:val="20"/>
          <w:szCs w:val="20"/>
          <w:lang w:val="en-US" w:eastAsia="en-US"/>
        </w:rPr>
        <w:t>ir</w:t>
      </w:r>
      <w:r w:rsidR="003F6980" w:rsidRPr="008A3740">
        <w:rPr>
          <w:rFonts w:ascii="Verdana" w:hAnsi="Verdana"/>
          <w:sz w:val="20"/>
          <w:szCs w:val="20"/>
          <w:lang w:val="en-US" w:eastAsia="en-US"/>
        </w:rPr>
        <w:t xml:space="preserve"> right, </w:t>
      </w:r>
      <w:r w:rsidR="00EE6DF5" w:rsidRPr="008A3740">
        <w:rPr>
          <w:rFonts w:ascii="Verdana" w:hAnsi="Verdana"/>
          <w:sz w:val="20"/>
          <w:szCs w:val="20"/>
          <w:lang w:val="en-US" w:eastAsia="en-US"/>
        </w:rPr>
        <w:t xml:space="preserve">such as </w:t>
      </w:r>
      <w:r w:rsidR="003F6980" w:rsidRPr="008A3740">
        <w:rPr>
          <w:rFonts w:ascii="Verdana" w:hAnsi="Verdana"/>
          <w:sz w:val="20"/>
          <w:szCs w:val="20"/>
          <w:lang w:val="en-US" w:eastAsia="en-US"/>
        </w:rPr>
        <w:t xml:space="preserve">the </w:t>
      </w:r>
      <w:r w:rsidR="008E6A56" w:rsidRPr="008A3740">
        <w:rPr>
          <w:rFonts w:ascii="Verdana" w:hAnsi="Verdana"/>
          <w:sz w:val="20"/>
          <w:szCs w:val="20"/>
          <w:lang w:val="en-US" w:eastAsia="en-US"/>
        </w:rPr>
        <w:lastRenderedPageBreak/>
        <w:t>privatization of</w:t>
      </w:r>
      <w:r w:rsidR="008B201D" w:rsidRPr="008A3740">
        <w:rPr>
          <w:rFonts w:ascii="Verdana" w:hAnsi="Verdana"/>
          <w:sz w:val="20"/>
          <w:szCs w:val="20"/>
          <w:lang w:val="en-US" w:eastAsia="en-US"/>
        </w:rPr>
        <w:t xml:space="preserve">  a company; d) </w:t>
      </w:r>
      <w:r w:rsidR="007B34FF" w:rsidRPr="008A3740">
        <w:rPr>
          <w:rFonts w:ascii="Verdana" w:hAnsi="Verdana"/>
          <w:sz w:val="20"/>
          <w:szCs w:val="20"/>
          <w:lang w:val="en-US" w:eastAsia="en-US"/>
        </w:rPr>
        <w:t xml:space="preserve">retirement </w:t>
      </w:r>
      <w:r w:rsidR="008E6A56" w:rsidRPr="008A3740">
        <w:rPr>
          <w:rFonts w:ascii="Verdana" w:hAnsi="Verdana"/>
          <w:sz w:val="20"/>
          <w:szCs w:val="20"/>
          <w:lang w:val="en-US" w:eastAsia="en-US"/>
        </w:rPr>
        <w:t>pension</w:t>
      </w:r>
      <w:r w:rsidR="007B34FF" w:rsidRPr="008A3740">
        <w:rPr>
          <w:rFonts w:ascii="Verdana" w:hAnsi="Verdana"/>
          <w:sz w:val="20"/>
          <w:szCs w:val="20"/>
          <w:lang w:val="en-US" w:eastAsia="en-US"/>
        </w:rPr>
        <w:t xml:space="preserve"> </w:t>
      </w:r>
      <w:r w:rsidR="008B201D" w:rsidRPr="008A3740">
        <w:rPr>
          <w:rFonts w:ascii="Verdana" w:hAnsi="Verdana"/>
          <w:sz w:val="20"/>
          <w:szCs w:val="20"/>
          <w:lang w:val="en-US" w:eastAsia="en-US"/>
        </w:rPr>
        <w:t xml:space="preserve">benefits </w:t>
      </w:r>
      <w:r w:rsidR="007B34FF" w:rsidRPr="008A3740">
        <w:rPr>
          <w:rFonts w:ascii="Verdana" w:hAnsi="Verdana"/>
          <w:sz w:val="20"/>
          <w:szCs w:val="20"/>
          <w:lang w:val="en-US" w:eastAsia="en-US"/>
        </w:rPr>
        <w:t xml:space="preserve">must be guaranteed </w:t>
      </w:r>
      <w:r w:rsidR="008B201D" w:rsidRPr="008A3740">
        <w:rPr>
          <w:rFonts w:ascii="Verdana" w:hAnsi="Verdana"/>
          <w:sz w:val="20"/>
          <w:szCs w:val="20"/>
          <w:lang w:val="en-US" w:eastAsia="en-US"/>
        </w:rPr>
        <w:t xml:space="preserve">and paid </w:t>
      </w:r>
      <w:r w:rsidR="008E6A56" w:rsidRPr="008A3740">
        <w:rPr>
          <w:rFonts w:ascii="Verdana" w:hAnsi="Verdana"/>
          <w:sz w:val="20"/>
          <w:szCs w:val="20"/>
          <w:lang w:val="en-US" w:eastAsia="en-US"/>
        </w:rPr>
        <w:t xml:space="preserve">in a timely manner and without delays, </w:t>
      </w:r>
      <w:r w:rsidR="008B201D" w:rsidRPr="008A3740">
        <w:rPr>
          <w:rFonts w:ascii="Verdana" w:hAnsi="Verdana"/>
          <w:sz w:val="20"/>
          <w:szCs w:val="20"/>
          <w:lang w:val="en-US" w:eastAsia="en-US"/>
        </w:rPr>
        <w:t xml:space="preserve">bearing in mind </w:t>
      </w:r>
      <w:r w:rsidR="005B1251" w:rsidRPr="008A3740">
        <w:rPr>
          <w:rFonts w:ascii="Verdana" w:hAnsi="Verdana"/>
          <w:sz w:val="20"/>
          <w:szCs w:val="20"/>
          <w:lang w:val="en-US" w:eastAsia="en-US"/>
        </w:rPr>
        <w:t>the importance of</w:t>
      </w:r>
      <w:r w:rsidR="008E6A56" w:rsidRPr="008A3740">
        <w:rPr>
          <w:rFonts w:ascii="Verdana" w:hAnsi="Verdana"/>
          <w:sz w:val="20"/>
          <w:szCs w:val="20"/>
          <w:lang w:val="en-US" w:eastAsia="en-US"/>
        </w:rPr>
        <w:t xml:space="preserve"> </w:t>
      </w:r>
      <w:r w:rsidR="007B34FF" w:rsidRPr="008A3740">
        <w:rPr>
          <w:rFonts w:ascii="Verdana" w:hAnsi="Verdana"/>
          <w:sz w:val="20"/>
          <w:szCs w:val="20"/>
          <w:lang w:val="en-US" w:eastAsia="en-US"/>
        </w:rPr>
        <w:t xml:space="preserve">this </w:t>
      </w:r>
      <w:r w:rsidR="00687305" w:rsidRPr="008A3740">
        <w:rPr>
          <w:rFonts w:ascii="Verdana" w:hAnsi="Verdana"/>
          <w:sz w:val="20"/>
          <w:szCs w:val="20"/>
          <w:lang w:val="en-US" w:eastAsia="en-US"/>
        </w:rPr>
        <w:t xml:space="preserve">principle </w:t>
      </w:r>
      <w:r w:rsidR="00EE6DF5" w:rsidRPr="008A3740">
        <w:rPr>
          <w:rFonts w:ascii="Verdana" w:hAnsi="Verdana"/>
          <w:sz w:val="20"/>
          <w:szCs w:val="20"/>
          <w:lang w:val="en-US" w:eastAsia="en-US"/>
        </w:rPr>
        <w:t xml:space="preserve">for </w:t>
      </w:r>
      <w:r w:rsidR="005B1251" w:rsidRPr="008A3740">
        <w:rPr>
          <w:rFonts w:ascii="Verdana" w:hAnsi="Verdana"/>
          <w:sz w:val="20"/>
          <w:szCs w:val="20"/>
          <w:lang w:val="en-US" w:eastAsia="en-US"/>
        </w:rPr>
        <w:t>older persons</w:t>
      </w:r>
      <w:r w:rsidR="008E6A56" w:rsidRPr="008A3740">
        <w:rPr>
          <w:rFonts w:ascii="Verdana" w:hAnsi="Verdana"/>
          <w:sz w:val="20"/>
          <w:szCs w:val="20"/>
          <w:lang w:val="en-US" w:eastAsia="en-US"/>
        </w:rPr>
        <w:t xml:space="preserve">, and e) effective </w:t>
      </w:r>
      <w:r w:rsidR="008B201D" w:rsidRPr="008A3740">
        <w:rPr>
          <w:rFonts w:ascii="Verdana" w:hAnsi="Verdana"/>
          <w:sz w:val="20"/>
          <w:szCs w:val="20"/>
          <w:lang w:val="en-US" w:eastAsia="en-US"/>
        </w:rPr>
        <w:t xml:space="preserve">grievance </w:t>
      </w:r>
      <w:r w:rsidR="005B1251" w:rsidRPr="008A3740">
        <w:rPr>
          <w:rFonts w:ascii="Verdana" w:hAnsi="Verdana"/>
          <w:sz w:val="20"/>
          <w:szCs w:val="20"/>
          <w:lang w:val="en-US" w:eastAsia="en-US"/>
        </w:rPr>
        <w:t xml:space="preserve">mechanisms </w:t>
      </w:r>
      <w:r w:rsidR="008B201D" w:rsidRPr="008A3740">
        <w:rPr>
          <w:rFonts w:ascii="Verdana" w:hAnsi="Verdana"/>
          <w:sz w:val="20"/>
          <w:szCs w:val="20"/>
          <w:lang w:val="en-US" w:eastAsia="en-US"/>
        </w:rPr>
        <w:t xml:space="preserve">must be available in the event of </w:t>
      </w:r>
      <w:r w:rsidR="00EE6DF5" w:rsidRPr="008A3740">
        <w:rPr>
          <w:rFonts w:ascii="Verdana" w:hAnsi="Verdana"/>
          <w:sz w:val="20"/>
          <w:szCs w:val="20"/>
          <w:lang w:val="en-US" w:eastAsia="en-US"/>
        </w:rPr>
        <w:t xml:space="preserve">a </w:t>
      </w:r>
      <w:r w:rsidR="007B34FF" w:rsidRPr="008A3740">
        <w:rPr>
          <w:rFonts w:ascii="Verdana" w:hAnsi="Verdana"/>
          <w:sz w:val="20"/>
          <w:szCs w:val="20"/>
          <w:lang w:val="en-US" w:eastAsia="en-US"/>
        </w:rPr>
        <w:t xml:space="preserve">violation of </w:t>
      </w:r>
      <w:r w:rsidR="008E6A56" w:rsidRPr="008A3740">
        <w:rPr>
          <w:rFonts w:ascii="Verdana" w:hAnsi="Verdana"/>
          <w:sz w:val="20"/>
          <w:szCs w:val="20"/>
          <w:lang w:val="en-US" w:eastAsia="en-US"/>
        </w:rPr>
        <w:t xml:space="preserve">the right to social security, </w:t>
      </w:r>
      <w:r w:rsidR="00792F51" w:rsidRPr="008A3740">
        <w:rPr>
          <w:rFonts w:ascii="Verdana" w:hAnsi="Verdana"/>
          <w:sz w:val="20"/>
          <w:szCs w:val="20"/>
          <w:lang w:val="en-US" w:eastAsia="en-US"/>
        </w:rPr>
        <w:t xml:space="preserve">in order </w:t>
      </w:r>
      <w:r w:rsidR="007B34FF" w:rsidRPr="008A3740">
        <w:rPr>
          <w:rFonts w:ascii="Verdana" w:hAnsi="Verdana"/>
          <w:sz w:val="20"/>
          <w:szCs w:val="20"/>
          <w:lang w:val="en-US" w:eastAsia="en-US"/>
        </w:rPr>
        <w:t xml:space="preserve">to guarantee </w:t>
      </w:r>
      <w:r w:rsidR="008B201D" w:rsidRPr="008A3740">
        <w:rPr>
          <w:rFonts w:ascii="Verdana" w:hAnsi="Verdana"/>
          <w:sz w:val="20"/>
          <w:szCs w:val="20"/>
          <w:lang w:val="en-US" w:eastAsia="en-US"/>
        </w:rPr>
        <w:t xml:space="preserve">access to justice and </w:t>
      </w:r>
      <w:r w:rsidR="008E6A56" w:rsidRPr="008A3740">
        <w:rPr>
          <w:rFonts w:ascii="Verdana" w:hAnsi="Verdana"/>
          <w:sz w:val="20"/>
          <w:szCs w:val="20"/>
          <w:lang w:val="en-US" w:eastAsia="en-US"/>
        </w:rPr>
        <w:t>effective ju</w:t>
      </w:r>
      <w:r w:rsidR="008B201D" w:rsidRPr="008A3740">
        <w:rPr>
          <w:rFonts w:ascii="Verdana" w:hAnsi="Verdana"/>
          <w:sz w:val="20"/>
          <w:szCs w:val="20"/>
          <w:lang w:val="en-US" w:eastAsia="en-US"/>
        </w:rPr>
        <w:t>dicial protection;</w:t>
      </w:r>
      <w:r w:rsidR="001C12AA" w:rsidRPr="008A3740">
        <w:rPr>
          <w:rFonts w:ascii="Verdana" w:hAnsi="Verdana"/>
          <w:sz w:val="20"/>
          <w:szCs w:val="20"/>
          <w:lang w:val="en-US" w:eastAsia="en-US"/>
        </w:rPr>
        <w:t xml:space="preserve"> </w:t>
      </w:r>
      <w:r w:rsidR="008B201D" w:rsidRPr="008A3740">
        <w:rPr>
          <w:rFonts w:ascii="Verdana" w:hAnsi="Verdana"/>
          <w:sz w:val="20"/>
          <w:szCs w:val="20"/>
          <w:lang w:val="en-US" w:eastAsia="en-US"/>
        </w:rPr>
        <w:t xml:space="preserve">this includes </w:t>
      </w:r>
      <w:r w:rsidR="008E6A56" w:rsidRPr="008A3740">
        <w:rPr>
          <w:rFonts w:ascii="Verdana" w:hAnsi="Verdana"/>
          <w:sz w:val="20"/>
          <w:szCs w:val="20"/>
          <w:lang w:val="en-US" w:eastAsia="en-US"/>
        </w:rPr>
        <w:t xml:space="preserve">the </w:t>
      </w:r>
      <w:r w:rsidR="008B201D" w:rsidRPr="008A3740">
        <w:rPr>
          <w:rFonts w:ascii="Verdana" w:hAnsi="Verdana"/>
          <w:sz w:val="20"/>
          <w:szCs w:val="20"/>
          <w:lang w:val="en-US" w:eastAsia="en-US"/>
        </w:rPr>
        <w:t xml:space="preserve">realization </w:t>
      </w:r>
      <w:r w:rsidR="00687305" w:rsidRPr="008A3740">
        <w:rPr>
          <w:rFonts w:ascii="Verdana" w:hAnsi="Verdana"/>
          <w:sz w:val="20"/>
          <w:szCs w:val="20"/>
          <w:lang w:val="en-US" w:eastAsia="en-US"/>
        </w:rPr>
        <w:t xml:space="preserve">of that </w:t>
      </w:r>
      <w:r w:rsidR="008E6A56" w:rsidRPr="008A3740">
        <w:rPr>
          <w:rFonts w:ascii="Verdana" w:hAnsi="Verdana"/>
          <w:sz w:val="20"/>
          <w:szCs w:val="20"/>
          <w:lang w:val="en-US" w:eastAsia="en-US"/>
        </w:rPr>
        <w:t xml:space="preserve">right </w:t>
      </w:r>
      <w:r w:rsidR="0038744C" w:rsidRPr="008A3740">
        <w:rPr>
          <w:rFonts w:ascii="Verdana" w:hAnsi="Verdana"/>
          <w:sz w:val="20"/>
          <w:szCs w:val="20"/>
          <w:lang w:val="en-US" w:eastAsia="en-US"/>
        </w:rPr>
        <w:t xml:space="preserve">through </w:t>
      </w:r>
      <w:r w:rsidR="008E6A56" w:rsidRPr="008A3740">
        <w:rPr>
          <w:rFonts w:ascii="Verdana" w:hAnsi="Verdana"/>
          <w:sz w:val="20"/>
          <w:szCs w:val="20"/>
          <w:lang w:val="en-US" w:eastAsia="en-US"/>
        </w:rPr>
        <w:t xml:space="preserve">the </w:t>
      </w:r>
      <w:r w:rsidR="0038744C" w:rsidRPr="008A3740">
        <w:rPr>
          <w:rFonts w:ascii="Verdana" w:hAnsi="Verdana"/>
          <w:sz w:val="20"/>
          <w:szCs w:val="20"/>
          <w:lang w:val="en-US" w:eastAsia="en-US"/>
        </w:rPr>
        <w:t xml:space="preserve">effective implementation of favorable </w:t>
      </w:r>
      <w:r w:rsidR="008D6D5B" w:rsidRPr="008A3740">
        <w:rPr>
          <w:rFonts w:ascii="Verdana" w:hAnsi="Verdana"/>
          <w:sz w:val="20"/>
          <w:szCs w:val="20"/>
          <w:lang w:val="en-US" w:eastAsia="en-US"/>
        </w:rPr>
        <w:t xml:space="preserve">rulings issued at the </w:t>
      </w:r>
      <w:r w:rsidR="0038744C" w:rsidRPr="008A3740">
        <w:rPr>
          <w:rFonts w:ascii="Verdana" w:hAnsi="Verdana"/>
          <w:sz w:val="20"/>
          <w:szCs w:val="20"/>
          <w:lang w:val="en-US" w:eastAsia="en-US"/>
        </w:rPr>
        <w:t xml:space="preserve">domestic </w:t>
      </w:r>
      <w:r w:rsidR="008D6D5B" w:rsidRPr="008A3740">
        <w:rPr>
          <w:rFonts w:ascii="Verdana" w:hAnsi="Verdana"/>
          <w:sz w:val="20"/>
          <w:szCs w:val="20"/>
          <w:lang w:val="en-US" w:eastAsia="en-US"/>
        </w:rPr>
        <w:t>level</w:t>
      </w:r>
      <w:r w:rsidR="008E6A56" w:rsidRPr="008A3740">
        <w:rPr>
          <w:rFonts w:ascii="Verdana" w:hAnsi="Verdana"/>
          <w:sz w:val="20"/>
          <w:szCs w:val="20"/>
          <w:lang w:val="en-US" w:eastAsia="en-US"/>
        </w:rPr>
        <w:t>.</w:t>
      </w:r>
    </w:p>
    <w:p w14:paraId="0E6088A9" w14:textId="77777777" w:rsidR="008E6A56" w:rsidRPr="008A3740" w:rsidRDefault="008E6A56" w:rsidP="008E6A56">
      <w:pPr>
        <w:widowControl/>
        <w:tabs>
          <w:tab w:val="left" w:pos="567"/>
        </w:tabs>
        <w:adjustRightInd/>
        <w:textAlignment w:val="auto"/>
        <w:rPr>
          <w:rFonts w:ascii="Verdana" w:hAnsi="Verdana"/>
          <w:snapToGrid w:val="0"/>
          <w:sz w:val="20"/>
          <w:szCs w:val="20"/>
          <w:lang w:val="en-US"/>
        </w:rPr>
      </w:pPr>
    </w:p>
    <w:p w14:paraId="28677F5B"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napToGrid w:val="0"/>
          <w:sz w:val="20"/>
          <w:szCs w:val="20"/>
          <w:lang w:val="en-US"/>
        </w:rPr>
      </w:pPr>
      <w:r w:rsidRPr="008A3740">
        <w:rPr>
          <w:rFonts w:ascii="Verdana" w:hAnsi="Verdana"/>
          <w:sz w:val="20"/>
          <w:szCs w:val="20"/>
          <w:lang w:val="en-US" w:eastAsia="en-US"/>
        </w:rPr>
        <w:t>Based on the criteria establis</w:t>
      </w:r>
      <w:r w:rsidR="005A6E72" w:rsidRPr="008A3740">
        <w:rPr>
          <w:rFonts w:ascii="Verdana" w:hAnsi="Verdana"/>
          <w:sz w:val="20"/>
          <w:szCs w:val="20"/>
          <w:lang w:val="en-US" w:eastAsia="en-US"/>
        </w:rPr>
        <w:t>hed in the preceding paragraphs</w:t>
      </w:r>
      <w:r w:rsidRPr="008A3740">
        <w:rPr>
          <w:rFonts w:ascii="Verdana" w:hAnsi="Verdana"/>
          <w:sz w:val="20"/>
          <w:szCs w:val="20"/>
          <w:lang w:val="en-US" w:eastAsia="en-US"/>
        </w:rPr>
        <w:t xml:space="preserve"> </w:t>
      </w:r>
      <w:r w:rsidR="008D6DD5" w:rsidRPr="008A3740">
        <w:rPr>
          <w:rFonts w:ascii="Verdana" w:hAnsi="Verdana"/>
          <w:sz w:val="20"/>
          <w:szCs w:val="20"/>
          <w:lang w:val="en-US" w:eastAsia="en-US"/>
        </w:rPr>
        <w:t xml:space="preserve">and the </w:t>
      </w:r>
      <w:r w:rsidRPr="008A3740">
        <w:rPr>
          <w:rFonts w:ascii="Verdana" w:hAnsi="Verdana"/>
          <w:sz w:val="20"/>
          <w:szCs w:val="20"/>
          <w:lang w:val="en-US" w:eastAsia="en-US"/>
        </w:rPr>
        <w:t>Court</w:t>
      </w:r>
      <w:r w:rsidR="008D6DD5" w:rsidRPr="008A3740">
        <w:rPr>
          <w:rFonts w:ascii="Verdana" w:hAnsi="Verdana"/>
          <w:sz w:val="20"/>
          <w:szCs w:val="20"/>
          <w:lang w:val="en-US" w:eastAsia="en-US"/>
        </w:rPr>
        <w:t xml:space="preserve">’s conclusions regarding </w:t>
      </w:r>
      <w:r w:rsidRPr="008A3740">
        <w:rPr>
          <w:rFonts w:ascii="Verdana" w:hAnsi="Verdana"/>
          <w:sz w:val="20"/>
          <w:szCs w:val="20"/>
          <w:lang w:val="en-US" w:eastAsia="en-US"/>
        </w:rPr>
        <w:t xml:space="preserve">the </w:t>
      </w:r>
      <w:r w:rsidR="007B34FF" w:rsidRPr="008A3740">
        <w:rPr>
          <w:rFonts w:ascii="Verdana" w:hAnsi="Verdana"/>
          <w:sz w:val="20"/>
          <w:szCs w:val="20"/>
          <w:lang w:val="en-US" w:eastAsia="en-US"/>
        </w:rPr>
        <w:t xml:space="preserve">right to judicial protection </w:t>
      </w:r>
      <w:r w:rsidRPr="008A3740">
        <w:rPr>
          <w:rFonts w:ascii="Verdana" w:hAnsi="Verdana"/>
          <w:sz w:val="20"/>
          <w:szCs w:val="20"/>
          <w:lang w:val="en-US" w:eastAsia="en-US"/>
        </w:rPr>
        <w:t>(</w:t>
      </w:r>
      <w:r w:rsidRPr="008A3740">
        <w:rPr>
          <w:rFonts w:ascii="Verdana" w:hAnsi="Verdana"/>
          <w:i/>
          <w:sz w:val="20"/>
          <w:szCs w:val="20"/>
          <w:lang w:val="en-US" w:eastAsia="en-US"/>
        </w:rPr>
        <w:t>supra</w:t>
      </w:r>
      <w:r w:rsidR="009D1D7D" w:rsidRPr="008A3740">
        <w:rPr>
          <w:rFonts w:ascii="Verdana" w:hAnsi="Verdana"/>
          <w:sz w:val="20"/>
          <w:szCs w:val="20"/>
          <w:lang w:val="en-US" w:eastAsia="en-US"/>
        </w:rPr>
        <w:t xml:space="preserve"> paras.</w:t>
      </w:r>
      <w:r w:rsidRPr="008A3740">
        <w:rPr>
          <w:rFonts w:ascii="Verdana" w:hAnsi="Verdana"/>
          <w:sz w:val="20"/>
          <w:szCs w:val="20"/>
          <w:lang w:val="en-US" w:eastAsia="en-US"/>
        </w:rPr>
        <w:t>149), and considering</w:t>
      </w:r>
      <w:r w:rsidR="008D6DD5" w:rsidRPr="008A3740">
        <w:rPr>
          <w:rFonts w:ascii="Verdana" w:hAnsi="Verdana"/>
          <w:sz w:val="20"/>
          <w:szCs w:val="20"/>
          <w:lang w:val="en-US" w:eastAsia="en-US"/>
        </w:rPr>
        <w:t>, in particular,</w:t>
      </w:r>
      <w:r w:rsidRPr="008A3740">
        <w:rPr>
          <w:rFonts w:ascii="Verdana" w:hAnsi="Verdana"/>
          <w:sz w:val="20"/>
          <w:szCs w:val="20"/>
          <w:lang w:val="en-US" w:eastAsia="en-US"/>
        </w:rPr>
        <w:t xml:space="preserve"> that </w:t>
      </w:r>
      <w:r w:rsidR="005B1251" w:rsidRPr="008A3740">
        <w:rPr>
          <w:rFonts w:ascii="Verdana" w:hAnsi="Verdana"/>
          <w:sz w:val="20"/>
          <w:szCs w:val="20"/>
          <w:lang w:val="en-US" w:eastAsia="en-US"/>
        </w:rPr>
        <w:t xml:space="preserve">the </w:t>
      </w:r>
      <w:r w:rsidRPr="008A3740">
        <w:rPr>
          <w:rFonts w:ascii="Verdana" w:hAnsi="Verdana"/>
          <w:sz w:val="20"/>
          <w:szCs w:val="20"/>
          <w:lang w:val="en-US" w:eastAsia="en-US"/>
        </w:rPr>
        <w:t>State company from which Mr. Muelle Flores retired</w:t>
      </w:r>
      <w:r w:rsidR="005B1251" w:rsidRPr="008A3740">
        <w:rPr>
          <w:rFonts w:ascii="Verdana" w:hAnsi="Verdana"/>
          <w:sz w:val="20"/>
          <w:szCs w:val="20"/>
          <w:lang w:val="en-US" w:eastAsia="en-US"/>
        </w:rPr>
        <w:t xml:space="preserve"> was privatized</w:t>
      </w:r>
      <w:r w:rsidRPr="008A3740">
        <w:rPr>
          <w:rFonts w:ascii="Verdana" w:hAnsi="Verdana"/>
          <w:sz w:val="20"/>
          <w:szCs w:val="20"/>
          <w:lang w:val="en-US" w:eastAsia="en-US"/>
        </w:rPr>
        <w:t xml:space="preserve">, the Court </w:t>
      </w:r>
      <w:r w:rsidR="008D6DD5" w:rsidRPr="008A3740">
        <w:rPr>
          <w:rFonts w:ascii="Verdana" w:hAnsi="Verdana"/>
          <w:sz w:val="20"/>
          <w:szCs w:val="20"/>
          <w:lang w:val="en-US" w:eastAsia="en-US"/>
        </w:rPr>
        <w:t xml:space="preserve">will </w:t>
      </w:r>
      <w:r w:rsidR="005A6E72" w:rsidRPr="008A3740">
        <w:rPr>
          <w:rFonts w:ascii="Verdana" w:hAnsi="Verdana"/>
          <w:sz w:val="20"/>
          <w:szCs w:val="20"/>
          <w:lang w:val="en-US" w:eastAsia="en-US"/>
        </w:rPr>
        <w:t xml:space="preserve">now </w:t>
      </w:r>
      <w:r w:rsidRPr="008A3740">
        <w:rPr>
          <w:rFonts w:ascii="Verdana" w:hAnsi="Verdana"/>
          <w:sz w:val="20"/>
          <w:szCs w:val="20"/>
          <w:lang w:val="en-US" w:eastAsia="en-US"/>
        </w:rPr>
        <w:t xml:space="preserve">analyze </w:t>
      </w:r>
      <w:r w:rsidR="00855AB5" w:rsidRPr="008A3740">
        <w:rPr>
          <w:rFonts w:ascii="Verdana" w:hAnsi="Verdana"/>
          <w:sz w:val="20"/>
          <w:szCs w:val="20"/>
          <w:lang w:val="en-US" w:eastAsia="en-US"/>
        </w:rPr>
        <w:t xml:space="preserve">the effects on the </w:t>
      </w:r>
      <w:r w:rsidRPr="008A3740">
        <w:rPr>
          <w:rFonts w:ascii="Verdana" w:hAnsi="Verdana"/>
          <w:sz w:val="20"/>
          <w:szCs w:val="20"/>
          <w:lang w:val="en-US" w:eastAsia="en-US"/>
        </w:rPr>
        <w:t>right to social security in this specific case.</w:t>
      </w:r>
    </w:p>
    <w:p w14:paraId="258D963C" w14:textId="77777777" w:rsidR="008E6A56" w:rsidRPr="008A3740" w:rsidRDefault="008E6A56" w:rsidP="008E6A56">
      <w:pPr>
        <w:widowControl/>
        <w:tabs>
          <w:tab w:val="left" w:pos="567"/>
        </w:tabs>
        <w:adjustRightInd/>
        <w:textAlignment w:val="auto"/>
        <w:rPr>
          <w:rFonts w:ascii="Verdana" w:hAnsi="Verdana"/>
          <w:sz w:val="20"/>
          <w:szCs w:val="20"/>
          <w:lang w:val="en-US"/>
        </w:rPr>
      </w:pPr>
    </w:p>
    <w:p w14:paraId="43C93CE9" w14:textId="77777777" w:rsidR="008E6A56" w:rsidRPr="008A3740" w:rsidRDefault="008B201D" w:rsidP="00D17A65">
      <w:pPr>
        <w:pStyle w:val="Prrafodelista"/>
        <w:numPr>
          <w:ilvl w:val="0"/>
          <w:numId w:val="12"/>
        </w:numPr>
        <w:ind w:left="1440" w:hanging="1080"/>
        <w:rPr>
          <w:rFonts w:ascii="Verdana" w:hAnsi="Verdana"/>
          <w:b/>
          <w:i/>
          <w:sz w:val="20"/>
          <w:szCs w:val="20"/>
          <w:lang w:val="en-US" w:eastAsia="en-US"/>
        </w:rPr>
      </w:pPr>
      <w:r w:rsidRPr="008A3740">
        <w:rPr>
          <w:rFonts w:ascii="Verdana" w:hAnsi="Verdana"/>
          <w:b/>
          <w:i/>
          <w:sz w:val="20"/>
          <w:szCs w:val="20"/>
          <w:lang w:val="en-US" w:eastAsia="en-US"/>
        </w:rPr>
        <w:t xml:space="preserve">Effects on </w:t>
      </w:r>
      <w:r w:rsidR="008E6A56" w:rsidRPr="008A3740">
        <w:rPr>
          <w:rFonts w:ascii="Verdana" w:hAnsi="Verdana"/>
          <w:b/>
          <w:i/>
          <w:sz w:val="20"/>
          <w:szCs w:val="20"/>
          <w:lang w:val="en-US" w:eastAsia="en-US"/>
        </w:rPr>
        <w:t xml:space="preserve">the right to social security in the </w:t>
      </w:r>
      <w:r w:rsidR="008D6DD5" w:rsidRPr="008A3740">
        <w:rPr>
          <w:rFonts w:ascii="Verdana" w:hAnsi="Verdana"/>
          <w:b/>
          <w:i/>
          <w:sz w:val="20"/>
          <w:szCs w:val="20"/>
          <w:lang w:val="en-US" w:eastAsia="en-US"/>
        </w:rPr>
        <w:t xml:space="preserve">instant </w:t>
      </w:r>
      <w:r w:rsidR="008E6A56" w:rsidRPr="008A3740">
        <w:rPr>
          <w:rFonts w:ascii="Verdana" w:hAnsi="Verdana"/>
          <w:b/>
          <w:i/>
          <w:sz w:val="20"/>
          <w:szCs w:val="20"/>
          <w:lang w:val="en-US" w:eastAsia="en-US"/>
        </w:rPr>
        <w:t xml:space="preserve">case </w:t>
      </w:r>
    </w:p>
    <w:p w14:paraId="1A328A91" w14:textId="77777777" w:rsidR="008E6A56" w:rsidRPr="008A3740" w:rsidRDefault="008E6A56" w:rsidP="008E6A56">
      <w:pPr>
        <w:autoSpaceDE w:val="0"/>
        <w:autoSpaceDN w:val="0"/>
        <w:ind w:right="390"/>
        <w:rPr>
          <w:rFonts w:ascii="Verdana" w:hAnsi="Verdana" w:cs="Verdana"/>
          <w:sz w:val="20"/>
          <w:szCs w:val="20"/>
          <w:lang w:val="en-US" w:eastAsia="en-US"/>
        </w:rPr>
      </w:pPr>
    </w:p>
    <w:p w14:paraId="1FFAA0F0" w14:textId="77777777" w:rsidR="008E6A56" w:rsidRPr="008A3740" w:rsidRDefault="008E6A56"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hAnsi="Verdana"/>
          <w:sz w:val="20"/>
          <w:szCs w:val="20"/>
          <w:lang w:val="en-US"/>
        </w:rPr>
        <w:t>In the</w:t>
      </w:r>
      <w:r w:rsidR="007B34FF" w:rsidRPr="008A3740">
        <w:rPr>
          <w:rFonts w:ascii="Verdana" w:hAnsi="Verdana"/>
          <w:sz w:val="20"/>
          <w:szCs w:val="20"/>
          <w:lang w:val="en-US"/>
        </w:rPr>
        <w:t xml:space="preserve"> instant </w:t>
      </w:r>
      <w:r w:rsidRPr="008A3740">
        <w:rPr>
          <w:rFonts w:ascii="Verdana" w:hAnsi="Verdana"/>
          <w:sz w:val="20"/>
          <w:szCs w:val="20"/>
          <w:lang w:val="en-US"/>
        </w:rPr>
        <w:t>case, Decree Law No. 20530 regula</w:t>
      </w:r>
      <w:r w:rsidR="003F6980" w:rsidRPr="008A3740">
        <w:rPr>
          <w:rFonts w:ascii="Verdana" w:hAnsi="Verdana"/>
          <w:sz w:val="20"/>
          <w:szCs w:val="20"/>
          <w:lang w:val="en-US"/>
        </w:rPr>
        <w:t xml:space="preserve">ted a pension scheme </w:t>
      </w:r>
      <w:r w:rsidR="00205C82" w:rsidRPr="008A3740">
        <w:rPr>
          <w:rFonts w:ascii="Verdana" w:hAnsi="Verdana"/>
          <w:sz w:val="20"/>
          <w:szCs w:val="20"/>
          <w:lang w:val="en-US"/>
        </w:rPr>
        <w:t xml:space="preserve">in Peru </w:t>
      </w:r>
      <w:r w:rsidR="007B34FF" w:rsidRPr="008A3740">
        <w:rPr>
          <w:rFonts w:ascii="Verdana" w:hAnsi="Verdana"/>
          <w:sz w:val="20"/>
          <w:szCs w:val="20"/>
          <w:lang w:val="en-US"/>
        </w:rPr>
        <w:t xml:space="preserve">based on </w:t>
      </w:r>
      <w:r w:rsidR="008B201D" w:rsidRPr="008A3740">
        <w:rPr>
          <w:rFonts w:ascii="Verdana" w:hAnsi="Verdana"/>
          <w:sz w:val="20"/>
          <w:szCs w:val="20"/>
          <w:lang w:val="en-US"/>
        </w:rPr>
        <w:t xml:space="preserve">the contributions of </w:t>
      </w:r>
      <w:r w:rsidR="00273EFD" w:rsidRPr="008A3740">
        <w:rPr>
          <w:rFonts w:ascii="Verdana" w:hAnsi="Verdana"/>
          <w:sz w:val="20"/>
          <w:szCs w:val="20"/>
          <w:lang w:val="en-US"/>
        </w:rPr>
        <w:t>workers enrolled in that system</w:t>
      </w:r>
      <w:r w:rsidR="007B34FF" w:rsidRPr="008A3740">
        <w:rPr>
          <w:rFonts w:ascii="Verdana" w:hAnsi="Verdana"/>
          <w:sz w:val="20"/>
          <w:szCs w:val="20"/>
          <w:lang w:val="en-US"/>
        </w:rPr>
        <w:t>. T</w:t>
      </w:r>
      <w:r w:rsidRPr="008A3740">
        <w:rPr>
          <w:rFonts w:ascii="Verdana" w:hAnsi="Verdana"/>
          <w:sz w:val="20"/>
          <w:szCs w:val="20"/>
          <w:lang w:val="en-US"/>
        </w:rPr>
        <w:t xml:space="preserve">he application of </w:t>
      </w:r>
      <w:r w:rsidR="007B34FF" w:rsidRPr="008A3740">
        <w:rPr>
          <w:rFonts w:ascii="Verdana" w:hAnsi="Verdana"/>
          <w:sz w:val="20"/>
          <w:szCs w:val="20"/>
          <w:lang w:val="en-US"/>
        </w:rPr>
        <w:t xml:space="preserve">this system </w:t>
      </w:r>
      <w:r w:rsidRPr="008A3740">
        <w:rPr>
          <w:rFonts w:ascii="Verdana" w:hAnsi="Verdana"/>
          <w:sz w:val="20"/>
          <w:szCs w:val="20"/>
          <w:lang w:val="en-US"/>
        </w:rPr>
        <w:t>to Mr. Muelle Flor</w:t>
      </w:r>
      <w:r w:rsidR="003F6980" w:rsidRPr="008A3740">
        <w:rPr>
          <w:rFonts w:ascii="Verdana" w:hAnsi="Verdana"/>
          <w:sz w:val="20"/>
          <w:szCs w:val="20"/>
          <w:lang w:val="en-US"/>
        </w:rPr>
        <w:t xml:space="preserve">es </w:t>
      </w:r>
      <w:r w:rsidR="00273EFD" w:rsidRPr="008A3740">
        <w:rPr>
          <w:rFonts w:ascii="Verdana" w:hAnsi="Verdana"/>
          <w:sz w:val="20"/>
          <w:szCs w:val="20"/>
          <w:lang w:val="en-US"/>
        </w:rPr>
        <w:t>was suspended in 1991. H</w:t>
      </w:r>
      <w:r w:rsidRPr="008A3740">
        <w:rPr>
          <w:rFonts w:ascii="Verdana" w:hAnsi="Verdana"/>
          <w:sz w:val="20"/>
          <w:szCs w:val="20"/>
          <w:lang w:val="en-US"/>
        </w:rPr>
        <w:t>owever, two</w:t>
      </w:r>
      <w:r w:rsidR="007B34FF" w:rsidRPr="008A3740">
        <w:rPr>
          <w:rFonts w:ascii="Verdana" w:hAnsi="Verdana"/>
          <w:sz w:val="20"/>
          <w:szCs w:val="20"/>
          <w:lang w:val="en-US"/>
        </w:rPr>
        <w:t xml:space="preserve"> </w:t>
      </w:r>
      <w:r w:rsidR="007B34FF" w:rsidRPr="008A3740">
        <w:rPr>
          <w:rFonts w:ascii="Verdana" w:hAnsi="Verdana"/>
          <w:i/>
          <w:sz w:val="20"/>
          <w:szCs w:val="20"/>
          <w:lang w:val="en-US"/>
        </w:rPr>
        <w:t>amparo</w:t>
      </w:r>
      <w:r w:rsidRPr="008A3740">
        <w:rPr>
          <w:rFonts w:ascii="Verdana" w:hAnsi="Verdana"/>
          <w:sz w:val="20"/>
          <w:szCs w:val="20"/>
          <w:lang w:val="en-US"/>
        </w:rPr>
        <w:t xml:space="preserve"> judgments and a </w:t>
      </w:r>
      <w:r w:rsidR="004651DD" w:rsidRPr="008A3740">
        <w:rPr>
          <w:rFonts w:ascii="Verdana" w:hAnsi="Verdana"/>
          <w:sz w:val="20"/>
          <w:szCs w:val="20"/>
          <w:lang w:val="en-US"/>
        </w:rPr>
        <w:t xml:space="preserve">ruling </w:t>
      </w:r>
      <w:r w:rsidR="00205C82" w:rsidRPr="008A3740">
        <w:rPr>
          <w:rFonts w:ascii="Verdana" w:hAnsi="Verdana"/>
          <w:sz w:val="20"/>
          <w:szCs w:val="20"/>
          <w:lang w:val="en-US"/>
        </w:rPr>
        <w:t>in a</w:t>
      </w:r>
      <w:r w:rsidR="007B34FF" w:rsidRPr="008A3740">
        <w:rPr>
          <w:rFonts w:ascii="Verdana" w:hAnsi="Verdana"/>
          <w:sz w:val="20"/>
          <w:szCs w:val="20"/>
          <w:lang w:val="en-US"/>
        </w:rPr>
        <w:t xml:space="preserve"> </w:t>
      </w:r>
      <w:r w:rsidR="00205C82" w:rsidRPr="008A3740">
        <w:rPr>
          <w:rFonts w:ascii="Verdana" w:hAnsi="Verdana"/>
          <w:sz w:val="20"/>
          <w:szCs w:val="20"/>
          <w:lang w:val="en-US"/>
        </w:rPr>
        <w:t>contentious</w:t>
      </w:r>
      <w:r w:rsidR="00205C82" w:rsidRPr="008A3740">
        <w:rPr>
          <w:rFonts w:ascii="Verdana" w:hAnsi="Verdana"/>
          <w:sz w:val="20"/>
          <w:szCs w:val="20"/>
          <w:lang w:val="en-GB"/>
        </w:rPr>
        <w:t>-</w:t>
      </w:r>
      <w:r w:rsidRPr="008A3740">
        <w:rPr>
          <w:rFonts w:ascii="Verdana" w:hAnsi="Verdana"/>
          <w:sz w:val="20"/>
          <w:szCs w:val="20"/>
          <w:lang w:val="en-US"/>
        </w:rPr>
        <w:t>administrative</w:t>
      </w:r>
      <w:r w:rsidR="007B34FF" w:rsidRPr="008A3740">
        <w:rPr>
          <w:rFonts w:ascii="Verdana" w:hAnsi="Verdana"/>
          <w:sz w:val="20"/>
          <w:szCs w:val="20"/>
          <w:lang w:val="en-US"/>
        </w:rPr>
        <w:t xml:space="preserve"> proceeding</w:t>
      </w:r>
      <w:r w:rsidRPr="008A3740">
        <w:rPr>
          <w:rFonts w:ascii="Verdana" w:hAnsi="Verdana"/>
          <w:sz w:val="20"/>
          <w:szCs w:val="20"/>
          <w:lang w:val="en-US"/>
        </w:rPr>
        <w:t xml:space="preserve"> </w:t>
      </w:r>
      <w:r w:rsidR="00BF74BC" w:rsidRPr="008A3740">
        <w:rPr>
          <w:rFonts w:ascii="Verdana" w:hAnsi="Verdana"/>
          <w:sz w:val="20"/>
          <w:szCs w:val="20"/>
          <w:lang w:val="en-US"/>
        </w:rPr>
        <w:t>declared that the</w:t>
      </w:r>
      <w:r w:rsidR="007B34FF" w:rsidRPr="008A3740">
        <w:rPr>
          <w:rFonts w:ascii="Verdana" w:hAnsi="Verdana"/>
          <w:sz w:val="20"/>
          <w:szCs w:val="20"/>
          <w:lang w:val="en-US"/>
        </w:rPr>
        <w:t xml:space="preserve"> </w:t>
      </w:r>
      <w:r w:rsidRPr="008A3740">
        <w:rPr>
          <w:rFonts w:ascii="Verdana" w:hAnsi="Verdana"/>
          <w:sz w:val="20"/>
          <w:szCs w:val="20"/>
          <w:lang w:val="en-US"/>
        </w:rPr>
        <w:t xml:space="preserve">unilateral </w:t>
      </w:r>
      <w:r w:rsidR="007B34FF" w:rsidRPr="008A3740">
        <w:rPr>
          <w:rFonts w:ascii="Verdana" w:hAnsi="Verdana"/>
          <w:sz w:val="20"/>
          <w:szCs w:val="20"/>
          <w:lang w:val="en-US"/>
        </w:rPr>
        <w:t xml:space="preserve">suspension </w:t>
      </w:r>
      <w:r w:rsidR="00273EFD" w:rsidRPr="008A3740">
        <w:rPr>
          <w:rFonts w:ascii="Verdana" w:hAnsi="Verdana"/>
          <w:sz w:val="20"/>
          <w:szCs w:val="20"/>
          <w:lang w:val="en-US"/>
        </w:rPr>
        <w:t xml:space="preserve">of Mr. Muelle Flores’ pension payments </w:t>
      </w:r>
      <w:r w:rsidRPr="008A3740">
        <w:rPr>
          <w:rFonts w:ascii="Verdana" w:hAnsi="Verdana"/>
          <w:sz w:val="20"/>
          <w:szCs w:val="20"/>
          <w:lang w:val="en-US"/>
        </w:rPr>
        <w:t>by the public company</w:t>
      </w:r>
      <w:r w:rsidR="00BF74BC" w:rsidRPr="008A3740">
        <w:rPr>
          <w:rFonts w:ascii="Verdana" w:hAnsi="Verdana"/>
          <w:sz w:val="20"/>
          <w:szCs w:val="20"/>
          <w:lang w:val="en-US"/>
        </w:rPr>
        <w:t xml:space="preserve"> was </w:t>
      </w:r>
      <w:r w:rsidR="00FE566E" w:rsidRPr="008A3740">
        <w:rPr>
          <w:rFonts w:ascii="Verdana" w:hAnsi="Verdana"/>
          <w:sz w:val="20"/>
          <w:szCs w:val="20"/>
          <w:lang w:val="en-US"/>
        </w:rPr>
        <w:t>arbitrary,</w:t>
      </w:r>
      <w:r w:rsidR="00273EFD" w:rsidRPr="008A3740">
        <w:rPr>
          <w:rFonts w:ascii="Verdana" w:hAnsi="Verdana"/>
          <w:sz w:val="20"/>
          <w:szCs w:val="20"/>
          <w:lang w:val="en-US"/>
        </w:rPr>
        <w:t xml:space="preserve"> </w:t>
      </w:r>
      <w:r w:rsidR="00BF74BC" w:rsidRPr="008A3740">
        <w:rPr>
          <w:rFonts w:ascii="Verdana" w:hAnsi="Verdana"/>
          <w:sz w:val="20"/>
          <w:szCs w:val="20"/>
          <w:lang w:val="en-US"/>
        </w:rPr>
        <w:t xml:space="preserve">recognized </w:t>
      </w:r>
      <w:r w:rsidR="00273EFD" w:rsidRPr="008A3740">
        <w:rPr>
          <w:rFonts w:ascii="Verdana" w:hAnsi="Verdana"/>
          <w:sz w:val="20"/>
          <w:szCs w:val="20"/>
          <w:lang w:val="en-US"/>
        </w:rPr>
        <w:t>his right to a</w:t>
      </w:r>
      <w:r w:rsidR="007B34FF" w:rsidRPr="008A3740">
        <w:rPr>
          <w:rFonts w:ascii="Verdana" w:hAnsi="Verdana"/>
          <w:sz w:val="20"/>
          <w:szCs w:val="20"/>
          <w:lang w:val="en-US"/>
        </w:rPr>
        <w:t xml:space="preserve"> pension</w:t>
      </w:r>
      <w:r w:rsidR="00BF74BC" w:rsidRPr="008A3740">
        <w:rPr>
          <w:rFonts w:ascii="Verdana" w:hAnsi="Verdana"/>
          <w:sz w:val="20"/>
          <w:szCs w:val="20"/>
          <w:lang w:val="en-US"/>
        </w:rPr>
        <w:t xml:space="preserve">, </w:t>
      </w:r>
      <w:r w:rsidR="00273EFD" w:rsidRPr="008A3740">
        <w:rPr>
          <w:rFonts w:ascii="Verdana" w:hAnsi="Verdana"/>
          <w:sz w:val="20"/>
          <w:szCs w:val="20"/>
          <w:lang w:val="en-US"/>
        </w:rPr>
        <w:t xml:space="preserve">and </w:t>
      </w:r>
      <w:r w:rsidR="00BF74BC" w:rsidRPr="008A3740">
        <w:rPr>
          <w:rFonts w:ascii="Verdana" w:hAnsi="Verdana"/>
          <w:sz w:val="20"/>
          <w:szCs w:val="20"/>
          <w:lang w:val="en-US"/>
        </w:rPr>
        <w:t>order</w:t>
      </w:r>
      <w:r w:rsidR="00273EFD" w:rsidRPr="008A3740">
        <w:rPr>
          <w:rFonts w:ascii="Verdana" w:hAnsi="Verdana"/>
          <w:sz w:val="20"/>
          <w:szCs w:val="20"/>
          <w:lang w:val="en-US"/>
        </w:rPr>
        <w:t xml:space="preserve">ed </w:t>
      </w:r>
      <w:r w:rsidR="003F6980" w:rsidRPr="008A3740">
        <w:rPr>
          <w:rFonts w:ascii="Verdana" w:hAnsi="Verdana"/>
          <w:sz w:val="20"/>
          <w:szCs w:val="20"/>
          <w:lang w:val="en-US"/>
        </w:rPr>
        <w:t xml:space="preserve">its </w:t>
      </w:r>
      <w:r w:rsidR="00BF74BC" w:rsidRPr="008A3740">
        <w:rPr>
          <w:rFonts w:ascii="Verdana" w:hAnsi="Verdana"/>
          <w:sz w:val="20"/>
          <w:szCs w:val="20"/>
          <w:lang w:val="en-US"/>
        </w:rPr>
        <w:t>restoration</w:t>
      </w:r>
      <w:r w:rsidRPr="008A3740">
        <w:rPr>
          <w:rFonts w:ascii="Verdana" w:hAnsi="Verdana"/>
          <w:sz w:val="20"/>
          <w:szCs w:val="20"/>
          <w:lang w:val="en-US"/>
        </w:rPr>
        <w:t xml:space="preserve">. </w:t>
      </w:r>
      <w:r w:rsidR="00273EFD" w:rsidRPr="008A3740">
        <w:rPr>
          <w:rFonts w:ascii="Verdana" w:hAnsi="Verdana"/>
          <w:sz w:val="20"/>
          <w:szCs w:val="20"/>
          <w:lang w:val="en-US"/>
        </w:rPr>
        <w:t>Despite this, his</w:t>
      </w:r>
      <w:r w:rsidR="00BF74BC" w:rsidRPr="008A3740">
        <w:rPr>
          <w:rFonts w:ascii="Verdana" w:hAnsi="Verdana"/>
          <w:sz w:val="20"/>
          <w:szCs w:val="20"/>
          <w:lang w:val="en-US"/>
        </w:rPr>
        <w:t xml:space="preserve"> </w:t>
      </w:r>
      <w:r w:rsidRPr="008A3740">
        <w:rPr>
          <w:rFonts w:ascii="Verdana" w:hAnsi="Verdana"/>
          <w:sz w:val="20"/>
          <w:szCs w:val="20"/>
          <w:lang w:val="en-US"/>
        </w:rPr>
        <w:t xml:space="preserve">right </w:t>
      </w:r>
      <w:r w:rsidR="004651DD" w:rsidRPr="008A3740">
        <w:rPr>
          <w:rFonts w:ascii="Verdana" w:hAnsi="Verdana"/>
          <w:sz w:val="20"/>
          <w:szCs w:val="20"/>
          <w:lang w:val="en-US"/>
        </w:rPr>
        <w:t xml:space="preserve">to a pension </w:t>
      </w:r>
      <w:r w:rsidR="00FE566E" w:rsidRPr="008A3740">
        <w:rPr>
          <w:rFonts w:ascii="Verdana" w:hAnsi="Verdana"/>
          <w:sz w:val="20"/>
          <w:szCs w:val="20"/>
          <w:lang w:val="en-US"/>
        </w:rPr>
        <w:t xml:space="preserve">did not materialize </w:t>
      </w:r>
      <w:r w:rsidR="00BF74BC" w:rsidRPr="008A3740">
        <w:rPr>
          <w:rFonts w:ascii="Verdana" w:hAnsi="Verdana"/>
          <w:sz w:val="20"/>
          <w:szCs w:val="20"/>
          <w:lang w:val="en-US"/>
        </w:rPr>
        <w:t xml:space="preserve">owing to </w:t>
      </w:r>
      <w:r w:rsidR="00273EFD" w:rsidRPr="008A3740">
        <w:rPr>
          <w:rFonts w:ascii="Verdana" w:hAnsi="Verdana"/>
          <w:sz w:val="20"/>
          <w:szCs w:val="20"/>
          <w:lang w:val="en-US"/>
        </w:rPr>
        <w:t xml:space="preserve">the failure to </w:t>
      </w:r>
      <w:r w:rsidRPr="008A3740">
        <w:rPr>
          <w:rFonts w:ascii="Verdana" w:hAnsi="Verdana"/>
          <w:sz w:val="20"/>
          <w:szCs w:val="20"/>
          <w:lang w:val="en-US"/>
        </w:rPr>
        <w:t>compl</w:t>
      </w:r>
      <w:r w:rsidR="00273EFD" w:rsidRPr="008A3740">
        <w:rPr>
          <w:rFonts w:ascii="Verdana" w:hAnsi="Verdana"/>
          <w:sz w:val="20"/>
          <w:szCs w:val="20"/>
          <w:lang w:val="en-US"/>
        </w:rPr>
        <w:t xml:space="preserve">y with and </w:t>
      </w:r>
      <w:r w:rsidR="008B201D" w:rsidRPr="008A3740">
        <w:rPr>
          <w:rFonts w:ascii="Verdana" w:hAnsi="Verdana"/>
          <w:sz w:val="20"/>
          <w:szCs w:val="20"/>
          <w:lang w:val="en-US"/>
        </w:rPr>
        <w:t>execute</w:t>
      </w:r>
      <w:r w:rsidRPr="008A3740">
        <w:rPr>
          <w:rFonts w:ascii="Verdana" w:hAnsi="Verdana"/>
          <w:sz w:val="20"/>
          <w:szCs w:val="20"/>
          <w:lang w:val="en-US"/>
        </w:rPr>
        <w:t xml:space="preserve"> </w:t>
      </w:r>
      <w:r w:rsidR="00BF74BC" w:rsidRPr="008A3740">
        <w:rPr>
          <w:rFonts w:ascii="Verdana" w:hAnsi="Verdana"/>
          <w:sz w:val="20"/>
          <w:szCs w:val="20"/>
          <w:lang w:val="en-US"/>
        </w:rPr>
        <w:t>those</w:t>
      </w:r>
      <w:r w:rsidRPr="008A3740">
        <w:rPr>
          <w:rFonts w:ascii="Verdana" w:hAnsi="Verdana"/>
          <w:sz w:val="20"/>
          <w:szCs w:val="20"/>
          <w:lang w:val="en-US"/>
        </w:rPr>
        <w:t xml:space="preserve"> decisions. </w:t>
      </w:r>
      <w:r w:rsidR="00BF74BC" w:rsidRPr="008A3740">
        <w:rPr>
          <w:rFonts w:ascii="Verdana" w:hAnsi="Verdana"/>
          <w:sz w:val="20"/>
          <w:szCs w:val="20"/>
          <w:lang w:val="en-US"/>
        </w:rPr>
        <w:t xml:space="preserve">It is important to </w:t>
      </w:r>
      <w:r w:rsidR="007B34FF" w:rsidRPr="008A3740">
        <w:rPr>
          <w:rFonts w:ascii="Verdana" w:hAnsi="Verdana"/>
          <w:sz w:val="20"/>
          <w:szCs w:val="20"/>
          <w:lang w:val="en-US"/>
        </w:rPr>
        <w:t xml:space="preserve">emphasize </w:t>
      </w:r>
      <w:r w:rsidRPr="008A3740">
        <w:rPr>
          <w:rFonts w:ascii="Verdana" w:hAnsi="Verdana"/>
          <w:sz w:val="20"/>
          <w:szCs w:val="20"/>
          <w:lang w:val="en-US"/>
        </w:rPr>
        <w:t xml:space="preserve">that </w:t>
      </w:r>
      <w:r w:rsidR="00D87E8D" w:rsidRPr="008A3740">
        <w:rPr>
          <w:rFonts w:ascii="Verdana" w:hAnsi="Verdana"/>
          <w:sz w:val="20"/>
          <w:szCs w:val="20"/>
          <w:lang w:val="en-US"/>
        </w:rPr>
        <w:t xml:space="preserve">access to justice </w:t>
      </w:r>
      <w:r w:rsidRPr="008A3740">
        <w:rPr>
          <w:rFonts w:ascii="Verdana" w:hAnsi="Verdana"/>
          <w:sz w:val="20"/>
          <w:szCs w:val="20"/>
          <w:lang w:val="en-US"/>
        </w:rPr>
        <w:t>no</w:t>
      </w:r>
      <w:r w:rsidR="00BF74BC" w:rsidRPr="008A3740">
        <w:rPr>
          <w:rFonts w:ascii="Verdana" w:hAnsi="Verdana"/>
          <w:sz w:val="20"/>
          <w:szCs w:val="20"/>
          <w:lang w:val="en-US"/>
        </w:rPr>
        <w:t>t only form</w:t>
      </w:r>
      <w:r w:rsidR="00D87E8D" w:rsidRPr="008A3740">
        <w:rPr>
          <w:rFonts w:ascii="Verdana" w:hAnsi="Verdana"/>
          <w:sz w:val="20"/>
          <w:szCs w:val="20"/>
          <w:lang w:val="en-US"/>
        </w:rPr>
        <w:t>s</w:t>
      </w:r>
      <w:r w:rsidR="00BF74BC" w:rsidRPr="008A3740">
        <w:rPr>
          <w:rFonts w:ascii="Verdana" w:hAnsi="Verdana"/>
          <w:sz w:val="20"/>
          <w:szCs w:val="20"/>
          <w:lang w:val="en-US"/>
        </w:rPr>
        <w:t xml:space="preserve"> part</w:t>
      </w:r>
      <w:r w:rsidR="007B34FF" w:rsidRPr="008A3740">
        <w:rPr>
          <w:rFonts w:ascii="Verdana" w:hAnsi="Verdana"/>
          <w:sz w:val="20"/>
          <w:szCs w:val="20"/>
          <w:lang w:val="en-US"/>
        </w:rPr>
        <w:t xml:space="preserve"> of the content of </w:t>
      </w:r>
      <w:r w:rsidRPr="008A3740">
        <w:rPr>
          <w:rFonts w:ascii="Verdana" w:hAnsi="Verdana"/>
          <w:sz w:val="20"/>
          <w:szCs w:val="20"/>
          <w:lang w:val="en-US"/>
        </w:rPr>
        <w:t xml:space="preserve">the right to social security, </w:t>
      </w:r>
      <w:r w:rsidR="00D46D41" w:rsidRPr="008A3740">
        <w:rPr>
          <w:rFonts w:ascii="Verdana" w:hAnsi="Verdana"/>
          <w:sz w:val="20"/>
          <w:szCs w:val="20"/>
          <w:lang w:val="en-US"/>
        </w:rPr>
        <w:t xml:space="preserve">but </w:t>
      </w:r>
      <w:r w:rsidRPr="008A3740">
        <w:rPr>
          <w:rFonts w:ascii="Verdana" w:hAnsi="Verdana"/>
          <w:sz w:val="20"/>
          <w:szCs w:val="20"/>
          <w:lang w:val="en-US"/>
        </w:rPr>
        <w:t xml:space="preserve">that </w:t>
      </w:r>
      <w:r w:rsidRPr="008A3740">
        <w:rPr>
          <w:rFonts w:ascii="Verdana" w:hAnsi="Verdana"/>
          <w:bCs/>
          <w:sz w:val="20"/>
          <w:szCs w:val="20"/>
          <w:lang w:val="en-US"/>
        </w:rPr>
        <w:t xml:space="preserve">respect </w:t>
      </w:r>
      <w:r w:rsidR="007B34FF" w:rsidRPr="008A3740">
        <w:rPr>
          <w:rFonts w:ascii="Verdana" w:hAnsi="Verdana"/>
          <w:bCs/>
          <w:sz w:val="20"/>
          <w:szCs w:val="20"/>
          <w:lang w:val="en-US"/>
        </w:rPr>
        <w:t xml:space="preserve">for </w:t>
      </w:r>
      <w:r w:rsidRPr="008A3740">
        <w:rPr>
          <w:rFonts w:ascii="Verdana" w:hAnsi="Verdana"/>
          <w:bCs/>
          <w:sz w:val="20"/>
          <w:szCs w:val="20"/>
          <w:lang w:val="en-US"/>
        </w:rPr>
        <w:t>judicial guarantees</w:t>
      </w:r>
      <w:r w:rsidR="007B34FF" w:rsidRPr="008A3740">
        <w:rPr>
          <w:rFonts w:ascii="Verdana" w:hAnsi="Verdana"/>
          <w:bCs/>
          <w:sz w:val="20"/>
          <w:szCs w:val="20"/>
          <w:lang w:val="en-US"/>
        </w:rPr>
        <w:t xml:space="preserve"> and </w:t>
      </w:r>
      <w:r w:rsidRPr="008A3740">
        <w:rPr>
          <w:rFonts w:ascii="Verdana" w:hAnsi="Verdana"/>
          <w:bCs/>
          <w:sz w:val="20"/>
          <w:szCs w:val="20"/>
          <w:lang w:val="en-US"/>
        </w:rPr>
        <w:t xml:space="preserve">judicial protection </w:t>
      </w:r>
      <w:r w:rsidR="007B34FF" w:rsidRPr="008A3740">
        <w:rPr>
          <w:rFonts w:ascii="Verdana" w:hAnsi="Verdana"/>
          <w:bCs/>
          <w:sz w:val="20"/>
          <w:szCs w:val="20"/>
          <w:lang w:val="en-US"/>
        </w:rPr>
        <w:t xml:space="preserve">are </w:t>
      </w:r>
      <w:r w:rsidR="00FE566E" w:rsidRPr="008A3740">
        <w:rPr>
          <w:rFonts w:ascii="Verdana" w:hAnsi="Verdana"/>
          <w:bCs/>
          <w:sz w:val="20"/>
          <w:szCs w:val="20"/>
          <w:lang w:val="en-US"/>
        </w:rPr>
        <w:t xml:space="preserve">also </w:t>
      </w:r>
      <w:r w:rsidR="007B34FF" w:rsidRPr="008A3740">
        <w:rPr>
          <w:rFonts w:ascii="Verdana" w:hAnsi="Verdana"/>
          <w:bCs/>
          <w:sz w:val="20"/>
          <w:szCs w:val="20"/>
          <w:lang w:val="en-US"/>
        </w:rPr>
        <w:t>essential</w:t>
      </w:r>
      <w:r w:rsidRPr="008A3740">
        <w:rPr>
          <w:rFonts w:ascii="Verdana" w:hAnsi="Verdana"/>
          <w:bCs/>
          <w:sz w:val="20"/>
          <w:szCs w:val="20"/>
          <w:lang w:val="en-US"/>
        </w:rPr>
        <w:t xml:space="preserve"> </w:t>
      </w:r>
      <w:r w:rsidR="007B34FF" w:rsidRPr="008A3740">
        <w:rPr>
          <w:rFonts w:ascii="Verdana" w:hAnsi="Verdana"/>
          <w:bCs/>
          <w:sz w:val="20"/>
          <w:szCs w:val="20"/>
          <w:lang w:val="en-US"/>
        </w:rPr>
        <w:t xml:space="preserve">to ensure </w:t>
      </w:r>
      <w:r w:rsidRPr="008A3740">
        <w:rPr>
          <w:rFonts w:ascii="Verdana" w:hAnsi="Verdana"/>
          <w:bCs/>
          <w:sz w:val="20"/>
          <w:szCs w:val="20"/>
          <w:lang w:val="en-US"/>
        </w:rPr>
        <w:t>the prote</w:t>
      </w:r>
      <w:r w:rsidR="008B201D" w:rsidRPr="008A3740">
        <w:rPr>
          <w:rFonts w:ascii="Verdana" w:hAnsi="Verdana"/>
          <w:bCs/>
          <w:sz w:val="20"/>
          <w:szCs w:val="20"/>
          <w:lang w:val="en-US"/>
        </w:rPr>
        <w:t xml:space="preserve">ction and </w:t>
      </w:r>
      <w:r w:rsidR="00205C82" w:rsidRPr="008A3740">
        <w:rPr>
          <w:rFonts w:ascii="Verdana" w:hAnsi="Verdana"/>
          <w:bCs/>
          <w:sz w:val="20"/>
          <w:szCs w:val="20"/>
          <w:lang w:val="en-US"/>
        </w:rPr>
        <w:t xml:space="preserve">the </w:t>
      </w:r>
      <w:r w:rsidR="008B201D" w:rsidRPr="008A3740">
        <w:rPr>
          <w:rFonts w:ascii="Verdana" w:hAnsi="Verdana"/>
          <w:bCs/>
          <w:sz w:val="20"/>
          <w:szCs w:val="20"/>
          <w:lang w:val="en-US"/>
        </w:rPr>
        <w:t xml:space="preserve">effectiveness of </w:t>
      </w:r>
      <w:r w:rsidR="00273EFD" w:rsidRPr="008A3740">
        <w:rPr>
          <w:rFonts w:ascii="Verdana" w:hAnsi="Verdana"/>
          <w:bCs/>
          <w:sz w:val="20"/>
          <w:szCs w:val="20"/>
          <w:lang w:val="en-US"/>
        </w:rPr>
        <w:t>the economic, social and cultural r</w:t>
      </w:r>
      <w:r w:rsidRPr="008A3740">
        <w:rPr>
          <w:rFonts w:ascii="Verdana" w:hAnsi="Verdana"/>
          <w:bCs/>
          <w:sz w:val="20"/>
          <w:szCs w:val="20"/>
          <w:lang w:val="en-US"/>
        </w:rPr>
        <w:t>ights.</w:t>
      </w:r>
    </w:p>
    <w:p w14:paraId="6CFCDCDE" w14:textId="77777777" w:rsidR="008E6A56" w:rsidRPr="008A3740" w:rsidRDefault="008E6A56" w:rsidP="008E6A56">
      <w:pPr>
        <w:widowControl/>
        <w:tabs>
          <w:tab w:val="left" w:pos="567"/>
        </w:tabs>
        <w:adjustRightInd/>
        <w:textAlignment w:val="auto"/>
        <w:rPr>
          <w:rFonts w:ascii="Verdana" w:hAnsi="Verdana"/>
          <w:sz w:val="20"/>
          <w:szCs w:val="20"/>
          <w:lang w:val="en-US"/>
        </w:rPr>
      </w:pPr>
    </w:p>
    <w:p w14:paraId="3BB22E01" w14:textId="77777777" w:rsidR="008E6A56" w:rsidRPr="008A3740" w:rsidRDefault="007B34FF"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hAnsi="Verdana"/>
          <w:iCs/>
          <w:sz w:val="20"/>
          <w:szCs w:val="20"/>
          <w:lang w:val="en-US"/>
        </w:rPr>
        <w:t xml:space="preserve">The </w:t>
      </w:r>
      <w:r w:rsidR="00205C82" w:rsidRPr="008A3740">
        <w:rPr>
          <w:rFonts w:ascii="Verdana" w:hAnsi="Verdana"/>
          <w:iCs/>
          <w:sz w:val="20"/>
          <w:szCs w:val="20"/>
          <w:lang w:val="en-US"/>
        </w:rPr>
        <w:t xml:space="preserve">mere </w:t>
      </w:r>
      <w:r w:rsidR="008E6A56" w:rsidRPr="008A3740">
        <w:rPr>
          <w:rFonts w:ascii="Verdana" w:hAnsi="Verdana"/>
          <w:iCs/>
          <w:sz w:val="20"/>
          <w:szCs w:val="20"/>
          <w:lang w:val="en-US"/>
        </w:rPr>
        <w:t>reco</w:t>
      </w:r>
      <w:r w:rsidRPr="008A3740">
        <w:rPr>
          <w:rFonts w:ascii="Verdana" w:hAnsi="Verdana"/>
          <w:iCs/>
          <w:sz w:val="20"/>
          <w:szCs w:val="20"/>
          <w:lang w:val="en-US"/>
        </w:rPr>
        <w:t>gnition of a pension</w:t>
      </w:r>
      <w:r w:rsidR="008E6A56" w:rsidRPr="008A3740">
        <w:rPr>
          <w:rFonts w:ascii="Verdana" w:hAnsi="Verdana"/>
          <w:iCs/>
          <w:sz w:val="20"/>
          <w:szCs w:val="20"/>
          <w:lang w:val="en-US"/>
        </w:rPr>
        <w:t xml:space="preserve"> </w:t>
      </w:r>
      <w:r w:rsidRPr="008A3740">
        <w:rPr>
          <w:rFonts w:ascii="Verdana" w:hAnsi="Verdana"/>
          <w:iCs/>
          <w:sz w:val="20"/>
          <w:szCs w:val="20"/>
          <w:lang w:val="en-US"/>
        </w:rPr>
        <w:t xml:space="preserve">does not </w:t>
      </w:r>
      <w:r w:rsidR="00D46D41" w:rsidRPr="008A3740">
        <w:rPr>
          <w:rFonts w:ascii="Verdana" w:hAnsi="Verdana"/>
          <w:iCs/>
          <w:sz w:val="20"/>
          <w:szCs w:val="20"/>
          <w:lang w:val="en-US"/>
        </w:rPr>
        <w:t>mean that this</w:t>
      </w:r>
      <w:r w:rsidR="008E6A56" w:rsidRPr="008A3740">
        <w:rPr>
          <w:rFonts w:ascii="Verdana" w:hAnsi="Verdana"/>
          <w:iCs/>
          <w:sz w:val="20"/>
          <w:szCs w:val="20"/>
          <w:lang w:val="en-US"/>
        </w:rPr>
        <w:t xml:space="preserve"> right </w:t>
      </w:r>
      <w:r w:rsidRPr="008A3740">
        <w:rPr>
          <w:rFonts w:ascii="Verdana" w:hAnsi="Verdana"/>
          <w:iCs/>
          <w:sz w:val="20"/>
          <w:szCs w:val="20"/>
          <w:lang w:val="en-US"/>
        </w:rPr>
        <w:t xml:space="preserve">has been satisfied </w:t>
      </w:r>
      <w:r w:rsidR="008E6A56" w:rsidRPr="008A3740">
        <w:rPr>
          <w:rFonts w:ascii="Verdana" w:hAnsi="Verdana"/>
          <w:iCs/>
          <w:sz w:val="20"/>
          <w:szCs w:val="20"/>
          <w:lang w:val="en-US"/>
        </w:rPr>
        <w:t xml:space="preserve">or </w:t>
      </w:r>
      <w:r w:rsidR="00D46D41" w:rsidRPr="008A3740">
        <w:rPr>
          <w:rFonts w:ascii="Verdana" w:hAnsi="Verdana"/>
          <w:iCs/>
          <w:sz w:val="20"/>
          <w:szCs w:val="20"/>
          <w:lang w:val="en-US"/>
        </w:rPr>
        <w:t>realized</w:t>
      </w:r>
      <w:r w:rsidR="008E6A56" w:rsidRPr="008A3740">
        <w:rPr>
          <w:rFonts w:ascii="Verdana" w:hAnsi="Verdana"/>
          <w:iCs/>
          <w:sz w:val="20"/>
          <w:szCs w:val="20"/>
          <w:lang w:val="en-US"/>
        </w:rPr>
        <w:t xml:space="preserve">. </w:t>
      </w:r>
      <w:r w:rsidR="00D46D41" w:rsidRPr="008A3740">
        <w:rPr>
          <w:rFonts w:ascii="Verdana" w:hAnsi="Verdana"/>
          <w:iCs/>
          <w:sz w:val="20"/>
          <w:szCs w:val="20"/>
          <w:lang w:val="en-US"/>
        </w:rPr>
        <w:t xml:space="preserve">For this </w:t>
      </w:r>
      <w:r w:rsidR="004651DD" w:rsidRPr="008A3740">
        <w:rPr>
          <w:rFonts w:ascii="Verdana" w:hAnsi="Verdana"/>
          <w:iCs/>
          <w:sz w:val="20"/>
          <w:szCs w:val="20"/>
          <w:lang w:val="en-US"/>
        </w:rPr>
        <w:t xml:space="preserve">to occur, </w:t>
      </w:r>
      <w:r w:rsidR="00D46D41" w:rsidRPr="008A3740">
        <w:rPr>
          <w:rFonts w:ascii="Verdana" w:hAnsi="Verdana"/>
          <w:iCs/>
          <w:sz w:val="20"/>
          <w:szCs w:val="20"/>
          <w:lang w:val="en-US"/>
        </w:rPr>
        <w:t xml:space="preserve">it is </w:t>
      </w:r>
      <w:r w:rsidR="008E6A56" w:rsidRPr="008A3740">
        <w:rPr>
          <w:rFonts w:ascii="Verdana" w:hAnsi="Verdana"/>
          <w:iCs/>
          <w:sz w:val="20"/>
          <w:szCs w:val="20"/>
          <w:lang w:val="en-US"/>
        </w:rPr>
        <w:t xml:space="preserve">indispensable, in </w:t>
      </w:r>
      <w:r w:rsidR="008B201D" w:rsidRPr="008A3740">
        <w:rPr>
          <w:rFonts w:ascii="Verdana" w:hAnsi="Verdana"/>
          <w:iCs/>
          <w:sz w:val="20"/>
          <w:szCs w:val="20"/>
          <w:lang w:val="en-US"/>
        </w:rPr>
        <w:t xml:space="preserve">the interest of </w:t>
      </w:r>
      <w:r w:rsidR="00205C82" w:rsidRPr="008A3740">
        <w:rPr>
          <w:rFonts w:ascii="Verdana" w:hAnsi="Verdana"/>
          <w:iCs/>
          <w:sz w:val="20"/>
          <w:szCs w:val="20"/>
          <w:lang w:val="en-US"/>
        </w:rPr>
        <w:t>effectively realizing that right</w:t>
      </w:r>
      <w:r w:rsidR="009118EF" w:rsidRPr="008A3740">
        <w:rPr>
          <w:rFonts w:ascii="Verdana" w:hAnsi="Verdana"/>
          <w:iCs/>
          <w:sz w:val="20"/>
          <w:szCs w:val="20"/>
          <w:lang w:val="en-US"/>
        </w:rPr>
        <w:t xml:space="preserve">, </w:t>
      </w:r>
      <w:r w:rsidR="00205C82" w:rsidRPr="008A3740">
        <w:rPr>
          <w:rFonts w:ascii="Verdana" w:hAnsi="Verdana"/>
          <w:iCs/>
          <w:sz w:val="20"/>
          <w:szCs w:val="20"/>
          <w:lang w:val="en-US"/>
        </w:rPr>
        <w:t xml:space="preserve">to </w:t>
      </w:r>
      <w:r w:rsidR="00D91121" w:rsidRPr="008A3740">
        <w:rPr>
          <w:rFonts w:ascii="Verdana" w:hAnsi="Verdana"/>
          <w:iCs/>
          <w:sz w:val="20"/>
          <w:szCs w:val="20"/>
          <w:lang w:val="en-US"/>
        </w:rPr>
        <w:t>e</w:t>
      </w:r>
      <w:r w:rsidR="00205C82" w:rsidRPr="008A3740">
        <w:rPr>
          <w:rFonts w:ascii="Verdana" w:hAnsi="Verdana"/>
          <w:iCs/>
          <w:sz w:val="20"/>
          <w:szCs w:val="20"/>
          <w:lang w:val="en-US"/>
        </w:rPr>
        <w:t xml:space="preserve">xecute the </w:t>
      </w:r>
      <w:r w:rsidR="00824832" w:rsidRPr="008A3740">
        <w:rPr>
          <w:rFonts w:ascii="Verdana" w:hAnsi="Verdana"/>
          <w:iCs/>
          <w:sz w:val="20"/>
          <w:szCs w:val="20"/>
          <w:lang w:val="en-US"/>
        </w:rPr>
        <w:t xml:space="preserve">domestic rulings </w:t>
      </w:r>
      <w:r w:rsidR="008E6A56" w:rsidRPr="008A3740">
        <w:rPr>
          <w:rFonts w:ascii="Verdana" w:hAnsi="Verdana"/>
          <w:iCs/>
          <w:sz w:val="20"/>
          <w:szCs w:val="20"/>
          <w:lang w:val="en-US"/>
        </w:rPr>
        <w:t>i</w:t>
      </w:r>
      <w:r w:rsidR="005B1251" w:rsidRPr="008A3740">
        <w:rPr>
          <w:rFonts w:ascii="Verdana" w:hAnsi="Verdana"/>
          <w:iCs/>
          <w:sz w:val="20"/>
          <w:szCs w:val="20"/>
          <w:lang w:val="en-US"/>
        </w:rPr>
        <w:t xml:space="preserve">ssued in favor of </w:t>
      </w:r>
      <w:r w:rsidR="008E6A56" w:rsidRPr="008A3740">
        <w:rPr>
          <w:rFonts w:ascii="Verdana" w:hAnsi="Verdana"/>
          <w:iCs/>
          <w:sz w:val="20"/>
          <w:szCs w:val="20"/>
          <w:lang w:val="en-US"/>
        </w:rPr>
        <w:t xml:space="preserve">Mr. Muelle Flores and </w:t>
      </w:r>
      <w:r w:rsidR="00BF74BC" w:rsidRPr="008A3740">
        <w:rPr>
          <w:rFonts w:ascii="Verdana" w:hAnsi="Verdana"/>
          <w:iCs/>
          <w:sz w:val="20"/>
          <w:szCs w:val="20"/>
          <w:lang w:val="en-US"/>
        </w:rPr>
        <w:t xml:space="preserve">pay </w:t>
      </w:r>
      <w:r w:rsidR="00824832" w:rsidRPr="008A3740">
        <w:rPr>
          <w:rFonts w:ascii="Verdana" w:hAnsi="Verdana"/>
          <w:iCs/>
          <w:sz w:val="20"/>
          <w:szCs w:val="20"/>
          <w:lang w:val="en-US"/>
        </w:rPr>
        <w:t xml:space="preserve">the </w:t>
      </w:r>
      <w:r w:rsidR="008E6A56" w:rsidRPr="008A3740">
        <w:rPr>
          <w:rFonts w:ascii="Verdana" w:hAnsi="Verdana"/>
          <w:iCs/>
          <w:sz w:val="20"/>
          <w:szCs w:val="20"/>
          <w:lang w:val="en-US"/>
        </w:rPr>
        <w:t xml:space="preserve">amounts </w:t>
      </w:r>
      <w:r w:rsidR="00D46D41" w:rsidRPr="008A3740">
        <w:rPr>
          <w:rFonts w:ascii="Verdana" w:hAnsi="Verdana"/>
          <w:iCs/>
          <w:sz w:val="20"/>
          <w:szCs w:val="20"/>
          <w:lang w:val="en-US"/>
        </w:rPr>
        <w:t xml:space="preserve">owed for </w:t>
      </w:r>
      <w:r w:rsidR="00205C82" w:rsidRPr="008A3740">
        <w:rPr>
          <w:rFonts w:ascii="Verdana" w:hAnsi="Verdana"/>
          <w:iCs/>
          <w:sz w:val="20"/>
          <w:szCs w:val="20"/>
          <w:lang w:val="en-US"/>
        </w:rPr>
        <w:t xml:space="preserve">unpaid </w:t>
      </w:r>
      <w:r w:rsidR="00B060CD" w:rsidRPr="008A3740">
        <w:rPr>
          <w:rFonts w:ascii="Verdana" w:hAnsi="Verdana"/>
          <w:iCs/>
          <w:sz w:val="20"/>
          <w:szCs w:val="20"/>
          <w:lang w:val="en-US"/>
        </w:rPr>
        <w:t xml:space="preserve">pensions and </w:t>
      </w:r>
      <w:r w:rsidR="00205C82" w:rsidRPr="008A3740">
        <w:rPr>
          <w:rFonts w:ascii="Verdana" w:hAnsi="Verdana"/>
          <w:iCs/>
          <w:sz w:val="20"/>
          <w:szCs w:val="20"/>
          <w:lang w:val="en-US"/>
        </w:rPr>
        <w:t xml:space="preserve">continue to pay </w:t>
      </w:r>
      <w:r w:rsidR="00D91121" w:rsidRPr="008A3740">
        <w:rPr>
          <w:rFonts w:ascii="Verdana" w:hAnsi="Verdana"/>
          <w:iCs/>
          <w:sz w:val="20"/>
          <w:szCs w:val="20"/>
          <w:lang w:val="en-US"/>
        </w:rPr>
        <w:t xml:space="preserve">those </w:t>
      </w:r>
      <w:r w:rsidR="00205C82" w:rsidRPr="008A3740">
        <w:rPr>
          <w:rFonts w:ascii="Verdana" w:hAnsi="Verdana"/>
          <w:iCs/>
          <w:sz w:val="20"/>
          <w:szCs w:val="20"/>
          <w:lang w:val="en-US"/>
        </w:rPr>
        <w:t xml:space="preserve">to which he will be entitled </w:t>
      </w:r>
      <w:r w:rsidRPr="008A3740">
        <w:rPr>
          <w:rFonts w:ascii="Verdana" w:hAnsi="Verdana"/>
          <w:iCs/>
          <w:sz w:val="20"/>
          <w:szCs w:val="20"/>
          <w:lang w:val="en-US"/>
        </w:rPr>
        <w:t>in the future</w:t>
      </w:r>
      <w:r w:rsidR="008E6A56" w:rsidRPr="008A3740">
        <w:rPr>
          <w:rFonts w:ascii="Verdana" w:hAnsi="Verdana"/>
          <w:iCs/>
          <w:sz w:val="20"/>
          <w:szCs w:val="20"/>
          <w:lang w:val="en-US"/>
        </w:rPr>
        <w:t>.</w:t>
      </w:r>
    </w:p>
    <w:p w14:paraId="3D9BB1DB" w14:textId="77777777" w:rsidR="008E6A56" w:rsidRPr="008A3740" w:rsidRDefault="008E6A56" w:rsidP="008E6A56">
      <w:pPr>
        <w:pStyle w:val="Prrafodelista"/>
        <w:rPr>
          <w:rFonts w:ascii="Verdana" w:hAnsi="Verdana"/>
          <w:sz w:val="20"/>
          <w:szCs w:val="20"/>
          <w:lang w:val="en-US"/>
        </w:rPr>
      </w:pPr>
    </w:p>
    <w:p w14:paraId="19030211" w14:textId="77777777" w:rsidR="008E6A56" w:rsidRPr="008A3740" w:rsidRDefault="00205C82" w:rsidP="00D17A65">
      <w:pPr>
        <w:widowControl/>
        <w:numPr>
          <w:ilvl w:val="0"/>
          <w:numId w:val="3"/>
        </w:numPr>
        <w:tabs>
          <w:tab w:val="left" w:pos="567"/>
          <w:tab w:val="num" w:pos="1569"/>
          <w:tab w:val="num" w:pos="12305"/>
        </w:tabs>
        <w:adjustRightInd/>
        <w:ind w:left="0" w:firstLine="0"/>
        <w:textAlignment w:val="auto"/>
        <w:rPr>
          <w:rFonts w:ascii="Verdana" w:hAnsi="Verdana"/>
          <w:sz w:val="20"/>
          <w:szCs w:val="20"/>
          <w:lang w:val="en-US"/>
        </w:rPr>
      </w:pPr>
      <w:r w:rsidRPr="008A3740">
        <w:rPr>
          <w:rFonts w:ascii="Verdana" w:hAnsi="Verdana"/>
          <w:sz w:val="20"/>
          <w:szCs w:val="20"/>
          <w:lang w:val="en-US"/>
        </w:rPr>
        <w:t>In this</w:t>
      </w:r>
      <w:r w:rsidR="008E6A56" w:rsidRPr="008A3740">
        <w:rPr>
          <w:rFonts w:ascii="Verdana" w:hAnsi="Verdana"/>
          <w:sz w:val="20"/>
          <w:szCs w:val="20"/>
          <w:lang w:val="en-US"/>
        </w:rPr>
        <w:t xml:space="preserve"> case, i</w:t>
      </w:r>
      <w:r w:rsidR="00824832" w:rsidRPr="008A3740">
        <w:rPr>
          <w:rFonts w:ascii="Verdana" w:hAnsi="Verdana"/>
          <w:sz w:val="20"/>
          <w:szCs w:val="20"/>
          <w:lang w:val="en-US"/>
        </w:rPr>
        <w:t>t i</w:t>
      </w:r>
      <w:r w:rsidR="008E6A56" w:rsidRPr="008A3740">
        <w:rPr>
          <w:rFonts w:ascii="Verdana" w:hAnsi="Verdana"/>
          <w:sz w:val="20"/>
          <w:szCs w:val="20"/>
          <w:lang w:val="en-US"/>
        </w:rPr>
        <w:t xml:space="preserve">s </w:t>
      </w:r>
      <w:r w:rsidR="00D91121" w:rsidRPr="008A3740">
        <w:rPr>
          <w:rFonts w:ascii="Verdana" w:hAnsi="Verdana"/>
          <w:sz w:val="20"/>
          <w:szCs w:val="20"/>
          <w:lang w:val="en-US"/>
        </w:rPr>
        <w:t xml:space="preserve">important to highlight </w:t>
      </w:r>
      <w:r w:rsidR="008E6A56" w:rsidRPr="008A3740">
        <w:rPr>
          <w:rFonts w:ascii="Verdana" w:hAnsi="Verdana"/>
          <w:sz w:val="20"/>
          <w:szCs w:val="20"/>
          <w:lang w:val="en-US"/>
        </w:rPr>
        <w:t xml:space="preserve">the </w:t>
      </w:r>
      <w:r w:rsidR="00D46D41" w:rsidRPr="008A3740">
        <w:rPr>
          <w:rFonts w:ascii="Verdana" w:hAnsi="Verdana"/>
          <w:sz w:val="20"/>
          <w:szCs w:val="20"/>
          <w:lang w:val="en-US"/>
        </w:rPr>
        <w:t xml:space="preserve">State’s </w:t>
      </w:r>
      <w:r w:rsidR="008E6A56" w:rsidRPr="008A3740">
        <w:rPr>
          <w:rFonts w:ascii="Verdana" w:hAnsi="Verdana"/>
          <w:sz w:val="20"/>
          <w:szCs w:val="20"/>
          <w:lang w:val="en-US"/>
        </w:rPr>
        <w:t>obligations in relation to Article 26 of the Convention</w:t>
      </w:r>
      <w:r w:rsidRPr="008A3740">
        <w:rPr>
          <w:rFonts w:ascii="Verdana" w:hAnsi="Verdana"/>
          <w:sz w:val="20"/>
          <w:szCs w:val="20"/>
          <w:lang w:val="en-US"/>
        </w:rPr>
        <w:t>,</w:t>
      </w:r>
      <w:r w:rsidR="008E6A56" w:rsidRPr="008A3740">
        <w:rPr>
          <w:rFonts w:ascii="Verdana" w:hAnsi="Verdana"/>
          <w:sz w:val="20"/>
          <w:szCs w:val="20"/>
          <w:lang w:val="en-US"/>
        </w:rPr>
        <w:t xml:space="preserve"> in the </w:t>
      </w:r>
      <w:r w:rsidR="00D46D41" w:rsidRPr="008A3740">
        <w:rPr>
          <w:rFonts w:ascii="Verdana" w:hAnsi="Verdana"/>
          <w:sz w:val="20"/>
          <w:szCs w:val="20"/>
          <w:lang w:val="en-US"/>
        </w:rPr>
        <w:t xml:space="preserve">context </w:t>
      </w:r>
      <w:r w:rsidR="008E6A56" w:rsidRPr="008A3740">
        <w:rPr>
          <w:rFonts w:ascii="Verdana" w:hAnsi="Verdana"/>
          <w:sz w:val="20"/>
          <w:szCs w:val="20"/>
          <w:lang w:val="en-US"/>
        </w:rPr>
        <w:t xml:space="preserve">of </w:t>
      </w:r>
      <w:r w:rsidR="004A057E" w:rsidRPr="008A3740">
        <w:rPr>
          <w:rFonts w:ascii="Verdana" w:hAnsi="Verdana"/>
          <w:sz w:val="20"/>
          <w:szCs w:val="20"/>
          <w:lang w:val="en-US"/>
        </w:rPr>
        <w:t>a</w:t>
      </w:r>
      <w:r w:rsidR="00D46D41" w:rsidRPr="008A3740">
        <w:rPr>
          <w:rFonts w:ascii="Verdana" w:hAnsi="Verdana"/>
          <w:sz w:val="20"/>
          <w:szCs w:val="20"/>
          <w:lang w:val="en-US"/>
        </w:rPr>
        <w:t xml:space="preserve"> </w:t>
      </w:r>
      <w:r w:rsidR="007B34FF" w:rsidRPr="008A3740">
        <w:rPr>
          <w:rFonts w:ascii="Verdana" w:hAnsi="Verdana"/>
          <w:sz w:val="20"/>
          <w:szCs w:val="20"/>
          <w:lang w:val="en-US"/>
        </w:rPr>
        <w:t>privatization</w:t>
      </w:r>
      <w:r w:rsidR="00D46D41" w:rsidRPr="008A3740">
        <w:rPr>
          <w:rFonts w:ascii="Verdana" w:hAnsi="Verdana"/>
          <w:sz w:val="20"/>
          <w:szCs w:val="20"/>
          <w:lang w:val="en-US"/>
        </w:rPr>
        <w:t xml:space="preserve"> process</w:t>
      </w:r>
      <w:r w:rsidR="007B34FF" w:rsidRPr="008A3740">
        <w:rPr>
          <w:rFonts w:ascii="Verdana" w:hAnsi="Verdana"/>
          <w:sz w:val="20"/>
          <w:szCs w:val="20"/>
          <w:lang w:val="en-US"/>
        </w:rPr>
        <w:t>. T</w:t>
      </w:r>
      <w:r w:rsidR="008E6A56" w:rsidRPr="008A3740">
        <w:rPr>
          <w:rFonts w:ascii="Verdana" w:hAnsi="Verdana"/>
          <w:sz w:val="20"/>
          <w:szCs w:val="20"/>
          <w:lang w:val="en-US"/>
        </w:rPr>
        <w:t xml:space="preserve">he </w:t>
      </w:r>
      <w:r w:rsidR="00D46D41" w:rsidRPr="008A3740">
        <w:rPr>
          <w:rFonts w:ascii="Verdana" w:hAnsi="Verdana"/>
          <w:sz w:val="20"/>
          <w:szCs w:val="20"/>
          <w:lang w:val="en-US" w:eastAsia="en-US"/>
        </w:rPr>
        <w:t xml:space="preserve">privatization of </w:t>
      </w:r>
      <w:r w:rsidR="008E6A56" w:rsidRPr="008A3740">
        <w:rPr>
          <w:rFonts w:ascii="Verdana" w:hAnsi="Verdana"/>
          <w:sz w:val="20"/>
          <w:szCs w:val="20"/>
          <w:lang w:val="en-US" w:eastAsia="en-US"/>
        </w:rPr>
        <w:t xml:space="preserve">Tintaya S.A. </w:t>
      </w:r>
      <w:r w:rsidR="00D91121" w:rsidRPr="008A3740">
        <w:rPr>
          <w:rFonts w:ascii="Verdana" w:hAnsi="Verdana"/>
          <w:sz w:val="20"/>
          <w:szCs w:val="20"/>
          <w:lang w:val="en-US" w:eastAsia="en-US"/>
        </w:rPr>
        <w:t xml:space="preserve">was </w:t>
      </w:r>
      <w:r w:rsidR="004A057E" w:rsidRPr="008A3740">
        <w:rPr>
          <w:rFonts w:ascii="Verdana" w:hAnsi="Verdana"/>
          <w:sz w:val="20"/>
          <w:szCs w:val="20"/>
          <w:lang w:val="en-US" w:eastAsia="en-US"/>
        </w:rPr>
        <w:t xml:space="preserve">part of an effort to </w:t>
      </w:r>
      <w:r w:rsidR="004A057E" w:rsidRPr="008A3740">
        <w:rPr>
          <w:rFonts w:ascii="Verdana" w:hAnsi="Verdana"/>
          <w:sz w:val="20"/>
          <w:szCs w:val="20"/>
          <w:lang w:val="en-US"/>
        </w:rPr>
        <w:t>promote</w:t>
      </w:r>
      <w:r w:rsidR="00D46D41" w:rsidRPr="008A3740">
        <w:rPr>
          <w:rFonts w:ascii="Verdana" w:hAnsi="Verdana"/>
          <w:sz w:val="20"/>
          <w:szCs w:val="20"/>
          <w:lang w:val="en-US"/>
        </w:rPr>
        <w:t xml:space="preserve"> </w:t>
      </w:r>
      <w:r w:rsidR="008E6A56" w:rsidRPr="008A3740">
        <w:rPr>
          <w:rFonts w:ascii="Verdana" w:hAnsi="Verdana"/>
          <w:sz w:val="20"/>
          <w:szCs w:val="20"/>
          <w:lang w:val="en-US"/>
        </w:rPr>
        <w:t>private in</w:t>
      </w:r>
      <w:r w:rsidR="00D46D41" w:rsidRPr="008A3740">
        <w:rPr>
          <w:rFonts w:ascii="Verdana" w:hAnsi="Verdana"/>
          <w:sz w:val="20"/>
          <w:szCs w:val="20"/>
          <w:lang w:val="en-US"/>
        </w:rPr>
        <w:t>vestment</w:t>
      </w:r>
      <w:r w:rsidR="008E6A56" w:rsidRPr="008A3740">
        <w:rPr>
          <w:rFonts w:ascii="Verdana" w:hAnsi="Verdana"/>
          <w:sz w:val="20"/>
          <w:szCs w:val="20"/>
          <w:lang w:val="en-US"/>
        </w:rPr>
        <w:t xml:space="preserve"> </w:t>
      </w:r>
      <w:r w:rsidR="004A057E" w:rsidRPr="008A3740">
        <w:rPr>
          <w:rFonts w:ascii="Verdana" w:hAnsi="Verdana"/>
          <w:sz w:val="20"/>
          <w:szCs w:val="20"/>
          <w:lang w:val="en-US"/>
        </w:rPr>
        <w:t xml:space="preserve">in </w:t>
      </w:r>
      <w:r w:rsidR="008E6A56" w:rsidRPr="008A3740">
        <w:rPr>
          <w:rFonts w:ascii="Verdana" w:hAnsi="Verdana"/>
          <w:sz w:val="20"/>
          <w:szCs w:val="20"/>
          <w:lang w:val="en-US"/>
        </w:rPr>
        <w:t xml:space="preserve">companies that </w:t>
      </w:r>
      <w:r w:rsidR="00D46D41" w:rsidRPr="008A3740">
        <w:rPr>
          <w:rFonts w:ascii="Verdana" w:hAnsi="Verdana"/>
          <w:sz w:val="20"/>
          <w:szCs w:val="20"/>
          <w:lang w:val="en-US"/>
        </w:rPr>
        <w:t xml:space="preserve">form part of the State’s business </w:t>
      </w:r>
      <w:r w:rsidR="008E6A56" w:rsidRPr="008A3740">
        <w:rPr>
          <w:rFonts w:ascii="Verdana" w:hAnsi="Verdana"/>
          <w:sz w:val="20"/>
          <w:szCs w:val="20"/>
          <w:lang w:val="en-US"/>
        </w:rPr>
        <w:t>activit</w:t>
      </w:r>
      <w:r w:rsidR="00D46D41" w:rsidRPr="008A3740">
        <w:rPr>
          <w:rFonts w:ascii="Verdana" w:hAnsi="Verdana"/>
          <w:sz w:val="20"/>
          <w:szCs w:val="20"/>
          <w:lang w:val="en-US"/>
        </w:rPr>
        <w:t>ies</w:t>
      </w:r>
      <w:r w:rsidR="008E6A56" w:rsidRPr="008A3740">
        <w:rPr>
          <w:rFonts w:ascii="Verdana" w:hAnsi="Verdana"/>
          <w:sz w:val="20"/>
          <w:szCs w:val="20"/>
          <w:lang w:val="en-US"/>
        </w:rPr>
        <w:t xml:space="preserve"> (</w:t>
      </w:r>
      <w:r w:rsidR="008E6A56" w:rsidRPr="008A3740">
        <w:rPr>
          <w:rFonts w:ascii="Verdana" w:hAnsi="Verdana"/>
          <w:i/>
          <w:sz w:val="20"/>
          <w:szCs w:val="20"/>
          <w:lang w:val="en-US"/>
        </w:rPr>
        <w:t>supra</w:t>
      </w:r>
      <w:r w:rsidR="008E6A56" w:rsidRPr="008A3740">
        <w:rPr>
          <w:rFonts w:ascii="Verdana" w:hAnsi="Verdana"/>
          <w:sz w:val="20"/>
          <w:szCs w:val="20"/>
          <w:lang w:val="en-US"/>
        </w:rPr>
        <w:t xml:space="preserve"> para. 57)</w:t>
      </w:r>
      <w:r w:rsidR="00D46D41" w:rsidRPr="008A3740">
        <w:rPr>
          <w:rFonts w:ascii="Verdana" w:hAnsi="Verdana"/>
          <w:sz w:val="20"/>
          <w:szCs w:val="20"/>
          <w:lang w:val="en-US"/>
        </w:rPr>
        <w:t xml:space="preserve"> and</w:t>
      </w:r>
      <w:r w:rsidR="008E6A56" w:rsidRPr="008A3740">
        <w:rPr>
          <w:rFonts w:ascii="Verdana" w:hAnsi="Verdana"/>
          <w:sz w:val="20"/>
          <w:szCs w:val="20"/>
          <w:lang w:val="en-US"/>
        </w:rPr>
        <w:t xml:space="preserve">, </w:t>
      </w:r>
      <w:r w:rsidRPr="008A3740">
        <w:rPr>
          <w:rFonts w:ascii="Verdana" w:hAnsi="Verdana"/>
          <w:sz w:val="20"/>
          <w:szCs w:val="20"/>
          <w:lang w:val="en-US"/>
        </w:rPr>
        <w:t xml:space="preserve">although </w:t>
      </w:r>
      <w:r w:rsidR="00D46D41" w:rsidRPr="008A3740">
        <w:rPr>
          <w:rFonts w:ascii="Verdana" w:hAnsi="Verdana"/>
          <w:sz w:val="20"/>
          <w:szCs w:val="20"/>
          <w:lang w:val="en-US"/>
        </w:rPr>
        <w:t xml:space="preserve">this is not prohibited under </w:t>
      </w:r>
      <w:r w:rsidR="008E6A56" w:rsidRPr="008A3740">
        <w:rPr>
          <w:rFonts w:ascii="Verdana" w:hAnsi="Verdana"/>
          <w:sz w:val="20"/>
          <w:szCs w:val="20"/>
          <w:lang w:val="en-US"/>
        </w:rPr>
        <w:t xml:space="preserve">the </w:t>
      </w:r>
      <w:r w:rsidR="00D91121" w:rsidRPr="008A3740">
        <w:rPr>
          <w:rFonts w:ascii="Verdana" w:hAnsi="Verdana"/>
          <w:sz w:val="20"/>
          <w:szCs w:val="20"/>
          <w:lang w:val="en-US"/>
        </w:rPr>
        <w:t>Co</w:t>
      </w:r>
      <w:r w:rsidR="008E6A56" w:rsidRPr="008A3740">
        <w:rPr>
          <w:rFonts w:ascii="Verdana" w:hAnsi="Verdana"/>
          <w:sz w:val="20"/>
          <w:szCs w:val="20"/>
          <w:lang w:val="en-US"/>
        </w:rPr>
        <w:t>ven</w:t>
      </w:r>
      <w:r w:rsidR="00D91121" w:rsidRPr="008A3740">
        <w:rPr>
          <w:rFonts w:ascii="Verdana" w:hAnsi="Verdana"/>
          <w:sz w:val="20"/>
          <w:szCs w:val="20"/>
          <w:lang w:val="en-US"/>
        </w:rPr>
        <w:t>ant</w:t>
      </w:r>
      <w:r w:rsidR="00D46D41" w:rsidRPr="008A3740">
        <w:rPr>
          <w:rFonts w:ascii="Verdana" w:hAnsi="Verdana"/>
          <w:sz w:val="20"/>
          <w:szCs w:val="20"/>
          <w:lang w:val="en-US"/>
        </w:rPr>
        <w:t>,</w:t>
      </w:r>
      <w:r w:rsidR="008E6A56" w:rsidRPr="008A3740">
        <w:rPr>
          <w:rStyle w:val="Refdenotaalpie"/>
          <w:szCs w:val="20"/>
          <w:lang w:val="en-US"/>
        </w:rPr>
        <w:footnoteReference w:id="212"/>
      </w:r>
      <w:r w:rsidR="008E6A56" w:rsidRPr="008A3740">
        <w:rPr>
          <w:rFonts w:ascii="Verdana" w:hAnsi="Verdana"/>
          <w:sz w:val="20"/>
          <w:szCs w:val="20"/>
          <w:lang w:val="en-US"/>
        </w:rPr>
        <w:t xml:space="preserve"> </w:t>
      </w:r>
      <w:r w:rsidR="00D46D41" w:rsidRPr="008A3740">
        <w:rPr>
          <w:rFonts w:ascii="Verdana" w:hAnsi="Verdana"/>
          <w:sz w:val="20"/>
          <w:szCs w:val="20"/>
          <w:lang w:val="en-US"/>
        </w:rPr>
        <w:t xml:space="preserve">it can </w:t>
      </w:r>
      <w:r w:rsidR="00D91121" w:rsidRPr="008A3740">
        <w:rPr>
          <w:rFonts w:ascii="Verdana" w:hAnsi="Verdana"/>
          <w:sz w:val="20"/>
          <w:szCs w:val="20"/>
          <w:lang w:val="en-US"/>
        </w:rPr>
        <w:t xml:space="preserve">have </w:t>
      </w:r>
      <w:r w:rsidRPr="008A3740">
        <w:rPr>
          <w:rFonts w:ascii="Verdana" w:hAnsi="Verdana"/>
          <w:sz w:val="20"/>
          <w:szCs w:val="20"/>
          <w:lang w:val="en-US"/>
        </w:rPr>
        <w:t xml:space="preserve">various </w:t>
      </w:r>
      <w:r w:rsidR="00D46D41" w:rsidRPr="008A3740">
        <w:rPr>
          <w:rFonts w:ascii="Verdana" w:hAnsi="Verdana"/>
          <w:sz w:val="20"/>
          <w:szCs w:val="20"/>
          <w:lang w:val="en-US"/>
        </w:rPr>
        <w:t>effects o</w:t>
      </w:r>
      <w:r w:rsidR="008E6A56" w:rsidRPr="008A3740">
        <w:rPr>
          <w:rFonts w:ascii="Verdana" w:hAnsi="Verdana"/>
          <w:sz w:val="20"/>
          <w:szCs w:val="20"/>
          <w:lang w:val="en-US"/>
        </w:rPr>
        <w:t xml:space="preserve">n the rights of </w:t>
      </w:r>
      <w:r w:rsidR="007B34FF" w:rsidRPr="008A3740">
        <w:rPr>
          <w:rFonts w:ascii="Verdana" w:hAnsi="Verdana"/>
          <w:sz w:val="20"/>
          <w:szCs w:val="20"/>
          <w:lang w:val="en-US"/>
        </w:rPr>
        <w:t>its</w:t>
      </w:r>
      <w:r w:rsidR="008E6A56" w:rsidRPr="008A3740">
        <w:rPr>
          <w:rFonts w:ascii="Verdana" w:hAnsi="Verdana"/>
          <w:sz w:val="20"/>
          <w:szCs w:val="20"/>
          <w:lang w:val="en-US"/>
        </w:rPr>
        <w:t xml:space="preserve"> workers or </w:t>
      </w:r>
      <w:r w:rsidR="007B34FF" w:rsidRPr="008A3740">
        <w:rPr>
          <w:rFonts w:ascii="Verdana" w:hAnsi="Verdana"/>
          <w:sz w:val="20"/>
          <w:szCs w:val="20"/>
          <w:lang w:val="en-US"/>
        </w:rPr>
        <w:t>retirees</w:t>
      </w:r>
      <w:r w:rsidR="008E6A56" w:rsidRPr="008A3740">
        <w:rPr>
          <w:rFonts w:ascii="Verdana" w:hAnsi="Verdana"/>
          <w:sz w:val="20"/>
          <w:szCs w:val="20"/>
          <w:lang w:val="en-US"/>
        </w:rPr>
        <w:t xml:space="preserve">, </w:t>
      </w:r>
      <w:r w:rsidR="007B34FF" w:rsidRPr="008A3740">
        <w:rPr>
          <w:rFonts w:ascii="Verdana" w:hAnsi="Verdana"/>
          <w:sz w:val="20"/>
          <w:szCs w:val="20"/>
          <w:lang w:val="en-US"/>
        </w:rPr>
        <w:t xml:space="preserve">as </w:t>
      </w:r>
      <w:r w:rsidR="00D91121" w:rsidRPr="008A3740">
        <w:rPr>
          <w:rFonts w:ascii="Verdana" w:hAnsi="Verdana"/>
          <w:sz w:val="20"/>
          <w:szCs w:val="20"/>
          <w:lang w:val="en-US"/>
        </w:rPr>
        <w:t xml:space="preserve">in </w:t>
      </w:r>
      <w:r w:rsidR="007B34FF" w:rsidRPr="008A3740">
        <w:rPr>
          <w:rFonts w:ascii="Verdana" w:hAnsi="Verdana"/>
          <w:sz w:val="20"/>
          <w:szCs w:val="20"/>
          <w:lang w:val="en-US"/>
        </w:rPr>
        <w:t xml:space="preserve">the case of </w:t>
      </w:r>
      <w:r w:rsidR="008E6A56" w:rsidRPr="008A3740">
        <w:rPr>
          <w:rFonts w:ascii="Verdana" w:hAnsi="Verdana"/>
          <w:sz w:val="20"/>
          <w:szCs w:val="20"/>
          <w:lang w:val="en-US"/>
        </w:rPr>
        <w:t xml:space="preserve">Mr. Muelle Flores. </w:t>
      </w:r>
      <w:r w:rsidR="007B34FF" w:rsidRPr="008A3740">
        <w:rPr>
          <w:rFonts w:ascii="Verdana" w:hAnsi="Verdana"/>
          <w:sz w:val="20"/>
          <w:szCs w:val="20"/>
          <w:lang w:val="en-US"/>
        </w:rPr>
        <w:t xml:space="preserve">As the expert witness </w:t>
      </w:r>
      <w:r w:rsidR="008E6A56" w:rsidRPr="008A3740">
        <w:rPr>
          <w:rFonts w:ascii="Verdana" w:hAnsi="Verdana"/>
          <w:sz w:val="20"/>
          <w:szCs w:val="20"/>
          <w:lang w:val="en-US"/>
        </w:rPr>
        <w:t>Christian Courtis</w:t>
      </w:r>
      <w:r w:rsidR="007B34FF" w:rsidRPr="008A3740">
        <w:rPr>
          <w:rFonts w:ascii="Verdana" w:hAnsi="Verdana"/>
          <w:sz w:val="20"/>
          <w:szCs w:val="20"/>
          <w:lang w:val="en-US"/>
        </w:rPr>
        <w:t xml:space="preserve"> has indicated</w:t>
      </w:r>
      <w:r w:rsidR="00D91121" w:rsidRPr="008A3740">
        <w:rPr>
          <w:rFonts w:ascii="Verdana" w:hAnsi="Verdana"/>
          <w:sz w:val="20"/>
          <w:szCs w:val="20"/>
          <w:lang w:val="en-US"/>
        </w:rPr>
        <w:t>,</w:t>
      </w:r>
      <w:r w:rsidR="008E6A56" w:rsidRPr="008A3740">
        <w:rPr>
          <w:rFonts w:ascii="Verdana" w:hAnsi="Verdana"/>
          <w:sz w:val="20"/>
          <w:szCs w:val="20"/>
          <w:lang w:val="en-US"/>
        </w:rPr>
        <w:t xml:space="preserve"> “privatization </w:t>
      </w:r>
      <w:r w:rsidR="007B34FF" w:rsidRPr="008A3740">
        <w:rPr>
          <w:rFonts w:ascii="Verdana" w:hAnsi="Verdana"/>
          <w:sz w:val="20"/>
          <w:szCs w:val="20"/>
          <w:lang w:val="en-US"/>
        </w:rPr>
        <w:t>does not rel</w:t>
      </w:r>
      <w:r w:rsidR="00DC4F18" w:rsidRPr="008A3740">
        <w:rPr>
          <w:rFonts w:ascii="Verdana" w:hAnsi="Verdana"/>
          <w:sz w:val="20"/>
          <w:szCs w:val="20"/>
          <w:lang w:val="en-US"/>
        </w:rPr>
        <w:t xml:space="preserve">ieve </w:t>
      </w:r>
      <w:r w:rsidR="008E6A56" w:rsidRPr="008A3740">
        <w:rPr>
          <w:rFonts w:ascii="Verdana" w:hAnsi="Verdana"/>
          <w:sz w:val="20"/>
          <w:szCs w:val="20"/>
          <w:lang w:val="en-US"/>
        </w:rPr>
        <w:t xml:space="preserve">the State of </w:t>
      </w:r>
      <w:r w:rsidR="007B34FF" w:rsidRPr="008A3740">
        <w:rPr>
          <w:rFonts w:ascii="Verdana" w:hAnsi="Verdana"/>
          <w:sz w:val="20"/>
          <w:szCs w:val="20"/>
          <w:lang w:val="en-US"/>
        </w:rPr>
        <w:t>its</w:t>
      </w:r>
      <w:r w:rsidR="008E6A56" w:rsidRPr="008A3740">
        <w:rPr>
          <w:rFonts w:ascii="Verdana" w:hAnsi="Verdana"/>
          <w:sz w:val="20"/>
          <w:szCs w:val="20"/>
          <w:lang w:val="en-US"/>
        </w:rPr>
        <w:t xml:space="preserve"> </w:t>
      </w:r>
      <w:r w:rsidR="007B34FF" w:rsidRPr="008A3740">
        <w:rPr>
          <w:rFonts w:ascii="Verdana" w:hAnsi="Verdana"/>
          <w:sz w:val="20"/>
          <w:szCs w:val="20"/>
          <w:lang w:val="en-US"/>
        </w:rPr>
        <w:t xml:space="preserve">human rights </w:t>
      </w:r>
      <w:r w:rsidR="008E6A56" w:rsidRPr="008A3740">
        <w:rPr>
          <w:rFonts w:ascii="Verdana" w:hAnsi="Verdana"/>
          <w:sz w:val="20"/>
          <w:szCs w:val="20"/>
          <w:lang w:val="en-US"/>
        </w:rPr>
        <w:t xml:space="preserve">obligations, and </w:t>
      </w:r>
      <w:r w:rsidR="00D91121" w:rsidRPr="008A3740">
        <w:rPr>
          <w:rFonts w:ascii="Verdana" w:hAnsi="Verdana"/>
          <w:sz w:val="20"/>
          <w:szCs w:val="20"/>
          <w:lang w:val="en-US"/>
        </w:rPr>
        <w:t xml:space="preserve">it </w:t>
      </w:r>
      <w:r w:rsidR="007648E3" w:rsidRPr="008A3740">
        <w:rPr>
          <w:rFonts w:ascii="Verdana" w:hAnsi="Verdana"/>
          <w:sz w:val="20"/>
          <w:szCs w:val="20"/>
          <w:lang w:val="en-US"/>
        </w:rPr>
        <w:t xml:space="preserve">must </w:t>
      </w:r>
      <w:r w:rsidR="007B34FF" w:rsidRPr="008A3740">
        <w:rPr>
          <w:rFonts w:ascii="Verdana" w:hAnsi="Verdana"/>
          <w:sz w:val="20"/>
          <w:szCs w:val="20"/>
          <w:lang w:val="en-US"/>
        </w:rPr>
        <w:t xml:space="preserve">observe </w:t>
      </w:r>
      <w:r w:rsidR="008E6A56" w:rsidRPr="008A3740">
        <w:rPr>
          <w:rFonts w:ascii="Verdana" w:hAnsi="Verdana"/>
          <w:sz w:val="20"/>
          <w:szCs w:val="20"/>
          <w:lang w:val="en-US"/>
        </w:rPr>
        <w:t xml:space="preserve">due diligence </w:t>
      </w:r>
      <w:r w:rsidR="00D87E8D" w:rsidRPr="008A3740">
        <w:rPr>
          <w:rFonts w:ascii="Verdana" w:hAnsi="Verdana"/>
          <w:sz w:val="20"/>
          <w:szCs w:val="20"/>
          <w:lang w:val="en-US"/>
        </w:rPr>
        <w:t xml:space="preserve">to ensure </w:t>
      </w:r>
      <w:r w:rsidR="007B34FF" w:rsidRPr="008A3740">
        <w:rPr>
          <w:rFonts w:ascii="Verdana" w:hAnsi="Verdana"/>
          <w:sz w:val="20"/>
          <w:szCs w:val="20"/>
          <w:lang w:val="en-US"/>
        </w:rPr>
        <w:t xml:space="preserve">that the transfer of </w:t>
      </w:r>
      <w:r w:rsidR="008E6A56" w:rsidRPr="008A3740">
        <w:rPr>
          <w:rFonts w:ascii="Verdana" w:hAnsi="Verdana"/>
          <w:sz w:val="20"/>
          <w:szCs w:val="20"/>
          <w:lang w:val="en-US"/>
        </w:rPr>
        <w:t xml:space="preserve">a public company </w:t>
      </w:r>
      <w:r w:rsidR="007B34FF" w:rsidRPr="008A3740">
        <w:rPr>
          <w:rFonts w:ascii="Verdana" w:hAnsi="Verdana"/>
          <w:sz w:val="20"/>
          <w:szCs w:val="20"/>
          <w:lang w:val="en-US"/>
        </w:rPr>
        <w:t xml:space="preserve">to the private </w:t>
      </w:r>
      <w:r w:rsidR="007648E3" w:rsidRPr="008A3740">
        <w:rPr>
          <w:rFonts w:ascii="Verdana" w:hAnsi="Verdana"/>
          <w:sz w:val="20"/>
          <w:szCs w:val="20"/>
          <w:lang w:val="en-US"/>
        </w:rPr>
        <w:t xml:space="preserve">sector </w:t>
      </w:r>
      <w:r w:rsidR="00D87E8D" w:rsidRPr="008A3740">
        <w:rPr>
          <w:rFonts w:ascii="Verdana" w:hAnsi="Verdana"/>
          <w:sz w:val="20"/>
          <w:szCs w:val="20"/>
          <w:lang w:val="en-US"/>
        </w:rPr>
        <w:t xml:space="preserve">does not affect </w:t>
      </w:r>
      <w:r w:rsidR="00D91121" w:rsidRPr="008A3740">
        <w:rPr>
          <w:rFonts w:ascii="Verdana" w:hAnsi="Verdana"/>
          <w:sz w:val="20"/>
          <w:szCs w:val="20"/>
          <w:lang w:val="en-US"/>
        </w:rPr>
        <w:t xml:space="preserve">the rights of </w:t>
      </w:r>
      <w:r w:rsidR="00D87E8D" w:rsidRPr="008A3740">
        <w:rPr>
          <w:rFonts w:ascii="Verdana" w:hAnsi="Verdana"/>
          <w:sz w:val="20"/>
          <w:szCs w:val="20"/>
          <w:lang w:val="en-US"/>
        </w:rPr>
        <w:t xml:space="preserve">those linked to </w:t>
      </w:r>
      <w:r w:rsidR="007648E3" w:rsidRPr="008A3740">
        <w:rPr>
          <w:rFonts w:ascii="Verdana" w:hAnsi="Verdana"/>
          <w:sz w:val="20"/>
          <w:szCs w:val="20"/>
          <w:lang w:val="en-US"/>
        </w:rPr>
        <w:t>that</w:t>
      </w:r>
      <w:r w:rsidR="008E6A56" w:rsidRPr="008A3740">
        <w:rPr>
          <w:rFonts w:ascii="Verdana" w:hAnsi="Verdana"/>
          <w:sz w:val="20"/>
          <w:szCs w:val="20"/>
          <w:lang w:val="en-US"/>
        </w:rPr>
        <w:t xml:space="preserve"> company, </w:t>
      </w:r>
      <w:r w:rsidR="00D87E8D" w:rsidRPr="008A3740">
        <w:rPr>
          <w:rFonts w:ascii="Verdana" w:hAnsi="Verdana"/>
          <w:sz w:val="20"/>
          <w:szCs w:val="20"/>
          <w:lang w:val="en-US"/>
        </w:rPr>
        <w:t>such as workers</w:t>
      </w:r>
      <w:r w:rsidR="008E6A56" w:rsidRPr="008A3740">
        <w:rPr>
          <w:rFonts w:ascii="Verdana" w:hAnsi="Verdana"/>
          <w:sz w:val="20"/>
          <w:szCs w:val="20"/>
          <w:lang w:val="en-US"/>
        </w:rPr>
        <w:t xml:space="preserve"> </w:t>
      </w:r>
      <w:r w:rsidR="00D46D41" w:rsidRPr="008A3740">
        <w:rPr>
          <w:rFonts w:ascii="Verdana" w:hAnsi="Verdana"/>
          <w:sz w:val="20"/>
          <w:szCs w:val="20"/>
          <w:lang w:val="en-US"/>
        </w:rPr>
        <w:t xml:space="preserve">entitled to </w:t>
      </w:r>
      <w:r w:rsidR="00D91121" w:rsidRPr="008A3740">
        <w:rPr>
          <w:rFonts w:ascii="Verdana" w:hAnsi="Verdana"/>
          <w:sz w:val="20"/>
          <w:szCs w:val="20"/>
          <w:lang w:val="en-US"/>
        </w:rPr>
        <w:t xml:space="preserve">the right to </w:t>
      </w:r>
      <w:r w:rsidR="00D46D41" w:rsidRPr="008A3740">
        <w:rPr>
          <w:rFonts w:ascii="Verdana" w:hAnsi="Verdana"/>
          <w:sz w:val="20"/>
          <w:szCs w:val="20"/>
          <w:lang w:val="en-US"/>
        </w:rPr>
        <w:t>social security and us</w:t>
      </w:r>
      <w:r w:rsidR="007B34FF" w:rsidRPr="008A3740">
        <w:rPr>
          <w:rFonts w:ascii="Verdana" w:hAnsi="Verdana"/>
          <w:sz w:val="20"/>
          <w:szCs w:val="20"/>
          <w:lang w:val="en-US"/>
        </w:rPr>
        <w:t>ers</w:t>
      </w:r>
      <w:r w:rsidR="008E6A56" w:rsidRPr="008A3740">
        <w:rPr>
          <w:rFonts w:ascii="Verdana" w:hAnsi="Verdana"/>
          <w:sz w:val="20"/>
          <w:szCs w:val="20"/>
          <w:lang w:val="en-US"/>
        </w:rPr>
        <w:t xml:space="preserve">. </w:t>
      </w:r>
      <w:r w:rsidR="007B34FF" w:rsidRPr="008A3740">
        <w:rPr>
          <w:rFonts w:ascii="Verdana" w:hAnsi="Verdana"/>
          <w:sz w:val="20"/>
          <w:szCs w:val="20"/>
          <w:lang w:val="en-US"/>
        </w:rPr>
        <w:t xml:space="preserve">As </w:t>
      </w:r>
      <w:r w:rsidR="008E6A56" w:rsidRPr="008A3740">
        <w:rPr>
          <w:rFonts w:ascii="Verdana" w:hAnsi="Verdana"/>
          <w:sz w:val="20"/>
          <w:szCs w:val="20"/>
          <w:lang w:val="en-US"/>
        </w:rPr>
        <w:t xml:space="preserve">the </w:t>
      </w:r>
      <w:r w:rsidR="007648E3" w:rsidRPr="008A3740">
        <w:rPr>
          <w:rFonts w:ascii="Verdana" w:hAnsi="Verdana"/>
          <w:sz w:val="20"/>
          <w:szCs w:val="20"/>
          <w:lang w:val="en-US"/>
        </w:rPr>
        <w:t>C</w:t>
      </w:r>
      <w:r w:rsidR="008E6A56" w:rsidRPr="008A3740">
        <w:rPr>
          <w:rFonts w:ascii="Verdana" w:hAnsi="Verdana"/>
          <w:sz w:val="20"/>
          <w:szCs w:val="20"/>
          <w:lang w:val="en-US"/>
        </w:rPr>
        <w:t>ESC</w:t>
      </w:r>
      <w:r w:rsidR="00517149" w:rsidRPr="008A3740">
        <w:rPr>
          <w:rFonts w:ascii="Verdana" w:hAnsi="Verdana"/>
          <w:sz w:val="20"/>
          <w:szCs w:val="20"/>
          <w:lang w:val="en-US"/>
        </w:rPr>
        <w:t xml:space="preserve">R </w:t>
      </w:r>
      <w:r w:rsidR="007648E3" w:rsidRPr="008A3740">
        <w:rPr>
          <w:rFonts w:ascii="Verdana" w:hAnsi="Verdana"/>
          <w:sz w:val="20"/>
          <w:szCs w:val="20"/>
          <w:lang w:val="en-US"/>
        </w:rPr>
        <w:t>has stated</w:t>
      </w:r>
      <w:r w:rsidR="00517149" w:rsidRPr="008A3740">
        <w:rPr>
          <w:rFonts w:ascii="Verdana" w:hAnsi="Verdana"/>
          <w:sz w:val="20"/>
          <w:szCs w:val="20"/>
          <w:lang w:val="en-US"/>
        </w:rPr>
        <w:t>, “</w:t>
      </w:r>
      <w:r w:rsidR="007B34FF" w:rsidRPr="008A3740">
        <w:rPr>
          <w:rFonts w:ascii="Verdana" w:hAnsi="Verdana"/>
          <w:sz w:val="20"/>
          <w:szCs w:val="20"/>
          <w:lang w:val="en-US"/>
        </w:rPr>
        <w:t>the</w:t>
      </w:r>
      <w:r w:rsidR="00824832" w:rsidRPr="008A3740">
        <w:rPr>
          <w:rFonts w:ascii="Verdana" w:hAnsi="Verdana"/>
          <w:sz w:val="20"/>
          <w:szCs w:val="20"/>
          <w:lang w:val="en-US"/>
        </w:rPr>
        <w:t xml:space="preserve"> obligation</w:t>
      </w:r>
      <w:r w:rsidR="00517149" w:rsidRPr="008A3740">
        <w:rPr>
          <w:rFonts w:ascii="Verdana" w:hAnsi="Verdana"/>
          <w:sz w:val="20"/>
          <w:szCs w:val="20"/>
          <w:lang w:val="en-US"/>
        </w:rPr>
        <w:t>s</w:t>
      </w:r>
      <w:r w:rsidR="007B34FF" w:rsidRPr="008A3740">
        <w:rPr>
          <w:rFonts w:ascii="Verdana" w:hAnsi="Verdana"/>
          <w:sz w:val="20"/>
          <w:szCs w:val="20"/>
          <w:lang w:val="en-US"/>
        </w:rPr>
        <w:t xml:space="preserve"> to </w:t>
      </w:r>
      <w:r w:rsidR="008E6A56" w:rsidRPr="008A3740">
        <w:rPr>
          <w:rFonts w:ascii="Verdana" w:hAnsi="Verdana"/>
          <w:sz w:val="20"/>
          <w:szCs w:val="20"/>
          <w:lang w:val="en-US"/>
        </w:rPr>
        <w:t>protect the right to</w:t>
      </w:r>
      <w:r w:rsidR="00824832" w:rsidRPr="008A3740">
        <w:rPr>
          <w:rFonts w:ascii="Verdana" w:hAnsi="Verdana"/>
          <w:sz w:val="20"/>
          <w:szCs w:val="20"/>
          <w:lang w:val="en-US"/>
        </w:rPr>
        <w:t xml:space="preserve"> work </w:t>
      </w:r>
      <w:r w:rsidR="008E6A56" w:rsidRPr="008A3740">
        <w:rPr>
          <w:rFonts w:ascii="Verdana" w:hAnsi="Verdana"/>
          <w:sz w:val="20"/>
          <w:szCs w:val="20"/>
          <w:lang w:val="en-US"/>
        </w:rPr>
        <w:t>inclu</w:t>
      </w:r>
      <w:r w:rsidR="005B1251" w:rsidRPr="008A3740">
        <w:rPr>
          <w:rFonts w:ascii="Verdana" w:hAnsi="Verdana"/>
          <w:sz w:val="20"/>
          <w:szCs w:val="20"/>
          <w:lang w:val="en-US"/>
        </w:rPr>
        <w:t>de</w:t>
      </w:r>
      <w:r w:rsidR="00517149" w:rsidRPr="008A3740">
        <w:rPr>
          <w:rFonts w:ascii="Verdana" w:hAnsi="Verdana"/>
          <w:sz w:val="20"/>
          <w:szCs w:val="20"/>
          <w:lang w:val="en-US"/>
        </w:rPr>
        <w:t xml:space="preserve">, </w:t>
      </w:r>
      <w:r w:rsidR="00517149" w:rsidRPr="008A3740">
        <w:rPr>
          <w:rFonts w:ascii="Verdana" w:hAnsi="Verdana"/>
          <w:i/>
          <w:sz w:val="20"/>
          <w:szCs w:val="20"/>
          <w:lang w:val="en-US"/>
        </w:rPr>
        <w:t>inter alia</w:t>
      </w:r>
      <w:r w:rsidR="008E6A56" w:rsidRPr="008A3740">
        <w:rPr>
          <w:rFonts w:ascii="Verdana" w:hAnsi="Verdana"/>
          <w:sz w:val="20"/>
          <w:szCs w:val="20"/>
          <w:lang w:val="en-US"/>
        </w:rPr>
        <w:t>, the d</w:t>
      </w:r>
      <w:r w:rsidR="00517149" w:rsidRPr="008A3740">
        <w:rPr>
          <w:rFonts w:ascii="Verdana" w:hAnsi="Verdana"/>
          <w:sz w:val="20"/>
          <w:szCs w:val="20"/>
          <w:lang w:val="en-US"/>
        </w:rPr>
        <w:t xml:space="preserve">uties of </w:t>
      </w:r>
      <w:r w:rsidR="00EA7C7F" w:rsidRPr="008A3740">
        <w:rPr>
          <w:rFonts w:ascii="Verdana" w:hAnsi="Verdana"/>
          <w:sz w:val="20"/>
          <w:szCs w:val="20"/>
          <w:lang w:val="en-US"/>
        </w:rPr>
        <w:t xml:space="preserve">the </w:t>
      </w:r>
      <w:r w:rsidR="00517149" w:rsidRPr="008A3740">
        <w:rPr>
          <w:rFonts w:ascii="Verdana" w:hAnsi="Verdana"/>
          <w:sz w:val="20"/>
          <w:szCs w:val="20"/>
          <w:lang w:val="en-US"/>
        </w:rPr>
        <w:t>States p</w:t>
      </w:r>
      <w:r w:rsidR="008E6A56" w:rsidRPr="008A3740">
        <w:rPr>
          <w:rFonts w:ascii="Verdana" w:hAnsi="Verdana"/>
          <w:sz w:val="20"/>
          <w:szCs w:val="20"/>
          <w:lang w:val="en-US"/>
        </w:rPr>
        <w:t>art</w:t>
      </w:r>
      <w:r w:rsidR="00824832" w:rsidRPr="008A3740">
        <w:rPr>
          <w:rFonts w:ascii="Verdana" w:hAnsi="Verdana"/>
          <w:sz w:val="20"/>
          <w:szCs w:val="20"/>
          <w:lang w:val="en-US"/>
        </w:rPr>
        <w:t>ies to</w:t>
      </w:r>
      <w:r w:rsidR="00517149" w:rsidRPr="008A3740">
        <w:rPr>
          <w:rFonts w:ascii="Verdana" w:hAnsi="Verdana"/>
          <w:sz w:val="20"/>
          <w:szCs w:val="20"/>
          <w:lang w:val="en-US"/>
        </w:rPr>
        <w:t xml:space="preserve"> </w:t>
      </w:r>
      <w:r w:rsidR="008E6A56" w:rsidRPr="008A3740">
        <w:rPr>
          <w:rFonts w:ascii="Verdana" w:hAnsi="Verdana"/>
          <w:sz w:val="20"/>
          <w:szCs w:val="20"/>
          <w:lang w:val="en-US"/>
        </w:rPr>
        <w:t xml:space="preserve">[...] </w:t>
      </w:r>
      <w:r w:rsidR="00517149" w:rsidRPr="008A3740">
        <w:rPr>
          <w:rFonts w:ascii="Verdana" w:hAnsi="Verdana"/>
          <w:sz w:val="20"/>
          <w:szCs w:val="20"/>
          <w:lang w:val="en-US"/>
        </w:rPr>
        <w:t xml:space="preserve">ensure </w:t>
      </w:r>
      <w:r w:rsidR="008E6A56" w:rsidRPr="008A3740">
        <w:rPr>
          <w:rFonts w:ascii="Verdana" w:hAnsi="Verdana"/>
          <w:sz w:val="20"/>
          <w:szCs w:val="20"/>
          <w:lang w:val="en-US"/>
        </w:rPr>
        <w:t xml:space="preserve">that privatization </w:t>
      </w:r>
      <w:r w:rsidR="005B1251" w:rsidRPr="008A3740">
        <w:rPr>
          <w:rFonts w:ascii="Verdana" w:hAnsi="Verdana"/>
          <w:sz w:val="20"/>
          <w:szCs w:val="20"/>
          <w:lang w:val="en-US"/>
        </w:rPr>
        <w:t xml:space="preserve">measures </w:t>
      </w:r>
      <w:r w:rsidR="00D46D41" w:rsidRPr="008A3740">
        <w:rPr>
          <w:rFonts w:ascii="Verdana" w:hAnsi="Verdana"/>
          <w:sz w:val="20"/>
          <w:szCs w:val="20"/>
          <w:lang w:val="en-US"/>
        </w:rPr>
        <w:t xml:space="preserve">do not undermine workers’ </w:t>
      </w:r>
      <w:r w:rsidR="008E6A56" w:rsidRPr="008A3740">
        <w:rPr>
          <w:rFonts w:ascii="Verdana" w:hAnsi="Verdana"/>
          <w:sz w:val="20"/>
          <w:szCs w:val="20"/>
          <w:lang w:val="en-US"/>
        </w:rPr>
        <w:t>rights</w:t>
      </w:r>
      <w:r w:rsidR="00D46D41" w:rsidRPr="008A3740">
        <w:rPr>
          <w:rFonts w:ascii="Verdana" w:hAnsi="Verdana"/>
          <w:sz w:val="20"/>
          <w:szCs w:val="20"/>
          <w:lang w:val="en-US"/>
        </w:rPr>
        <w:t>.</w:t>
      </w:r>
      <w:r w:rsidR="00517149" w:rsidRPr="008A3740">
        <w:rPr>
          <w:rFonts w:ascii="Verdana" w:hAnsi="Verdana"/>
          <w:sz w:val="20"/>
          <w:szCs w:val="20"/>
          <w:lang w:val="en-US"/>
        </w:rPr>
        <w:t>”</w:t>
      </w:r>
      <w:r w:rsidR="008E6A56" w:rsidRPr="008A3740">
        <w:rPr>
          <w:rStyle w:val="Refdenotaalpie"/>
          <w:szCs w:val="20"/>
          <w:lang w:val="en-US"/>
        </w:rPr>
        <w:footnoteReference w:id="213"/>
      </w:r>
      <w:r w:rsidR="00D87E8D" w:rsidRPr="008A3740">
        <w:rPr>
          <w:rFonts w:ascii="Verdana" w:hAnsi="Verdana"/>
          <w:sz w:val="20"/>
          <w:szCs w:val="20"/>
          <w:lang w:val="en-US"/>
        </w:rPr>
        <w:t xml:space="preserve"> T</w:t>
      </w:r>
      <w:r w:rsidR="008E6A56" w:rsidRPr="008A3740">
        <w:rPr>
          <w:rFonts w:ascii="Verdana" w:hAnsi="Verdana"/>
          <w:sz w:val="20"/>
          <w:szCs w:val="20"/>
          <w:lang w:val="en-US"/>
        </w:rPr>
        <w:t xml:space="preserve">he </w:t>
      </w:r>
      <w:r w:rsidR="00D87E8D" w:rsidRPr="008A3740">
        <w:rPr>
          <w:rFonts w:ascii="Verdana" w:hAnsi="Verdana"/>
          <w:sz w:val="20"/>
          <w:szCs w:val="20"/>
          <w:lang w:val="en-US"/>
        </w:rPr>
        <w:t xml:space="preserve">same </w:t>
      </w:r>
      <w:r w:rsidR="00517149" w:rsidRPr="008A3740">
        <w:rPr>
          <w:rFonts w:ascii="Verdana" w:hAnsi="Verdana"/>
          <w:sz w:val="20"/>
          <w:szCs w:val="20"/>
          <w:lang w:val="en-US"/>
        </w:rPr>
        <w:t xml:space="preserve">principle </w:t>
      </w:r>
      <w:r w:rsidR="008E6A56" w:rsidRPr="008A3740">
        <w:rPr>
          <w:rFonts w:ascii="Verdana" w:hAnsi="Verdana"/>
          <w:sz w:val="20"/>
          <w:szCs w:val="20"/>
          <w:lang w:val="en-US"/>
        </w:rPr>
        <w:t xml:space="preserve">is applicable </w:t>
      </w:r>
      <w:r w:rsidR="00517149" w:rsidRPr="008A3740">
        <w:rPr>
          <w:rFonts w:ascii="Verdana" w:hAnsi="Verdana"/>
          <w:sz w:val="20"/>
          <w:szCs w:val="20"/>
          <w:lang w:val="en-US"/>
        </w:rPr>
        <w:t xml:space="preserve">to the </w:t>
      </w:r>
      <w:r w:rsidR="008E6A56" w:rsidRPr="008A3740">
        <w:rPr>
          <w:rFonts w:ascii="Verdana" w:hAnsi="Verdana"/>
          <w:sz w:val="20"/>
          <w:szCs w:val="20"/>
          <w:lang w:val="en-US"/>
        </w:rPr>
        <w:t xml:space="preserve">right to social security and </w:t>
      </w:r>
      <w:r w:rsidR="00D87E8D" w:rsidRPr="008A3740">
        <w:rPr>
          <w:rFonts w:ascii="Verdana" w:hAnsi="Verdana"/>
          <w:sz w:val="20"/>
          <w:szCs w:val="20"/>
          <w:lang w:val="en-US"/>
        </w:rPr>
        <w:t xml:space="preserve">to </w:t>
      </w:r>
      <w:r w:rsidR="008E6A56" w:rsidRPr="008A3740">
        <w:rPr>
          <w:rFonts w:ascii="Verdana" w:hAnsi="Verdana"/>
          <w:sz w:val="20"/>
          <w:szCs w:val="20"/>
          <w:lang w:val="en-US"/>
        </w:rPr>
        <w:t xml:space="preserve">other </w:t>
      </w:r>
      <w:r w:rsidR="00D87E8D" w:rsidRPr="008A3740">
        <w:rPr>
          <w:rFonts w:ascii="Verdana" w:hAnsi="Verdana"/>
          <w:sz w:val="20"/>
          <w:szCs w:val="20"/>
          <w:lang w:val="en-US"/>
        </w:rPr>
        <w:t>social rights.</w:t>
      </w:r>
      <w:r w:rsidR="008E6A56" w:rsidRPr="008A3740">
        <w:rPr>
          <w:rFonts w:ascii="Verdana" w:hAnsi="Verdana"/>
          <w:sz w:val="20"/>
          <w:szCs w:val="20"/>
          <w:lang w:val="en-US"/>
        </w:rPr>
        <w:t>”</w:t>
      </w:r>
      <w:r w:rsidR="008E6A56" w:rsidRPr="008A3740">
        <w:rPr>
          <w:rStyle w:val="Refdenotaalpie"/>
          <w:szCs w:val="20"/>
          <w:lang w:val="en-US"/>
        </w:rPr>
        <w:footnoteReference w:id="214"/>
      </w:r>
    </w:p>
    <w:p w14:paraId="2373020C"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eastAsia="en-US"/>
        </w:rPr>
      </w:pPr>
    </w:p>
    <w:p w14:paraId="0E223EDC"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z w:val="20"/>
          <w:szCs w:val="20"/>
          <w:lang w:val="en-US"/>
        </w:rPr>
        <w:t>Re</w:t>
      </w:r>
      <w:r w:rsidR="00DC4F18" w:rsidRPr="008A3740">
        <w:rPr>
          <w:rFonts w:ascii="Verdana" w:hAnsi="Verdana"/>
          <w:sz w:val="20"/>
          <w:szCs w:val="20"/>
          <w:lang w:val="en-US"/>
        </w:rPr>
        <w:t xml:space="preserve">garding this last point, although the </w:t>
      </w:r>
      <w:r w:rsidR="00517149" w:rsidRPr="008A3740">
        <w:rPr>
          <w:rFonts w:ascii="Verdana" w:hAnsi="Verdana"/>
          <w:sz w:val="20"/>
          <w:szCs w:val="20"/>
          <w:lang w:val="en-US"/>
        </w:rPr>
        <w:t>C</w:t>
      </w:r>
      <w:r w:rsidR="00DC4F18" w:rsidRPr="008A3740">
        <w:rPr>
          <w:rFonts w:ascii="Verdana" w:hAnsi="Verdana"/>
          <w:sz w:val="20"/>
          <w:szCs w:val="20"/>
          <w:lang w:val="en-US"/>
        </w:rPr>
        <w:t>ESCR</w:t>
      </w:r>
      <w:r w:rsidRPr="008A3740">
        <w:rPr>
          <w:rFonts w:ascii="Verdana" w:hAnsi="Verdana"/>
          <w:sz w:val="20"/>
          <w:szCs w:val="20"/>
          <w:lang w:val="en-US"/>
        </w:rPr>
        <w:t xml:space="preserve"> ha</w:t>
      </w:r>
      <w:r w:rsidR="00D87E8D" w:rsidRPr="008A3740">
        <w:rPr>
          <w:rFonts w:ascii="Verdana" w:hAnsi="Verdana"/>
          <w:sz w:val="20"/>
          <w:szCs w:val="20"/>
          <w:lang w:val="en-US"/>
        </w:rPr>
        <w:t xml:space="preserve">s </w:t>
      </w:r>
      <w:r w:rsidR="00824832" w:rsidRPr="008A3740">
        <w:rPr>
          <w:rFonts w:ascii="Verdana" w:hAnsi="Verdana"/>
          <w:sz w:val="20"/>
          <w:szCs w:val="20"/>
          <w:lang w:val="en-US"/>
        </w:rPr>
        <w:t xml:space="preserve">indicated the importance of </w:t>
      </w:r>
      <w:r w:rsidRPr="008A3740">
        <w:rPr>
          <w:rFonts w:ascii="Verdana" w:hAnsi="Verdana"/>
          <w:sz w:val="20"/>
          <w:szCs w:val="20"/>
          <w:lang w:val="en-US"/>
        </w:rPr>
        <w:t>adopti</w:t>
      </w:r>
      <w:r w:rsidR="00870D98" w:rsidRPr="008A3740">
        <w:rPr>
          <w:rFonts w:ascii="Verdana" w:hAnsi="Verdana"/>
          <w:sz w:val="20"/>
          <w:szCs w:val="20"/>
          <w:lang w:val="en-US"/>
        </w:rPr>
        <w:t xml:space="preserve">ng </w:t>
      </w:r>
      <w:r w:rsidRPr="008A3740">
        <w:rPr>
          <w:rFonts w:ascii="Verdana" w:hAnsi="Verdana"/>
          <w:sz w:val="20"/>
          <w:szCs w:val="20"/>
          <w:lang w:val="en-US"/>
        </w:rPr>
        <w:t>measures t</w:t>
      </w:r>
      <w:r w:rsidR="00D87E8D" w:rsidRPr="008A3740">
        <w:rPr>
          <w:rFonts w:ascii="Verdana" w:hAnsi="Verdana"/>
          <w:sz w:val="20"/>
          <w:szCs w:val="20"/>
          <w:lang w:val="en-US"/>
        </w:rPr>
        <w:t xml:space="preserve">o ensure that </w:t>
      </w:r>
      <w:r w:rsidRPr="008A3740">
        <w:rPr>
          <w:rFonts w:ascii="Verdana" w:hAnsi="Verdana"/>
          <w:sz w:val="20"/>
          <w:szCs w:val="20"/>
          <w:lang w:val="en-US"/>
        </w:rPr>
        <w:t xml:space="preserve">privatization </w:t>
      </w:r>
      <w:r w:rsidR="00D87E8D" w:rsidRPr="008A3740">
        <w:rPr>
          <w:rFonts w:ascii="Verdana" w:hAnsi="Verdana"/>
          <w:sz w:val="20"/>
          <w:szCs w:val="20"/>
          <w:lang w:val="en-US"/>
        </w:rPr>
        <w:t xml:space="preserve">does not undermine </w:t>
      </w:r>
      <w:r w:rsidRPr="008A3740">
        <w:rPr>
          <w:rFonts w:ascii="Verdana" w:hAnsi="Verdana"/>
          <w:sz w:val="20"/>
          <w:szCs w:val="20"/>
          <w:lang w:val="en-US"/>
        </w:rPr>
        <w:t xml:space="preserve">the rights of </w:t>
      </w:r>
      <w:r w:rsidR="00824832" w:rsidRPr="008A3740">
        <w:rPr>
          <w:rFonts w:ascii="Verdana" w:hAnsi="Verdana"/>
          <w:sz w:val="20"/>
          <w:szCs w:val="20"/>
          <w:lang w:val="en-US"/>
        </w:rPr>
        <w:t xml:space="preserve">workers, </w:t>
      </w:r>
      <w:r w:rsidR="00835ED7" w:rsidRPr="008A3740">
        <w:rPr>
          <w:rFonts w:ascii="Verdana" w:hAnsi="Verdana"/>
          <w:sz w:val="20"/>
          <w:szCs w:val="20"/>
          <w:lang w:val="en-US"/>
        </w:rPr>
        <w:t xml:space="preserve">as part of the State’s </w:t>
      </w:r>
      <w:r w:rsidR="00824832" w:rsidRPr="008A3740">
        <w:rPr>
          <w:rFonts w:ascii="Verdana" w:hAnsi="Verdana"/>
          <w:sz w:val="20"/>
          <w:szCs w:val="20"/>
          <w:lang w:val="en-US"/>
        </w:rPr>
        <w:t xml:space="preserve">“obligations </w:t>
      </w:r>
      <w:r w:rsidR="00835ED7" w:rsidRPr="008A3740">
        <w:rPr>
          <w:rFonts w:ascii="Verdana" w:hAnsi="Verdana"/>
          <w:sz w:val="20"/>
          <w:szCs w:val="20"/>
          <w:lang w:val="en-US"/>
        </w:rPr>
        <w:t>to protect,</w:t>
      </w:r>
      <w:r w:rsidRPr="008A3740">
        <w:rPr>
          <w:rFonts w:ascii="Verdana" w:hAnsi="Verdana"/>
          <w:sz w:val="20"/>
          <w:szCs w:val="20"/>
          <w:lang w:val="en-US"/>
        </w:rPr>
        <w:t xml:space="preserve">” the Court considers that </w:t>
      </w:r>
      <w:r w:rsidR="00824832" w:rsidRPr="008A3740">
        <w:rPr>
          <w:rFonts w:ascii="Verdana" w:hAnsi="Verdana"/>
          <w:sz w:val="20"/>
          <w:szCs w:val="20"/>
          <w:lang w:val="en-US"/>
        </w:rPr>
        <w:t>with</w:t>
      </w:r>
      <w:r w:rsidRPr="008A3740">
        <w:rPr>
          <w:rFonts w:ascii="Verdana" w:hAnsi="Verdana"/>
          <w:sz w:val="20"/>
          <w:szCs w:val="20"/>
          <w:lang w:val="en-US"/>
        </w:rPr>
        <w:t xml:space="preserve">in the </w:t>
      </w:r>
      <w:r w:rsidR="00824832" w:rsidRPr="008A3740">
        <w:rPr>
          <w:rFonts w:ascii="Verdana" w:hAnsi="Verdana"/>
          <w:sz w:val="20"/>
          <w:szCs w:val="20"/>
          <w:lang w:val="en-US"/>
        </w:rPr>
        <w:t xml:space="preserve">framework of </w:t>
      </w:r>
      <w:r w:rsidRPr="008A3740">
        <w:rPr>
          <w:rFonts w:ascii="Verdana" w:hAnsi="Verdana"/>
          <w:sz w:val="20"/>
          <w:szCs w:val="20"/>
          <w:lang w:val="en-US"/>
        </w:rPr>
        <w:t xml:space="preserve">the general obligations </w:t>
      </w:r>
      <w:r w:rsidR="00824832" w:rsidRPr="008A3740">
        <w:rPr>
          <w:rFonts w:ascii="Verdana" w:hAnsi="Verdana"/>
          <w:sz w:val="20"/>
          <w:szCs w:val="20"/>
          <w:lang w:val="en-US"/>
        </w:rPr>
        <w:t xml:space="preserve">to </w:t>
      </w:r>
      <w:r w:rsidR="00824832" w:rsidRPr="008A3740">
        <w:rPr>
          <w:rFonts w:ascii="Verdana" w:hAnsi="Verdana"/>
          <w:sz w:val="20"/>
          <w:szCs w:val="20"/>
          <w:lang w:val="en-US"/>
        </w:rPr>
        <w:lastRenderedPageBreak/>
        <w:t>respect and guarantee</w:t>
      </w:r>
      <w:r w:rsidR="00C63424" w:rsidRPr="008A3740">
        <w:rPr>
          <w:rFonts w:ascii="Verdana" w:hAnsi="Verdana"/>
          <w:sz w:val="20"/>
          <w:szCs w:val="20"/>
          <w:lang w:val="en-US"/>
        </w:rPr>
        <w:t xml:space="preserve"> </w:t>
      </w:r>
      <w:r w:rsidR="00CD231F" w:rsidRPr="008A3740">
        <w:rPr>
          <w:rFonts w:ascii="Verdana" w:hAnsi="Verdana"/>
          <w:sz w:val="20"/>
          <w:szCs w:val="20"/>
          <w:lang w:val="en-US"/>
        </w:rPr>
        <w:t xml:space="preserve">rights </w:t>
      </w:r>
      <w:r w:rsidRPr="008A3740">
        <w:rPr>
          <w:rFonts w:ascii="Verdana" w:hAnsi="Verdana"/>
          <w:sz w:val="20"/>
          <w:szCs w:val="20"/>
          <w:lang w:val="en-US"/>
        </w:rPr>
        <w:t>a</w:t>
      </w:r>
      <w:r w:rsidR="00DC4F18" w:rsidRPr="008A3740">
        <w:rPr>
          <w:rFonts w:ascii="Verdana" w:hAnsi="Verdana"/>
          <w:sz w:val="20"/>
          <w:szCs w:val="20"/>
          <w:lang w:val="en-US"/>
        </w:rPr>
        <w:t xml:space="preserve">nd to </w:t>
      </w:r>
      <w:r w:rsidRPr="008A3740">
        <w:rPr>
          <w:rFonts w:ascii="Verdana" w:hAnsi="Verdana"/>
          <w:sz w:val="20"/>
          <w:szCs w:val="20"/>
          <w:lang w:val="en-US"/>
        </w:rPr>
        <w:t xml:space="preserve">adopt </w:t>
      </w:r>
      <w:r w:rsidR="00CD231F" w:rsidRPr="008A3740">
        <w:rPr>
          <w:rFonts w:ascii="Verdana" w:hAnsi="Verdana"/>
          <w:sz w:val="20"/>
          <w:szCs w:val="20"/>
          <w:lang w:val="en-US"/>
        </w:rPr>
        <w:t>domestic legal effects</w:t>
      </w:r>
      <w:r w:rsidRPr="008A3740">
        <w:rPr>
          <w:rFonts w:ascii="Verdana" w:hAnsi="Verdana"/>
          <w:sz w:val="20"/>
          <w:szCs w:val="20"/>
          <w:lang w:val="en-US"/>
        </w:rPr>
        <w:t xml:space="preserve">, </w:t>
      </w:r>
      <w:r w:rsidR="00CD231F" w:rsidRPr="008A3740">
        <w:rPr>
          <w:rFonts w:ascii="Verdana" w:hAnsi="Verdana"/>
          <w:sz w:val="20"/>
          <w:szCs w:val="20"/>
          <w:lang w:val="en-US"/>
        </w:rPr>
        <w:t xml:space="preserve">as established in the Convention, </w:t>
      </w:r>
      <w:r w:rsidRPr="008A3740">
        <w:rPr>
          <w:rFonts w:ascii="Verdana" w:hAnsi="Verdana"/>
          <w:sz w:val="20"/>
          <w:szCs w:val="20"/>
          <w:lang w:val="en-US"/>
        </w:rPr>
        <w:t>the States also</w:t>
      </w:r>
      <w:r w:rsidR="00DC4F18" w:rsidRPr="008A3740">
        <w:rPr>
          <w:rFonts w:ascii="Verdana" w:hAnsi="Verdana"/>
          <w:sz w:val="20"/>
          <w:szCs w:val="20"/>
          <w:lang w:val="en-US"/>
        </w:rPr>
        <w:t xml:space="preserve"> have an</w:t>
      </w:r>
      <w:r w:rsidR="00CD231F" w:rsidRPr="008A3740">
        <w:rPr>
          <w:rFonts w:ascii="Verdana" w:hAnsi="Verdana"/>
          <w:sz w:val="20"/>
          <w:szCs w:val="20"/>
          <w:lang w:val="en-US"/>
        </w:rPr>
        <w:t xml:space="preserve"> </w:t>
      </w:r>
      <w:r w:rsidRPr="008A3740">
        <w:rPr>
          <w:rFonts w:ascii="Verdana" w:hAnsi="Verdana"/>
          <w:sz w:val="20"/>
          <w:szCs w:val="20"/>
          <w:lang w:val="en-US"/>
        </w:rPr>
        <w:t xml:space="preserve">obligation </w:t>
      </w:r>
      <w:r w:rsidR="00DC4F18" w:rsidRPr="008A3740">
        <w:rPr>
          <w:rFonts w:ascii="Verdana" w:hAnsi="Verdana"/>
          <w:sz w:val="20"/>
          <w:szCs w:val="20"/>
          <w:lang w:val="en-US"/>
        </w:rPr>
        <w:t xml:space="preserve">to </w:t>
      </w:r>
      <w:r w:rsidRPr="008A3740">
        <w:rPr>
          <w:rFonts w:ascii="Verdana" w:hAnsi="Verdana"/>
          <w:sz w:val="20"/>
          <w:szCs w:val="20"/>
          <w:lang w:val="en-US"/>
        </w:rPr>
        <w:t xml:space="preserve">adopt measures </w:t>
      </w:r>
      <w:r w:rsidR="00DC4F18" w:rsidRPr="008A3740">
        <w:rPr>
          <w:rFonts w:ascii="Verdana" w:hAnsi="Verdana"/>
          <w:sz w:val="20"/>
          <w:szCs w:val="20"/>
          <w:lang w:val="en-US"/>
        </w:rPr>
        <w:t xml:space="preserve">to ensure that privatization processes do not have detrimental </w:t>
      </w:r>
      <w:r w:rsidRPr="008A3740">
        <w:rPr>
          <w:rFonts w:ascii="Verdana" w:hAnsi="Verdana"/>
          <w:sz w:val="20"/>
          <w:szCs w:val="20"/>
          <w:lang w:val="en-US"/>
        </w:rPr>
        <w:t xml:space="preserve">effects </w:t>
      </w:r>
      <w:r w:rsidR="00DC4F18" w:rsidRPr="008A3740">
        <w:rPr>
          <w:rFonts w:ascii="Verdana" w:hAnsi="Verdana"/>
          <w:sz w:val="20"/>
          <w:szCs w:val="20"/>
          <w:lang w:val="en-US"/>
        </w:rPr>
        <w:t xml:space="preserve">on </w:t>
      </w:r>
      <w:r w:rsidRPr="008A3740">
        <w:rPr>
          <w:rFonts w:ascii="Verdana" w:hAnsi="Verdana"/>
          <w:sz w:val="20"/>
          <w:szCs w:val="20"/>
          <w:lang w:val="en-US"/>
        </w:rPr>
        <w:t xml:space="preserve">the rights </w:t>
      </w:r>
      <w:r w:rsidR="00DC4F18" w:rsidRPr="008A3740">
        <w:rPr>
          <w:rFonts w:ascii="Verdana" w:hAnsi="Verdana"/>
          <w:sz w:val="20"/>
          <w:szCs w:val="20"/>
          <w:lang w:val="en-US"/>
        </w:rPr>
        <w:t xml:space="preserve">of its </w:t>
      </w:r>
      <w:r w:rsidRPr="008A3740">
        <w:rPr>
          <w:rFonts w:ascii="Verdana" w:hAnsi="Verdana"/>
          <w:sz w:val="20"/>
          <w:szCs w:val="20"/>
          <w:lang w:val="en-US"/>
        </w:rPr>
        <w:t xml:space="preserve">pensioners. </w:t>
      </w:r>
      <w:r w:rsidR="00824832" w:rsidRPr="008A3740">
        <w:rPr>
          <w:rFonts w:ascii="Verdana" w:hAnsi="Verdana"/>
          <w:sz w:val="20"/>
          <w:szCs w:val="20"/>
          <w:lang w:val="en-US"/>
        </w:rPr>
        <w:t>This</w:t>
      </w:r>
      <w:r w:rsidR="00CD231F" w:rsidRPr="008A3740">
        <w:rPr>
          <w:rFonts w:ascii="Verdana" w:hAnsi="Verdana"/>
          <w:sz w:val="20"/>
          <w:szCs w:val="20"/>
          <w:lang w:val="en-US"/>
        </w:rPr>
        <w:t>, in consideration of</w:t>
      </w:r>
      <w:r w:rsidRPr="008A3740">
        <w:rPr>
          <w:rFonts w:ascii="Verdana" w:hAnsi="Verdana"/>
          <w:sz w:val="20"/>
          <w:szCs w:val="20"/>
          <w:lang w:val="en-US"/>
        </w:rPr>
        <w:t xml:space="preserve"> </w:t>
      </w:r>
      <w:r w:rsidR="00DC4F18" w:rsidRPr="008A3740">
        <w:rPr>
          <w:rFonts w:ascii="Verdana" w:hAnsi="Verdana"/>
          <w:sz w:val="20"/>
          <w:szCs w:val="20"/>
          <w:lang w:val="en-US"/>
        </w:rPr>
        <w:t xml:space="preserve">the </w:t>
      </w:r>
      <w:r w:rsidR="007E58C4" w:rsidRPr="008A3740">
        <w:rPr>
          <w:rFonts w:ascii="Verdana" w:hAnsi="Verdana"/>
          <w:sz w:val="20"/>
          <w:szCs w:val="20"/>
          <w:lang w:val="en-US"/>
        </w:rPr>
        <w:t xml:space="preserve">essential </w:t>
      </w:r>
      <w:r w:rsidR="00DC4F18" w:rsidRPr="008A3740">
        <w:rPr>
          <w:rFonts w:ascii="Verdana" w:hAnsi="Verdana"/>
          <w:sz w:val="20"/>
          <w:szCs w:val="20"/>
          <w:lang w:val="en-US"/>
        </w:rPr>
        <w:t xml:space="preserve">nature </w:t>
      </w:r>
      <w:r w:rsidRPr="008A3740">
        <w:rPr>
          <w:rFonts w:ascii="Verdana" w:hAnsi="Verdana"/>
          <w:sz w:val="20"/>
          <w:szCs w:val="20"/>
          <w:lang w:val="en-US"/>
        </w:rPr>
        <w:t xml:space="preserve">and special importance </w:t>
      </w:r>
      <w:r w:rsidR="006B06D5" w:rsidRPr="008A3740">
        <w:rPr>
          <w:rFonts w:ascii="Verdana" w:hAnsi="Verdana"/>
          <w:sz w:val="20"/>
          <w:szCs w:val="20"/>
          <w:lang w:val="en-US"/>
        </w:rPr>
        <w:t xml:space="preserve">that </w:t>
      </w:r>
      <w:r w:rsidRPr="008A3740">
        <w:rPr>
          <w:rFonts w:ascii="Verdana" w:hAnsi="Verdana"/>
          <w:sz w:val="20"/>
          <w:szCs w:val="20"/>
          <w:lang w:val="en-US"/>
        </w:rPr>
        <w:t xml:space="preserve">the </w:t>
      </w:r>
      <w:r w:rsidR="00D87E8D" w:rsidRPr="008A3740">
        <w:rPr>
          <w:rFonts w:ascii="Verdana" w:hAnsi="Verdana"/>
          <w:sz w:val="20"/>
          <w:szCs w:val="20"/>
          <w:lang w:val="en-US"/>
        </w:rPr>
        <w:t xml:space="preserve">old age </w:t>
      </w:r>
      <w:r w:rsidRPr="008A3740">
        <w:rPr>
          <w:rFonts w:ascii="Verdana" w:hAnsi="Verdana"/>
          <w:sz w:val="20"/>
          <w:szCs w:val="20"/>
          <w:lang w:val="en-US"/>
        </w:rPr>
        <w:t xml:space="preserve">pension </w:t>
      </w:r>
      <w:r w:rsidR="006B06D5" w:rsidRPr="008A3740">
        <w:rPr>
          <w:rFonts w:ascii="Verdana" w:hAnsi="Verdana"/>
          <w:sz w:val="20"/>
          <w:szCs w:val="20"/>
          <w:lang w:val="en-US"/>
        </w:rPr>
        <w:t xml:space="preserve">has </w:t>
      </w:r>
      <w:r w:rsidRPr="008A3740">
        <w:rPr>
          <w:rFonts w:ascii="Verdana" w:hAnsi="Verdana"/>
          <w:sz w:val="20"/>
          <w:szCs w:val="20"/>
          <w:lang w:val="en-US"/>
        </w:rPr>
        <w:t xml:space="preserve">in the </w:t>
      </w:r>
      <w:r w:rsidR="006B06D5" w:rsidRPr="008A3740">
        <w:rPr>
          <w:rFonts w:ascii="Verdana" w:hAnsi="Verdana"/>
          <w:sz w:val="20"/>
          <w:szCs w:val="20"/>
          <w:lang w:val="en-US"/>
        </w:rPr>
        <w:t xml:space="preserve">life of </w:t>
      </w:r>
      <w:r w:rsidRPr="008A3740">
        <w:rPr>
          <w:rFonts w:ascii="Verdana" w:hAnsi="Verdana"/>
          <w:sz w:val="20"/>
          <w:szCs w:val="20"/>
          <w:lang w:val="en-US"/>
        </w:rPr>
        <w:t xml:space="preserve">a </w:t>
      </w:r>
      <w:r w:rsidR="00F41672" w:rsidRPr="008A3740">
        <w:rPr>
          <w:rFonts w:ascii="Verdana" w:hAnsi="Verdana"/>
          <w:sz w:val="20"/>
          <w:szCs w:val="20"/>
          <w:lang w:val="en-US"/>
        </w:rPr>
        <w:t>retired person</w:t>
      </w:r>
      <w:r w:rsidRPr="008A3740">
        <w:rPr>
          <w:rFonts w:ascii="Verdana" w:hAnsi="Verdana"/>
          <w:sz w:val="20"/>
          <w:szCs w:val="20"/>
          <w:lang w:val="en-US"/>
        </w:rPr>
        <w:t xml:space="preserve">, </w:t>
      </w:r>
      <w:r w:rsidR="00D73EE6" w:rsidRPr="008A3740">
        <w:rPr>
          <w:rFonts w:ascii="Verdana" w:hAnsi="Verdana"/>
          <w:sz w:val="20"/>
          <w:szCs w:val="20"/>
          <w:lang w:val="en-US"/>
        </w:rPr>
        <w:t>as</w:t>
      </w:r>
      <w:r w:rsidRPr="008A3740">
        <w:rPr>
          <w:rFonts w:ascii="Verdana" w:hAnsi="Verdana"/>
          <w:sz w:val="20"/>
          <w:szCs w:val="20"/>
          <w:lang w:val="en-US"/>
        </w:rPr>
        <w:t xml:space="preserve"> </w:t>
      </w:r>
      <w:r w:rsidR="006B06D5" w:rsidRPr="008A3740">
        <w:rPr>
          <w:rFonts w:ascii="Verdana" w:hAnsi="Verdana"/>
          <w:sz w:val="20"/>
          <w:szCs w:val="20"/>
          <w:lang w:val="en-US"/>
        </w:rPr>
        <w:t>it</w:t>
      </w:r>
      <w:r w:rsidR="007E58C4" w:rsidRPr="008A3740">
        <w:rPr>
          <w:rFonts w:ascii="Verdana" w:hAnsi="Verdana"/>
          <w:sz w:val="20"/>
          <w:szCs w:val="20"/>
          <w:lang w:val="en-US"/>
        </w:rPr>
        <w:t xml:space="preserve"> may </w:t>
      </w:r>
      <w:r w:rsidRPr="008A3740">
        <w:rPr>
          <w:rFonts w:ascii="Verdana" w:hAnsi="Verdana"/>
          <w:sz w:val="20"/>
          <w:szCs w:val="20"/>
          <w:lang w:val="en-US"/>
        </w:rPr>
        <w:t>constitu</w:t>
      </w:r>
      <w:r w:rsidR="00C63424" w:rsidRPr="008A3740">
        <w:rPr>
          <w:rFonts w:ascii="Verdana" w:hAnsi="Verdana"/>
          <w:sz w:val="20"/>
          <w:szCs w:val="20"/>
          <w:lang w:val="en-US"/>
        </w:rPr>
        <w:t xml:space="preserve">te </w:t>
      </w:r>
      <w:r w:rsidRPr="008A3740">
        <w:rPr>
          <w:rFonts w:ascii="Verdana" w:hAnsi="Verdana"/>
          <w:sz w:val="20"/>
          <w:szCs w:val="20"/>
          <w:lang w:val="en-US"/>
        </w:rPr>
        <w:t xml:space="preserve">the </w:t>
      </w:r>
      <w:r w:rsidR="009118EF" w:rsidRPr="008A3740">
        <w:rPr>
          <w:rFonts w:ascii="Verdana" w:hAnsi="Verdana"/>
          <w:sz w:val="20"/>
          <w:szCs w:val="20"/>
          <w:lang w:val="en-US"/>
        </w:rPr>
        <w:t xml:space="preserve">only </w:t>
      </w:r>
      <w:r w:rsidR="007E58C4" w:rsidRPr="008A3740">
        <w:rPr>
          <w:rFonts w:ascii="Verdana" w:hAnsi="Verdana"/>
          <w:sz w:val="20"/>
          <w:szCs w:val="20"/>
          <w:lang w:val="en-US"/>
        </w:rPr>
        <w:t xml:space="preserve">income </w:t>
      </w:r>
      <w:r w:rsidR="00D73EE6" w:rsidRPr="008A3740">
        <w:rPr>
          <w:rFonts w:ascii="Verdana" w:hAnsi="Verdana"/>
          <w:sz w:val="20"/>
          <w:szCs w:val="20"/>
          <w:lang w:val="en-US"/>
        </w:rPr>
        <w:t xml:space="preserve">they </w:t>
      </w:r>
      <w:r w:rsidR="00093844" w:rsidRPr="008A3740">
        <w:rPr>
          <w:rFonts w:ascii="Verdana" w:hAnsi="Verdana"/>
          <w:sz w:val="20"/>
          <w:szCs w:val="20"/>
          <w:lang w:val="en-US"/>
        </w:rPr>
        <w:t>receive in their old age as a substitute for a salary</w:t>
      </w:r>
      <w:r w:rsidR="00CD231F" w:rsidRPr="008A3740">
        <w:rPr>
          <w:rFonts w:ascii="Verdana" w:hAnsi="Verdana"/>
          <w:sz w:val="20"/>
          <w:szCs w:val="20"/>
          <w:lang w:val="en-US"/>
        </w:rPr>
        <w:t xml:space="preserve"> and</w:t>
      </w:r>
      <w:r w:rsidR="00093844" w:rsidRPr="008A3740">
        <w:rPr>
          <w:rFonts w:ascii="Verdana" w:hAnsi="Verdana"/>
          <w:sz w:val="20"/>
          <w:szCs w:val="20"/>
          <w:lang w:val="en-US"/>
        </w:rPr>
        <w:t xml:space="preserve"> to </w:t>
      </w:r>
      <w:r w:rsidR="00824832" w:rsidRPr="008A3740">
        <w:rPr>
          <w:rFonts w:ascii="Verdana" w:hAnsi="Verdana"/>
          <w:sz w:val="20"/>
          <w:szCs w:val="20"/>
          <w:lang w:val="en-US"/>
        </w:rPr>
        <w:t xml:space="preserve">provide for their </w:t>
      </w:r>
      <w:r w:rsidR="007F66BC" w:rsidRPr="008A3740">
        <w:rPr>
          <w:rFonts w:ascii="Verdana" w:hAnsi="Verdana"/>
          <w:sz w:val="20"/>
          <w:szCs w:val="20"/>
          <w:lang w:val="en-US"/>
        </w:rPr>
        <w:t>basic subsistence needs. T</w:t>
      </w:r>
      <w:r w:rsidRPr="008A3740">
        <w:rPr>
          <w:rFonts w:ascii="Verdana" w:hAnsi="Verdana"/>
          <w:sz w:val="20"/>
          <w:szCs w:val="20"/>
          <w:lang w:val="en-US"/>
        </w:rPr>
        <w:t>he pension, and social security</w:t>
      </w:r>
      <w:r w:rsidR="0083711C" w:rsidRPr="008A3740">
        <w:rPr>
          <w:rFonts w:ascii="Verdana" w:hAnsi="Verdana"/>
          <w:sz w:val="20"/>
          <w:szCs w:val="20"/>
          <w:lang w:val="en-US"/>
        </w:rPr>
        <w:t xml:space="preserve"> in general</w:t>
      </w:r>
      <w:r w:rsidRPr="008A3740">
        <w:rPr>
          <w:rFonts w:ascii="Verdana" w:hAnsi="Verdana"/>
          <w:sz w:val="20"/>
          <w:szCs w:val="20"/>
          <w:lang w:val="en-US"/>
        </w:rPr>
        <w:t xml:space="preserve">, </w:t>
      </w:r>
      <w:r w:rsidR="00C320B6" w:rsidRPr="008A3740">
        <w:rPr>
          <w:rFonts w:ascii="Verdana" w:hAnsi="Verdana"/>
          <w:sz w:val="20"/>
          <w:szCs w:val="20"/>
          <w:lang w:val="en-US"/>
        </w:rPr>
        <w:t>provide</w:t>
      </w:r>
      <w:r w:rsidR="0083711C" w:rsidRPr="008A3740">
        <w:rPr>
          <w:rFonts w:ascii="Verdana" w:hAnsi="Verdana"/>
          <w:sz w:val="20"/>
          <w:szCs w:val="20"/>
          <w:lang w:val="en-US"/>
        </w:rPr>
        <w:t xml:space="preserve"> </w:t>
      </w:r>
      <w:r w:rsidRPr="008A3740">
        <w:rPr>
          <w:rFonts w:ascii="Verdana" w:hAnsi="Verdana"/>
          <w:sz w:val="20"/>
          <w:szCs w:val="20"/>
          <w:lang w:val="en-US"/>
        </w:rPr>
        <w:t>a me</w:t>
      </w:r>
      <w:r w:rsidR="00F41672" w:rsidRPr="008A3740">
        <w:rPr>
          <w:rFonts w:ascii="Verdana" w:hAnsi="Verdana"/>
          <w:sz w:val="20"/>
          <w:szCs w:val="20"/>
          <w:lang w:val="en-US"/>
        </w:rPr>
        <w:t xml:space="preserve">ans of </w:t>
      </w:r>
      <w:r w:rsidRPr="008A3740">
        <w:rPr>
          <w:rFonts w:ascii="Verdana" w:hAnsi="Verdana"/>
          <w:sz w:val="20"/>
          <w:szCs w:val="20"/>
          <w:lang w:val="en-US"/>
        </w:rPr>
        <w:t xml:space="preserve">protection </w:t>
      </w:r>
      <w:r w:rsidR="00FB441B" w:rsidRPr="008A3740">
        <w:rPr>
          <w:rFonts w:ascii="Verdana" w:hAnsi="Verdana"/>
          <w:sz w:val="20"/>
          <w:szCs w:val="20"/>
          <w:lang w:val="en-US"/>
        </w:rPr>
        <w:t xml:space="preserve">to enjoy </w:t>
      </w:r>
      <w:r w:rsidRPr="008A3740">
        <w:rPr>
          <w:rFonts w:ascii="Verdana" w:hAnsi="Verdana"/>
          <w:sz w:val="20"/>
          <w:szCs w:val="20"/>
          <w:lang w:val="en-US"/>
        </w:rPr>
        <w:t xml:space="preserve">a </w:t>
      </w:r>
      <w:r w:rsidR="009118EF" w:rsidRPr="008A3740">
        <w:rPr>
          <w:rFonts w:ascii="Verdana" w:hAnsi="Verdana"/>
          <w:sz w:val="20"/>
          <w:szCs w:val="20"/>
          <w:lang w:val="en-US"/>
        </w:rPr>
        <w:t>life with dignity</w:t>
      </w:r>
      <w:r w:rsidRPr="008A3740">
        <w:rPr>
          <w:rFonts w:ascii="Verdana" w:hAnsi="Verdana"/>
          <w:sz w:val="20"/>
          <w:szCs w:val="20"/>
          <w:lang w:val="en-US"/>
        </w:rPr>
        <w:t xml:space="preserve">. </w:t>
      </w:r>
      <w:r w:rsidR="00CD231F" w:rsidRPr="008A3740">
        <w:rPr>
          <w:rFonts w:ascii="Verdana" w:hAnsi="Verdana"/>
          <w:sz w:val="20"/>
          <w:szCs w:val="20"/>
          <w:lang w:val="en-US"/>
        </w:rPr>
        <w:t>Old-</w:t>
      </w:r>
      <w:r w:rsidR="00824832" w:rsidRPr="008A3740">
        <w:rPr>
          <w:rFonts w:ascii="Verdana" w:hAnsi="Verdana"/>
          <w:sz w:val="20"/>
          <w:szCs w:val="20"/>
          <w:lang w:val="en-US"/>
        </w:rPr>
        <w:t xml:space="preserve">age </w:t>
      </w:r>
      <w:r w:rsidRPr="008A3740">
        <w:rPr>
          <w:rFonts w:ascii="Verdana" w:hAnsi="Verdana"/>
          <w:sz w:val="20"/>
          <w:szCs w:val="20"/>
          <w:lang w:val="en-US"/>
        </w:rPr>
        <w:t>pensions are</w:t>
      </w:r>
      <w:r w:rsidR="00824832" w:rsidRPr="008A3740">
        <w:rPr>
          <w:rFonts w:ascii="Verdana" w:hAnsi="Verdana"/>
          <w:sz w:val="20"/>
          <w:szCs w:val="20"/>
          <w:lang w:val="en-US"/>
        </w:rPr>
        <w:t xml:space="preserve"> granted to older persons</w:t>
      </w:r>
      <w:r w:rsidRPr="008A3740">
        <w:rPr>
          <w:rFonts w:ascii="Verdana" w:hAnsi="Verdana"/>
          <w:sz w:val="20"/>
          <w:szCs w:val="20"/>
          <w:lang w:val="en-US"/>
        </w:rPr>
        <w:t xml:space="preserve"> </w:t>
      </w:r>
      <w:r w:rsidR="00824832" w:rsidRPr="008A3740">
        <w:rPr>
          <w:rFonts w:ascii="Verdana" w:hAnsi="Verdana"/>
          <w:sz w:val="20"/>
          <w:szCs w:val="20"/>
          <w:lang w:val="en-US"/>
        </w:rPr>
        <w:t>who</w:t>
      </w:r>
      <w:r w:rsidRPr="008A3740">
        <w:rPr>
          <w:rFonts w:ascii="Verdana" w:hAnsi="Verdana"/>
          <w:sz w:val="20"/>
          <w:szCs w:val="20"/>
          <w:lang w:val="en-US"/>
        </w:rPr>
        <w:t xml:space="preserve">, </w:t>
      </w:r>
      <w:r w:rsidR="00093844" w:rsidRPr="008A3740">
        <w:rPr>
          <w:rFonts w:ascii="Verdana" w:hAnsi="Verdana"/>
          <w:sz w:val="20"/>
          <w:szCs w:val="20"/>
          <w:lang w:val="en-US"/>
        </w:rPr>
        <w:t xml:space="preserve">in some </w:t>
      </w:r>
      <w:r w:rsidR="00155A37" w:rsidRPr="008A3740">
        <w:rPr>
          <w:rFonts w:ascii="Verdana" w:hAnsi="Verdana"/>
          <w:sz w:val="20"/>
          <w:szCs w:val="20"/>
          <w:lang w:val="en-US"/>
        </w:rPr>
        <w:t>cases</w:t>
      </w:r>
      <w:r w:rsidR="00093844" w:rsidRPr="008A3740">
        <w:rPr>
          <w:rFonts w:ascii="Verdana" w:hAnsi="Verdana"/>
          <w:sz w:val="20"/>
          <w:szCs w:val="20"/>
          <w:lang w:val="en-US"/>
        </w:rPr>
        <w:t xml:space="preserve">, </w:t>
      </w:r>
      <w:r w:rsidR="00155A37" w:rsidRPr="008A3740">
        <w:rPr>
          <w:rFonts w:ascii="Verdana" w:hAnsi="Verdana"/>
          <w:sz w:val="20"/>
          <w:szCs w:val="20"/>
          <w:lang w:val="en-US"/>
        </w:rPr>
        <w:t xml:space="preserve">such </w:t>
      </w:r>
      <w:r w:rsidR="00093844" w:rsidRPr="008A3740">
        <w:rPr>
          <w:rFonts w:ascii="Verdana" w:hAnsi="Verdana"/>
          <w:sz w:val="20"/>
          <w:szCs w:val="20"/>
          <w:lang w:val="en-US"/>
        </w:rPr>
        <w:t xml:space="preserve">as </w:t>
      </w:r>
      <w:r w:rsidRPr="008A3740">
        <w:rPr>
          <w:rFonts w:ascii="Verdana" w:hAnsi="Verdana"/>
          <w:sz w:val="20"/>
          <w:szCs w:val="20"/>
          <w:lang w:val="en-US"/>
        </w:rPr>
        <w:t xml:space="preserve">Mr. Muelle Flores, </w:t>
      </w:r>
      <w:r w:rsidR="00CD231F" w:rsidRPr="008A3740">
        <w:rPr>
          <w:rFonts w:ascii="Verdana" w:hAnsi="Verdana"/>
          <w:sz w:val="20"/>
          <w:szCs w:val="20"/>
          <w:lang w:val="en-US"/>
        </w:rPr>
        <w:t xml:space="preserve">find themselves </w:t>
      </w:r>
      <w:r w:rsidR="00C63424" w:rsidRPr="008A3740">
        <w:rPr>
          <w:rFonts w:ascii="Verdana" w:hAnsi="Verdana"/>
          <w:sz w:val="20"/>
          <w:szCs w:val="20"/>
          <w:lang w:val="en-US"/>
        </w:rPr>
        <w:t xml:space="preserve">in a situation of </w:t>
      </w:r>
      <w:r w:rsidRPr="008A3740">
        <w:rPr>
          <w:rFonts w:ascii="Verdana" w:hAnsi="Verdana"/>
          <w:sz w:val="20"/>
          <w:szCs w:val="20"/>
          <w:lang w:val="en-US"/>
        </w:rPr>
        <w:t>vulnerability</w:t>
      </w:r>
      <w:r w:rsidR="00C63424" w:rsidRPr="008A3740">
        <w:rPr>
          <w:rFonts w:ascii="Verdana" w:hAnsi="Verdana"/>
          <w:sz w:val="20"/>
          <w:szCs w:val="20"/>
          <w:lang w:val="en-US"/>
        </w:rPr>
        <w:t>.</w:t>
      </w:r>
      <w:r w:rsidRPr="008A3740">
        <w:rPr>
          <w:rStyle w:val="Refdenotaalpie"/>
          <w:szCs w:val="20"/>
          <w:lang w:val="en-US"/>
        </w:rPr>
        <w:footnoteReference w:id="215"/>
      </w:r>
      <w:r w:rsidRPr="008A3740">
        <w:rPr>
          <w:rFonts w:ascii="Verdana" w:hAnsi="Verdana"/>
          <w:sz w:val="20"/>
          <w:szCs w:val="20"/>
          <w:lang w:val="en-US"/>
        </w:rPr>
        <w:t xml:space="preserve"> </w:t>
      </w:r>
      <w:r w:rsidR="00C63424" w:rsidRPr="008A3740">
        <w:rPr>
          <w:rFonts w:ascii="Verdana" w:hAnsi="Verdana"/>
          <w:sz w:val="20"/>
          <w:szCs w:val="20"/>
          <w:lang w:val="en-US"/>
        </w:rPr>
        <w:t xml:space="preserve">Indeed, </w:t>
      </w:r>
      <w:r w:rsidRPr="008A3740">
        <w:rPr>
          <w:rFonts w:ascii="Verdana" w:hAnsi="Verdana"/>
          <w:sz w:val="20"/>
          <w:szCs w:val="20"/>
          <w:lang w:val="en-US"/>
        </w:rPr>
        <w:t xml:space="preserve">in General Comment No. 6 on </w:t>
      </w:r>
      <w:r w:rsidR="009118EF" w:rsidRPr="008A3740">
        <w:rPr>
          <w:rFonts w:ascii="Verdana" w:hAnsi="Verdana"/>
          <w:sz w:val="20"/>
          <w:szCs w:val="20"/>
          <w:lang w:val="en-US"/>
        </w:rPr>
        <w:t>older person</w:t>
      </w:r>
      <w:r w:rsidRPr="008A3740">
        <w:rPr>
          <w:rFonts w:ascii="Verdana" w:hAnsi="Verdana"/>
          <w:sz w:val="20"/>
          <w:szCs w:val="20"/>
          <w:lang w:val="en-US"/>
        </w:rPr>
        <w:t xml:space="preserve">s, </w:t>
      </w:r>
      <w:r w:rsidR="00CD231F" w:rsidRPr="008A3740">
        <w:rPr>
          <w:rFonts w:ascii="Verdana" w:hAnsi="Verdana"/>
          <w:sz w:val="20"/>
          <w:szCs w:val="20"/>
          <w:lang w:val="en-US"/>
        </w:rPr>
        <w:t xml:space="preserve">the CESCR has </w:t>
      </w:r>
      <w:r w:rsidRPr="008A3740">
        <w:rPr>
          <w:rFonts w:ascii="Verdana" w:hAnsi="Verdana"/>
          <w:sz w:val="20"/>
          <w:szCs w:val="20"/>
          <w:lang w:val="en-US"/>
        </w:rPr>
        <w:t>indicate</w:t>
      </w:r>
      <w:r w:rsidR="00AE7619" w:rsidRPr="008A3740">
        <w:rPr>
          <w:rFonts w:ascii="Verdana" w:hAnsi="Verdana"/>
          <w:sz w:val="20"/>
          <w:szCs w:val="20"/>
          <w:lang w:val="en-US"/>
        </w:rPr>
        <w:t xml:space="preserve">d that </w:t>
      </w:r>
      <w:r w:rsidR="00093844" w:rsidRPr="008A3740">
        <w:rPr>
          <w:rFonts w:ascii="Verdana" w:hAnsi="Verdana"/>
          <w:sz w:val="20"/>
          <w:szCs w:val="20"/>
          <w:lang w:val="en-US"/>
        </w:rPr>
        <w:t xml:space="preserve">it is </w:t>
      </w:r>
      <w:r w:rsidR="00AE7619" w:rsidRPr="008A3740">
        <w:rPr>
          <w:rFonts w:ascii="Verdana" w:hAnsi="Verdana"/>
          <w:sz w:val="20"/>
          <w:szCs w:val="20"/>
          <w:lang w:val="en-US"/>
        </w:rPr>
        <w:t>“[…]</w:t>
      </w:r>
      <w:r w:rsidR="00093844" w:rsidRPr="008A3740">
        <w:rPr>
          <w:rFonts w:ascii="Verdana" w:hAnsi="Verdana"/>
          <w:sz w:val="20"/>
          <w:szCs w:val="20"/>
          <w:lang w:val="en-US"/>
        </w:rPr>
        <w:t xml:space="preserve"> of </w:t>
      </w:r>
      <w:r w:rsidR="00AE7619" w:rsidRPr="008A3740">
        <w:rPr>
          <w:rFonts w:ascii="Verdana" w:hAnsi="Verdana"/>
          <w:sz w:val="20"/>
          <w:szCs w:val="20"/>
          <w:lang w:val="en-US"/>
        </w:rPr>
        <w:t xml:space="preserve">the </w:t>
      </w:r>
      <w:r w:rsidR="00093844" w:rsidRPr="008A3740">
        <w:rPr>
          <w:rFonts w:ascii="Verdana" w:hAnsi="Verdana"/>
          <w:sz w:val="20"/>
          <w:szCs w:val="20"/>
          <w:lang w:val="en-US"/>
        </w:rPr>
        <w:t xml:space="preserve">view that </w:t>
      </w:r>
      <w:r w:rsidR="00C63424" w:rsidRPr="008A3740">
        <w:rPr>
          <w:rFonts w:ascii="Verdana" w:hAnsi="Verdana"/>
          <w:sz w:val="20"/>
          <w:szCs w:val="20"/>
          <w:lang w:val="en-US"/>
        </w:rPr>
        <w:t xml:space="preserve">States Parties </w:t>
      </w:r>
      <w:r w:rsidR="00093844" w:rsidRPr="008A3740">
        <w:rPr>
          <w:rFonts w:ascii="Verdana" w:hAnsi="Verdana"/>
          <w:sz w:val="20"/>
          <w:szCs w:val="20"/>
          <w:lang w:val="en-US"/>
        </w:rPr>
        <w:t>to the Covenant are ob</w:t>
      </w:r>
      <w:r w:rsidRPr="008A3740">
        <w:rPr>
          <w:rFonts w:ascii="Verdana" w:hAnsi="Verdana"/>
          <w:sz w:val="20"/>
          <w:szCs w:val="20"/>
          <w:lang w:val="en-US"/>
        </w:rPr>
        <w:t>liga</w:t>
      </w:r>
      <w:r w:rsidR="00093844" w:rsidRPr="008A3740">
        <w:rPr>
          <w:rFonts w:ascii="Verdana" w:hAnsi="Verdana"/>
          <w:sz w:val="20"/>
          <w:szCs w:val="20"/>
          <w:lang w:val="en-US"/>
        </w:rPr>
        <w:t xml:space="preserve">ted to pay particular </w:t>
      </w:r>
      <w:r w:rsidRPr="008A3740">
        <w:rPr>
          <w:rFonts w:ascii="Verdana" w:hAnsi="Verdana"/>
          <w:sz w:val="20"/>
          <w:szCs w:val="20"/>
          <w:lang w:val="en-US"/>
        </w:rPr>
        <w:t>a</w:t>
      </w:r>
      <w:r w:rsidR="00093844" w:rsidRPr="008A3740">
        <w:rPr>
          <w:rFonts w:ascii="Verdana" w:hAnsi="Verdana"/>
          <w:sz w:val="20"/>
          <w:szCs w:val="20"/>
          <w:lang w:val="en-US"/>
        </w:rPr>
        <w:t>t</w:t>
      </w:r>
      <w:r w:rsidRPr="008A3740">
        <w:rPr>
          <w:rFonts w:ascii="Verdana" w:hAnsi="Verdana"/>
          <w:sz w:val="20"/>
          <w:szCs w:val="20"/>
          <w:lang w:val="en-US"/>
        </w:rPr>
        <w:t xml:space="preserve">tention </w:t>
      </w:r>
      <w:r w:rsidR="00093844" w:rsidRPr="008A3740">
        <w:rPr>
          <w:rFonts w:ascii="Verdana" w:hAnsi="Verdana"/>
          <w:sz w:val="20"/>
          <w:szCs w:val="20"/>
          <w:lang w:val="en-US"/>
        </w:rPr>
        <w:t>to promoting and protecting the economic, social and c</w:t>
      </w:r>
      <w:r w:rsidRPr="008A3740">
        <w:rPr>
          <w:rFonts w:ascii="Verdana" w:hAnsi="Verdana"/>
          <w:sz w:val="20"/>
          <w:szCs w:val="20"/>
          <w:lang w:val="en-US"/>
        </w:rPr>
        <w:t xml:space="preserve">ultural </w:t>
      </w:r>
      <w:r w:rsidR="00093844" w:rsidRPr="008A3740">
        <w:rPr>
          <w:rFonts w:ascii="Verdana" w:hAnsi="Verdana"/>
          <w:sz w:val="20"/>
          <w:szCs w:val="20"/>
          <w:lang w:val="en-US"/>
        </w:rPr>
        <w:t>r</w:t>
      </w:r>
      <w:r w:rsidR="00FB441B" w:rsidRPr="008A3740">
        <w:rPr>
          <w:rFonts w:ascii="Verdana" w:hAnsi="Verdana"/>
          <w:sz w:val="20"/>
          <w:szCs w:val="20"/>
          <w:lang w:val="en-US"/>
        </w:rPr>
        <w:t>ights of older persons.”</w:t>
      </w:r>
      <w:r w:rsidRPr="008A3740">
        <w:rPr>
          <w:rStyle w:val="Refdenotaalpie"/>
          <w:szCs w:val="20"/>
          <w:lang w:val="en-US"/>
        </w:rPr>
        <w:footnoteReference w:id="216"/>
      </w:r>
      <w:r w:rsidRPr="008A3740">
        <w:rPr>
          <w:rFonts w:ascii="Verdana" w:hAnsi="Verdana"/>
          <w:sz w:val="20"/>
          <w:szCs w:val="20"/>
          <w:lang w:val="en-US" w:eastAsia="en-US"/>
        </w:rPr>
        <w:t xml:space="preserve"> </w:t>
      </w:r>
    </w:p>
    <w:p w14:paraId="52D22FC0"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eastAsia="en-US"/>
        </w:rPr>
      </w:pPr>
    </w:p>
    <w:p w14:paraId="647EAA92"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z w:val="20"/>
          <w:szCs w:val="20"/>
          <w:lang w:val="en-US"/>
        </w:rPr>
        <w:t xml:space="preserve">Mr. Muelle Flores </w:t>
      </w:r>
      <w:r w:rsidR="00093844" w:rsidRPr="008A3740">
        <w:rPr>
          <w:rFonts w:ascii="Verdana" w:hAnsi="Verdana"/>
          <w:sz w:val="20"/>
          <w:szCs w:val="20"/>
          <w:lang w:val="en-US"/>
        </w:rPr>
        <w:t xml:space="preserve">stopped receiving </w:t>
      </w:r>
      <w:r w:rsidRPr="008A3740">
        <w:rPr>
          <w:rFonts w:ascii="Verdana" w:hAnsi="Verdana"/>
          <w:sz w:val="20"/>
          <w:szCs w:val="20"/>
          <w:lang w:val="en-US"/>
        </w:rPr>
        <w:t xml:space="preserve">his pension </w:t>
      </w:r>
      <w:r w:rsidR="00F41672" w:rsidRPr="008A3740">
        <w:rPr>
          <w:rFonts w:ascii="Verdana" w:hAnsi="Verdana"/>
          <w:sz w:val="20"/>
          <w:szCs w:val="20"/>
          <w:lang w:val="en-US"/>
        </w:rPr>
        <w:t xml:space="preserve">in </w:t>
      </w:r>
      <w:r w:rsidRPr="008A3740">
        <w:rPr>
          <w:rFonts w:ascii="Verdana" w:hAnsi="Verdana"/>
          <w:sz w:val="20"/>
          <w:szCs w:val="20"/>
          <w:lang w:val="en-US"/>
        </w:rPr>
        <w:t>1991 and</w:t>
      </w:r>
      <w:r w:rsidR="00093844" w:rsidRPr="008A3740">
        <w:rPr>
          <w:rFonts w:ascii="Verdana" w:hAnsi="Verdana"/>
          <w:sz w:val="20"/>
          <w:szCs w:val="20"/>
          <w:lang w:val="en-US"/>
        </w:rPr>
        <w:t>,</w:t>
      </w:r>
      <w:r w:rsidRPr="008A3740">
        <w:rPr>
          <w:rFonts w:ascii="Verdana" w:hAnsi="Verdana"/>
          <w:sz w:val="20"/>
          <w:szCs w:val="20"/>
          <w:lang w:val="en-US"/>
        </w:rPr>
        <w:t xml:space="preserve"> </w:t>
      </w:r>
      <w:r w:rsidR="006A0B95" w:rsidRPr="008A3740">
        <w:rPr>
          <w:rFonts w:ascii="Verdana" w:hAnsi="Verdana"/>
          <w:sz w:val="20"/>
          <w:szCs w:val="20"/>
          <w:lang w:val="en-US"/>
        </w:rPr>
        <w:t xml:space="preserve">by the end of </w:t>
      </w:r>
      <w:r w:rsidRPr="008A3740">
        <w:rPr>
          <w:rFonts w:ascii="Verdana" w:hAnsi="Verdana"/>
          <w:sz w:val="20"/>
          <w:szCs w:val="20"/>
          <w:lang w:val="en-US"/>
        </w:rPr>
        <w:t xml:space="preserve">the </w:t>
      </w:r>
      <w:r w:rsidR="00F41672" w:rsidRPr="008A3740">
        <w:rPr>
          <w:rFonts w:ascii="Verdana" w:hAnsi="Verdana"/>
          <w:sz w:val="20"/>
          <w:szCs w:val="20"/>
          <w:lang w:val="en-US"/>
        </w:rPr>
        <w:t>1990s</w:t>
      </w:r>
      <w:r w:rsidR="00093844" w:rsidRPr="008A3740">
        <w:rPr>
          <w:rFonts w:ascii="Verdana" w:hAnsi="Verdana"/>
          <w:sz w:val="20"/>
          <w:szCs w:val="20"/>
          <w:lang w:val="en-US"/>
        </w:rPr>
        <w:t>,</w:t>
      </w:r>
      <w:r w:rsidR="00F41672" w:rsidRPr="008A3740">
        <w:rPr>
          <w:rFonts w:ascii="Verdana" w:hAnsi="Verdana"/>
          <w:sz w:val="20"/>
          <w:szCs w:val="20"/>
          <w:lang w:val="en-US"/>
        </w:rPr>
        <w:t xml:space="preserve"> began to lose his hearing in one ear</w:t>
      </w:r>
      <w:r w:rsidRPr="008A3740">
        <w:rPr>
          <w:rFonts w:ascii="Verdana" w:hAnsi="Verdana"/>
          <w:sz w:val="20"/>
          <w:szCs w:val="20"/>
          <w:lang w:val="en-US"/>
        </w:rPr>
        <w:t xml:space="preserve">, </w:t>
      </w:r>
      <w:r w:rsidR="00093844" w:rsidRPr="008A3740">
        <w:rPr>
          <w:rFonts w:ascii="Verdana" w:hAnsi="Verdana"/>
          <w:sz w:val="20"/>
          <w:szCs w:val="20"/>
          <w:lang w:val="en-US"/>
        </w:rPr>
        <w:t xml:space="preserve">which resulted in a disability </w:t>
      </w:r>
      <w:r w:rsidRPr="008A3740">
        <w:rPr>
          <w:rFonts w:ascii="Verdana" w:hAnsi="Verdana"/>
          <w:sz w:val="20"/>
          <w:szCs w:val="20"/>
          <w:lang w:val="en-US"/>
        </w:rPr>
        <w:t>(</w:t>
      </w:r>
      <w:r w:rsidRPr="008A3740">
        <w:rPr>
          <w:rFonts w:ascii="Verdana" w:hAnsi="Verdana"/>
          <w:i/>
          <w:sz w:val="20"/>
          <w:szCs w:val="20"/>
          <w:lang w:val="en-US"/>
        </w:rPr>
        <w:t>supra</w:t>
      </w:r>
      <w:r w:rsidRPr="008A3740">
        <w:rPr>
          <w:rFonts w:ascii="Verdana" w:hAnsi="Verdana"/>
          <w:sz w:val="20"/>
          <w:szCs w:val="20"/>
          <w:lang w:val="en-US"/>
        </w:rPr>
        <w:t xml:space="preserve"> para. 84). </w:t>
      </w:r>
      <w:r w:rsidR="00093844" w:rsidRPr="008A3740">
        <w:rPr>
          <w:rFonts w:ascii="Verdana" w:hAnsi="Verdana"/>
          <w:sz w:val="20"/>
          <w:szCs w:val="20"/>
          <w:lang w:val="en-US"/>
        </w:rPr>
        <w:t xml:space="preserve">This </w:t>
      </w:r>
      <w:r w:rsidRPr="008A3740">
        <w:rPr>
          <w:rFonts w:ascii="Verdana" w:hAnsi="Verdana"/>
          <w:sz w:val="20"/>
          <w:szCs w:val="20"/>
          <w:lang w:val="en-US"/>
        </w:rPr>
        <w:t>situation ha</w:t>
      </w:r>
      <w:r w:rsidR="00093844" w:rsidRPr="008A3740">
        <w:rPr>
          <w:rFonts w:ascii="Verdana" w:hAnsi="Verdana"/>
          <w:sz w:val="20"/>
          <w:szCs w:val="20"/>
          <w:lang w:val="en-US"/>
        </w:rPr>
        <w:t>s</w:t>
      </w:r>
      <w:r w:rsidRPr="008A3740">
        <w:rPr>
          <w:rFonts w:ascii="Verdana" w:hAnsi="Verdana"/>
          <w:sz w:val="20"/>
          <w:szCs w:val="20"/>
          <w:lang w:val="en-US"/>
        </w:rPr>
        <w:t xml:space="preserve"> </w:t>
      </w:r>
      <w:r w:rsidR="00093844" w:rsidRPr="008A3740">
        <w:rPr>
          <w:rFonts w:ascii="Verdana" w:hAnsi="Verdana"/>
          <w:sz w:val="20"/>
          <w:szCs w:val="20"/>
          <w:lang w:val="en-US"/>
        </w:rPr>
        <w:t xml:space="preserve">gradually </w:t>
      </w:r>
      <w:r w:rsidR="00C320B6" w:rsidRPr="008A3740">
        <w:rPr>
          <w:rFonts w:ascii="Verdana" w:hAnsi="Verdana"/>
          <w:sz w:val="20"/>
          <w:szCs w:val="20"/>
          <w:lang w:val="en-US"/>
        </w:rPr>
        <w:t xml:space="preserve">deteriorated </w:t>
      </w:r>
      <w:r w:rsidR="00A73B6C" w:rsidRPr="008A3740">
        <w:rPr>
          <w:rFonts w:ascii="Verdana" w:hAnsi="Verdana"/>
          <w:sz w:val="20"/>
          <w:szCs w:val="20"/>
          <w:lang w:val="en-US"/>
        </w:rPr>
        <w:t>over the years</w:t>
      </w:r>
      <w:r w:rsidRPr="008A3740">
        <w:rPr>
          <w:rFonts w:ascii="Verdana" w:hAnsi="Verdana"/>
          <w:sz w:val="20"/>
          <w:szCs w:val="20"/>
          <w:lang w:val="en-US"/>
        </w:rPr>
        <w:t xml:space="preserve">, and Mr. Muelle Flores </w:t>
      </w:r>
      <w:r w:rsidR="00A73B6C" w:rsidRPr="008A3740">
        <w:rPr>
          <w:rFonts w:ascii="Verdana" w:hAnsi="Verdana"/>
          <w:sz w:val="20"/>
          <w:szCs w:val="20"/>
          <w:lang w:val="en-US"/>
        </w:rPr>
        <w:t xml:space="preserve">is now </w:t>
      </w:r>
      <w:r w:rsidRPr="008A3740">
        <w:rPr>
          <w:rFonts w:ascii="Verdana" w:hAnsi="Verdana"/>
          <w:sz w:val="20"/>
          <w:szCs w:val="20"/>
          <w:lang w:val="en-US"/>
        </w:rPr>
        <w:t xml:space="preserve">82 years </w:t>
      </w:r>
      <w:r w:rsidR="00A73B6C" w:rsidRPr="008A3740">
        <w:rPr>
          <w:rFonts w:ascii="Verdana" w:hAnsi="Verdana"/>
          <w:sz w:val="20"/>
          <w:szCs w:val="20"/>
          <w:lang w:val="en-US"/>
        </w:rPr>
        <w:t xml:space="preserve">of age and </w:t>
      </w:r>
      <w:r w:rsidR="00093844" w:rsidRPr="008A3740">
        <w:rPr>
          <w:rFonts w:ascii="Verdana" w:hAnsi="Verdana"/>
          <w:sz w:val="20"/>
          <w:szCs w:val="20"/>
          <w:lang w:val="en-US"/>
        </w:rPr>
        <w:t xml:space="preserve">relies on his family for </w:t>
      </w:r>
      <w:r w:rsidR="00A73B6C" w:rsidRPr="008A3740">
        <w:rPr>
          <w:rFonts w:ascii="Verdana" w:hAnsi="Verdana"/>
          <w:sz w:val="20"/>
          <w:szCs w:val="20"/>
          <w:lang w:val="en-US"/>
        </w:rPr>
        <w:t>financial assistance to survive</w:t>
      </w:r>
      <w:r w:rsidRPr="008A3740">
        <w:rPr>
          <w:rFonts w:ascii="Verdana" w:hAnsi="Verdana"/>
          <w:sz w:val="20"/>
          <w:szCs w:val="20"/>
          <w:lang w:val="en-US"/>
        </w:rPr>
        <w:t xml:space="preserve">, </w:t>
      </w:r>
      <w:r w:rsidR="00FB441B" w:rsidRPr="008A3740">
        <w:rPr>
          <w:rFonts w:ascii="Verdana" w:hAnsi="Verdana"/>
          <w:sz w:val="20"/>
          <w:szCs w:val="20"/>
          <w:lang w:val="en-US"/>
        </w:rPr>
        <w:t xml:space="preserve">despite having paid </w:t>
      </w:r>
      <w:r w:rsidRPr="008A3740">
        <w:rPr>
          <w:rFonts w:ascii="Verdana" w:hAnsi="Verdana"/>
          <w:sz w:val="20"/>
          <w:szCs w:val="20"/>
          <w:lang w:val="en-US"/>
        </w:rPr>
        <w:t>the contributions requ</w:t>
      </w:r>
      <w:r w:rsidR="00FB441B" w:rsidRPr="008A3740">
        <w:rPr>
          <w:rFonts w:ascii="Verdana" w:hAnsi="Verdana"/>
          <w:sz w:val="20"/>
          <w:szCs w:val="20"/>
          <w:lang w:val="en-US"/>
        </w:rPr>
        <w:t xml:space="preserve">ired under Peruvian law to </w:t>
      </w:r>
      <w:r w:rsidR="00D9010F" w:rsidRPr="008A3740">
        <w:rPr>
          <w:rFonts w:ascii="Verdana" w:hAnsi="Verdana"/>
          <w:sz w:val="20"/>
          <w:szCs w:val="20"/>
          <w:lang w:val="en-US"/>
        </w:rPr>
        <w:t xml:space="preserve">enjoy a </w:t>
      </w:r>
      <w:r w:rsidR="0083711C" w:rsidRPr="008A3740">
        <w:rPr>
          <w:rFonts w:ascii="Verdana" w:hAnsi="Verdana"/>
          <w:sz w:val="20"/>
          <w:szCs w:val="20"/>
          <w:lang w:val="en-US"/>
        </w:rPr>
        <w:t xml:space="preserve">pension, after </w:t>
      </w:r>
      <w:r w:rsidRPr="008A3740">
        <w:rPr>
          <w:rFonts w:ascii="Verdana" w:hAnsi="Verdana"/>
          <w:sz w:val="20"/>
          <w:szCs w:val="20"/>
          <w:lang w:val="en-US"/>
        </w:rPr>
        <w:t>35 years o</w:t>
      </w:r>
      <w:r w:rsidR="00FB441B" w:rsidRPr="008A3740">
        <w:rPr>
          <w:rFonts w:ascii="Verdana" w:hAnsi="Verdana"/>
          <w:sz w:val="20"/>
          <w:szCs w:val="20"/>
          <w:lang w:val="en-US"/>
        </w:rPr>
        <w:t>f service</w:t>
      </w:r>
      <w:r w:rsidRPr="008A3740">
        <w:rPr>
          <w:rFonts w:ascii="Verdana" w:hAnsi="Verdana"/>
          <w:sz w:val="20"/>
          <w:szCs w:val="20"/>
          <w:lang w:val="en-US"/>
        </w:rPr>
        <w:t xml:space="preserve"> to the State (</w:t>
      </w:r>
      <w:r w:rsidRPr="008A3740">
        <w:rPr>
          <w:rFonts w:ascii="Verdana" w:hAnsi="Verdana"/>
          <w:i/>
          <w:sz w:val="20"/>
          <w:szCs w:val="20"/>
          <w:lang w:val="en-US"/>
        </w:rPr>
        <w:t>supra</w:t>
      </w:r>
      <w:r w:rsidRPr="008A3740">
        <w:rPr>
          <w:rFonts w:ascii="Verdana" w:hAnsi="Verdana"/>
          <w:sz w:val="20"/>
          <w:szCs w:val="20"/>
          <w:lang w:val="en-US"/>
        </w:rPr>
        <w:t xml:space="preserve"> para. 44). </w:t>
      </w:r>
      <w:r w:rsidR="006A0B95" w:rsidRPr="008A3740">
        <w:rPr>
          <w:rFonts w:ascii="Verdana" w:hAnsi="Verdana"/>
          <w:sz w:val="20"/>
          <w:szCs w:val="20"/>
          <w:lang w:val="en-US"/>
        </w:rPr>
        <w:t xml:space="preserve">Owing to </w:t>
      </w:r>
      <w:r w:rsidRPr="008A3740">
        <w:rPr>
          <w:rFonts w:ascii="Verdana" w:hAnsi="Verdana"/>
          <w:sz w:val="20"/>
          <w:szCs w:val="20"/>
          <w:lang w:val="en-US"/>
        </w:rPr>
        <w:t>the lack o</w:t>
      </w:r>
      <w:r w:rsidR="00D9010F" w:rsidRPr="008A3740">
        <w:rPr>
          <w:rFonts w:ascii="Verdana" w:hAnsi="Verdana"/>
          <w:sz w:val="20"/>
          <w:szCs w:val="20"/>
          <w:lang w:val="en-US"/>
        </w:rPr>
        <w:t xml:space="preserve">f compliance and execution of </w:t>
      </w:r>
      <w:r w:rsidRPr="008A3740">
        <w:rPr>
          <w:rFonts w:ascii="Verdana" w:hAnsi="Verdana"/>
          <w:sz w:val="20"/>
          <w:szCs w:val="20"/>
          <w:lang w:val="en-US"/>
        </w:rPr>
        <w:t xml:space="preserve">the </w:t>
      </w:r>
      <w:r w:rsidR="006A0B95" w:rsidRPr="008A3740">
        <w:rPr>
          <w:rFonts w:ascii="Verdana" w:hAnsi="Verdana"/>
          <w:sz w:val="20"/>
          <w:szCs w:val="20"/>
          <w:lang w:val="en-US"/>
        </w:rPr>
        <w:t xml:space="preserve">domestic </w:t>
      </w:r>
      <w:r w:rsidRPr="008A3740">
        <w:rPr>
          <w:rFonts w:ascii="Verdana" w:hAnsi="Verdana"/>
          <w:sz w:val="20"/>
          <w:szCs w:val="20"/>
          <w:lang w:val="en-US"/>
        </w:rPr>
        <w:t>judgments, Mr. Muelle Flores</w:t>
      </w:r>
      <w:r w:rsidR="00D9010F" w:rsidRPr="008A3740">
        <w:rPr>
          <w:rFonts w:ascii="Verdana" w:hAnsi="Verdana"/>
          <w:sz w:val="20"/>
          <w:szCs w:val="20"/>
          <w:lang w:val="en-US"/>
        </w:rPr>
        <w:t>’</w:t>
      </w:r>
      <w:r w:rsidRPr="008A3740">
        <w:rPr>
          <w:rFonts w:ascii="Verdana" w:hAnsi="Verdana"/>
          <w:sz w:val="20"/>
          <w:szCs w:val="20"/>
          <w:lang w:val="en-US"/>
        </w:rPr>
        <w:t xml:space="preserve"> </w:t>
      </w:r>
      <w:r w:rsidR="006A0B95" w:rsidRPr="008A3740">
        <w:rPr>
          <w:rFonts w:ascii="Verdana" w:hAnsi="Verdana"/>
          <w:sz w:val="20"/>
          <w:szCs w:val="20"/>
          <w:lang w:val="en-US"/>
        </w:rPr>
        <w:t xml:space="preserve">right to a pension </w:t>
      </w:r>
      <w:r w:rsidR="00CE7A5A" w:rsidRPr="008A3740">
        <w:rPr>
          <w:rFonts w:ascii="Verdana" w:hAnsi="Verdana"/>
          <w:sz w:val="20"/>
          <w:szCs w:val="20"/>
          <w:lang w:val="en-US"/>
        </w:rPr>
        <w:t>h</w:t>
      </w:r>
      <w:r w:rsidR="00334494" w:rsidRPr="008A3740">
        <w:rPr>
          <w:rFonts w:ascii="Verdana" w:hAnsi="Verdana"/>
          <w:sz w:val="20"/>
          <w:szCs w:val="20"/>
          <w:lang w:val="en-US"/>
        </w:rPr>
        <w:t xml:space="preserve">as not </w:t>
      </w:r>
      <w:r w:rsidR="00CE7A5A" w:rsidRPr="008A3740">
        <w:rPr>
          <w:rFonts w:ascii="Verdana" w:hAnsi="Verdana"/>
          <w:sz w:val="20"/>
          <w:szCs w:val="20"/>
          <w:lang w:val="en-US"/>
        </w:rPr>
        <w:t xml:space="preserve">been </w:t>
      </w:r>
      <w:r w:rsidR="00334494" w:rsidRPr="008A3740">
        <w:rPr>
          <w:rFonts w:ascii="Verdana" w:hAnsi="Verdana"/>
          <w:sz w:val="20"/>
          <w:szCs w:val="20"/>
          <w:lang w:val="en-US"/>
        </w:rPr>
        <w:t xml:space="preserve">guaranteed in a timely manner; on the contrary, </w:t>
      </w:r>
      <w:r w:rsidR="00D9010F" w:rsidRPr="008A3740">
        <w:rPr>
          <w:rFonts w:ascii="Verdana" w:hAnsi="Verdana"/>
          <w:sz w:val="20"/>
          <w:szCs w:val="20"/>
          <w:lang w:val="en-US"/>
        </w:rPr>
        <w:t xml:space="preserve">to date </w:t>
      </w:r>
      <w:r w:rsidR="00334494" w:rsidRPr="008A3740">
        <w:rPr>
          <w:rFonts w:ascii="Verdana" w:hAnsi="Verdana"/>
          <w:sz w:val="20"/>
          <w:szCs w:val="20"/>
          <w:lang w:val="en-US"/>
        </w:rPr>
        <w:t xml:space="preserve">those </w:t>
      </w:r>
      <w:r w:rsidRPr="008A3740">
        <w:rPr>
          <w:rFonts w:ascii="Verdana" w:hAnsi="Verdana"/>
          <w:sz w:val="20"/>
          <w:szCs w:val="20"/>
          <w:lang w:val="en-US"/>
        </w:rPr>
        <w:t xml:space="preserve">judgments have </w:t>
      </w:r>
      <w:r w:rsidR="006A0B95" w:rsidRPr="008A3740">
        <w:rPr>
          <w:rFonts w:ascii="Verdana" w:hAnsi="Verdana"/>
          <w:sz w:val="20"/>
          <w:szCs w:val="20"/>
          <w:lang w:val="en-US"/>
        </w:rPr>
        <w:t xml:space="preserve">not </w:t>
      </w:r>
      <w:r w:rsidRPr="008A3740">
        <w:rPr>
          <w:rFonts w:ascii="Verdana" w:hAnsi="Verdana"/>
          <w:sz w:val="20"/>
          <w:szCs w:val="20"/>
          <w:lang w:val="en-US"/>
        </w:rPr>
        <w:t>been execut</w:t>
      </w:r>
      <w:r w:rsidR="00334494" w:rsidRPr="008A3740">
        <w:rPr>
          <w:rFonts w:ascii="Verdana" w:hAnsi="Verdana"/>
          <w:sz w:val="20"/>
          <w:szCs w:val="20"/>
          <w:lang w:val="en-US"/>
        </w:rPr>
        <w:t xml:space="preserve">ed, </w:t>
      </w:r>
      <w:r w:rsidRPr="008A3740">
        <w:rPr>
          <w:rFonts w:ascii="Verdana" w:hAnsi="Verdana"/>
          <w:sz w:val="20"/>
          <w:szCs w:val="20"/>
          <w:lang w:val="en-US"/>
        </w:rPr>
        <w:t>since the correspondi</w:t>
      </w:r>
      <w:r w:rsidR="00334494" w:rsidRPr="008A3740">
        <w:rPr>
          <w:rFonts w:ascii="Verdana" w:hAnsi="Verdana"/>
          <w:sz w:val="20"/>
          <w:szCs w:val="20"/>
          <w:lang w:val="en-US"/>
        </w:rPr>
        <w:t xml:space="preserve">ng process remains </w:t>
      </w:r>
      <w:r w:rsidR="006A0B95" w:rsidRPr="008A3740">
        <w:rPr>
          <w:rFonts w:ascii="Verdana" w:hAnsi="Verdana"/>
          <w:sz w:val="20"/>
          <w:szCs w:val="20"/>
          <w:lang w:val="en-US"/>
        </w:rPr>
        <w:t>open</w:t>
      </w:r>
      <w:r w:rsidR="00D9010F" w:rsidRPr="008A3740">
        <w:rPr>
          <w:rFonts w:ascii="Verdana" w:hAnsi="Verdana"/>
          <w:sz w:val="20"/>
          <w:szCs w:val="20"/>
          <w:lang w:val="en-US"/>
        </w:rPr>
        <w:t>. Therefore,</w:t>
      </w:r>
      <w:r w:rsidRPr="008A3740">
        <w:rPr>
          <w:rFonts w:ascii="Verdana" w:hAnsi="Verdana"/>
          <w:sz w:val="20"/>
          <w:szCs w:val="20"/>
          <w:lang w:val="en-US"/>
        </w:rPr>
        <w:t xml:space="preserve"> the </w:t>
      </w:r>
      <w:r w:rsidR="00D9010F" w:rsidRPr="008A3740">
        <w:rPr>
          <w:rFonts w:ascii="Verdana" w:hAnsi="Verdana"/>
          <w:sz w:val="20"/>
          <w:szCs w:val="20"/>
          <w:lang w:val="en-US"/>
        </w:rPr>
        <w:t xml:space="preserve">existing </w:t>
      </w:r>
      <w:r w:rsidRPr="008A3740">
        <w:rPr>
          <w:rFonts w:ascii="Verdana" w:hAnsi="Verdana"/>
          <w:sz w:val="20"/>
          <w:szCs w:val="20"/>
          <w:lang w:val="en-US"/>
        </w:rPr>
        <w:t xml:space="preserve">mechanisms </w:t>
      </w:r>
      <w:r w:rsidR="00D9010F" w:rsidRPr="008A3740">
        <w:rPr>
          <w:rFonts w:ascii="Verdana" w:hAnsi="Verdana"/>
          <w:sz w:val="20"/>
          <w:szCs w:val="20"/>
          <w:lang w:val="en-US"/>
        </w:rPr>
        <w:t xml:space="preserve">have not </w:t>
      </w:r>
      <w:r w:rsidR="00D9010F" w:rsidRPr="008A3740">
        <w:rPr>
          <w:rFonts w:ascii="Verdana" w:hAnsi="Verdana"/>
          <w:sz w:val="20"/>
          <w:szCs w:val="20"/>
          <w:lang w:val="en-US" w:eastAsia="en-US"/>
        </w:rPr>
        <w:t xml:space="preserve">achieved the realization of that </w:t>
      </w:r>
      <w:r w:rsidRPr="008A3740">
        <w:rPr>
          <w:rFonts w:ascii="Verdana" w:hAnsi="Verdana"/>
          <w:sz w:val="20"/>
          <w:szCs w:val="20"/>
          <w:lang w:val="en-US" w:eastAsia="en-US"/>
        </w:rPr>
        <w:t>right.</w:t>
      </w:r>
    </w:p>
    <w:p w14:paraId="6A628A5D" w14:textId="77777777" w:rsidR="008E6A56" w:rsidRPr="008A3740" w:rsidRDefault="008E6A56" w:rsidP="008E6A56">
      <w:pPr>
        <w:pStyle w:val="Prrafodelista"/>
        <w:rPr>
          <w:rFonts w:ascii="Verdana" w:hAnsi="Verdana"/>
          <w:sz w:val="20"/>
          <w:szCs w:val="20"/>
          <w:lang w:val="en-US" w:eastAsia="en-US"/>
        </w:rPr>
      </w:pPr>
    </w:p>
    <w:p w14:paraId="6162FE21" w14:textId="77777777" w:rsidR="008E6A56" w:rsidRPr="008A3740" w:rsidRDefault="00267C9C"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z w:val="20"/>
          <w:szCs w:val="20"/>
          <w:lang w:val="en-US" w:eastAsia="en-US"/>
        </w:rPr>
        <w:t>Also</w:t>
      </w:r>
      <w:r w:rsidR="008E6A56" w:rsidRPr="008A3740">
        <w:rPr>
          <w:rFonts w:ascii="Verdana" w:hAnsi="Verdana"/>
          <w:sz w:val="20"/>
          <w:szCs w:val="20"/>
          <w:lang w:val="en-US" w:eastAsia="en-US"/>
        </w:rPr>
        <w:t xml:space="preserve">, </w:t>
      </w:r>
      <w:r w:rsidR="006A0B95" w:rsidRPr="008A3740">
        <w:rPr>
          <w:rFonts w:ascii="Verdana" w:hAnsi="Verdana"/>
          <w:sz w:val="20"/>
          <w:szCs w:val="20"/>
          <w:lang w:val="en-US" w:eastAsia="en-US"/>
        </w:rPr>
        <w:t xml:space="preserve">as </w:t>
      </w:r>
      <w:r w:rsidR="008E6A56" w:rsidRPr="008A3740">
        <w:rPr>
          <w:rFonts w:ascii="Verdana" w:hAnsi="Verdana"/>
          <w:sz w:val="20"/>
          <w:szCs w:val="20"/>
          <w:lang w:val="en-US" w:eastAsia="en-US"/>
        </w:rPr>
        <w:t>indicated previously (</w:t>
      </w:r>
      <w:r w:rsidR="008E6A56" w:rsidRPr="008A3740">
        <w:rPr>
          <w:rFonts w:ascii="Verdana" w:hAnsi="Verdana"/>
          <w:i/>
          <w:sz w:val="20"/>
          <w:szCs w:val="20"/>
          <w:lang w:val="en-US" w:eastAsia="en-US"/>
        </w:rPr>
        <w:t xml:space="preserve">supra </w:t>
      </w:r>
      <w:r w:rsidR="008E6A56" w:rsidRPr="008A3740">
        <w:rPr>
          <w:rFonts w:ascii="Verdana" w:hAnsi="Verdana"/>
          <w:sz w:val="20"/>
          <w:szCs w:val="20"/>
          <w:lang w:val="en-US" w:eastAsia="en-US"/>
        </w:rPr>
        <w:t>para.187</w:t>
      </w:r>
      <w:r w:rsidR="008E6A56" w:rsidRPr="008A3740">
        <w:rPr>
          <w:rFonts w:ascii="Verdana" w:hAnsi="Verdana"/>
          <w:i/>
          <w:sz w:val="20"/>
          <w:szCs w:val="20"/>
          <w:lang w:val="en-US" w:eastAsia="en-US"/>
        </w:rPr>
        <w:t>)</w:t>
      </w:r>
      <w:r w:rsidR="00D9010F" w:rsidRPr="008A3740">
        <w:rPr>
          <w:rFonts w:ascii="Verdana" w:hAnsi="Verdana"/>
          <w:sz w:val="20"/>
          <w:szCs w:val="20"/>
          <w:lang w:val="en-US" w:eastAsia="en-US"/>
        </w:rPr>
        <w:t xml:space="preserve">, one of </w:t>
      </w:r>
      <w:r w:rsidR="008E6A56" w:rsidRPr="008A3740">
        <w:rPr>
          <w:rFonts w:ascii="Verdana" w:hAnsi="Verdana"/>
          <w:sz w:val="20"/>
          <w:szCs w:val="20"/>
          <w:lang w:val="en-US" w:eastAsia="en-US"/>
        </w:rPr>
        <w:t xml:space="preserve">the </w:t>
      </w:r>
      <w:r w:rsidR="00155A37" w:rsidRPr="008A3740">
        <w:rPr>
          <w:rFonts w:ascii="Verdana" w:hAnsi="Verdana"/>
          <w:sz w:val="20"/>
          <w:szCs w:val="20"/>
          <w:lang w:val="en-US" w:eastAsia="en-US"/>
        </w:rPr>
        <w:t xml:space="preserve">constituent </w:t>
      </w:r>
      <w:r w:rsidR="008E6A56" w:rsidRPr="008A3740">
        <w:rPr>
          <w:rFonts w:ascii="Verdana" w:hAnsi="Verdana"/>
          <w:sz w:val="20"/>
          <w:szCs w:val="20"/>
          <w:lang w:val="en-US" w:eastAsia="en-US"/>
        </w:rPr>
        <w:t xml:space="preserve">elements </w:t>
      </w:r>
      <w:r w:rsidR="00155A37" w:rsidRPr="008A3740">
        <w:rPr>
          <w:rFonts w:ascii="Verdana" w:hAnsi="Verdana"/>
          <w:sz w:val="20"/>
          <w:szCs w:val="20"/>
          <w:lang w:val="en-US" w:eastAsia="en-US"/>
        </w:rPr>
        <w:t xml:space="preserve">of </w:t>
      </w:r>
      <w:r w:rsidR="0083341D" w:rsidRPr="008A3740">
        <w:rPr>
          <w:rFonts w:ascii="Verdana" w:hAnsi="Verdana"/>
          <w:sz w:val="20"/>
          <w:szCs w:val="20"/>
          <w:lang w:val="en-US" w:eastAsia="en-US"/>
        </w:rPr>
        <w:t xml:space="preserve">this right is </w:t>
      </w:r>
      <w:r w:rsidR="008E6A56" w:rsidRPr="008A3740">
        <w:rPr>
          <w:rFonts w:ascii="Verdana" w:hAnsi="Verdana"/>
          <w:sz w:val="20"/>
          <w:szCs w:val="20"/>
          <w:lang w:val="en-US" w:eastAsia="en-US"/>
        </w:rPr>
        <w:t>acce</w:t>
      </w:r>
      <w:r w:rsidR="00D9010F" w:rsidRPr="008A3740">
        <w:rPr>
          <w:rFonts w:ascii="Verdana" w:hAnsi="Verdana"/>
          <w:sz w:val="20"/>
          <w:szCs w:val="20"/>
          <w:lang w:val="en-US" w:eastAsia="en-US"/>
        </w:rPr>
        <w:t>s</w:t>
      </w:r>
      <w:r w:rsidR="008E6A56" w:rsidRPr="008A3740">
        <w:rPr>
          <w:rFonts w:ascii="Verdana" w:hAnsi="Verdana"/>
          <w:sz w:val="20"/>
          <w:szCs w:val="20"/>
          <w:lang w:val="en-US" w:eastAsia="en-US"/>
        </w:rPr>
        <w:t>sibility</w:t>
      </w:r>
      <w:r w:rsidR="00155A37" w:rsidRPr="008A3740">
        <w:rPr>
          <w:rFonts w:ascii="Verdana" w:hAnsi="Verdana"/>
          <w:sz w:val="20"/>
          <w:szCs w:val="20"/>
          <w:lang w:val="en-US" w:eastAsia="en-US"/>
        </w:rPr>
        <w:t xml:space="preserve"> which</w:t>
      </w:r>
      <w:r w:rsidR="008E6A56" w:rsidRPr="008A3740">
        <w:rPr>
          <w:rFonts w:ascii="Verdana" w:hAnsi="Verdana"/>
          <w:sz w:val="20"/>
          <w:szCs w:val="20"/>
          <w:lang w:val="en-US" w:eastAsia="en-US"/>
        </w:rPr>
        <w:t xml:space="preserve">, </w:t>
      </w:r>
      <w:r w:rsidR="00AF2EA1" w:rsidRPr="008A3740">
        <w:rPr>
          <w:rFonts w:ascii="Verdana" w:hAnsi="Verdana"/>
          <w:sz w:val="20"/>
          <w:szCs w:val="20"/>
          <w:lang w:val="en-US" w:eastAsia="en-US"/>
        </w:rPr>
        <w:t>in turn</w:t>
      </w:r>
      <w:r w:rsidR="008E6A56" w:rsidRPr="008A3740">
        <w:rPr>
          <w:rFonts w:ascii="Verdana" w:hAnsi="Verdana"/>
          <w:sz w:val="20"/>
          <w:szCs w:val="20"/>
          <w:lang w:val="en-US" w:eastAsia="en-US"/>
        </w:rPr>
        <w:t>, inclu</w:t>
      </w:r>
      <w:r w:rsidR="00AF2EA1" w:rsidRPr="008A3740">
        <w:rPr>
          <w:rFonts w:ascii="Verdana" w:hAnsi="Verdana"/>
          <w:sz w:val="20"/>
          <w:szCs w:val="20"/>
          <w:lang w:val="en-US" w:eastAsia="en-US"/>
        </w:rPr>
        <w:t xml:space="preserve">des the components of </w:t>
      </w:r>
      <w:r w:rsidR="00155A37" w:rsidRPr="008A3740">
        <w:rPr>
          <w:rFonts w:ascii="Verdana" w:hAnsi="Verdana"/>
          <w:sz w:val="20"/>
          <w:szCs w:val="20"/>
          <w:lang w:val="en-US" w:eastAsia="en-US"/>
        </w:rPr>
        <w:t xml:space="preserve">participation and information. </w:t>
      </w:r>
      <w:r w:rsidR="00C320B6" w:rsidRPr="008A3740">
        <w:rPr>
          <w:rFonts w:ascii="Verdana" w:hAnsi="Verdana"/>
          <w:sz w:val="20"/>
          <w:szCs w:val="20"/>
          <w:lang w:val="en-US" w:eastAsia="en-US"/>
        </w:rPr>
        <w:t>Thus</w:t>
      </w:r>
      <w:r w:rsidR="00155A37" w:rsidRPr="008A3740">
        <w:rPr>
          <w:rFonts w:ascii="Verdana" w:hAnsi="Verdana"/>
          <w:sz w:val="20"/>
          <w:szCs w:val="20"/>
          <w:lang w:val="en-US" w:eastAsia="en-US"/>
        </w:rPr>
        <w:t>,</w:t>
      </w:r>
      <w:r w:rsidR="008E6A56" w:rsidRPr="008A3740">
        <w:rPr>
          <w:rFonts w:ascii="Verdana" w:hAnsi="Verdana"/>
          <w:sz w:val="20"/>
          <w:szCs w:val="20"/>
          <w:lang w:val="en-US" w:eastAsia="en-US"/>
        </w:rPr>
        <w:t xml:space="preserve"> Mr. Muelle </w:t>
      </w:r>
      <w:r w:rsidR="0083341D" w:rsidRPr="008A3740">
        <w:rPr>
          <w:rFonts w:ascii="Verdana" w:hAnsi="Verdana"/>
          <w:sz w:val="20"/>
          <w:szCs w:val="20"/>
          <w:lang w:val="en-US" w:eastAsia="en-US"/>
        </w:rPr>
        <w:t xml:space="preserve">had the </w:t>
      </w:r>
      <w:r w:rsidR="008E6A56" w:rsidRPr="008A3740">
        <w:rPr>
          <w:rFonts w:ascii="Verdana" w:hAnsi="Verdana"/>
          <w:sz w:val="20"/>
          <w:szCs w:val="20"/>
          <w:lang w:val="en-US" w:eastAsia="en-US"/>
        </w:rPr>
        <w:t>right to</w:t>
      </w:r>
      <w:r w:rsidR="00D9010F" w:rsidRPr="008A3740">
        <w:rPr>
          <w:rFonts w:ascii="Verdana" w:hAnsi="Verdana"/>
          <w:sz w:val="20"/>
          <w:szCs w:val="20"/>
          <w:lang w:val="en-US" w:eastAsia="en-US"/>
        </w:rPr>
        <w:t xml:space="preserve"> receive</w:t>
      </w:r>
      <w:r w:rsidR="008E6A56" w:rsidRPr="008A3740">
        <w:rPr>
          <w:rFonts w:ascii="Verdana" w:hAnsi="Verdana"/>
          <w:sz w:val="20"/>
          <w:szCs w:val="20"/>
          <w:lang w:val="en-US" w:eastAsia="en-US"/>
        </w:rPr>
        <w:t xml:space="preserve"> </w:t>
      </w:r>
      <w:r w:rsidR="00D9010F" w:rsidRPr="008A3740">
        <w:rPr>
          <w:rFonts w:ascii="Verdana" w:hAnsi="Verdana"/>
          <w:sz w:val="20"/>
          <w:szCs w:val="20"/>
          <w:lang w:val="en-US" w:eastAsia="en-US"/>
        </w:rPr>
        <w:t>timely</w:t>
      </w:r>
      <w:r w:rsidR="008E6A56" w:rsidRPr="008A3740">
        <w:rPr>
          <w:rFonts w:ascii="Verdana" w:hAnsi="Verdana"/>
          <w:sz w:val="20"/>
          <w:szCs w:val="20"/>
          <w:lang w:val="en-US" w:eastAsia="en-US"/>
        </w:rPr>
        <w:t>,</w:t>
      </w:r>
      <w:r w:rsidR="00D9010F" w:rsidRPr="008A3740">
        <w:rPr>
          <w:rFonts w:ascii="Verdana" w:hAnsi="Verdana"/>
          <w:sz w:val="20"/>
          <w:szCs w:val="20"/>
          <w:lang w:val="en-US" w:eastAsia="en-US"/>
        </w:rPr>
        <w:t xml:space="preserve"> clear, transparent and complete information </w:t>
      </w:r>
      <w:r w:rsidR="00A1785A" w:rsidRPr="008A3740">
        <w:rPr>
          <w:rFonts w:ascii="Verdana" w:hAnsi="Verdana"/>
          <w:sz w:val="20"/>
          <w:szCs w:val="20"/>
          <w:lang w:val="en-US" w:eastAsia="en-US"/>
        </w:rPr>
        <w:t>on the</w:t>
      </w:r>
      <w:r w:rsidR="008E6A56" w:rsidRPr="008A3740">
        <w:rPr>
          <w:rFonts w:ascii="Verdana" w:hAnsi="Verdana"/>
          <w:sz w:val="20"/>
          <w:szCs w:val="20"/>
          <w:lang w:val="en-US" w:eastAsia="en-US"/>
        </w:rPr>
        <w:t xml:space="preserve"> effects that the privatization </w:t>
      </w:r>
      <w:r w:rsidR="00CC4D24" w:rsidRPr="008A3740">
        <w:rPr>
          <w:rFonts w:ascii="Verdana" w:hAnsi="Verdana"/>
          <w:sz w:val="20"/>
          <w:szCs w:val="20"/>
          <w:lang w:val="en-US" w:eastAsia="en-US"/>
        </w:rPr>
        <w:t>might</w:t>
      </w:r>
      <w:r w:rsidR="0083341D" w:rsidRPr="008A3740">
        <w:rPr>
          <w:rFonts w:ascii="Verdana" w:hAnsi="Verdana"/>
          <w:sz w:val="20"/>
          <w:szCs w:val="20"/>
          <w:lang w:val="en-US" w:eastAsia="en-US"/>
        </w:rPr>
        <w:t xml:space="preserve"> have on </w:t>
      </w:r>
      <w:r w:rsidR="008E6A56" w:rsidRPr="008A3740">
        <w:rPr>
          <w:rFonts w:ascii="Verdana" w:hAnsi="Verdana"/>
          <w:sz w:val="20"/>
          <w:szCs w:val="20"/>
          <w:lang w:val="en-US" w:eastAsia="en-US"/>
        </w:rPr>
        <w:t xml:space="preserve">the payment of </w:t>
      </w:r>
      <w:r w:rsidR="0083341D" w:rsidRPr="008A3740">
        <w:rPr>
          <w:rFonts w:ascii="Verdana" w:hAnsi="Verdana"/>
          <w:sz w:val="20"/>
          <w:szCs w:val="20"/>
          <w:lang w:val="en-US" w:eastAsia="en-US"/>
        </w:rPr>
        <w:t>his pension</w:t>
      </w:r>
      <w:r w:rsidR="008E6A56" w:rsidRPr="008A3740">
        <w:rPr>
          <w:rFonts w:ascii="Verdana" w:hAnsi="Verdana"/>
          <w:sz w:val="20"/>
          <w:szCs w:val="20"/>
          <w:lang w:val="en-US" w:eastAsia="en-US"/>
        </w:rPr>
        <w:t xml:space="preserve">, </w:t>
      </w:r>
      <w:r w:rsidR="00CC4D24" w:rsidRPr="008A3740">
        <w:rPr>
          <w:rFonts w:ascii="Verdana" w:hAnsi="Verdana"/>
          <w:sz w:val="20"/>
          <w:szCs w:val="20"/>
          <w:lang w:val="en-US" w:eastAsia="en-US"/>
        </w:rPr>
        <w:t xml:space="preserve">something that </w:t>
      </w:r>
      <w:r w:rsidR="0083341D" w:rsidRPr="008A3740">
        <w:rPr>
          <w:rFonts w:ascii="Verdana" w:hAnsi="Verdana"/>
          <w:sz w:val="20"/>
          <w:szCs w:val="20"/>
          <w:lang w:val="en-US" w:eastAsia="en-US"/>
        </w:rPr>
        <w:t xml:space="preserve">did not occur </w:t>
      </w:r>
      <w:r w:rsidR="008E6A56" w:rsidRPr="008A3740">
        <w:rPr>
          <w:rFonts w:ascii="Verdana" w:hAnsi="Verdana"/>
          <w:sz w:val="20"/>
          <w:szCs w:val="20"/>
          <w:lang w:val="en-US" w:eastAsia="en-US"/>
        </w:rPr>
        <w:t>in th</w:t>
      </w:r>
      <w:r w:rsidR="00CC4D24" w:rsidRPr="008A3740">
        <w:rPr>
          <w:rFonts w:ascii="Verdana" w:hAnsi="Verdana"/>
          <w:sz w:val="20"/>
          <w:szCs w:val="20"/>
          <w:lang w:val="en-US" w:eastAsia="en-US"/>
        </w:rPr>
        <w:t xml:space="preserve">is </w:t>
      </w:r>
      <w:r w:rsidR="008E6A56" w:rsidRPr="008A3740">
        <w:rPr>
          <w:rFonts w:ascii="Verdana" w:hAnsi="Verdana"/>
          <w:sz w:val="20"/>
          <w:szCs w:val="20"/>
          <w:lang w:val="en-US" w:eastAsia="en-US"/>
        </w:rPr>
        <w:t xml:space="preserve">case. </w:t>
      </w:r>
      <w:r w:rsidR="0083341D" w:rsidRPr="008A3740">
        <w:rPr>
          <w:rFonts w:ascii="Verdana" w:hAnsi="Verdana"/>
          <w:sz w:val="20"/>
          <w:szCs w:val="20"/>
          <w:lang w:val="en-US" w:eastAsia="en-US"/>
        </w:rPr>
        <w:t xml:space="preserve">Although the company, when it was State-owned, had the </w:t>
      </w:r>
      <w:r w:rsidR="008E6A56" w:rsidRPr="008A3740">
        <w:rPr>
          <w:rFonts w:ascii="Verdana" w:hAnsi="Verdana"/>
          <w:snapToGrid w:val="0"/>
          <w:sz w:val="20"/>
          <w:szCs w:val="20"/>
          <w:lang w:val="en-US"/>
        </w:rPr>
        <w:t xml:space="preserve">obligation </w:t>
      </w:r>
      <w:r w:rsidR="0083341D" w:rsidRPr="008A3740">
        <w:rPr>
          <w:rFonts w:ascii="Verdana" w:hAnsi="Verdana"/>
          <w:snapToGrid w:val="0"/>
          <w:sz w:val="20"/>
          <w:szCs w:val="20"/>
          <w:lang w:val="en-US"/>
        </w:rPr>
        <w:t xml:space="preserve">to pay </w:t>
      </w:r>
      <w:r w:rsidR="008E6A56" w:rsidRPr="008A3740">
        <w:rPr>
          <w:rFonts w:ascii="Verdana" w:hAnsi="Verdana"/>
          <w:snapToGrid w:val="0"/>
          <w:sz w:val="20"/>
          <w:szCs w:val="20"/>
          <w:lang w:val="en-US"/>
        </w:rPr>
        <w:t>Mr. Muelle Flores’ pension</w:t>
      </w:r>
      <w:r w:rsidR="00693B22" w:rsidRPr="008A3740">
        <w:rPr>
          <w:rFonts w:ascii="Verdana" w:hAnsi="Verdana"/>
          <w:snapToGrid w:val="0"/>
          <w:sz w:val="20"/>
          <w:szCs w:val="20"/>
          <w:lang w:val="en-US"/>
        </w:rPr>
        <w:t>, it wa</w:t>
      </w:r>
      <w:r w:rsidR="0083341D" w:rsidRPr="008A3740">
        <w:rPr>
          <w:rFonts w:ascii="Verdana" w:hAnsi="Verdana"/>
          <w:snapToGrid w:val="0"/>
          <w:sz w:val="20"/>
          <w:szCs w:val="20"/>
          <w:lang w:val="en-US"/>
        </w:rPr>
        <w:t xml:space="preserve">s evident that, after </w:t>
      </w:r>
      <w:r w:rsidR="008E6A56" w:rsidRPr="008A3740">
        <w:rPr>
          <w:rFonts w:ascii="Verdana" w:hAnsi="Verdana"/>
          <w:snapToGrid w:val="0"/>
          <w:sz w:val="20"/>
          <w:szCs w:val="20"/>
          <w:lang w:val="en-US"/>
        </w:rPr>
        <w:t xml:space="preserve">privatization, </w:t>
      </w:r>
      <w:r w:rsidR="0083341D" w:rsidRPr="008A3740">
        <w:rPr>
          <w:rFonts w:ascii="Verdana" w:hAnsi="Verdana"/>
          <w:snapToGrid w:val="0"/>
          <w:sz w:val="20"/>
          <w:szCs w:val="20"/>
          <w:lang w:val="en-US"/>
        </w:rPr>
        <w:t xml:space="preserve">this </w:t>
      </w:r>
      <w:r w:rsidR="008E6A56" w:rsidRPr="008A3740">
        <w:rPr>
          <w:rFonts w:ascii="Verdana" w:hAnsi="Verdana"/>
          <w:snapToGrid w:val="0"/>
          <w:sz w:val="20"/>
          <w:szCs w:val="20"/>
          <w:lang w:val="en-US"/>
        </w:rPr>
        <w:t xml:space="preserve">right </w:t>
      </w:r>
      <w:r w:rsidR="0083341D" w:rsidRPr="008A3740">
        <w:rPr>
          <w:rFonts w:ascii="Verdana" w:hAnsi="Verdana"/>
          <w:snapToGrid w:val="0"/>
          <w:sz w:val="20"/>
          <w:szCs w:val="20"/>
          <w:lang w:val="en-US"/>
        </w:rPr>
        <w:t xml:space="preserve">could have been affected </w:t>
      </w:r>
      <w:r w:rsidR="00A1785A" w:rsidRPr="008A3740">
        <w:rPr>
          <w:rFonts w:ascii="Verdana" w:hAnsi="Verdana"/>
          <w:snapToGrid w:val="0"/>
          <w:sz w:val="20"/>
          <w:szCs w:val="20"/>
          <w:lang w:val="en-US"/>
        </w:rPr>
        <w:t xml:space="preserve">owing to </w:t>
      </w:r>
      <w:r w:rsidR="0083341D" w:rsidRPr="008A3740">
        <w:rPr>
          <w:rFonts w:ascii="Verdana" w:hAnsi="Verdana"/>
          <w:snapToGrid w:val="0"/>
          <w:sz w:val="20"/>
          <w:szCs w:val="20"/>
          <w:lang w:val="en-US"/>
        </w:rPr>
        <w:t xml:space="preserve">the transfer of a public company to private ownership. One of </w:t>
      </w:r>
      <w:r w:rsidR="008E6A56" w:rsidRPr="008A3740">
        <w:rPr>
          <w:rFonts w:ascii="Verdana" w:hAnsi="Verdana"/>
          <w:snapToGrid w:val="0"/>
          <w:sz w:val="20"/>
          <w:szCs w:val="20"/>
          <w:lang w:val="en-US"/>
        </w:rPr>
        <w:t xml:space="preserve">the </w:t>
      </w:r>
      <w:r w:rsidR="0083341D" w:rsidRPr="008A3740">
        <w:rPr>
          <w:rFonts w:ascii="Verdana" w:hAnsi="Verdana"/>
          <w:snapToGrid w:val="0"/>
          <w:sz w:val="20"/>
          <w:szCs w:val="20"/>
          <w:lang w:val="en-US"/>
        </w:rPr>
        <w:t xml:space="preserve">clearest negative </w:t>
      </w:r>
      <w:r w:rsidR="008E6A56" w:rsidRPr="008A3740">
        <w:rPr>
          <w:rFonts w:ascii="Verdana" w:hAnsi="Verdana"/>
          <w:snapToGrid w:val="0"/>
          <w:sz w:val="20"/>
          <w:szCs w:val="20"/>
          <w:lang w:val="en-US"/>
        </w:rPr>
        <w:t xml:space="preserve">effects </w:t>
      </w:r>
      <w:r w:rsidR="00C320B6" w:rsidRPr="008A3740">
        <w:rPr>
          <w:rFonts w:ascii="Verdana" w:hAnsi="Verdana"/>
          <w:snapToGrid w:val="0"/>
          <w:sz w:val="20"/>
          <w:szCs w:val="20"/>
          <w:lang w:val="en-US"/>
        </w:rPr>
        <w:t>of the</w:t>
      </w:r>
      <w:r w:rsidR="0083341D" w:rsidRPr="008A3740">
        <w:rPr>
          <w:rFonts w:ascii="Verdana" w:hAnsi="Verdana"/>
          <w:snapToGrid w:val="0"/>
          <w:sz w:val="20"/>
          <w:szCs w:val="20"/>
          <w:lang w:val="en-US"/>
        </w:rPr>
        <w:t xml:space="preserve"> </w:t>
      </w:r>
      <w:r w:rsidR="008E6A56" w:rsidRPr="008A3740">
        <w:rPr>
          <w:rFonts w:ascii="Verdana" w:hAnsi="Verdana"/>
          <w:snapToGrid w:val="0"/>
          <w:sz w:val="20"/>
          <w:szCs w:val="20"/>
          <w:lang w:val="en-US"/>
        </w:rPr>
        <w:t xml:space="preserve">privatization </w:t>
      </w:r>
      <w:r w:rsidR="00693B22" w:rsidRPr="008A3740">
        <w:rPr>
          <w:rFonts w:ascii="Verdana" w:hAnsi="Verdana"/>
          <w:snapToGrid w:val="0"/>
          <w:sz w:val="20"/>
          <w:szCs w:val="20"/>
          <w:lang w:val="en-US"/>
        </w:rPr>
        <w:t xml:space="preserve">process </w:t>
      </w:r>
      <w:r w:rsidR="008E6A56" w:rsidRPr="008A3740">
        <w:rPr>
          <w:rFonts w:ascii="Verdana" w:hAnsi="Verdana"/>
          <w:snapToGrid w:val="0"/>
          <w:sz w:val="20"/>
          <w:szCs w:val="20"/>
          <w:lang w:val="en-US"/>
        </w:rPr>
        <w:t xml:space="preserve">was the </w:t>
      </w:r>
      <w:r w:rsidR="0083341D" w:rsidRPr="008A3740">
        <w:rPr>
          <w:rFonts w:ascii="Verdana" w:hAnsi="Verdana"/>
          <w:snapToGrid w:val="0"/>
          <w:sz w:val="20"/>
          <w:szCs w:val="20"/>
          <w:lang w:val="en-US"/>
        </w:rPr>
        <w:t xml:space="preserve">failure to determine which </w:t>
      </w:r>
      <w:r w:rsidR="008E6A56" w:rsidRPr="008A3740">
        <w:rPr>
          <w:rFonts w:ascii="Verdana" w:hAnsi="Verdana"/>
          <w:snapToGrid w:val="0"/>
          <w:sz w:val="20"/>
          <w:szCs w:val="20"/>
          <w:lang w:val="en-US"/>
        </w:rPr>
        <w:t xml:space="preserve">entity </w:t>
      </w:r>
      <w:r w:rsidR="0083341D" w:rsidRPr="008A3740">
        <w:rPr>
          <w:rFonts w:ascii="Verdana" w:hAnsi="Verdana"/>
          <w:snapToGrid w:val="0"/>
          <w:sz w:val="20"/>
          <w:szCs w:val="20"/>
          <w:lang w:val="en-US"/>
        </w:rPr>
        <w:t xml:space="preserve">would be </w:t>
      </w:r>
      <w:r w:rsidR="008E6A56" w:rsidRPr="008A3740">
        <w:rPr>
          <w:rFonts w:ascii="Verdana" w:hAnsi="Verdana"/>
          <w:snapToGrid w:val="0"/>
          <w:sz w:val="20"/>
          <w:szCs w:val="20"/>
          <w:lang w:val="en-US"/>
        </w:rPr>
        <w:t xml:space="preserve">responsible </w:t>
      </w:r>
      <w:r w:rsidR="0083341D" w:rsidRPr="008A3740">
        <w:rPr>
          <w:rFonts w:ascii="Verdana" w:hAnsi="Verdana"/>
          <w:snapToGrid w:val="0"/>
          <w:sz w:val="20"/>
          <w:szCs w:val="20"/>
          <w:lang w:val="en-US"/>
        </w:rPr>
        <w:t>for the administ</w:t>
      </w:r>
      <w:r w:rsidR="00617F82" w:rsidRPr="008A3740">
        <w:rPr>
          <w:rFonts w:ascii="Verdana" w:hAnsi="Verdana"/>
          <w:snapToGrid w:val="0"/>
          <w:sz w:val="20"/>
          <w:szCs w:val="20"/>
          <w:lang w:val="en-US"/>
        </w:rPr>
        <w:t xml:space="preserve">ration and payment of </w:t>
      </w:r>
      <w:r w:rsidR="006A0B95" w:rsidRPr="008A3740">
        <w:rPr>
          <w:rFonts w:ascii="Verdana" w:hAnsi="Verdana"/>
          <w:snapToGrid w:val="0"/>
          <w:sz w:val="20"/>
          <w:szCs w:val="20"/>
          <w:lang w:val="en-US"/>
        </w:rPr>
        <w:t>the pensions of retir</w:t>
      </w:r>
      <w:r w:rsidR="0083341D" w:rsidRPr="008A3740">
        <w:rPr>
          <w:rFonts w:ascii="Verdana" w:hAnsi="Verdana"/>
          <w:snapToGrid w:val="0"/>
          <w:sz w:val="20"/>
          <w:szCs w:val="20"/>
          <w:lang w:val="en-US"/>
        </w:rPr>
        <w:t>ed workers</w:t>
      </w:r>
      <w:r w:rsidR="006A0B95" w:rsidRPr="008A3740">
        <w:rPr>
          <w:rFonts w:ascii="Verdana" w:hAnsi="Verdana"/>
          <w:snapToGrid w:val="0"/>
          <w:sz w:val="20"/>
          <w:szCs w:val="20"/>
          <w:lang w:val="en-US"/>
        </w:rPr>
        <w:t>. I</w:t>
      </w:r>
      <w:r w:rsidR="008E6A56" w:rsidRPr="008A3740">
        <w:rPr>
          <w:rFonts w:ascii="Verdana" w:hAnsi="Verdana"/>
          <w:snapToGrid w:val="0"/>
          <w:sz w:val="20"/>
          <w:szCs w:val="20"/>
          <w:lang w:val="en-US"/>
        </w:rPr>
        <w:t>n</w:t>
      </w:r>
      <w:r w:rsidR="006A0B95" w:rsidRPr="008A3740">
        <w:rPr>
          <w:rFonts w:ascii="Verdana" w:hAnsi="Verdana"/>
          <w:snapToGrid w:val="0"/>
          <w:sz w:val="20"/>
          <w:szCs w:val="20"/>
          <w:lang w:val="en-US"/>
        </w:rPr>
        <w:t>deed</w:t>
      </w:r>
      <w:r w:rsidR="008E6A56" w:rsidRPr="008A3740">
        <w:rPr>
          <w:rFonts w:ascii="Verdana" w:hAnsi="Verdana"/>
          <w:snapToGrid w:val="0"/>
          <w:sz w:val="20"/>
          <w:szCs w:val="20"/>
          <w:lang w:val="en-US"/>
        </w:rPr>
        <w:t xml:space="preserve">, </w:t>
      </w:r>
      <w:r w:rsidR="0083341D" w:rsidRPr="008A3740">
        <w:rPr>
          <w:rFonts w:ascii="Verdana" w:hAnsi="Verdana"/>
          <w:snapToGrid w:val="0"/>
          <w:sz w:val="20"/>
          <w:szCs w:val="20"/>
          <w:lang w:val="en-US"/>
        </w:rPr>
        <w:t>on</w:t>
      </w:r>
      <w:r w:rsidR="00617F82" w:rsidRPr="008A3740">
        <w:rPr>
          <w:rFonts w:ascii="Verdana" w:hAnsi="Verdana"/>
          <w:snapToGrid w:val="0"/>
          <w:sz w:val="20"/>
          <w:szCs w:val="20"/>
          <w:lang w:val="en-US"/>
        </w:rPr>
        <w:t>c</w:t>
      </w:r>
      <w:r w:rsidR="0083341D" w:rsidRPr="008A3740">
        <w:rPr>
          <w:rFonts w:ascii="Verdana" w:hAnsi="Verdana"/>
          <w:snapToGrid w:val="0"/>
          <w:sz w:val="20"/>
          <w:szCs w:val="20"/>
          <w:lang w:val="en-US"/>
        </w:rPr>
        <w:t xml:space="preserve">e the decision had been taken to </w:t>
      </w:r>
      <w:r w:rsidR="006A0B95" w:rsidRPr="008A3740">
        <w:rPr>
          <w:rFonts w:ascii="Verdana" w:hAnsi="Verdana"/>
          <w:sz w:val="20"/>
          <w:szCs w:val="20"/>
          <w:lang w:val="en-US"/>
        </w:rPr>
        <w:t>privatize</w:t>
      </w:r>
      <w:r w:rsidR="008E6A56" w:rsidRPr="008A3740">
        <w:rPr>
          <w:rFonts w:ascii="Verdana" w:hAnsi="Verdana"/>
          <w:sz w:val="20"/>
          <w:szCs w:val="20"/>
          <w:lang w:val="en-US"/>
        </w:rPr>
        <w:t xml:space="preserve"> the company, the State </w:t>
      </w:r>
      <w:r w:rsidR="006A0B95" w:rsidRPr="008A3740">
        <w:rPr>
          <w:rFonts w:ascii="Verdana" w:hAnsi="Verdana"/>
          <w:sz w:val="20"/>
          <w:szCs w:val="20"/>
          <w:lang w:val="en-US"/>
        </w:rPr>
        <w:t xml:space="preserve">had the duty to clearly </w:t>
      </w:r>
      <w:r w:rsidR="008E6A56" w:rsidRPr="008A3740">
        <w:rPr>
          <w:rFonts w:ascii="Verdana" w:hAnsi="Verdana"/>
          <w:sz w:val="20"/>
          <w:szCs w:val="20"/>
          <w:lang w:val="en-US"/>
        </w:rPr>
        <w:t xml:space="preserve">establish </w:t>
      </w:r>
      <w:r w:rsidR="006A0B95" w:rsidRPr="008A3740">
        <w:rPr>
          <w:rFonts w:ascii="Verdana" w:hAnsi="Verdana"/>
          <w:sz w:val="20"/>
          <w:szCs w:val="20"/>
          <w:lang w:val="en-US"/>
        </w:rPr>
        <w:t xml:space="preserve">the consequences of </w:t>
      </w:r>
      <w:r w:rsidR="008E6A56" w:rsidRPr="008A3740">
        <w:rPr>
          <w:rFonts w:ascii="Verdana" w:hAnsi="Verdana"/>
          <w:sz w:val="20"/>
          <w:szCs w:val="20"/>
          <w:lang w:val="en-US"/>
        </w:rPr>
        <w:t>the privatization on the pension</w:t>
      </w:r>
      <w:r w:rsidR="00617F82" w:rsidRPr="008A3740">
        <w:rPr>
          <w:rFonts w:ascii="Verdana" w:hAnsi="Verdana"/>
          <w:sz w:val="20"/>
          <w:szCs w:val="20"/>
          <w:lang w:val="en-US"/>
        </w:rPr>
        <w:t>s</w:t>
      </w:r>
      <w:r w:rsidR="008E6A56" w:rsidRPr="008A3740">
        <w:rPr>
          <w:rFonts w:ascii="Verdana" w:hAnsi="Verdana"/>
          <w:sz w:val="20"/>
          <w:szCs w:val="20"/>
          <w:lang w:val="en-US"/>
        </w:rPr>
        <w:t xml:space="preserve"> </w:t>
      </w:r>
      <w:r w:rsidR="00617F82" w:rsidRPr="008A3740">
        <w:rPr>
          <w:rFonts w:ascii="Verdana" w:hAnsi="Verdana"/>
          <w:sz w:val="20"/>
          <w:szCs w:val="20"/>
          <w:lang w:val="en-US"/>
        </w:rPr>
        <w:t xml:space="preserve">it had </w:t>
      </w:r>
      <w:r w:rsidR="00A1785A" w:rsidRPr="008A3740">
        <w:rPr>
          <w:rFonts w:ascii="Verdana" w:hAnsi="Verdana"/>
          <w:sz w:val="20"/>
          <w:szCs w:val="20"/>
          <w:lang w:val="en-US"/>
        </w:rPr>
        <w:t>granted</w:t>
      </w:r>
      <w:r w:rsidR="00E420CA" w:rsidRPr="008A3740">
        <w:rPr>
          <w:rFonts w:ascii="Verdana" w:hAnsi="Verdana"/>
          <w:sz w:val="20"/>
          <w:szCs w:val="20"/>
          <w:lang w:val="en-US"/>
        </w:rPr>
        <w:t xml:space="preserve">, </w:t>
      </w:r>
      <w:r w:rsidR="006A0B95" w:rsidRPr="008A3740">
        <w:rPr>
          <w:rFonts w:ascii="Verdana" w:hAnsi="Verdana"/>
          <w:sz w:val="20"/>
          <w:szCs w:val="20"/>
          <w:lang w:val="en-US"/>
        </w:rPr>
        <w:t xml:space="preserve">explicitly determining who would have </w:t>
      </w:r>
      <w:r w:rsidR="008E6A56" w:rsidRPr="008A3740">
        <w:rPr>
          <w:rFonts w:ascii="Verdana" w:hAnsi="Verdana"/>
          <w:sz w:val="20"/>
          <w:szCs w:val="20"/>
          <w:lang w:val="en-US"/>
        </w:rPr>
        <w:t xml:space="preserve">responsibility </w:t>
      </w:r>
      <w:r w:rsidR="00AD5B47" w:rsidRPr="008A3740">
        <w:rPr>
          <w:rFonts w:ascii="Verdana" w:hAnsi="Verdana"/>
          <w:sz w:val="20"/>
          <w:szCs w:val="20"/>
          <w:lang w:val="en-US"/>
        </w:rPr>
        <w:t xml:space="preserve">for paying </w:t>
      </w:r>
      <w:r w:rsidR="00617F82" w:rsidRPr="008A3740">
        <w:rPr>
          <w:rFonts w:ascii="Verdana" w:hAnsi="Verdana"/>
          <w:sz w:val="20"/>
          <w:szCs w:val="20"/>
          <w:lang w:val="en-US"/>
        </w:rPr>
        <w:t xml:space="preserve">Mr. </w:t>
      </w:r>
      <w:r w:rsidR="00617F82" w:rsidRPr="008A3740">
        <w:rPr>
          <w:rFonts w:ascii="Verdana" w:hAnsi="Verdana"/>
          <w:snapToGrid w:val="0"/>
          <w:sz w:val="20"/>
          <w:szCs w:val="20"/>
        </w:rPr>
        <w:t xml:space="preserve">Muelle Flores’ </w:t>
      </w:r>
      <w:r w:rsidR="00AD5B47" w:rsidRPr="008A3740">
        <w:rPr>
          <w:rFonts w:ascii="Verdana" w:hAnsi="Verdana"/>
          <w:sz w:val="20"/>
          <w:szCs w:val="20"/>
          <w:lang w:val="en-US"/>
        </w:rPr>
        <w:t>legally recognized</w:t>
      </w:r>
      <w:r w:rsidR="006A0B95" w:rsidRPr="008A3740">
        <w:rPr>
          <w:rFonts w:ascii="Verdana" w:hAnsi="Verdana"/>
          <w:sz w:val="20"/>
          <w:szCs w:val="20"/>
          <w:lang w:val="en-US"/>
        </w:rPr>
        <w:t xml:space="preserve"> </w:t>
      </w:r>
      <w:r w:rsidR="008E6A56" w:rsidRPr="008A3740">
        <w:rPr>
          <w:rFonts w:ascii="Verdana" w:hAnsi="Verdana"/>
          <w:sz w:val="20"/>
          <w:szCs w:val="20"/>
          <w:lang w:val="en-US"/>
        </w:rPr>
        <w:t xml:space="preserve">pension and </w:t>
      </w:r>
      <w:r w:rsidR="0083341D" w:rsidRPr="008A3740">
        <w:rPr>
          <w:rFonts w:ascii="Verdana" w:hAnsi="Verdana"/>
          <w:sz w:val="20"/>
          <w:szCs w:val="20"/>
          <w:lang w:val="en-US"/>
        </w:rPr>
        <w:t xml:space="preserve">providing </w:t>
      </w:r>
      <w:r w:rsidR="00617F82" w:rsidRPr="008A3740">
        <w:rPr>
          <w:rFonts w:ascii="Verdana" w:hAnsi="Verdana"/>
          <w:sz w:val="20"/>
          <w:szCs w:val="20"/>
          <w:lang w:val="en-US"/>
        </w:rPr>
        <w:t xml:space="preserve">him with </w:t>
      </w:r>
      <w:r w:rsidR="0083341D" w:rsidRPr="008A3740">
        <w:rPr>
          <w:rFonts w:ascii="Verdana" w:hAnsi="Verdana"/>
          <w:sz w:val="20"/>
          <w:szCs w:val="20"/>
          <w:lang w:val="en-US"/>
        </w:rPr>
        <w:t>relevant</w:t>
      </w:r>
      <w:r w:rsidR="00617F82" w:rsidRPr="008A3740">
        <w:rPr>
          <w:rFonts w:ascii="Verdana" w:hAnsi="Verdana"/>
          <w:sz w:val="20"/>
          <w:szCs w:val="20"/>
          <w:lang w:val="en-US"/>
        </w:rPr>
        <w:t>,</w:t>
      </w:r>
      <w:r w:rsidR="0083341D" w:rsidRPr="008A3740">
        <w:rPr>
          <w:rFonts w:ascii="Verdana" w:hAnsi="Verdana"/>
          <w:sz w:val="20"/>
          <w:szCs w:val="20"/>
          <w:lang w:val="en-US"/>
        </w:rPr>
        <w:t xml:space="preserve"> </w:t>
      </w:r>
      <w:r w:rsidR="008E6A56" w:rsidRPr="008A3740">
        <w:rPr>
          <w:rFonts w:ascii="Verdana" w:hAnsi="Verdana"/>
          <w:sz w:val="20"/>
          <w:szCs w:val="20"/>
          <w:lang w:val="en-US"/>
        </w:rPr>
        <w:t xml:space="preserve">adequate and </w:t>
      </w:r>
      <w:r w:rsidR="0083341D" w:rsidRPr="008A3740">
        <w:rPr>
          <w:rFonts w:ascii="Verdana" w:hAnsi="Verdana"/>
          <w:sz w:val="20"/>
          <w:szCs w:val="20"/>
          <w:lang w:val="en-US"/>
        </w:rPr>
        <w:t>timely information</w:t>
      </w:r>
      <w:r w:rsidR="008E6A56" w:rsidRPr="008A3740">
        <w:rPr>
          <w:rFonts w:ascii="Verdana" w:hAnsi="Verdana"/>
          <w:sz w:val="20"/>
          <w:szCs w:val="20"/>
          <w:lang w:val="en-US"/>
        </w:rPr>
        <w:t xml:space="preserve">. </w:t>
      </w:r>
    </w:p>
    <w:p w14:paraId="2DBC2ADB"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eastAsia="en-US"/>
        </w:rPr>
      </w:pPr>
    </w:p>
    <w:p w14:paraId="26C4D87F" w14:textId="77777777" w:rsidR="008E6A56" w:rsidRPr="008A3740" w:rsidRDefault="006A0B95"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n-US"/>
        </w:rPr>
      </w:pPr>
      <w:r w:rsidRPr="008A3740">
        <w:rPr>
          <w:rFonts w:ascii="Verdana" w:hAnsi="Verdana"/>
          <w:snapToGrid w:val="0"/>
          <w:sz w:val="20"/>
          <w:szCs w:val="20"/>
          <w:lang w:val="en-US"/>
        </w:rPr>
        <w:t xml:space="preserve">From </w:t>
      </w:r>
      <w:r w:rsidR="008E6A56" w:rsidRPr="008A3740">
        <w:rPr>
          <w:rFonts w:ascii="Verdana" w:hAnsi="Verdana"/>
          <w:snapToGrid w:val="0"/>
          <w:sz w:val="20"/>
          <w:szCs w:val="20"/>
          <w:lang w:val="en-US"/>
        </w:rPr>
        <w:t xml:space="preserve">the </w:t>
      </w:r>
      <w:r w:rsidR="000A29EC" w:rsidRPr="008A3740">
        <w:rPr>
          <w:rFonts w:ascii="Verdana" w:hAnsi="Verdana"/>
          <w:snapToGrid w:val="0"/>
          <w:sz w:val="20"/>
          <w:szCs w:val="20"/>
          <w:lang w:val="en-US"/>
        </w:rPr>
        <w:t xml:space="preserve">evidence </w:t>
      </w:r>
      <w:r w:rsidRPr="008A3740">
        <w:rPr>
          <w:rFonts w:ascii="Verdana" w:hAnsi="Verdana"/>
          <w:snapToGrid w:val="0"/>
          <w:sz w:val="20"/>
          <w:szCs w:val="20"/>
          <w:lang w:val="en-US"/>
        </w:rPr>
        <w:t xml:space="preserve">provided to </w:t>
      </w:r>
      <w:r w:rsidR="008E6A56" w:rsidRPr="008A3740">
        <w:rPr>
          <w:rFonts w:ascii="Verdana" w:hAnsi="Verdana"/>
          <w:snapToGrid w:val="0"/>
          <w:sz w:val="20"/>
          <w:szCs w:val="20"/>
          <w:lang w:val="en-US"/>
        </w:rPr>
        <w:t xml:space="preserve">this Court, the State </w:t>
      </w:r>
      <w:r w:rsidR="006C3A3C" w:rsidRPr="008A3740">
        <w:rPr>
          <w:rFonts w:ascii="Verdana" w:hAnsi="Verdana"/>
          <w:snapToGrid w:val="0"/>
          <w:sz w:val="20"/>
          <w:szCs w:val="20"/>
          <w:lang w:val="en-US"/>
        </w:rPr>
        <w:t xml:space="preserve">did not, at any time, </w:t>
      </w:r>
      <w:r w:rsidR="00D63B8F" w:rsidRPr="008A3740">
        <w:rPr>
          <w:rFonts w:ascii="Verdana" w:hAnsi="Verdana"/>
          <w:snapToGrid w:val="0"/>
          <w:sz w:val="20"/>
          <w:szCs w:val="20"/>
          <w:lang w:val="en-US"/>
        </w:rPr>
        <w:t>provide timely and comp</w:t>
      </w:r>
      <w:r w:rsidR="000A29EC" w:rsidRPr="008A3740">
        <w:rPr>
          <w:rFonts w:ascii="Verdana" w:hAnsi="Verdana"/>
          <w:snapToGrid w:val="0"/>
          <w:sz w:val="20"/>
          <w:szCs w:val="20"/>
          <w:lang w:val="en-US"/>
        </w:rPr>
        <w:t xml:space="preserve">rehensive </w:t>
      </w:r>
      <w:r w:rsidR="00D63B8F" w:rsidRPr="008A3740">
        <w:rPr>
          <w:rFonts w:ascii="Verdana" w:hAnsi="Verdana"/>
          <w:snapToGrid w:val="0"/>
          <w:sz w:val="20"/>
          <w:szCs w:val="20"/>
          <w:lang w:val="en-US"/>
        </w:rPr>
        <w:t xml:space="preserve">information </w:t>
      </w:r>
      <w:r w:rsidR="008E6A56" w:rsidRPr="008A3740">
        <w:rPr>
          <w:rFonts w:ascii="Verdana" w:hAnsi="Verdana"/>
          <w:snapToGrid w:val="0"/>
          <w:sz w:val="20"/>
          <w:szCs w:val="20"/>
          <w:lang w:val="en-US"/>
        </w:rPr>
        <w:t xml:space="preserve">to Mr. Muelle Flores on the </w:t>
      </w:r>
      <w:r w:rsidRPr="008A3740">
        <w:rPr>
          <w:rFonts w:ascii="Verdana" w:hAnsi="Verdana"/>
          <w:snapToGrid w:val="0"/>
          <w:sz w:val="20"/>
          <w:szCs w:val="20"/>
          <w:lang w:val="en-US"/>
        </w:rPr>
        <w:t xml:space="preserve">manner in which his </w:t>
      </w:r>
      <w:r w:rsidR="000A29EC" w:rsidRPr="008A3740">
        <w:rPr>
          <w:rFonts w:ascii="Verdana" w:hAnsi="Verdana"/>
          <w:snapToGrid w:val="0"/>
          <w:sz w:val="20"/>
          <w:szCs w:val="20"/>
          <w:lang w:val="en-US"/>
        </w:rPr>
        <w:t>right to a</w:t>
      </w:r>
      <w:r w:rsidR="008E6A56" w:rsidRPr="008A3740">
        <w:rPr>
          <w:rFonts w:ascii="Verdana" w:hAnsi="Verdana"/>
          <w:snapToGrid w:val="0"/>
          <w:sz w:val="20"/>
          <w:szCs w:val="20"/>
          <w:lang w:val="en-US"/>
        </w:rPr>
        <w:t xml:space="preserve"> pension </w:t>
      </w:r>
      <w:r w:rsidR="00F27B8F" w:rsidRPr="008A3740">
        <w:rPr>
          <w:rFonts w:ascii="Verdana" w:hAnsi="Verdana"/>
          <w:snapToGrid w:val="0"/>
          <w:sz w:val="20"/>
          <w:szCs w:val="20"/>
          <w:lang w:val="en-US"/>
        </w:rPr>
        <w:t xml:space="preserve">would be made </w:t>
      </w:r>
      <w:r w:rsidR="008E6A56" w:rsidRPr="008A3740">
        <w:rPr>
          <w:rFonts w:ascii="Verdana" w:hAnsi="Verdana"/>
          <w:snapToGrid w:val="0"/>
          <w:sz w:val="20"/>
          <w:szCs w:val="20"/>
          <w:lang w:val="en-US"/>
        </w:rPr>
        <w:t xml:space="preserve">effective </w:t>
      </w:r>
      <w:r w:rsidRPr="008A3740">
        <w:rPr>
          <w:rFonts w:ascii="Verdana" w:hAnsi="Verdana"/>
          <w:snapToGrid w:val="0"/>
          <w:sz w:val="20"/>
          <w:szCs w:val="20"/>
          <w:lang w:val="en-US"/>
        </w:rPr>
        <w:t xml:space="preserve">after </w:t>
      </w:r>
      <w:r w:rsidR="000A29EC" w:rsidRPr="008A3740">
        <w:rPr>
          <w:rFonts w:ascii="Verdana" w:hAnsi="Verdana"/>
          <w:snapToGrid w:val="0"/>
          <w:sz w:val="20"/>
          <w:szCs w:val="20"/>
          <w:lang w:val="en-US"/>
        </w:rPr>
        <w:t>privatization,</w:t>
      </w:r>
      <w:r w:rsidR="00D63B8F" w:rsidRPr="008A3740">
        <w:rPr>
          <w:rFonts w:ascii="Verdana" w:hAnsi="Verdana"/>
          <w:snapToGrid w:val="0"/>
          <w:sz w:val="20"/>
          <w:szCs w:val="20"/>
          <w:lang w:val="en-US"/>
        </w:rPr>
        <w:t xml:space="preserve"> </w:t>
      </w:r>
      <w:r w:rsidR="000A29EC" w:rsidRPr="008A3740">
        <w:rPr>
          <w:rFonts w:ascii="Verdana" w:hAnsi="Verdana"/>
          <w:snapToGrid w:val="0"/>
          <w:sz w:val="20"/>
          <w:szCs w:val="20"/>
          <w:lang w:val="en-US"/>
        </w:rPr>
        <w:t xml:space="preserve">especially in light of the </w:t>
      </w:r>
      <w:r w:rsidRPr="008A3740">
        <w:rPr>
          <w:rFonts w:ascii="Verdana" w:hAnsi="Verdana"/>
          <w:snapToGrid w:val="0"/>
          <w:sz w:val="20"/>
          <w:szCs w:val="20"/>
          <w:lang w:val="en-US"/>
        </w:rPr>
        <w:t xml:space="preserve">existing </w:t>
      </w:r>
      <w:r w:rsidR="000A29EC" w:rsidRPr="008A3740">
        <w:rPr>
          <w:rFonts w:ascii="Verdana" w:hAnsi="Verdana"/>
          <w:snapToGrid w:val="0"/>
          <w:sz w:val="20"/>
          <w:szCs w:val="20"/>
          <w:lang w:val="en-US"/>
        </w:rPr>
        <w:t>judicial ruling</w:t>
      </w:r>
      <w:r w:rsidRPr="008A3740">
        <w:rPr>
          <w:rFonts w:ascii="Verdana" w:hAnsi="Verdana"/>
          <w:snapToGrid w:val="0"/>
          <w:sz w:val="20"/>
          <w:szCs w:val="20"/>
          <w:lang w:val="en-US"/>
        </w:rPr>
        <w:t>. I</w:t>
      </w:r>
      <w:r w:rsidR="008E6A56" w:rsidRPr="008A3740">
        <w:rPr>
          <w:rFonts w:ascii="Verdana" w:hAnsi="Verdana"/>
          <w:snapToGrid w:val="0"/>
          <w:sz w:val="20"/>
          <w:szCs w:val="20"/>
          <w:lang w:val="en-US"/>
        </w:rPr>
        <w:t>n particular, the Court notes that th</w:t>
      </w:r>
      <w:r w:rsidR="00D63B8F" w:rsidRPr="008A3740">
        <w:rPr>
          <w:rFonts w:ascii="Verdana" w:hAnsi="Verdana"/>
          <w:snapToGrid w:val="0"/>
          <w:sz w:val="20"/>
          <w:szCs w:val="20"/>
          <w:lang w:val="en-US"/>
        </w:rPr>
        <w:t>e State did not explicitly</w:t>
      </w:r>
      <w:r w:rsidR="008E6A56" w:rsidRPr="008A3740">
        <w:rPr>
          <w:rFonts w:ascii="Verdana" w:hAnsi="Verdana"/>
          <w:snapToGrid w:val="0"/>
          <w:sz w:val="20"/>
          <w:szCs w:val="20"/>
          <w:lang w:val="en-US"/>
        </w:rPr>
        <w:t xml:space="preserve"> and clearly </w:t>
      </w:r>
      <w:r w:rsidR="00D63B8F" w:rsidRPr="008A3740">
        <w:rPr>
          <w:rFonts w:ascii="Verdana" w:hAnsi="Verdana"/>
          <w:snapToGrid w:val="0"/>
          <w:sz w:val="20"/>
          <w:szCs w:val="20"/>
          <w:lang w:val="en-US"/>
        </w:rPr>
        <w:t xml:space="preserve">establish </w:t>
      </w:r>
      <w:r w:rsidR="000A29EC" w:rsidRPr="008A3740">
        <w:rPr>
          <w:rFonts w:ascii="Verdana" w:hAnsi="Verdana"/>
          <w:snapToGrid w:val="0"/>
          <w:sz w:val="20"/>
          <w:szCs w:val="20"/>
          <w:lang w:val="en-US"/>
        </w:rPr>
        <w:t>which entity</w:t>
      </w:r>
      <w:r w:rsidR="008E6A56" w:rsidRPr="008A3740">
        <w:rPr>
          <w:rFonts w:ascii="Verdana" w:hAnsi="Verdana"/>
          <w:snapToGrid w:val="0"/>
          <w:sz w:val="20"/>
          <w:szCs w:val="20"/>
          <w:lang w:val="en-US"/>
        </w:rPr>
        <w:t xml:space="preserve"> </w:t>
      </w:r>
      <w:r w:rsidR="006C3A3C" w:rsidRPr="008A3740">
        <w:rPr>
          <w:rFonts w:ascii="Verdana" w:hAnsi="Verdana"/>
          <w:snapToGrid w:val="0"/>
          <w:sz w:val="20"/>
          <w:szCs w:val="20"/>
          <w:lang w:val="en-US"/>
        </w:rPr>
        <w:t xml:space="preserve">would be in charge of the </w:t>
      </w:r>
      <w:r w:rsidR="00DF33B8" w:rsidRPr="008A3740">
        <w:rPr>
          <w:rFonts w:ascii="Verdana" w:hAnsi="Verdana"/>
          <w:snapToGrid w:val="0"/>
          <w:sz w:val="20"/>
          <w:szCs w:val="20"/>
          <w:lang w:val="en-US"/>
        </w:rPr>
        <w:t xml:space="preserve">administration and payment of </w:t>
      </w:r>
      <w:r w:rsidR="008E6A56" w:rsidRPr="008A3740">
        <w:rPr>
          <w:rFonts w:ascii="Verdana" w:hAnsi="Verdana"/>
          <w:snapToGrid w:val="0"/>
          <w:sz w:val="20"/>
          <w:szCs w:val="20"/>
          <w:lang w:val="en-US"/>
        </w:rPr>
        <w:t>Mr. Muelle Flores’ pe</w:t>
      </w:r>
      <w:r w:rsidR="00DF33B8" w:rsidRPr="008A3740">
        <w:rPr>
          <w:rFonts w:ascii="Verdana" w:hAnsi="Verdana"/>
          <w:snapToGrid w:val="0"/>
          <w:sz w:val="20"/>
          <w:szCs w:val="20"/>
          <w:lang w:val="en-US"/>
        </w:rPr>
        <w:t>nsion, since the public company, which</w:t>
      </w:r>
      <w:r w:rsidR="008E6A56" w:rsidRPr="008A3740">
        <w:rPr>
          <w:rFonts w:ascii="Verdana" w:hAnsi="Verdana"/>
          <w:snapToGrid w:val="0"/>
          <w:sz w:val="20"/>
          <w:szCs w:val="20"/>
          <w:lang w:val="en-US"/>
        </w:rPr>
        <w:t xml:space="preserve"> </w:t>
      </w:r>
      <w:r w:rsidR="00DF33B8" w:rsidRPr="008A3740">
        <w:rPr>
          <w:rFonts w:ascii="Verdana" w:hAnsi="Verdana"/>
          <w:snapToGrid w:val="0"/>
          <w:sz w:val="20"/>
          <w:szCs w:val="20"/>
          <w:lang w:val="en-US"/>
        </w:rPr>
        <w:t xml:space="preserve">should have been responsible for the payment </w:t>
      </w:r>
      <w:r w:rsidR="008E6A56" w:rsidRPr="008A3740">
        <w:rPr>
          <w:rFonts w:ascii="Verdana" w:hAnsi="Verdana"/>
          <w:snapToGrid w:val="0"/>
          <w:sz w:val="20"/>
          <w:szCs w:val="20"/>
          <w:lang w:val="en-US"/>
        </w:rPr>
        <w:t xml:space="preserve">until </w:t>
      </w:r>
      <w:r w:rsidR="00DF33B8" w:rsidRPr="008A3740">
        <w:rPr>
          <w:rFonts w:ascii="Verdana" w:hAnsi="Verdana"/>
          <w:snapToGrid w:val="0"/>
          <w:sz w:val="20"/>
          <w:szCs w:val="20"/>
          <w:lang w:val="en-US"/>
        </w:rPr>
        <w:t xml:space="preserve">that </w:t>
      </w:r>
      <w:r w:rsidR="008E6A56" w:rsidRPr="008A3740">
        <w:rPr>
          <w:rFonts w:ascii="Verdana" w:hAnsi="Verdana"/>
          <w:snapToGrid w:val="0"/>
          <w:sz w:val="20"/>
          <w:szCs w:val="20"/>
          <w:lang w:val="en-US"/>
        </w:rPr>
        <w:t>moment</w:t>
      </w:r>
      <w:r w:rsidR="00DF33B8" w:rsidRPr="008A3740">
        <w:rPr>
          <w:rFonts w:ascii="Verdana" w:hAnsi="Verdana"/>
          <w:snapToGrid w:val="0"/>
          <w:sz w:val="20"/>
          <w:szCs w:val="20"/>
          <w:lang w:val="en-US"/>
        </w:rPr>
        <w:t>,</w:t>
      </w:r>
      <w:r w:rsidR="008E6A56" w:rsidRPr="008A3740">
        <w:rPr>
          <w:rFonts w:ascii="Verdana" w:hAnsi="Verdana"/>
          <w:snapToGrid w:val="0"/>
          <w:sz w:val="20"/>
          <w:szCs w:val="20"/>
          <w:lang w:val="en-US"/>
        </w:rPr>
        <w:t xml:space="preserve"> </w:t>
      </w:r>
      <w:r w:rsidR="00DF33B8" w:rsidRPr="008A3740">
        <w:rPr>
          <w:rFonts w:ascii="Verdana" w:hAnsi="Verdana"/>
          <w:snapToGrid w:val="0"/>
          <w:sz w:val="20"/>
          <w:szCs w:val="20"/>
          <w:lang w:val="en-US"/>
        </w:rPr>
        <w:t>w</w:t>
      </w:r>
      <w:r w:rsidR="00DE281B" w:rsidRPr="008A3740">
        <w:rPr>
          <w:rFonts w:ascii="Verdana" w:hAnsi="Verdana"/>
          <w:snapToGrid w:val="0"/>
          <w:sz w:val="20"/>
          <w:szCs w:val="20"/>
          <w:lang w:val="en-US"/>
        </w:rPr>
        <w:t xml:space="preserve">as to </w:t>
      </w:r>
      <w:r w:rsidR="00DF33B8" w:rsidRPr="008A3740">
        <w:rPr>
          <w:rFonts w:ascii="Verdana" w:hAnsi="Verdana"/>
          <w:snapToGrid w:val="0"/>
          <w:sz w:val="20"/>
          <w:szCs w:val="20"/>
          <w:lang w:val="en-US"/>
        </w:rPr>
        <w:t xml:space="preserve">become a </w:t>
      </w:r>
      <w:r w:rsidRPr="008A3740">
        <w:rPr>
          <w:rFonts w:ascii="Verdana" w:hAnsi="Verdana"/>
          <w:snapToGrid w:val="0"/>
          <w:sz w:val="20"/>
          <w:szCs w:val="20"/>
          <w:lang w:val="en-US"/>
        </w:rPr>
        <w:t>private company. T</w:t>
      </w:r>
      <w:r w:rsidR="00A1785A" w:rsidRPr="008A3740">
        <w:rPr>
          <w:rFonts w:ascii="Verdana" w:hAnsi="Verdana"/>
          <w:snapToGrid w:val="0"/>
          <w:sz w:val="20"/>
          <w:szCs w:val="20"/>
          <w:lang w:val="en-US"/>
        </w:rPr>
        <w:t xml:space="preserve">his lack of </w:t>
      </w:r>
      <w:r w:rsidRPr="008A3740">
        <w:rPr>
          <w:rFonts w:ascii="Verdana" w:hAnsi="Verdana"/>
          <w:snapToGrid w:val="0"/>
          <w:sz w:val="20"/>
          <w:szCs w:val="20"/>
          <w:lang w:val="en-US"/>
        </w:rPr>
        <w:t xml:space="preserve">clear regulation and </w:t>
      </w:r>
      <w:r w:rsidR="008E6A56" w:rsidRPr="008A3740">
        <w:rPr>
          <w:rFonts w:ascii="Verdana" w:hAnsi="Verdana"/>
          <w:snapToGrid w:val="0"/>
          <w:sz w:val="20"/>
          <w:szCs w:val="20"/>
          <w:lang w:val="en-US"/>
        </w:rPr>
        <w:t xml:space="preserve">information </w:t>
      </w:r>
      <w:r w:rsidRPr="008A3740">
        <w:rPr>
          <w:rFonts w:ascii="Verdana" w:hAnsi="Verdana"/>
          <w:snapToGrid w:val="0"/>
          <w:sz w:val="20"/>
          <w:szCs w:val="20"/>
          <w:lang w:val="en-US"/>
        </w:rPr>
        <w:t xml:space="preserve">regarding </w:t>
      </w:r>
      <w:r w:rsidR="008E6A56" w:rsidRPr="008A3740">
        <w:rPr>
          <w:rFonts w:ascii="Verdana" w:hAnsi="Verdana"/>
          <w:snapToGrid w:val="0"/>
          <w:sz w:val="20"/>
          <w:szCs w:val="20"/>
          <w:lang w:val="en-US"/>
        </w:rPr>
        <w:t xml:space="preserve">who </w:t>
      </w:r>
      <w:r w:rsidR="00A87420" w:rsidRPr="008A3740">
        <w:rPr>
          <w:rFonts w:ascii="Verdana" w:hAnsi="Verdana"/>
          <w:snapToGrid w:val="0"/>
          <w:sz w:val="20"/>
          <w:szCs w:val="20"/>
          <w:lang w:val="en-US"/>
        </w:rPr>
        <w:t xml:space="preserve">would be </w:t>
      </w:r>
      <w:r w:rsidR="008E6A56" w:rsidRPr="008A3740">
        <w:rPr>
          <w:rFonts w:ascii="Verdana" w:hAnsi="Verdana"/>
          <w:snapToGrid w:val="0"/>
          <w:sz w:val="20"/>
          <w:szCs w:val="20"/>
          <w:lang w:val="en-US"/>
        </w:rPr>
        <w:t xml:space="preserve">responsible </w:t>
      </w:r>
      <w:r w:rsidR="00A87420" w:rsidRPr="008A3740">
        <w:rPr>
          <w:rFonts w:ascii="Verdana" w:hAnsi="Verdana"/>
          <w:snapToGrid w:val="0"/>
          <w:sz w:val="20"/>
          <w:szCs w:val="20"/>
          <w:lang w:val="en-US"/>
        </w:rPr>
        <w:t xml:space="preserve">for paying </w:t>
      </w:r>
      <w:r w:rsidR="00DE281B" w:rsidRPr="008A3740">
        <w:rPr>
          <w:rFonts w:ascii="Verdana" w:hAnsi="Verdana"/>
          <w:snapToGrid w:val="0"/>
          <w:sz w:val="20"/>
          <w:szCs w:val="20"/>
          <w:lang w:val="en-US"/>
        </w:rPr>
        <w:t>Mr. Muelle Flores’ pension</w:t>
      </w:r>
      <w:r w:rsidRPr="008A3740">
        <w:rPr>
          <w:rFonts w:ascii="Verdana" w:hAnsi="Verdana"/>
          <w:snapToGrid w:val="0"/>
          <w:sz w:val="20"/>
          <w:szCs w:val="20"/>
          <w:lang w:val="en-US"/>
        </w:rPr>
        <w:t xml:space="preserve"> created a situation of uncertainty </w:t>
      </w:r>
      <w:r w:rsidR="00C320B6" w:rsidRPr="008A3740">
        <w:rPr>
          <w:rFonts w:ascii="Verdana" w:hAnsi="Verdana"/>
          <w:snapToGrid w:val="0"/>
          <w:sz w:val="20"/>
          <w:szCs w:val="20"/>
          <w:lang w:val="en-US"/>
        </w:rPr>
        <w:t xml:space="preserve">over </w:t>
      </w:r>
      <w:r w:rsidR="00797B2B" w:rsidRPr="008A3740">
        <w:rPr>
          <w:rFonts w:ascii="Verdana" w:hAnsi="Verdana"/>
          <w:snapToGrid w:val="0"/>
          <w:sz w:val="20"/>
          <w:szCs w:val="20"/>
          <w:lang w:val="en-US"/>
        </w:rPr>
        <w:t xml:space="preserve">its payment </w:t>
      </w:r>
      <w:r w:rsidR="008E6A56" w:rsidRPr="008A3740">
        <w:rPr>
          <w:rFonts w:ascii="Verdana" w:hAnsi="Verdana"/>
          <w:snapToGrid w:val="0"/>
          <w:sz w:val="20"/>
          <w:szCs w:val="20"/>
          <w:lang w:val="en-US"/>
        </w:rPr>
        <w:t>which, in</w:t>
      </w:r>
      <w:r w:rsidRPr="008A3740">
        <w:rPr>
          <w:rFonts w:ascii="Verdana" w:hAnsi="Verdana"/>
          <w:snapToGrid w:val="0"/>
          <w:sz w:val="20"/>
          <w:szCs w:val="20"/>
          <w:lang w:val="en-US"/>
        </w:rPr>
        <w:t>stead</w:t>
      </w:r>
      <w:r w:rsidR="008E6A56" w:rsidRPr="008A3740">
        <w:rPr>
          <w:rFonts w:ascii="Verdana" w:hAnsi="Verdana"/>
          <w:snapToGrid w:val="0"/>
          <w:sz w:val="20"/>
          <w:szCs w:val="20"/>
          <w:lang w:val="en-US"/>
        </w:rPr>
        <w:t xml:space="preserve"> </w:t>
      </w:r>
      <w:r w:rsidRPr="008A3740">
        <w:rPr>
          <w:rFonts w:ascii="Verdana" w:hAnsi="Verdana"/>
          <w:snapToGrid w:val="0"/>
          <w:sz w:val="20"/>
          <w:szCs w:val="20"/>
          <w:lang w:val="en-US"/>
        </w:rPr>
        <w:t xml:space="preserve">of </w:t>
      </w:r>
      <w:r w:rsidR="008E6A56" w:rsidRPr="008A3740">
        <w:rPr>
          <w:rFonts w:ascii="Verdana" w:hAnsi="Verdana"/>
          <w:snapToGrid w:val="0"/>
          <w:sz w:val="20"/>
          <w:szCs w:val="20"/>
          <w:lang w:val="en-US"/>
        </w:rPr>
        <w:t>facilitat</w:t>
      </w:r>
      <w:r w:rsidRPr="008A3740">
        <w:rPr>
          <w:rFonts w:ascii="Verdana" w:hAnsi="Verdana"/>
          <w:snapToGrid w:val="0"/>
          <w:sz w:val="20"/>
          <w:szCs w:val="20"/>
          <w:lang w:val="en-US"/>
        </w:rPr>
        <w:t xml:space="preserve">ing </w:t>
      </w:r>
      <w:r w:rsidR="00DE281B" w:rsidRPr="008A3740">
        <w:rPr>
          <w:rFonts w:ascii="Verdana" w:hAnsi="Verdana"/>
          <w:snapToGrid w:val="0"/>
          <w:sz w:val="20"/>
          <w:szCs w:val="20"/>
          <w:lang w:val="en-US"/>
        </w:rPr>
        <w:t xml:space="preserve">his enjoyment of that </w:t>
      </w:r>
      <w:r w:rsidR="008E6A56" w:rsidRPr="008A3740">
        <w:rPr>
          <w:rFonts w:ascii="Verdana" w:hAnsi="Verdana"/>
          <w:snapToGrid w:val="0"/>
          <w:sz w:val="20"/>
          <w:szCs w:val="20"/>
          <w:lang w:val="en-US"/>
        </w:rPr>
        <w:t>ri</w:t>
      </w:r>
      <w:r w:rsidRPr="008A3740">
        <w:rPr>
          <w:rFonts w:ascii="Verdana" w:hAnsi="Verdana"/>
          <w:snapToGrid w:val="0"/>
          <w:sz w:val="20"/>
          <w:szCs w:val="20"/>
          <w:lang w:val="en-US"/>
        </w:rPr>
        <w:t xml:space="preserve">ght, made it exceedingly </w:t>
      </w:r>
      <w:r w:rsidR="00A1785A" w:rsidRPr="008A3740">
        <w:rPr>
          <w:rFonts w:ascii="Verdana" w:hAnsi="Verdana"/>
          <w:snapToGrid w:val="0"/>
          <w:sz w:val="20"/>
          <w:szCs w:val="20"/>
          <w:lang w:val="en-US"/>
        </w:rPr>
        <w:t>difficult</w:t>
      </w:r>
      <w:r w:rsidRPr="008A3740">
        <w:rPr>
          <w:rFonts w:ascii="Verdana" w:hAnsi="Verdana"/>
          <w:snapToGrid w:val="0"/>
          <w:sz w:val="20"/>
          <w:szCs w:val="20"/>
          <w:lang w:val="en-US"/>
        </w:rPr>
        <w:t>. T</w:t>
      </w:r>
      <w:r w:rsidR="008E6A56" w:rsidRPr="008A3740">
        <w:rPr>
          <w:rFonts w:ascii="Verdana" w:hAnsi="Verdana"/>
          <w:snapToGrid w:val="0"/>
          <w:sz w:val="20"/>
          <w:szCs w:val="20"/>
          <w:lang w:val="en-US"/>
        </w:rPr>
        <w:t xml:space="preserve">he </w:t>
      </w:r>
      <w:r w:rsidR="008E6A56" w:rsidRPr="008A3740">
        <w:rPr>
          <w:rFonts w:ascii="Verdana" w:hAnsi="Verdana"/>
          <w:sz w:val="20"/>
          <w:szCs w:val="20"/>
          <w:lang w:val="en-US"/>
        </w:rPr>
        <w:t xml:space="preserve">change </w:t>
      </w:r>
      <w:r w:rsidRPr="008A3740">
        <w:rPr>
          <w:rFonts w:ascii="Verdana" w:hAnsi="Verdana"/>
          <w:sz w:val="20"/>
          <w:szCs w:val="20"/>
          <w:lang w:val="en-US"/>
        </w:rPr>
        <w:t xml:space="preserve">in </w:t>
      </w:r>
      <w:r w:rsidR="008E6A56" w:rsidRPr="008A3740">
        <w:rPr>
          <w:rFonts w:ascii="Verdana" w:hAnsi="Verdana"/>
          <w:sz w:val="20"/>
          <w:szCs w:val="20"/>
          <w:lang w:val="en-US"/>
        </w:rPr>
        <w:t>the company</w:t>
      </w:r>
      <w:r w:rsidRPr="008A3740">
        <w:rPr>
          <w:rFonts w:ascii="Verdana" w:hAnsi="Verdana"/>
          <w:sz w:val="20"/>
          <w:szCs w:val="20"/>
          <w:lang w:val="en-US"/>
        </w:rPr>
        <w:t>’s legal s</w:t>
      </w:r>
      <w:r w:rsidR="00DE281B" w:rsidRPr="008A3740">
        <w:rPr>
          <w:rFonts w:ascii="Verdana" w:hAnsi="Verdana"/>
          <w:sz w:val="20"/>
          <w:szCs w:val="20"/>
          <w:lang w:val="en-US"/>
        </w:rPr>
        <w:t xml:space="preserve">tatus </w:t>
      </w:r>
      <w:r w:rsidR="008E6A56" w:rsidRPr="008A3740">
        <w:rPr>
          <w:rFonts w:ascii="Verdana" w:hAnsi="Verdana"/>
          <w:sz w:val="20"/>
          <w:szCs w:val="20"/>
          <w:lang w:val="en-US"/>
        </w:rPr>
        <w:lastRenderedPageBreak/>
        <w:t xml:space="preserve">was </w:t>
      </w:r>
      <w:r w:rsidR="00DE281B" w:rsidRPr="008A3740">
        <w:rPr>
          <w:rFonts w:ascii="Verdana" w:hAnsi="Verdana"/>
          <w:sz w:val="20"/>
          <w:szCs w:val="20"/>
          <w:lang w:val="en-US"/>
        </w:rPr>
        <w:t xml:space="preserve">the result of </w:t>
      </w:r>
      <w:r w:rsidR="00A1785A" w:rsidRPr="008A3740">
        <w:rPr>
          <w:rFonts w:ascii="Verdana" w:hAnsi="Verdana"/>
          <w:sz w:val="20"/>
          <w:szCs w:val="20"/>
          <w:lang w:val="en-US"/>
        </w:rPr>
        <w:t xml:space="preserve">a decision </w:t>
      </w:r>
      <w:r w:rsidR="00DE281B" w:rsidRPr="008A3740">
        <w:rPr>
          <w:rFonts w:ascii="Verdana" w:hAnsi="Verdana"/>
          <w:sz w:val="20"/>
          <w:szCs w:val="20"/>
          <w:lang w:val="en-US"/>
        </w:rPr>
        <w:t xml:space="preserve">taken </w:t>
      </w:r>
      <w:r w:rsidR="00A1785A" w:rsidRPr="008A3740">
        <w:rPr>
          <w:rFonts w:ascii="Verdana" w:hAnsi="Verdana"/>
          <w:sz w:val="20"/>
          <w:szCs w:val="20"/>
          <w:lang w:val="en-US"/>
        </w:rPr>
        <w:t xml:space="preserve">by </w:t>
      </w:r>
      <w:r w:rsidR="008E6A56" w:rsidRPr="008A3740">
        <w:rPr>
          <w:rFonts w:ascii="Verdana" w:hAnsi="Verdana"/>
          <w:sz w:val="20"/>
          <w:szCs w:val="20"/>
          <w:lang w:val="en-US"/>
        </w:rPr>
        <w:t xml:space="preserve">the State, and </w:t>
      </w:r>
      <w:r w:rsidR="00DE281B" w:rsidRPr="008A3740">
        <w:rPr>
          <w:rFonts w:ascii="Verdana" w:hAnsi="Verdana"/>
          <w:sz w:val="20"/>
          <w:szCs w:val="20"/>
          <w:lang w:val="en-US"/>
        </w:rPr>
        <w:t xml:space="preserve">therefore </w:t>
      </w:r>
      <w:r w:rsidR="0007591A" w:rsidRPr="008A3740">
        <w:rPr>
          <w:rFonts w:ascii="Verdana" w:hAnsi="Verdana"/>
          <w:sz w:val="20"/>
          <w:szCs w:val="20"/>
          <w:lang w:val="en-US"/>
        </w:rPr>
        <w:t xml:space="preserve">it was up to the </w:t>
      </w:r>
      <w:r w:rsidR="008E6A56" w:rsidRPr="008A3740">
        <w:rPr>
          <w:rFonts w:ascii="Verdana" w:hAnsi="Verdana"/>
          <w:sz w:val="20"/>
          <w:szCs w:val="20"/>
          <w:lang w:val="en-US"/>
        </w:rPr>
        <w:t xml:space="preserve">State </w:t>
      </w:r>
      <w:r w:rsidR="0007591A" w:rsidRPr="008A3740">
        <w:rPr>
          <w:rFonts w:ascii="Verdana" w:hAnsi="Verdana"/>
          <w:sz w:val="20"/>
          <w:szCs w:val="20"/>
          <w:lang w:val="en-US"/>
        </w:rPr>
        <w:t xml:space="preserve">itself to </w:t>
      </w:r>
      <w:r w:rsidR="008E6A56" w:rsidRPr="008A3740">
        <w:rPr>
          <w:rFonts w:ascii="Verdana" w:hAnsi="Verdana"/>
          <w:sz w:val="20"/>
          <w:szCs w:val="20"/>
          <w:lang w:val="en-US"/>
        </w:rPr>
        <w:t>co</w:t>
      </w:r>
      <w:r w:rsidR="0007591A" w:rsidRPr="008A3740">
        <w:rPr>
          <w:rFonts w:ascii="Verdana" w:hAnsi="Verdana"/>
          <w:sz w:val="20"/>
          <w:szCs w:val="20"/>
          <w:lang w:val="en-US"/>
        </w:rPr>
        <w:t>mmunicate,</w:t>
      </w:r>
      <w:r w:rsidR="008E6A56" w:rsidRPr="008A3740">
        <w:rPr>
          <w:rFonts w:ascii="Verdana" w:hAnsi="Verdana"/>
          <w:sz w:val="20"/>
          <w:szCs w:val="20"/>
          <w:lang w:val="en-US"/>
        </w:rPr>
        <w:t xml:space="preserve"> </w:t>
      </w:r>
      <w:r w:rsidR="0007591A" w:rsidRPr="008A3740">
        <w:rPr>
          <w:rFonts w:ascii="Verdana" w:hAnsi="Verdana"/>
          <w:sz w:val="20"/>
          <w:szCs w:val="20"/>
          <w:lang w:val="en-US"/>
        </w:rPr>
        <w:t xml:space="preserve">in an </w:t>
      </w:r>
      <w:r w:rsidR="008E6A56" w:rsidRPr="008A3740">
        <w:rPr>
          <w:rFonts w:ascii="Verdana" w:hAnsi="Verdana"/>
          <w:sz w:val="20"/>
          <w:szCs w:val="20"/>
          <w:lang w:val="en-US"/>
        </w:rPr>
        <w:t xml:space="preserve">adequate and </w:t>
      </w:r>
      <w:r w:rsidR="00497CD7" w:rsidRPr="008A3740">
        <w:rPr>
          <w:rFonts w:ascii="Verdana" w:hAnsi="Verdana"/>
          <w:sz w:val="20"/>
          <w:szCs w:val="20"/>
          <w:lang w:val="en-US"/>
        </w:rPr>
        <w:t>timely</w:t>
      </w:r>
      <w:r w:rsidR="008E6A56" w:rsidRPr="008A3740">
        <w:rPr>
          <w:rFonts w:ascii="Verdana" w:hAnsi="Verdana"/>
          <w:sz w:val="20"/>
          <w:szCs w:val="20"/>
          <w:lang w:val="en-US"/>
        </w:rPr>
        <w:t xml:space="preserve"> </w:t>
      </w:r>
      <w:r w:rsidR="0007591A" w:rsidRPr="008A3740">
        <w:rPr>
          <w:rFonts w:ascii="Verdana" w:hAnsi="Verdana"/>
          <w:sz w:val="20"/>
          <w:szCs w:val="20"/>
          <w:lang w:val="en-US"/>
        </w:rPr>
        <w:t xml:space="preserve">manner, the effects of </w:t>
      </w:r>
      <w:r w:rsidRPr="008A3740">
        <w:rPr>
          <w:rFonts w:ascii="Verdana" w:hAnsi="Verdana"/>
          <w:sz w:val="20"/>
          <w:szCs w:val="20"/>
          <w:lang w:val="en-US"/>
        </w:rPr>
        <w:t xml:space="preserve">that </w:t>
      </w:r>
      <w:r w:rsidR="008E6A56" w:rsidRPr="008A3740">
        <w:rPr>
          <w:rFonts w:ascii="Verdana" w:hAnsi="Verdana"/>
          <w:sz w:val="20"/>
          <w:szCs w:val="20"/>
          <w:lang w:val="en-US"/>
        </w:rPr>
        <w:t xml:space="preserve">decision on the </w:t>
      </w:r>
      <w:r w:rsidR="00DE281B" w:rsidRPr="008A3740">
        <w:rPr>
          <w:rFonts w:ascii="Verdana" w:hAnsi="Verdana"/>
          <w:sz w:val="20"/>
          <w:szCs w:val="20"/>
          <w:lang w:val="en-US"/>
        </w:rPr>
        <w:t xml:space="preserve">victim’s </w:t>
      </w:r>
      <w:r w:rsidR="008E6A56" w:rsidRPr="008A3740">
        <w:rPr>
          <w:rFonts w:ascii="Verdana" w:hAnsi="Verdana"/>
          <w:sz w:val="20"/>
          <w:szCs w:val="20"/>
          <w:lang w:val="en-US"/>
        </w:rPr>
        <w:t xml:space="preserve">acquired </w:t>
      </w:r>
      <w:r w:rsidR="0007591A" w:rsidRPr="008A3740">
        <w:rPr>
          <w:rFonts w:ascii="Verdana" w:hAnsi="Verdana"/>
          <w:sz w:val="20"/>
          <w:szCs w:val="20"/>
          <w:lang w:val="en-US"/>
        </w:rPr>
        <w:t>rights</w:t>
      </w:r>
      <w:r w:rsidR="00DE281B" w:rsidRPr="008A3740">
        <w:rPr>
          <w:rFonts w:ascii="Verdana" w:hAnsi="Verdana"/>
          <w:sz w:val="20"/>
          <w:szCs w:val="20"/>
          <w:lang w:val="en-US"/>
        </w:rPr>
        <w:t>,</w:t>
      </w:r>
      <w:r w:rsidR="0007591A" w:rsidRPr="008A3740">
        <w:rPr>
          <w:rFonts w:ascii="Verdana" w:hAnsi="Verdana"/>
          <w:sz w:val="20"/>
          <w:szCs w:val="20"/>
          <w:lang w:val="en-US"/>
        </w:rPr>
        <w:t xml:space="preserve"> which had also been </w:t>
      </w:r>
      <w:r w:rsidR="008E6A56" w:rsidRPr="008A3740">
        <w:rPr>
          <w:rFonts w:ascii="Verdana" w:hAnsi="Verdana"/>
          <w:sz w:val="20"/>
          <w:szCs w:val="20"/>
          <w:lang w:val="en-US"/>
        </w:rPr>
        <w:t>judicially</w:t>
      </w:r>
      <w:r w:rsidR="00A85D9F" w:rsidRPr="008A3740">
        <w:rPr>
          <w:rFonts w:ascii="Verdana" w:hAnsi="Verdana"/>
          <w:sz w:val="20"/>
          <w:szCs w:val="20"/>
          <w:lang w:val="en-US"/>
        </w:rPr>
        <w:t xml:space="preserve"> recognized</w:t>
      </w:r>
      <w:r w:rsidR="008E6A56" w:rsidRPr="008A3740">
        <w:rPr>
          <w:rFonts w:ascii="Verdana" w:hAnsi="Verdana"/>
          <w:sz w:val="20"/>
          <w:szCs w:val="20"/>
          <w:lang w:val="en-US"/>
        </w:rPr>
        <w:t>.</w:t>
      </w:r>
    </w:p>
    <w:p w14:paraId="68B237CE" w14:textId="77777777" w:rsidR="008E6A56" w:rsidRPr="008A3740" w:rsidRDefault="008E6A56" w:rsidP="008E6A56">
      <w:pPr>
        <w:widowControl/>
        <w:tabs>
          <w:tab w:val="left" w:pos="567"/>
          <w:tab w:val="left" w:pos="720"/>
        </w:tabs>
        <w:adjustRightInd/>
        <w:textAlignment w:val="auto"/>
        <w:rPr>
          <w:rFonts w:ascii="Verdana" w:hAnsi="Verdana"/>
          <w:snapToGrid w:val="0"/>
          <w:sz w:val="20"/>
          <w:szCs w:val="20"/>
          <w:lang w:val="en-US"/>
        </w:rPr>
      </w:pPr>
    </w:p>
    <w:p w14:paraId="1813D878" w14:textId="77777777" w:rsidR="008E6A56" w:rsidRPr="008A3740" w:rsidRDefault="00A1785A" w:rsidP="00D17A65">
      <w:pPr>
        <w:widowControl/>
        <w:numPr>
          <w:ilvl w:val="0"/>
          <w:numId w:val="3"/>
        </w:numPr>
        <w:tabs>
          <w:tab w:val="left" w:pos="567"/>
          <w:tab w:val="left" w:pos="720"/>
        </w:tabs>
        <w:adjustRightInd/>
        <w:ind w:left="0" w:firstLine="0"/>
        <w:textAlignment w:val="auto"/>
        <w:rPr>
          <w:rFonts w:ascii="Verdana" w:hAnsi="Verdana"/>
          <w:lang w:val="en-US"/>
        </w:rPr>
      </w:pPr>
      <w:r w:rsidRPr="008A3740">
        <w:rPr>
          <w:rFonts w:ascii="Verdana" w:hAnsi="Verdana"/>
          <w:snapToGrid w:val="0"/>
          <w:sz w:val="20"/>
          <w:szCs w:val="20"/>
          <w:lang w:val="en-US"/>
        </w:rPr>
        <w:t>Furthermore</w:t>
      </w:r>
      <w:r w:rsidR="008E6A56" w:rsidRPr="008A3740">
        <w:rPr>
          <w:rFonts w:ascii="Verdana" w:hAnsi="Verdana"/>
          <w:snapToGrid w:val="0"/>
          <w:sz w:val="20"/>
          <w:szCs w:val="20"/>
          <w:lang w:val="en-US"/>
        </w:rPr>
        <w:t>, the Court notes that</w:t>
      </w:r>
      <w:r w:rsidR="00DD5113" w:rsidRPr="008A3740">
        <w:rPr>
          <w:rFonts w:ascii="Verdana" w:hAnsi="Verdana"/>
          <w:snapToGrid w:val="0"/>
          <w:sz w:val="20"/>
          <w:szCs w:val="20"/>
          <w:lang w:val="en-US"/>
        </w:rPr>
        <w:t xml:space="preserve">, at the time of the facts, </w:t>
      </w:r>
      <w:r w:rsidR="008E6A56" w:rsidRPr="008A3740">
        <w:rPr>
          <w:rFonts w:ascii="Verdana" w:hAnsi="Verdana"/>
          <w:snapToGrid w:val="0"/>
          <w:sz w:val="20"/>
          <w:szCs w:val="20"/>
          <w:lang w:val="en-US"/>
        </w:rPr>
        <w:t xml:space="preserve">the State </w:t>
      </w:r>
      <w:r w:rsidR="006A0B95" w:rsidRPr="008A3740">
        <w:rPr>
          <w:rFonts w:ascii="Verdana" w:hAnsi="Verdana"/>
          <w:snapToGrid w:val="0"/>
          <w:sz w:val="20"/>
          <w:szCs w:val="20"/>
          <w:lang w:val="en-US"/>
        </w:rPr>
        <w:t xml:space="preserve">did not have clear regulations </w:t>
      </w:r>
      <w:r w:rsidR="00DD5113" w:rsidRPr="008A3740">
        <w:rPr>
          <w:rFonts w:ascii="Verdana" w:hAnsi="Verdana"/>
          <w:snapToGrid w:val="0"/>
          <w:sz w:val="20"/>
          <w:szCs w:val="20"/>
          <w:lang w:val="en-US"/>
        </w:rPr>
        <w:t xml:space="preserve">that </w:t>
      </w:r>
      <w:r w:rsidR="00497CD7" w:rsidRPr="008A3740">
        <w:rPr>
          <w:rFonts w:ascii="Verdana" w:hAnsi="Verdana"/>
          <w:snapToGrid w:val="0"/>
          <w:sz w:val="20"/>
          <w:szCs w:val="20"/>
          <w:lang w:val="en-US"/>
        </w:rPr>
        <w:t>clearly establish</w:t>
      </w:r>
      <w:r w:rsidR="00067925" w:rsidRPr="008A3740">
        <w:rPr>
          <w:rFonts w:ascii="Verdana" w:hAnsi="Verdana"/>
          <w:snapToGrid w:val="0"/>
          <w:sz w:val="20"/>
          <w:szCs w:val="20"/>
          <w:lang w:val="en-US"/>
        </w:rPr>
        <w:t>ed</w:t>
      </w:r>
      <w:r w:rsidR="00497CD7" w:rsidRPr="008A3740">
        <w:rPr>
          <w:rFonts w:ascii="Verdana" w:hAnsi="Verdana"/>
          <w:snapToGrid w:val="0"/>
          <w:sz w:val="20"/>
          <w:szCs w:val="20"/>
          <w:lang w:val="en-US"/>
        </w:rPr>
        <w:t xml:space="preserve"> how </w:t>
      </w:r>
      <w:r w:rsidR="008E6A56" w:rsidRPr="008A3740">
        <w:rPr>
          <w:rFonts w:ascii="Verdana" w:hAnsi="Verdana"/>
          <w:snapToGrid w:val="0"/>
          <w:sz w:val="20"/>
          <w:szCs w:val="20"/>
          <w:lang w:val="en-US"/>
        </w:rPr>
        <w:t xml:space="preserve">the pension rights of </w:t>
      </w:r>
      <w:r w:rsidR="00497CD7" w:rsidRPr="008A3740">
        <w:rPr>
          <w:rFonts w:ascii="Verdana" w:hAnsi="Verdana"/>
          <w:snapToGrid w:val="0"/>
          <w:sz w:val="20"/>
          <w:szCs w:val="20"/>
          <w:lang w:val="en-US"/>
        </w:rPr>
        <w:t>its</w:t>
      </w:r>
      <w:r w:rsidR="008E6A56" w:rsidRPr="008A3740">
        <w:rPr>
          <w:rFonts w:ascii="Verdana" w:hAnsi="Verdana"/>
          <w:snapToGrid w:val="0"/>
          <w:sz w:val="20"/>
          <w:szCs w:val="20"/>
          <w:lang w:val="en-US"/>
        </w:rPr>
        <w:t xml:space="preserve"> retire</w:t>
      </w:r>
      <w:r w:rsidR="00067925" w:rsidRPr="008A3740">
        <w:rPr>
          <w:rFonts w:ascii="Verdana" w:hAnsi="Verdana"/>
          <w:snapToGrid w:val="0"/>
          <w:sz w:val="20"/>
          <w:szCs w:val="20"/>
          <w:lang w:val="en-US"/>
        </w:rPr>
        <w:t xml:space="preserve">d workers </w:t>
      </w:r>
      <w:r w:rsidR="00497CD7" w:rsidRPr="008A3740">
        <w:rPr>
          <w:rFonts w:ascii="Verdana" w:hAnsi="Verdana"/>
          <w:snapToGrid w:val="0"/>
          <w:sz w:val="20"/>
          <w:szCs w:val="20"/>
          <w:lang w:val="en-US"/>
        </w:rPr>
        <w:t xml:space="preserve">would be protected </w:t>
      </w:r>
      <w:r w:rsidR="00DD5113" w:rsidRPr="008A3740">
        <w:rPr>
          <w:rFonts w:ascii="Verdana" w:hAnsi="Verdana"/>
          <w:snapToGrid w:val="0"/>
          <w:sz w:val="20"/>
          <w:szCs w:val="20"/>
          <w:lang w:val="en-US"/>
        </w:rPr>
        <w:t xml:space="preserve">after </w:t>
      </w:r>
      <w:r w:rsidR="008E6A56" w:rsidRPr="008A3740">
        <w:rPr>
          <w:rFonts w:ascii="Verdana" w:hAnsi="Verdana"/>
          <w:snapToGrid w:val="0"/>
          <w:sz w:val="20"/>
          <w:szCs w:val="20"/>
          <w:lang w:val="en-US"/>
        </w:rPr>
        <w:t xml:space="preserve">privatization, </w:t>
      </w:r>
      <w:r w:rsidR="00067925" w:rsidRPr="008A3740">
        <w:rPr>
          <w:rFonts w:ascii="Verdana" w:hAnsi="Verdana"/>
          <w:snapToGrid w:val="0"/>
          <w:sz w:val="20"/>
          <w:szCs w:val="20"/>
          <w:lang w:val="en-US"/>
        </w:rPr>
        <w:t xml:space="preserve">in accordance with its </w:t>
      </w:r>
      <w:r w:rsidR="008E6A56" w:rsidRPr="008A3740">
        <w:rPr>
          <w:rFonts w:ascii="Verdana" w:hAnsi="Verdana"/>
          <w:snapToGrid w:val="0"/>
          <w:sz w:val="20"/>
          <w:szCs w:val="20"/>
          <w:lang w:val="en-US"/>
        </w:rPr>
        <w:t xml:space="preserve">obligation </w:t>
      </w:r>
      <w:r w:rsidR="00497CD7" w:rsidRPr="008A3740">
        <w:rPr>
          <w:rFonts w:ascii="Verdana" w:hAnsi="Verdana"/>
          <w:snapToGrid w:val="0"/>
          <w:sz w:val="20"/>
          <w:szCs w:val="20"/>
          <w:lang w:val="en-US"/>
        </w:rPr>
        <w:t xml:space="preserve">to </w:t>
      </w:r>
      <w:r w:rsidR="008E6A56" w:rsidRPr="008A3740">
        <w:rPr>
          <w:rFonts w:ascii="Verdana" w:hAnsi="Verdana"/>
          <w:snapToGrid w:val="0"/>
          <w:sz w:val="20"/>
          <w:szCs w:val="20"/>
          <w:lang w:val="en-US"/>
        </w:rPr>
        <w:t xml:space="preserve">adopt </w:t>
      </w:r>
      <w:r w:rsidR="005102DA" w:rsidRPr="008A3740">
        <w:rPr>
          <w:rFonts w:ascii="Verdana" w:hAnsi="Verdana"/>
          <w:snapToGrid w:val="0"/>
          <w:sz w:val="20"/>
          <w:szCs w:val="20"/>
          <w:lang w:val="en-US"/>
        </w:rPr>
        <w:t xml:space="preserve">the </w:t>
      </w:r>
      <w:r w:rsidR="008E6A56" w:rsidRPr="008A3740">
        <w:rPr>
          <w:rFonts w:ascii="Verdana" w:hAnsi="Verdana"/>
          <w:snapToGrid w:val="0"/>
          <w:sz w:val="20"/>
          <w:szCs w:val="20"/>
          <w:lang w:val="en-US"/>
        </w:rPr>
        <w:t xml:space="preserve">measures necessary </w:t>
      </w:r>
      <w:r w:rsidR="00A87420" w:rsidRPr="008A3740">
        <w:rPr>
          <w:rFonts w:ascii="Verdana" w:hAnsi="Verdana"/>
          <w:snapToGrid w:val="0"/>
          <w:sz w:val="20"/>
          <w:szCs w:val="20"/>
          <w:lang w:val="en-US"/>
        </w:rPr>
        <w:t xml:space="preserve">to </w:t>
      </w:r>
      <w:r w:rsidR="00067925" w:rsidRPr="008A3740">
        <w:rPr>
          <w:rFonts w:ascii="Verdana" w:hAnsi="Verdana"/>
          <w:snapToGrid w:val="0"/>
          <w:sz w:val="20"/>
          <w:szCs w:val="20"/>
          <w:lang w:val="en-US"/>
        </w:rPr>
        <w:t xml:space="preserve">realize </w:t>
      </w:r>
      <w:r w:rsidR="008E6A56" w:rsidRPr="008A3740">
        <w:rPr>
          <w:rFonts w:ascii="Verdana" w:hAnsi="Verdana"/>
          <w:snapToGrid w:val="0"/>
          <w:sz w:val="20"/>
          <w:szCs w:val="20"/>
          <w:lang w:val="en-US"/>
        </w:rPr>
        <w:t>the right to social security.</w:t>
      </w:r>
      <w:r w:rsidR="008E6A56" w:rsidRPr="008A3740">
        <w:rPr>
          <w:rFonts w:ascii="Verdana" w:hAnsi="Verdana"/>
          <w:b/>
          <w:snapToGrid w:val="0"/>
          <w:sz w:val="20"/>
          <w:szCs w:val="20"/>
          <w:lang w:val="en-US"/>
        </w:rPr>
        <w:t xml:space="preserve"> </w:t>
      </w:r>
      <w:r w:rsidR="008E6BFC" w:rsidRPr="008A3740">
        <w:rPr>
          <w:rFonts w:ascii="Verdana" w:hAnsi="Verdana"/>
          <w:snapToGrid w:val="0"/>
          <w:sz w:val="20"/>
          <w:szCs w:val="20"/>
          <w:lang w:val="en-US"/>
        </w:rPr>
        <w:t>Although</w:t>
      </w:r>
      <w:r w:rsidR="008E6BFC" w:rsidRPr="008A3740">
        <w:rPr>
          <w:rFonts w:ascii="Verdana" w:hAnsi="Verdana"/>
          <w:b/>
          <w:snapToGrid w:val="0"/>
          <w:sz w:val="20"/>
          <w:szCs w:val="20"/>
          <w:lang w:val="en-US"/>
        </w:rPr>
        <w:t xml:space="preserve"> </w:t>
      </w:r>
      <w:r w:rsidR="008E6A56" w:rsidRPr="008A3740">
        <w:rPr>
          <w:rFonts w:ascii="Verdana" w:hAnsi="Verdana"/>
          <w:snapToGrid w:val="0"/>
          <w:sz w:val="20"/>
          <w:szCs w:val="20"/>
          <w:lang w:val="en-US"/>
        </w:rPr>
        <w:t xml:space="preserve">the </w:t>
      </w:r>
      <w:r w:rsidR="0007591A" w:rsidRPr="008A3740">
        <w:rPr>
          <w:rFonts w:ascii="Verdana" w:hAnsi="Verdana"/>
          <w:snapToGrid w:val="0"/>
          <w:sz w:val="20"/>
          <w:szCs w:val="20"/>
          <w:lang w:val="en-US"/>
        </w:rPr>
        <w:t xml:space="preserve">sale </w:t>
      </w:r>
      <w:r w:rsidR="008E6A56" w:rsidRPr="008A3740">
        <w:rPr>
          <w:rFonts w:ascii="Verdana" w:hAnsi="Verdana"/>
          <w:snapToGrid w:val="0"/>
          <w:sz w:val="20"/>
          <w:szCs w:val="20"/>
          <w:lang w:val="en-US"/>
        </w:rPr>
        <w:t xml:space="preserve">contract between Tintaya S.A. and Magma Copper Corporation </w:t>
      </w:r>
      <w:r w:rsidR="005831E9" w:rsidRPr="008A3740">
        <w:rPr>
          <w:rFonts w:ascii="Verdana" w:hAnsi="Verdana"/>
          <w:snapToGrid w:val="0"/>
          <w:sz w:val="20"/>
          <w:szCs w:val="20"/>
          <w:lang w:val="en-US"/>
        </w:rPr>
        <w:t xml:space="preserve">mentioned </w:t>
      </w:r>
      <w:r w:rsidR="007B2035" w:rsidRPr="008A3740">
        <w:rPr>
          <w:rFonts w:ascii="Verdana" w:hAnsi="Verdana"/>
          <w:snapToGrid w:val="0"/>
          <w:sz w:val="20"/>
          <w:szCs w:val="20"/>
          <w:lang w:val="en-US"/>
        </w:rPr>
        <w:t xml:space="preserve">the </w:t>
      </w:r>
      <w:r w:rsidR="008E6A56" w:rsidRPr="008A3740">
        <w:rPr>
          <w:rFonts w:ascii="Verdana" w:hAnsi="Verdana"/>
          <w:snapToGrid w:val="0"/>
          <w:sz w:val="20"/>
          <w:szCs w:val="20"/>
          <w:lang w:val="en-US"/>
        </w:rPr>
        <w:t>n</w:t>
      </w:r>
      <w:r w:rsidR="007B2035" w:rsidRPr="008A3740">
        <w:rPr>
          <w:rFonts w:ascii="Verdana" w:hAnsi="Verdana"/>
          <w:snapToGrid w:val="0"/>
          <w:sz w:val="20"/>
          <w:szCs w:val="20"/>
          <w:lang w:val="en-US"/>
        </w:rPr>
        <w:t xml:space="preserve">umber of </w:t>
      </w:r>
      <w:r w:rsidR="008E6A56" w:rsidRPr="008A3740">
        <w:rPr>
          <w:rFonts w:ascii="Verdana" w:hAnsi="Verdana"/>
          <w:snapToGrid w:val="0"/>
          <w:sz w:val="20"/>
          <w:szCs w:val="20"/>
          <w:lang w:val="en-US"/>
        </w:rPr>
        <w:t xml:space="preserve">retirees and pensioners that the </w:t>
      </w:r>
      <w:r w:rsidR="007B2372" w:rsidRPr="008A3740">
        <w:rPr>
          <w:rFonts w:ascii="Verdana" w:hAnsi="Verdana"/>
          <w:snapToGrid w:val="0"/>
          <w:sz w:val="20"/>
          <w:szCs w:val="20"/>
          <w:lang w:val="en-US"/>
        </w:rPr>
        <w:t xml:space="preserve">State </w:t>
      </w:r>
      <w:r w:rsidR="008E6A56" w:rsidRPr="008A3740">
        <w:rPr>
          <w:rFonts w:ascii="Verdana" w:hAnsi="Verdana"/>
          <w:snapToGrid w:val="0"/>
          <w:sz w:val="20"/>
          <w:szCs w:val="20"/>
          <w:lang w:val="en-US"/>
        </w:rPr>
        <w:t xml:space="preserve">company </w:t>
      </w:r>
      <w:r w:rsidR="007B2372" w:rsidRPr="008A3740">
        <w:rPr>
          <w:rFonts w:ascii="Verdana" w:hAnsi="Verdana"/>
          <w:snapToGrid w:val="0"/>
          <w:sz w:val="20"/>
          <w:szCs w:val="20"/>
          <w:lang w:val="en-US"/>
        </w:rPr>
        <w:t>had</w:t>
      </w:r>
      <w:r w:rsidR="008E6A56" w:rsidRPr="008A3740">
        <w:rPr>
          <w:rFonts w:ascii="Verdana" w:hAnsi="Verdana"/>
          <w:snapToGrid w:val="0"/>
          <w:sz w:val="20"/>
          <w:szCs w:val="20"/>
          <w:lang w:val="en-US"/>
        </w:rPr>
        <w:t xml:space="preserve">, </w:t>
      </w:r>
      <w:r w:rsidR="006672D8" w:rsidRPr="008A3740">
        <w:rPr>
          <w:rFonts w:ascii="Verdana" w:hAnsi="Verdana"/>
          <w:snapToGrid w:val="0"/>
          <w:sz w:val="20"/>
          <w:szCs w:val="20"/>
          <w:lang w:val="en-US"/>
        </w:rPr>
        <w:t xml:space="preserve">and </w:t>
      </w:r>
      <w:r w:rsidR="005831E9" w:rsidRPr="008A3740">
        <w:rPr>
          <w:rFonts w:ascii="Verdana" w:hAnsi="Verdana"/>
          <w:snapToGrid w:val="0"/>
          <w:sz w:val="20"/>
          <w:szCs w:val="20"/>
          <w:lang w:val="en-US"/>
        </w:rPr>
        <w:t xml:space="preserve">referred to </w:t>
      </w:r>
      <w:r w:rsidR="0007591A" w:rsidRPr="008A3740">
        <w:rPr>
          <w:rFonts w:ascii="Verdana" w:hAnsi="Verdana"/>
          <w:snapToGrid w:val="0"/>
          <w:sz w:val="20"/>
          <w:szCs w:val="20"/>
          <w:lang w:val="en-US"/>
        </w:rPr>
        <w:t xml:space="preserve">responsibility for </w:t>
      </w:r>
      <w:r w:rsidR="005831E9" w:rsidRPr="008A3740">
        <w:rPr>
          <w:rFonts w:ascii="Verdana" w:hAnsi="Verdana"/>
          <w:sz w:val="20"/>
          <w:szCs w:val="20"/>
          <w:lang w:val="en-US"/>
        </w:rPr>
        <w:t>unregistered liabilities or contingencies</w:t>
      </w:r>
      <w:r w:rsidR="005831E9" w:rsidRPr="008A3740">
        <w:rPr>
          <w:rFonts w:ascii="Verdana" w:hAnsi="Verdana"/>
          <w:snapToGrid w:val="0"/>
          <w:sz w:val="20"/>
          <w:szCs w:val="20"/>
          <w:lang w:val="en-US"/>
        </w:rPr>
        <w:t xml:space="preserve"> </w:t>
      </w:r>
      <w:r w:rsidR="008E6A56" w:rsidRPr="008A3740">
        <w:rPr>
          <w:rFonts w:ascii="Verdana" w:hAnsi="Verdana"/>
          <w:snapToGrid w:val="0"/>
          <w:sz w:val="20"/>
          <w:szCs w:val="20"/>
          <w:lang w:val="en-US"/>
        </w:rPr>
        <w:t>(</w:t>
      </w:r>
      <w:r w:rsidR="008E6A56" w:rsidRPr="008A3740">
        <w:rPr>
          <w:rFonts w:ascii="Verdana" w:hAnsi="Verdana"/>
          <w:i/>
          <w:snapToGrid w:val="0"/>
          <w:sz w:val="20"/>
          <w:szCs w:val="20"/>
          <w:lang w:val="en-US"/>
        </w:rPr>
        <w:t>supra</w:t>
      </w:r>
      <w:r w:rsidR="008E6A56" w:rsidRPr="008A3740">
        <w:rPr>
          <w:rFonts w:ascii="Verdana" w:hAnsi="Verdana"/>
          <w:snapToGrid w:val="0"/>
          <w:sz w:val="20"/>
          <w:szCs w:val="20"/>
          <w:lang w:val="en-US"/>
        </w:rPr>
        <w:t xml:space="preserve"> para. 59), this information was </w:t>
      </w:r>
      <w:r w:rsidR="007051A5" w:rsidRPr="008A3740">
        <w:rPr>
          <w:rFonts w:ascii="Verdana" w:hAnsi="Verdana"/>
          <w:snapToGrid w:val="0"/>
          <w:sz w:val="20"/>
          <w:szCs w:val="20"/>
          <w:lang w:val="en-US"/>
        </w:rPr>
        <w:t xml:space="preserve">never </w:t>
      </w:r>
      <w:r w:rsidR="008E6A56" w:rsidRPr="008A3740">
        <w:rPr>
          <w:rFonts w:ascii="Verdana" w:hAnsi="Verdana"/>
          <w:snapToGrid w:val="0"/>
          <w:sz w:val="20"/>
          <w:szCs w:val="20"/>
          <w:lang w:val="en-US"/>
        </w:rPr>
        <w:t xml:space="preserve">clearly </w:t>
      </w:r>
      <w:r w:rsidR="007051A5" w:rsidRPr="008A3740">
        <w:rPr>
          <w:rFonts w:ascii="Verdana" w:hAnsi="Verdana"/>
          <w:snapToGrid w:val="0"/>
          <w:sz w:val="20"/>
          <w:szCs w:val="20"/>
          <w:lang w:val="en-US"/>
        </w:rPr>
        <w:t xml:space="preserve">explained </w:t>
      </w:r>
      <w:r w:rsidR="008E6A56" w:rsidRPr="008A3740">
        <w:rPr>
          <w:rFonts w:ascii="Verdana" w:hAnsi="Verdana"/>
          <w:snapToGrid w:val="0"/>
          <w:sz w:val="20"/>
          <w:szCs w:val="20"/>
          <w:lang w:val="en-US"/>
        </w:rPr>
        <w:t xml:space="preserve">to Mr. Muelle Flores, </w:t>
      </w:r>
      <w:r w:rsidR="00023FBB" w:rsidRPr="008A3740">
        <w:rPr>
          <w:rFonts w:ascii="Verdana" w:hAnsi="Verdana"/>
          <w:snapToGrid w:val="0"/>
          <w:sz w:val="20"/>
          <w:szCs w:val="20"/>
          <w:lang w:val="en-US"/>
        </w:rPr>
        <w:t xml:space="preserve">in order </w:t>
      </w:r>
      <w:r w:rsidR="007051A5" w:rsidRPr="008A3740">
        <w:rPr>
          <w:rFonts w:ascii="Verdana" w:hAnsi="Verdana"/>
          <w:snapToGrid w:val="0"/>
          <w:sz w:val="20"/>
          <w:szCs w:val="20"/>
          <w:lang w:val="en-US"/>
        </w:rPr>
        <w:t>to</w:t>
      </w:r>
      <w:r w:rsidR="007B2372" w:rsidRPr="008A3740">
        <w:rPr>
          <w:rFonts w:ascii="Verdana" w:hAnsi="Verdana"/>
          <w:snapToGrid w:val="0"/>
          <w:sz w:val="20"/>
          <w:szCs w:val="20"/>
          <w:lang w:val="en-US"/>
        </w:rPr>
        <w:t xml:space="preserve"> </w:t>
      </w:r>
      <w:r w:rsidR="008E6A56" w:rsidRPr="008A3740">
        <w:rPr>
          <w:rFonts w:ascii="Verdana" w:hAnsi="Verdana"/>
          <w:snapToGrid w:val="0"/>
          <w:sz w:val="20"/>
          <w:szCs w:val="20"/>
          <w:lang w:val="en-US"/>
        </w:rPr>
        <w:t xml:space="preserve">establish </w:t>
      </w:r>
      <w:r w:rsidR="006A0B95" w:rsidRPr="008A3740">
        <w:rPr>
          <w:rFonts w:ascii="Verdana" w:hAnsi="Verdana"/>
          <w:snapToGrid w:val="0"/>
          <w:sz w:val="20"/>
          <w:szCs w:val="20"/>
          <w:lang w:val="en-US"/>
        </w:rPr>
        <w:t xml:space="preserve">how </w:t>
      </w:r>
      <w:r w:rsidR="005831E9" w:rsidRPr="008A3740">
        <w:rPr>
          <w:rFonts w:ascii="Verdana" w:hAnsi="Verdana"/>
          <w:snapToGrid w:val="0"/>
          <w:sz w:val="20"/>
          <w:szCs w:val="20"/>
          <w:lang w:val="en-US"/>
        </w:rPr>
        <w:t xml:space="preserve">his pension would </w:t>
      </w:r>
      <w:r w:rsidR="00CA3E73" w:rsidRPr="008A3740">
        <w:rPr>
          <w:rFonts w:ascii="Verdana" w:hAnsi="Verdana"/>
          <w:snapToGrid w:val="0"/>
          <w:sz w:val="20"/>
          <w:szCs w:val="20"/>
          <w:lang w:val="en-US"/>
        </w:rPr>
        <w:t xml:space="preserve">continue to </w:t>
      </w:r>
      <w:r w:rsidR="005831E9" w:rsidRPr="008A3740">
        <w:rPr>
          <w:rFonts w:ascii="Verdana" w:hAnsi="Verdana"/>
          <w:snapToGrid w:val="0"/>
          <w:sz w:val="20"/>
          <w:szCs w:val="20"/>
          <w:lang w:val="en-US"/>
        </w:rPr>
        <w:t xml:space="preserve">be </w:t>
      </w:r>
      <w:r w:rsidR="008E6A56" w:rsidRPr="008A3740">
        <w:rPr>
          <w:rFonts w:ascii="Verdana" w:hAnsi="Verdana"/>
          <w:snapToGrid w:val="0"/>
          <w:sz w:val="20"/>
          <w:szCs w:val="20"/>
          <w:lang w:val="en-US"/>
        </w:rPr>
        <w:t>g</w:t>
      </w:r>
      <w:r w:rsidR="00A87420" w:rsidRPr="008A3740">
        <w:rPr>
          <w:rFonts w:ascii="Verdana" w:hAnsi="Verdana"/>
          <w:snapToGrid w:val="0"/>
          <w:sz w:val="20"/>
          <w:szCs w:val="20"/>
          <w:lang w:val="en-US"/>
        </w:rPr>
        <w:t>u</w:t>
      </w:r>
      <w:r w:rsidR="008E6A56" w:rsidRPr="008A3740">
        <w:rPr>
          <w:rFonts w:ascii="Verdana" w:hAnsi="Verdana"/>
          <w:snapToGrid w:val="0"/>
          <w:sz w:val="20"/>
          <w:szCs w:val="20"/>
          <w:lang w:val="en-US"/>
        </w:rPr>
        <w:t>arant</w:t>
      </w:r>
      <w:r w:rsidR="00CA3E73" w:rsidRPr="008A3740">
        <w:rPr>
          <w:rFonts w:ascii="Verdana" w:hAnsi="Verdana"/>
          <w:snapToGrid w:val="0"/>
          <w:sz w:val="20"/>
          <w:szCs w:val="20"/>
          <w:lang w:val="en-US"/>
        </w:rPr>
        <w:t>ee</w:t>
      </w:r>
      <w:r w:rsidR="005831E9" w:rsidRPr="008A3740">
        <w:rPr>
          <w:rFonts w:ascii="Verdana" w:hAnsi="Verdana"/>
          <w:snapToGrid w:val="0"/>
          <w:sz w:val="20"/>
          <w:szCs w:val="20"/>
          <w:lang w:val="en-US"/>
        </w:rPr>
        <w:t>d,</w:t>
      </w:r>
      <w:r w:rsidR="006A0B95" w:rsidRPr="008A3740">
        <w:rPr>
          <w:rFonts w:ascii="Verdana" w:hAnsi="Verdana"/>
          <w:snapToGrid w:val="0"/>
          <w:sz w:val="20"/>
          <w:szCs w:val="20"/>
          <w:lang w:val="en-US"/>
        </w:rPr>
        <w:t xml:space="preserve"> based on </w:t>
      </w:r>
      <w:r w:rsidR="005831E9" w:rsidRPr="008A3740">
        <w:rPr>
          <w:rFonts w:ascii="Verdana" w:hAnsi="Verdana"/>
          <w:snapToGrid w:val="0"/>
          <w:sz w:val="20"/>
          <w:szCs w:val="20"/>
          <w:lang w:val="en-US"/>
        </w:rPr>
        <w:t xml:space="preserve">the </w:t>
      </w:r>
      <w:r w:rsidR="006A0B95" w:rsidRPr="008A3740">
        <w:rPr>
          <w:rFonts w:ascii="Verdana" w:hAnsi="Verdana"/>
          <w:snapToGrid w:val="0"/>
          <w:sz w:val="20"/>
          <w:szCs w:val="20"/>
          <w:lang w:val="en-US"/>
        </w:rPr>
        <w:t>domestic</w:t>
      </w:r>
      <w:r w:rsidR="008E6A56" w:rsidRPr="008A3740">
        <w:rPr>
          <w:rFonts w:ascii="Verdana" w:hAnsi="Verdana"/>
          <w:snapToGrid w:val="0"/>
          <w:sz w:val="20"/>
          <w:szCs w:val="20"/>
          <w:lang w:val="en-US"/>
        </w:rPr>
        <w:t xml:space="preserve"> judicial </w:t>
      </w:r>
      <w:r w:rsidR="005831E9" w:rsidRPr="008A3740">
        <w:rPr>
          <w:rFonts w:ascii="Verdana" w:hAnsi="Verdana"/>
          <w:snapToGrid w:val="0"/>
          <w:sz w:val="20"/>
          <w:szCs w:val="20"/>
          <w:lang w:val="en-US"/>
        </w:rPr>
        <w:t>rulings</w:t>
      </w:r>
      <w:r w:rsidR="008E6A56" w:rsidRPr="008A3740">
        <w:rPr>
          <w:rFonts w:ascii="Verdana" w:hAnsi="Verdana"/>
          <w:snapToGrid w:val="0"/>
          <w:sz w:val="20"/>
          <w:szCs w:val="20"/>
          <w:lang w:val="en-US"/>
        </w:rPr>
        <w:t xml:space="preserve">. </w:t>
      </w:r>
    </w:p>
    <w:p w14:paraId="4C642605" w14:textId="77777777" w:rsidR="008E6A56" w:rsidRPr="008A3740" w:rsidRDefault="008E6A56" w:rsidP="008E6A56">
      <w:pPr>
        <w:pStyle w:val="Prrafodelista"/>
        <w:ind w:left="0"/>
        <w:rPr>
          <w:rFonts w:ascii="Verdana" w:hAnsi="Verdana"/>
          <w:lang w:val="en-US"/>
        </w:rPr>
      </w:pPr>
    </w:p>
    <w:p w14:paraId="39137106"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szCs w:val="20"/>
          <w:lang w:val="en-US"/>
        </w:rPr>
      </w:pPr>
      <w:r w:rsidRPr="008A3740">
        <w:rPr>
          <w:rFonts w:ascii="Verdana" w:hAnsi="Verdana"/>
          <w:sz w:val="20"/>
          <w:szCs w:val="20"/>
          <w:lang w:val="en-US"/>
        </w:rPr>
        <w:t xml:space="preserve">The Court considers that the </w:t>
      </w:r>
      <w:r w:rsidR="007051A5" w:rsidRPr="008A3740">
        <w:rPr>
          <w:rFonts w:ascii="Verdana" w:hAnsi="Verdana"/>
          <w:sz w:val="20"/>
          <w:szCs w:val="20"/>
          <w:lang w:val="en-US"/>
        </w:rPr>
        <w:t xml:space="preserve">State failed to fulfill its </w:t>
      </w:r>
      <w:r w:rsidRPr="008A3740">
        <w:rPr>
          <w:rFonts w:ascii="Verdana" w:hAnsi="Verdana"/>
          <w:sz w:val="20"/>
          <w:szCs w:val="20"/>
          <w:lang w:val="en-US"/>
        </w:rPr>
        <w:t>obligations</w:t>
      </w:r>
      <w:r w:rsidR="00023FBB" w:rsidRPr="008A3740">
        <w:rPr>
          <w:rFonts w:ascii="Verdana" w:hAnsi="Verdana"/>
          <w:sz w:val="20"/>
          <w:szCs w:val="20"/>
          <w:lang w:val="en-US"/>
        </w:rPr>
        <w:t>,</w:t>
      </w:r>
      <w:r w:rsidR="007051A5" w:rsidRPr="008A3740">
        <w:rPr>
          <w:rFonts w:ascii="Verdana" w:hAnsi="Verdana"/>
          <w:sz w:val="20"/>
          <w:szCs w:val="20"/>
          <w:lang w:val="en-US"/>
        </w:rPr>
        <w:t xml:space="preserve"> namely, the</w:t>
      </w:r>
      <w:r w:rsidRPr="008A3740">
        <w:rPr>
          <w:rFonts w:ascii="Verdana" w:hAnsi="Verdana"/>
          <w:sz w:val="20"/>
          <w:szCs w:val="20"/>
          <w:lang w:val="en-US"/>
        </w:rPr>
        <w:t xml:space="preserve"> obligation </w:t>
      </w:r>
      <w:r w:rsidR="007051A5" w:rsidRPr="008A3740">
        <w:rPr>
          <w:rFonts w:ascii="Verdana" w:hAnsi="Verdana"/>
          <w:sz w:val="20"/>
          <w:szCs w:val="20"/>
          <w:lang w:val="en-US"/>
        </w:rPr>
        <w:t xml:space="preserve">to </w:t>
      </w:r>
      <w:r w:rsidRPr="008A3740">
        <w:rPr>
          <w:rFonts w:ascii="Verdana" w:hAnsi="Verdana"/>
          <w:sz w:val="20"/>
          <w:szCs w:val="20"/>
          <w:lang w:val="en-US"/>
        </w:rPr>
        <w:t xml:space="preserve">adopt safeguards </w:t>
      </w:r>
      <w:r w:rsidR="007051A5" w:rsidRPr="008A3740">
        <w:rPr>
          <w:rFonts w:ascii="Verdana" w:hAnsi="Verdana"/>
          <w:sz w:val="20"/>
          <w:szCs w:val="20"/>
          <w:lang w:val="en-US"/>
        </w:rPr>
        <w:t xml:space="preserve">to prevent </w:t>
      </w:r>
      <w:r w:rsidRPr="008A3740">
        <w:rPr>
          <w:rFonts w:ascii="Verdana" w:hAnsi="Verdana"/>
          <w:sz w:val="20"/>
          <w:szCs w:val="20"/>
          <w:lang w:val="en-US"/>
        </w:rPr>
        <w:t xml:space="preserve">the </w:t>
      </w:r>
      <w:r w:rsidR="007051A5" w:rsidRPr="008A3740">
        <w:rPr>
          <w:rFonts w:ascii="Verdana" w:hAnsi="Verdana"/>
          <w:sz w:val="20"/>
          <w:szCs w:val="20"/>
          <w:lang w:val="en-US"/>
        </w:rPr>
        <w:t xml:space="preserve">negative </w:t>
      </w:r>
      <w:r w:rsidRPr="008A3740">
        <w:rPr>
          <w:rFonts w:ascii="Verdana" w:hAnsi="Verdana"/>
          <w:sz w:val="20"/>
          <w:szCs w:val="20"/>
          <w:lang w:val="en-US"/>
        </w:rPr>
        <w:t xml:space="preserve">effects </w:t>
      </w:r>
      <w:r w:rsidR="007051A5" w:rsidRPr="008A3740">
        <w:rPr>
          <w:rFonts w:ascii="Verdana" w:hAnsi="Verdana"/>
          <w:sz w:val="20"/>
          <w:szCs w:val="20"/>
          <w:lang w:val="en-US"/>
        </w:rPr>
        <w:t xml:space="preserve">of the </w:t>
      </w:r>
      <w:r w:rsidRPr="008A3740">
        <w:rPr>
          <w:rFonts w:ascii="Verdana" w:hAnsi="Verdana"/>
          <w:sz w:val="20"/>
          <w:szCs w:val="20"/>
          <w:lang w:val="en-US"/>
        </w:rPr>
        <w:t xml:space="preserve">privatization </w:t>
      </w:r>
      <w:r w:rsidR="00023FBB" w:rsidRPr="008A3740">
        <w:rPr>
          <w:rFonts w:ascii="Verdana" w:hAnsi="Verdana"/>
          <w:sz w:val="20"/>
          <w:szCs w:val="20"/>
          <w:lang w:val="en-US"/>
        </w:rPr>
        <w:t xml:space="preserve">process </w:t>
      </w:r>
      <w:r w:rsidR="00BC55D7" w:rsidRPr="008A3740">
        <w:rPr>
          <w:rFonts w:ascii="Verdana" w:hAnsi="Verdana"/>
          <w:sz w:val="20"/>
          <w:szCs w:val="20"/>
          <w:lang w:val="en-US"/>
        </w:rPr>
        <w:t xml:space="preserve">resulting from a </w:t>
      </w:r>
      <w:r w:rsidR="00B27597" w:rsidRPr="008A3740">
        <w:rPr>
          <w:rFonts w:ascii="Verdana" w:hAnsi="Verdana"/>
          <w:sz w:val="20"/>
          <w:szCs w:val="20"/>
          <w:lang w:val="en-US"/>
        </w:rPr>
        <w:t xml:space="preserve">decision </w:t>
      </w:r>
      <w:r w:rsidR="00BC55D7" w:rsidRPr="008A3740">
        <w:rPr>
          <w:rFonts w:ascii="Verdana" w:hAnsi="Verdana"/>
          <w:sz w:val="20"/>
          <w:szCs w:val="20"/>
          <w:lang w:val="en-US"/>
        </w:rPr>
        <w:t xml:space="preserve">taken by </w:t>
      </w:r>
      <w:r w:rsidR="00B27597" w:rsidRPr="008A3740">
        <w:rPr>
          <w:rFonts w:ascii="Verdana" w:hAnsi="Verdana"/>
          <w:sz w:val="20"/>
          <w:szCs w:val="20"/>
          <w:lang w:val="en-US"/>
        </w:rPr>
        <w:t xml:space="preserve">the </w:t>
      </w:r>
      <w:r w:rsidR="007051A5" w:rsidRPr="008A3740">
        <w:rPr>
          <w:rFonts w:ascii="Verdana" w:hAnsi="Verdana"/>
          <w:sz w:val="20"/>
          <w:szCs w:val="20"/>
          <w:lang w:val="en-US"/>
        </w:rPr>
        <w:t>State</w:t>
      </w:r>
      <w:r w:rsidR="00B27597" w:rsidRPr="008A3740">
        <w:rPr>
          <w:rFonts w:ascii="Verdana" w:hAnsi="Verdana"/>
          <w:sz w:val="20"/>
          <w:szCs w:val="20"/>
          <w:lang w:val="en-US"/>
        </w:rPr>
        <w:t xml:space="preserve"> itself</w:t>
      </w:r>
      <w:r w:rsidR="007051A5" w:rsidRPr="008A3740">
        <w:rPr>
          <w:rFonts w:ascii="Verdana" w:hAnsi="Verdana"/>
          <w:sz w:val="20"/>
          <w:szCs w:val="20"/>
          <w:lang w:val="en-US"/>
        </w:rPr>
        <w:t>;</w:t>
      </w:r>
      <w:r w:rsidRPr="008A3740">
        <w:rPr>
          <w:rFonts w:ascii="Verdana" w:hAnsi="Verdana"/>
          <w:sz w:val="20"/>
          <w:szCs w:val="20"/>
          <w:lang w:val="en-US"/>
        </w:rPr>
        <w:t xml:space="preserve"> the </w:t>
      </w:r>
      <w:r w:rsidR="007051A5" w:rsidRPr="008A3740">
        <w:rPr>
          <w:rFonts w:ascii="Verdana" w:hAnsi="Verdana"/>
          <w:sz w:val="20"/>
          <w:szCs w:val="20"/>
          <w:lang w:val="en-US"/>
        </w:rPr>
        <w:t xml:space="preserve">obligation to inform Mr. Muelle Flores </w:t>
      </w:r>
      <w:r w:rsidR="00BC55D7" w:rsidRPr="008A3740">
        <w:rPr>
          <w:rFonts w:ascii="Verdana" w:hAnsi="Verdana"/>
          <w:sz w:val="20"/>
          <w:szCs w:val="20"/>
          <w:lang w:val="en-US"/>
        </w:rPr>
        <w:t xml:space="preserve">of </w:t>
      </w:r>
      <w:r w:rsidRPr="008A3740">
        <w:rPr>
          <w:rFonts w:ascii="Verdana" w:hAnsi="Verdana"/>
          <w:sz w:val="20"/>
          <w:szCs w:val="20"/>
          <w:lang w:val="en-US"/>
        </w:rPr>
        <w:t xml:space="preserve">the </w:t>
      </w:r>
      <w:r w:rsidR="007051A5" w:rsidRPr="008A3740">
        <w:rPr>
          <w:rFonts w:ascii="Verdana" w:hAnsi="Verdana"/>
          <w:sz w:val="20"/>
          <w:szCs w:val="20"/>
          <w:lang w:val="en-US"/>
        </w:rPr>
        <w:t xml:space="preserve">manner in which his legally recognized </w:t>
      </w:r>
      <w:r w:rsidRPr="008A3740">
        <w:rPr>
          <w:rFonts w:ascii="Verdana" w:hAnsi="Verdana"/>
          <w:sz w:val="20"/>
          <w:szCs w:val="20"/>
          <w:lang w:val="en-US"/>
        </w:rPr>
        <w:t xml:space="preserve">pension </w:t>
      </w:r>
      <w:r w:rsidR="007051A5" w:rsidRPr="008A3740">
        <w:rPr>
          <w:rFonts w:ascii="Verdana" w:hAnsi="Verdana"/>
          <w:sz w:val="20"/>
          <w:szCs w:val="20"/>
          <w:lang w:val="en-US"/>
        </w:rPr>
        <w:t>would be guaranteed; the obligation</w:t>
      </w:r>
      <w:r w:rsidRPr="008A3740">
        <w:rPr>
          <w:rFonts w:ascii="Verdana" w:hAnsi="Verdana"/>
          <w:sz w:val="20"/>
          <w:szCs w:val="20"/>
          <w:lang w:val="en-US"/>
        </w:rPr>
        <w:t xml:space="preserve"> </w:t>
      </w:r>
      <w:r w:rsidR="007051A5" w:rsidRPr="008A3740">
        <w:rPr>
          <w:rFonts w:ascii="Verdana" w:hAnsi="Verdana"/>
          <w:sz w:val="20"/>
          <w:szCs w:val="20"/>
          <w:lang w:val="en-US"/>
        </w:rPr>
        <w:t xml:space="preserve">to clearly </w:t>
      </w:r>
      <w:r w:rsidRPr="008A3740">
        <w:rPr>
          <w:rFonts w:ascii="Verdana" w:hAnsi="Verdana"/>
          <w:sz w:val="20"/>
          <w:szCs w:val="20"/>
          <w:lang w:val="en-US"/>
        </w:rPr>
        <w:t xml:space="preserve">establish </w:t>
      </w:r>
      <w:r w:rsidR="007051A5" w:rsidRPr="008A3740">
        <w:rPr>
          <w:rFonts w:ascii="Verdana" w:hAnsi="Verdana"/>
          <w:sz w:val="20"/>
          <w:szCs w:val="20"/>
          <w:lang w:val="en-US"/>
        </w:rPr>
        <w:t xml:space="preserve">which </w:t>
      </w:r>
      <w:r w:rsidRPr="008A3740">
        <w:rPr>
          <w:rFonts w:ascii="Verdana" w:hAnsi="Verdana"/>
          <w:sz w:val="20"/>
          <w:szCs w:val="20"/>
          <w:lang w:val="en-US"/>
        </w:rPr>
        <w:t xml:space="preserve">entity </w:t>
      </w:r>
      <w:r w:rsidR="007051A5" w:rsidRPr="008A3740">
        <w:rPr>
          <w:rFonts w:ascii="Verdana" w:hAnsi="Verdana"/>
          <w:sz w:val="20"/>
          <w:szCs w:val="20"/>
          <w:lang w:val="en-US"/>
        </w:rPr>
        <w:t xml:space="preserve">would be responsible for </w:t>
      </w:r>
      <w:r w:rsidRPr="008A3740">
        <w:rPr>
          <w:rFonts w:ascii="Verdana" w:hAnsi="Verdana"/>
          <w:sz w:val="20"/>
          <w:szCs w:val="20"/>
          <w:lang w:val="en-US"/>
        </w:rPr>
        <w:t>pay</w:t>
      </w:r>
      <w:r w:rsidR="007051A5" w:rsidRPr="008A3740">
        <w:rPr>
          <w:rFonts w:ascii="Verdana" w:hAnsi="Verdana"/>
          <w:sz w:val="20"/>
          <w:szCs w:val="20"/>
          <w:lang w:val="en-US"/>
        </w:rPr>
        <w:t>ing his pension;</w:t>
      </w:r>
      <w:r w:rsidRPr="008A3740">
        <w:rPr>
          <w:rFonts w:ascii="Verdana" w:hAnsi="Verdana"/>
          <w:sz w:val="20"/>
          <w:szCs w:val="20"/>
          <w:lang w:val="en-US"/>
        </w:rPr>
        <w:t xml:space="preserve"> </w:t>
      </w:r>
      <w:r w:rsidR="007051A5" w:rsidRPr="008A3740">
        <w:rPr>
          <w:rFonts w:ascii="Verdana" w:hAnsi="Verdana"/>
          <w:sz w:val="20"/>
          <w:szCs w:val="20"/>
          <w:lang w:val="en-US"/>
        </w:rPr>
        <w:t>and the obligation to comply with and execute domestic judicial decisions</w:t>
      </w:r>
      <w:r w:rsidR="007B2372" w:rsidRPr="008A3740">
        <w:rPr>
          <w:rFonts w:ascii="Verdana" w:hAnsi="Verdana"/>
          <w:sz w:val="20"/>
          <w:szCs w:val="20"/>
          <w:lang w:val="en-US"/>
        </w:rPr>
        <w:t>. These are all</w:t>
      </w:r>
      <w:r w:rsidRPr="008A3740">
        <w:rPr>
          <w:rFonts w:ascii="Verdana" w:hAnsi="Verdana"/>
          <w:sz w:val="20"/>
          <w:szCs w:val="20"/>
          <w:lang w:val="en-US"/>
        </w:rPr>
        <w:t xml:space="preserve"> obligations of </w:t>
      </w:r>
      <w:r w:rsidR="007B2372" w:rsidRPr="008A3740">
        <w:rPr>
          <w:rFonts w:ascii="Verdana" w:hAnsi="Verdana"/>
          <w:sz w:val="20"/>
          <w:szCs w:val="20"/>
          <w:lang w:val="en-US"/>
        </w:rPr>
        <w:t>an immediate nature, which have nothing to do with the</w:t>
      </w:r>
      <w:r w:rsidRPr="008A3740">
        <w:rPr>
          <w:rFonts w:ascii="Verdana" w:hAnsi="Verdana"/>
          <w:sz w:val="20"/>
          <w:szCs w:val="20"/>
          <w:lang w:val="en-US"/>
        </w:rPr>
        <w:t xml:space="preserve"> </w:t>
      </w:r>
      <w:r w:rsidR="007B2372" w:rsidRPr="008A3740">
        <w:rPr>
          <w:rFonts w:ascii="Verdana" w:hAnsi="Verdana"/>
          <w:sz w:val="20"/>
          <w:szCs w:val="20"/>
          <w:lang w:val="en-US"/>
        </w:rPr>
        <w:t xml:space="preserve">progressive development </w:t>
      </w:r>
      <w:r w:rsidRPr="008A3740">
        <w:rPr>
          <w:rFonts w:ascii="Verdana" w:hAnsi="Verdana"/>
          <w:sz w:val="20"/>
          <w:szCs w:val="20"/>
          <w:lang w:val="en-US"/>
        </w:rPr>
        <w:t>of the right.</w:t>
      </w:r>
    </w:p>
    <w:p w14:paraId="39E3B98A" w14:textId="77777777" w:rsidR="008E6A56" w:rsidRPr="008A3740" w:rsidRDefault="008E6A56" w:rsidP="008E6A56">
      <w:pPr>
        <w:rPr>
          <w:rFonts w:ascii="Verdana" w:hAnsi="Verdana"/>
          <w:lang w:val="en-US"/>
        </w:rPr>
      </w:pPr>
    </w:p>
    <w:p w14:paraId="7051AC1C" w14:textId="77777777" w:rsidR="008E6A56" w:rsidRPr="008A3740" w:rsidRDefault="001E729B" w:rsidP="00D17A65">
      <w:pPr>
        <w:widowControl/>
        <w:numPr>
          <w:ilvl w:val="0"/>
          <w:numId w:val="3"/>
        </w:numPr>
        <w:tabs>
          <w:tab w:val="left" w:pos="567"/>
          <w:tab w:val="left" w:pos="720"/>
        </w:tabs>
        <w:adjustRightInd/>
        <w:ind w:left="0" w:firstLine="0"/>
        <w:textAlignment w:val="auto"/>
        <w:rPr>
          <w:rFonts w:ascii="Verdana" w:hAnsi="Verdana"/>
          <w:sz w:val="20"/>
          <w:szCs w:val="20"/>
          <w:lang w:val="en-US"/>
        </w:rPr>
      </w:pPr>
      <w:r w:rsidRPr="008A3740">
        <w:rPr>
          <w:rFonts w:ascii="Verdana" w:hAnsi="Verdana"/>
          <w:sz w:val="20"/>
          <w:lang w:val="en-US"/>
        </w:rPr>
        <w:t>At the same time</w:t>
      </w:r>
      <w:r w:rsidR="008E6A56" w:rsidRPr="008A3740">
        <w:rPr>
          <w:rFonts w:ascii="Verdana" w:hAnsi="Verdana"/>
          <w:sz w:val="20"/>
          <w:lang w:val="en-US"/>
        </w:rPr>
        <w:t>, the Court observ</w:t>
      </w:r>
      <w:r w:rsidRPr="008A3740">
        <w:rPr>
          <w:rFonts w:ascii="Verdana" w:hAnsi="Verdana"/>
          <w:sz w:val="20"/>
          <w:lang w:val="en-US"/>
        </w:rPr>
        <w:t>es that</w:t>
      </w:r>
      <w:r w:rsidR="008E6A56" w:rsidRPr="008A3740">
        <w:rPr>
          <w:rFonts w:ascii="Verdana" w:hAnsi="Verdana"/>
          <w:sz w:val="20"/>
          <w:lang w:val="en-US"/>
        </w:rPr>
        <w:t xml:space="preserve">, </w:t>
      </w:r>
      <w:r w:rsidR="003E7BAA" w:rsidRPr="008A3740">
        <w:rPr>
          <w:rFonts w:ascii="Verdana" w:hAnsi="Verdana"/>
          <w:sz w:val="20"/>
          <w:lang w:val="en-US"/>
        </w:rPr>
        <w:t xml:space="preserve">according to </w:t>
      </w:r>
      <w:r w:rsidRPr="008A3740">
        <w:rPr>
          <w:rFonts w:ascii="Verdana" w:hAnsi="Verdana"/>
          <w:sz w:val="20"/>
          <w:lang w:val="en-US"/>
        </w:rPr>
        <w:t xml:space="preserve">Peruvian law, </w:t>
      </w:r>
      <w:r w:rsidR="008E6A56" w:rsidRPr="008A3740">
        <w:rPr>
          <w:rFonts w:ascii="Verdana" w:hAnsi="Verdana"/>
          <w:sz w:val="20"/>
          <w:lang w:val="en-US"/>
        </w:rPr>
        <w:t xml:space="preserve">pensioners </w:t>
      </w:r>
      <w:r w:rsidRPr="008A3740">
        <w:rPr>
          <w:rFonts w:ascii="Verdana" w:hAnsi="Verdana"/>
          <w:sz w:val="20"/>
          <w:lang w:val="en-US"/>
        </w:rPr>
        <w:t xml:space="preserve">who retired </w:t>
      </w:r>
      <w:r w:rsidR="003E7BAA" w:rsidRPr="008A3740">
        <w:rPr>
          <w:rFonts w:ascii="Verdana" w:hAnsi="Verdana"/>
          <w:sz w:val="20"/>
          <w:lang w:val="en-US"/>
        </w:rPr>
        <w:t xml:space="preserve">under </w:t>
      </w:r>
      <w:r w:rsidR="008E6A56" w:rsidRPr="008A3740">
        <w:rPr>
          <w:rFonts w:ascii="Verdana" w:hAnsi="Verdana"/>
          <w:sz w:val="20"/>
          <w:lang w:val="en-US"/>
        </w:rPr>
        <w:t xml:space="preserve">Decree Law No. 20530 </w:t>
      </w:r>
      <w:r w:rsidRPr="008A3740">
        <w:rPr>
          <w:rFonts w:ascii="Verdana" w:hAnsi="Verdana"/>
          <w:sz w:val="20"/>
          <w:lang w:val="en-US"/>
        </w:rPr>
        <w:t xml:space="preserve">had the right to obtain </w:t>
      </w:r>
      <w:r w:rsidR="008E6A56" w:rsidRPr="008A3740">
        <w:rPr>
          <w:rFonts w:ascii="Verdana" w:hAnsi="Verdana"/>
          <w:sz w:val="20"/>
          <w:lang w:val="en-US"/>
        </w:rPr>
        <w:t xml:space="preserve">health insurance with </w:t>
      </w:r>
      <w:r w:rsidR="00136BC1" w:rsidRPr="008A3740">
        <w:rPr>
          <w:rFonts w:ascii="Verdana" w:hAnsi="Verdana"/>
          <w:sz w:val="20"/>
          <w:lang w:val="en-US"/>
        </w:rPr>
        <w:t>EsSalud</w:t>
      </w:r>
      <w:r w:rsidR="008E6A56" w:rsidRPr="008A3740">
        <w:rPr>
          <w:rFonts w:ascii="Verdana" w:hAnsi="Verdana"/>
          <w:sz w:val="20"/>
          <w:lang w:val="en-US"/>
        </w:rPr>
        <w:t xml:space="preserve">, </w:t>
      </w:r>
      <w:r w:rsidR="00155A37" w:rsidRPr="008A3740">
        <w:rPr>
          <w:rFonts w:ascii="Verdana" w:hAnsi="Verdana"/>
          <w:sz w:val="20"/>
          <w:lang w:val="en-US"/>
        </w:rPr>
        <w:t xml:space="preserve">the </w:t>
      </w:r>
      <w:r w:rsidR="008E6A56" w:rsidRPr="008A3740">
        <w:rPr>
          <w:rFonts w:ascii="Verdana" w:hAnsi="Verdana"/>
          <w:sz w:val="20"/>
          <w:lang w:val="en-US"/>
        </w:rPr>
        <w:t xml:space="preserve">health </w:t>
      </w:r>
      <w:r w:rsidR="00BC55D7" w:rsidRPr="008A3740">
        <w:rPr>
          <w:rFonts w:ascii="Verdana" w:hAnsi="Verdana"/>
          <w:sz w:val="20"/>
          <w:lang w:val="en-US"/>
        </w:rPr>
        <w:t xml:space="preserve">care </w:t>
      </w:r>
      <w:r w:rsidR="007959CD" w:rsidRPr="008A3740">
        <w:rPr>
          <w:rFonts w:ascii="Verdana" w:hAnsi="Verdana"/>
          <w:sz w:val="20"/>
          <w:lang w:val="en-US"/>
        </w:rPr>
        <w:t xml:space="preserve">provider </w:t>
      </w:r>
      <w:r w:rsidR="00D529B4" w:rsidRPr="008A3740">
        <w:rPr>
          <w:rFonts w:ascii="Verdana" w:hAnsi="Verdana"/>
          <w:sz w:val="20"/>
          <w:lang w:val="en-US"/>
        </w:rPr>
        <w:t>with</w:t>
      </w:r>
      <w:r w:rsidR="008E6A56" w:rsidRPr="008A3740">
        <w:rPr>
          <w:rFonts w:ascii="Verdana" w:hAnsi="Verdana"/>
          <w:sz w:val="20"/>
          <w:lang w:val="en-US"/>
        </w:rPr>
        <w:t xml:space="preserve">in </w:t>
      </w:r>
      <w:r w:rsidR="00D529B4" w:rsidRPr="008A3740">
        <w:rPr>
          <w:rFonts w:ascii="Verdana" w:hAnsi="Verdana"/>
          <w:sz w:val="20"/>
          <w:lang w:val="en-US"/>
        </w:rPr>
        <w:t xml:space="preserve">Peru’s </w:t>
      </w:r>
      <w:r w:rsidR="003E7BAA" w:rsidRPr="008A3740">
        <w:rPr>
          <w:rFonts w:ascii="Verdana" w:hAnsi="Verdana"/>
          <w:sz w:val="20"/>
          <w:lang w:val="en-US"/>
        </w:rPr>
        <w:t xml:space="preserve">social security </w:t>
      </w:r>
      <w:r w:rsidR="00D529B4" w:rsidRPr="008A3740">
        <w:rPr>
          <w:rFonts w:ascii="Verdana" w:hAnsi="Verdana"/>
          <w:sz w:val="20"/>
          <w:lang w:val="en-US"/>
        </w:rPr>
        <w:t>system</w:t>
      </w:r>
      <w:r w:rsidR="003E7BAA" w:rsidRPr="008A3740">
        <w:rPr>
          <w:rFonts w:ascii="Verdana" w:hAnsi="Verdana"/>
          <w:sz w:val="20"/>
          <w:lang w:val="en-US"/>
        </w:rPr>
        <w:t>. T</w:t>
      </w:r>
      <w:r w:rsidR="008E6A56" w:rsidRPr="008A3740">
        <w:rPr>
          <w:rFonts w:ascii="Verdana" w:hAnsi="Verdana"/>
          <w:sz w:val="20"/>
          <w:lang w:val="en-US"/>
        </w:rPr>
        <w:t xml:space="preserve">he pensioner </w:t>
      </w:r>
      <w:r w:rsidR="004058DC" w:rsidRPr="008A3740">
        <w:rPr>
          <w:rFonts w:ascii="Verdana" w:hAnsi="Verdana"/>
          <w:sz w:val="20"/>
          <w:lang w:val="en-US"/>
        </w:rPr>
        <w:t xml:space="preserve">had a right </w:t>
      </w:r>
      <w:r w:rsidR="00797B2B" w:rsidRPr="008A3740">
        <w:rPr>
          <w:rFonts w:ascii="Verdana" w:hAnsi="Verdana"/>
          <w:sz w:val="20"/>
          <w:lang w:val="en-US"/>
        </w:rPr>
        <w:t xml:space="preserve">to this </w:t>
      </w:r>
      <w:r w:rsidR="008E6A56" w:rsidRPr="008A3740">
        <w:rPr>
          <w:rFonts w:ascii="Verdana" w:hAnsi="Verdana"/>
          <w:sz w:val="20"/>
          <w:lang w:val="en-US"/>
        </w:rPr>
        <w:t>insurance since the entity</w:t>
      </w:r>
      <w:r w:rsidR="003E7BAA" w:rsidRPr="008A3740">
        <w:rPr>
          <w:rFonts w:ascii="Verdana" w:hAnsi="Verdana"/>
          <w:sz w:val="20"/>
          <w:lang w:val="en-US"/>
        </w:rPr>
        <w:t xml:space="preserve"> responsible </w:t>
      </w:r>
      <w:r w:rsidR="00797B2B" w:rsidRPr="008A3740">
        <w:rPr>
          <w:rFonts w:ascii="Verdana" w:hAnsi="Verdana"/>
          <w:sz w:val="20"/>
          <w:lang w:val="en-US"/>
        </w:rPr>
        <w:t xml:space="preserve">for paying his pension was </w:t>
      </w:r>
      <w:r w:rsidR="004058DC" w:rsidRPr="008A3740">
        <w:rPr>
          <w:rFonts w:ascii="Verdana" w:hAnsi="Verdana"/>
          <w:sz w:val="20"/>
          <w:lang w:val="en-US"/>
        </w:rPr>
        <w:t xml:space="preserve">required </w:t>
      </w:r>
      <w:r w:rsidR="00797B2B" w:rsidRPr="008A3740">
        <w:rPr>
          <w:rFonts w:ascii="Verdana" w:hAnsi="Verdana"/>
          <w:sz w:val="20"/>
          <w:lang w:val="en-US"/>
        </w:rPr>
        <w:t xml:space="preserve">to retain 4% of </w:t>
      </w:r>
      <w:r w:rsidR="008E6A56" w:rsidRPr="008A3740">
        <w:rPr>
          <w:rFonts w:ascii="Verdana" w:hAnsi="Verdana"/>
          <w:sz w:val="20"/>
          <w:lang w:val="en-US"/>
        </w:rPr>
        <w:t xml:space="preserve">his pension </w:t>
      </w:r>
      <w:r w:rsidR="003E7BAA" w:rsidRPr="008A3740">
        <w:rPr>
          <w:rFonts w:ascii="Verdana" w:hAnsi="Verdana"/>
          <w:sz w:val="20"/>
          <w:lang w:val="en-US"/>
        </w:rPr>
        <w:t xml:space="preserve">to </w:t>
      </w:r>
      <w:r w:rsidR="008E6A56" w:rsidRPr="008A3740">
        <w:rPr>
          <w:rFonts w:ascii="Verdana" w:hAnsi="Verdana"/>
          <w:sz w:val="20"/>
          <w:lang w:val="en-US"/>
        </w:rPr>
        <w:t xml:space="preserve">pay </w:t>
      </w:r>
      <w:r w:rsidR="005102DA" w:rsidRPr="008A3740">
        <w:rPr>
          <w:rFonts w:ascii="Verdana" w:hAnsi="Verdana"/>
          <w:sz w:val="20"/>
          <w:lang w:val="en-US"/>
        </w:rPr>
        <w:t xml:space="preserve">his </w:t>
      </w:r>
      <w:r w:rsidR="008E6A56" w:rsidRPr="008A3740">
        <w:rPr>
          <w:rFonts w:ascii="Verdana" w:hAnsi="Verdana"/>
          <w:sz w:val="20"/>
          <w:lang w:val="en-US"/>
        </w:rPr>
        <w:t xml:space="preserve">health insurance </w:t>
      </w:r>
      <w:r w:rsidR="004058DC" w:rsidRPr="008A3740">
        <w:rPr>
          <w:rFonts w:ascii="Verdana" w:hAnsi="Verdana"/>
          <w:sz w:val="20"/>
          <w:lang w:val="en-US"/>
        </w:rPr>
        <w:t>contributions</w:t>
      </w:r>
      <w:r w:rsidR="00797B2B" w:rsidRPr="008A3740">
        <w:rPr>
          <w:rFonts w:ascii="Verdana" w:hAnsi="Verdana"/>
          <w:sz w:val="20"/>
          <w:lang w:val="en-US"/>
        </w:rPr>
        <w:t>. T</w:t>
      </w:r>
      <w:r w:rsidR="004058DC" w:rsidRPr="008A3740">
        <w:rPr>
          <w:rFonts w:ascii="Verdana" w:hAnsi="Verdana"/>
          <w:sz w:val="20"/>
          <w:lang w:val="en-US"/>
        </w:rPr>
        <w:t>his</w:t>
      </w:r>
      <w:r w:rsidR="007959CD" w:rsidRPr="008A3740">
        <w:rPr>
          <w:rFonts w:ascii="Verdana" w:hAnsi="Verdana"/>
          <w:sz w:val="20"/>
          <w:lang w:val="en-US"/>
        </w:rPr>
        <w:t xml:space="preserve"> </w:t>
      </w:r>
      <w:r w:rsidR="004058DC" w:rsidRPr="008A3740">
        <w:rPr>
          <w:rFonts w:ascii="Verdana" w:hAnsi="Verdana"/>
          <w:sz w:val="20"/>
          <w:lang w:val="en-US"/>
        </w:rPr>
        <w:t xml:space="preserve">deduction </w:t>
      </w:r>
      <w:r w:rsidR="007959CD" w:rsidRPr="008A3740">
        <w:rPr>
          <w:rFonts w:ascii="Verdana" w:hAnsi="Verdana"/>
          <w:sz w:val="20"/>
          <w:lang w:val="en-US"/>
        </w:rPr>
        <w:t xml:space="preserve">was </w:t>
      </w:r>
      <w:r w:rsidR="008E6A56" w:rsidRPr="008A3740">
        <w:rPr>
          <w:rFonts w:ascii="Verdana" w:hAnsi="Verdana"/>
          <w:sz w:val="20"/>
          <w:lang w:val="en-US"/>
        </w:rPr>
        <w:t>mandatory</w:t>
      </w:r>
      <w:r w:rsidR="004058DC" w:rsidRPr="008A3740">
        <w:rPr>
          <w:rFonts w:ascii="Verdana" w:hAnsi="Verdana"/>
          <w:sz w:val="20"/>
          <w:lang w:val="en-US"/>
        </w:rPr>
        <w:t>,</w:t>
      </w:r>
      <w:r w:rsidR="008E6A56" w:rsidRPr="008A3740">
        <w:rPr>
          <w:rFonts w:ascii="Verdana" w:hAnsi="Verdana"/>
          <w:sz w:val="20"/>
          <w:lang w:val="en-US"/>
        </w:rPr>
        <w:t xml:space="preserve"> </w:t>
      </w:r>
      <w:r w:rsidR="007959CD" w:rsidRPr="008A3740">
        <w:rPr>
          <w:rFonts w:ascii="Verdana" w:hAnsi="Verdana"/>
          <w:sz w:val="20"/>
          <w:lang w:val="en-US"/>
        </w:rPr>
        <w:t>that is, the health insurance t</w:t>
      </w:r>
      <w:r w:rsidR="004058DC" w:rsidRPr="008A3740">
        <w:rPr>
          <w:rFonts w:ascii="Verdana" w:hAnsi="Verdana"/>
          <w:sz w:val="20"/>
          <w:lang w:val="en-US"/>
        </w:rPr>
        <w:t xml:space="preserve">o which </w:t>
      </w:r>
      <w:r w:rsidR="008E6A56" w:rsidRPr="008A3740">
        <w:rPr>
          <w:rFonts w:ascii="Verdana" w:hAnsi="Verdana"/>
          <w:sz w:val="20"/>
          <w:lang w:val="en-US"/>
        </w:rPr>
        <w:t>Mr. Muelle Flores</w:t>
      </w:r>
      <w:r w:rsidR="004058DC" w:rsidRPr="008A3740">
        <w:rPr>
          <w:rFonts w:ascii="Verdana" w:hAnsi="Verdana"/>
          <w:sz w:val="20"/>
          <w:lang w:val="en-US"/>
        </w:rPr>
        <w:t xml:space="preserve"> was entitled</w:t>
      </w:r>
      <w:r w:rsidR="008E6A56" w:rsidRPr="008A3740">
        <w:rPr>
          <w:rFonts w:ascii="Verdana" w:hAnsi="Verdana"/>
          <w:sz w:val="20"/>
          <w:lang w:val="en-US"/>
        </w:rPr>
        <w:t xml:space="preserve">, </w:t>
      </w:r>
      <w:r w:rsidR="00797B2B" w:rsidRPr="008A3740">
        <w:rPr>
          <w:rFonts w:ascii="Verdana" w:hAnsi="Verdana"/>
          <w:sz w:val="20"/>
          <w:lang w:val="en-US"/>
        </w:rPr>
        <w:t xml:space="preserve">like any other </w:t>
      </w:r>
      <w:r w:rsidR="008E6A56" w:rsidRPr="008A3740">
        <w:rPr>
          <w:rFonts w:ascii="Verdana" w:hAnsi="Verdana"/>
          <w:sz w:val="20"/>
          <w:lang w:val="en-US"/>
        </w:rPr>
        <w:t>pensioner under th</w:t>
      </w:r>
      <w:r w:rsidR="00797B2B" w:rsidRPr="008A3740">
        <w:rPr>
          <w:rFonts w:ascii="Verdana" w:hAnsi="Verdana"/>
          <w:sz w:val="20"/>
          <w:lang w:val="en-US"/>
        </w:rPr>
        <w:t xml:space="preserve">at pension scheme, </w:t>
      </w:r>
      <w:r w:rsidR="007959CD" w:rsidRPr="008A3740">
        <w:rPr>
          <w:rFonts w:ascii="Verdana" w:hAnsi="Verdana"/>
          <w:sz w:val="20"/>
          <w:lang w:val="en-US"/>
        </w:rPr>
        <w:t xml:space="preserve">was provided to him based on his contributions </w:t>
      </w:r>
      <w:r w:rsidR="004058DC" w:rsidRPr="008A3740">
        <w:rPr>
          <w:rFonts w:ascii="Verdana" w:hAnsi="Verdana"/>
          <w:sz w:val="20"/>
          <w:lang w:val="en-US"/>
        </w:rPr>
        <w:t>to that system</w:t>
      </w:r>
      <w:r w:rsidR="008E6A56" w:rsidRPr="008A3740">
        <w:rPr>
          <w:rFonts w:ascii="Verdana" w:hAnsi="Verdana"/>
          <w:sz w:val="20"/>
          <w:lang w:val="en-US"/>
        </w:rPr>
        <w:t xml:space="preserve">. </w:t>
      </w:r>
      <w:r w:rsidR="007959CD" w:rsidRPr="008A3740">
        <w:rPr>
          <w:rFonts w:ascii="Verdana" w:hAnsi="Verdana"/>
          <w:sz w:val="20"/>
          <w:lang w:val="en-US"/>
        </w:rPr>
        <w:t>I</w:t>
      </w:r>
      <w:r w:rsidR="008E6A56" w:rsidRPr="008A3740">
        <w:rPr>
          <w:rFonts w:ascii="Verdana" w:hAnsi="Verdana"/>
          <w:sz w:val="20"/>
          <w:lang w:val="en-US"/>
        </w:rPr>
        <w:t xml:space="preserve">n the </w:t>
      </w:r>
      <w:r w:rsidR="007959CD" w:rsidRPr="008A3740">
        <w:rPr>
          <w:rFonts w:ascii="Verdana" w:hAnsi="Verdana"/>
          <w:sz w:val="20"/>
          <w:lang w:val="en-US"/>
        </w:rPr>
        <w:t xml:space="preserve">instant </w:t>
      </w:r>
      <w:r w:rsidR="008E6A56" w:rsidRPr="008A3740">
        <w:rPr>
          <w:rFonts w:ascii="Verdana" w:hAnsi="Verdana"/>
          <w:sz w:val="20"/>
          <w:lang w:val="en-US"/>
        </w:rPr>
        <w:t xml:space="preserve">case, </w:t>
      </w:r>
      <w:r w:rsidR="007959CD" w:rsidRPr="008A3740">
        <w:rPr>
          <w:rFonts w:ascii="Verdana" w:hAnsi="Verdana"/>
          <w:sz w:val="20"/>
          <w:lang w:val="en-US"/>
        </w:rPr>
        <w:t xml:space="preserve">because </w:t>
      </w:r>
      <w:r w:rsidR="00797B2B" w:rsidRPr="008A3740">
        <w:rPr>
          <w:rFonts w:ascii="Verdana" w:hAnsi="Verdana"/>
          <w:sz w:val="20"/>
          <w:lang w:val="en-US"/>
        </w:rPr>
        <w:t xml:space="preserve">the State </w:t>
      </w:r>
      <w:r w:rsidR="007959CD" w:rsidRPr="008A3740">
        <w:rPr>
          <w:rFonts w:ascii="Verdana" w:hAnsi="Verdana"/>
          <w:sz w:val="20"/>
          <w:lang w:val="en-US"/>
        </w:rPr>
        <w:t xml:space="preserve">stopped </w:t>
      </w:r>
      <w:r w:rsidR="008E6A56" w:rsidRPr="008A3740">
        <w:rPr>
          <w:rFonts w:ascii="Verdana" w:hAnsi="Verdana"/>
          <w:sz w:val="20"/>
          <w:lang w:val="en-US"/>
        </w:rPr>
        <w:t>pay</w:t>
      </w:r>
      <w:r w:rsidR="00797B2B" w:rsidRPr="008A3740">
        <w:rPr>
          <w:rFonts w:ascii="Verdana" w:hAnsi="Verdana"/>
          <w:sz w:val="20"/>
          <w:lang w:val="en-US"/>
        </w:rPr>
        <w:t>ing</w:t>
      </w:r>
      <w:r w:rsidR="008E6A56" w:rsidRPr="008A3740">
        <w:rPr>
          <w:rFonts w:ascii="Verdana" w:hAnsi="Verdana"/>
          <w:sz w:val="20"/>
          <w:lang w:val="en-US"/>
        </w:rPr>
        <w:t xml:space="preserve"> </w:t>
      </w:r>
      <w:r w:rsidR="00797B2B" w:rsidRPr="008A3740">
        <w:rPr>
          <w:rFonts w:ascii="Verdana" w:hAnsi="Verdana"/>
          <w:sz w:val="20"/>
          <w:lang w:val="en-US"/>
        </w:rPr>
        <w:t xml:space="preserve">Mr. Muelle Flores </w:t>
      </w:r>
      <w:r w:rsidR="007959CD" w:rsidRPr="008A3740">
        <w:rPr>
          <w:rFonts w:ascii="Verdana" w:hAnsi="Verdana"/>
          <w:sz w:val="20"/>
          <w:lang w:val="en-US"/>
        </w:rPr>
        <w:t>the pension</w:t>
      </w:r>
      <w:r w:rsidR="008E6A56" w:rsidRPr="008A3740">
        <w:rPr>
          <w:rFonts w:ascii="Verdana" w:hAnsi="Verdana"/>
          <w:sz w:val="20"/>
          <w:lang w:val="en-US"/>
        </w:rPr>
        <w:t xml:space="preserve"> </w:t>
      </w:r>
      <w:r w:rsidR="00797B2B" w:rsidRPr="008A3740">
        <w:rPr>
          <w:rFonts w:ascii="Verdana" w:hAnsi="Verdana"/>
          <w:sz w:val="20"/>
          <w:lang w:val="en-US"/>
        </w:rPr>
        <w:t xml:space="preserve">to which he had an acquired </w:t>
      </w:r>
      <w:r w:rsidR="008E6A56" w:rsidRPr="008A3740">
        <w:rPr>
          <w:rFonts w:ascii="Verdana" w:hAnsi="Verdana"/>
          <w:sz w:val="20"/>
          <w:lang w:val="en-US"/>
        </w:rPr>
        <w:t>right</w:t>
      </w:r>
      <w:r w:rsidR="00797B2B" w:rsidRPr="008A3740">
        <w:rPr>
          <w:rFonts w:ascii="Verdana" w:hAnsi="Verdana"/>
          <w:sz w:val="20"/>
          <w:lang w:val="en-US"/>
        </w:rPr>
        <w:t xml:space="preserve"> </w:t>
      </w:r>
      <w:r w:rsidR="007959CD" w:rsidRPr="008A3740">
        <w:rPr>
          <w:rFonts w:ascii="Verdana" w:hAnsi="Verdana"/>
          <w:sz w:val="20"/>
          <w:lang w:val="en-US"/>
        </w:rPr>
        <w:t>–</w:t>
      </w:r>
      <w:r w:rsidR="008E6A56" w:rsidRPr="008A3740">
        <w:rPr>
          <w:rFonts w:ascii="Verdana" w:hAnsi="Verdana"/>
          <w:sz w:val="20"/>
          <w:lang w:val="en-US"/>
        </w:rPr>
        <w:t xml:space="preserve"> </w:t>
      </w:r>
      <w:r w:rsidR="007959CD" w:rsidRPr="008A3740">
        <w:rPr>
          <w:rFonts w:ascii="Verdana" w:hAnsi="Verdana"/>
          <w:sz w:val="20"/>
          <w:lang w:val="en-US"/>
        </w:rPr>
        <w:t xml:space="preserve">a </w:t>
      </w:r>
      <w:r w:rsidR="008E6A56" w:rsidRPr="008A3740">
        <w:rPr>
          <w:rFonts w:ascii="Verdana" w:hAnsi="Verdana"/>
          <w:sz w:val="20"/>
          <w:lang w:val="en-US"/>
        </w:rPr>
        <w:t xml:space="preserve">right </w:t>
      </w:r>
      <w:r w:rsidR="007959CD" w:rsidRPr="008A3740">
        <w:rPr>
          <w:rFonts w:ascii="Verdana" w:hAnsi="Verdana"/>
          <w:sz w:val="20"/>
          <w:lang w:val="en-US"/>
        </w:rPr>
        <w:t xml:space="preserve">subsequently </w:t>
      </w:r>
      <w:r w:rsidR="00797B2B" w:rsidRPr="008A3740">
        <w:rPr>
          <w:rFonts w:ascii="Verdana" w:hAnsi="Verdana"/>
          <w:sz w:val="20"/>
          <w:lang w:val="en-US"/>
        </w:rPr>
        <w:t xml:space="preserve">recognized </w:t>
      </w:r>
      <w:r w:rsidR="007959CD" w:rsidRPr="008A3740">
        <w:rPr>
          <w:rFonts w:ascii="Verdana" w:hAnsi="Verdana"/>
          <w:sz w:val="20"/>
          <w:lang w:val="en-US"/>
        </w:rPr>
        <w:t xml:space="preserve">by the courts </w:t>
      </w:r>
      <w:r w:rsidR="00797B2B" w:rsidRPr="008A3740">
        <w:rPr>
          <w:rFonts w:ascii="Verdana" w:hAnsi="Verdana"/>
          <w:sz w:val="20"/>
          <w:lang w:val="en-US"/>
        </w:rPr>
        <w:t>-</w:t>
      </w:r>
      <w:r w:rsidR="008E6A56" w:rsidRPr="008A3740">
        <w:rPr>
          <w:rFonts w:ascii="Verdana" w:hAnsi="Verdana"/>
          <w:sz w:val="20"/>
          <w:lang w:val="en-US"/>
        </w:rPr>
        <w:t xml:space="preserve"> the contribution</w:t>
      </w:r>
      <w:r w:rsidR="007959CD" w:rsidRPr="008A3740">
        <w:rPr>
          <w:rFonts w:ascii="Verdana" w:hAnsi="Verdana"/>
          <w:sz w:val="20"/>
          <w:lang w:val="en-US"/>
        </w:rPr>
        <w:t>s</w:t>
      </w:r>
      <w:r w:rsidR="008E6A56" w:rsidRPr="008A3740">
        <w:rPr>
          <w:rFonts w:ascii="Verdana" w:hAnsi="Verdana"/>
          <w:sz w:val="20"/>
          <w:lang w:val="en-US"/>
        </w:rPr>
        <w:t xml:space="preserve"> </w:t>
      </w:r>
      <w:r w:rsidR="007959CD" w:rsidRPr="008A3740">
        <w:rPr>
          <w:rFonts w:ascii="Verdana" w:hAnsi="Verdana"/>
          <w:sz w:val="20"/>
          <w:lang w:val="en-US"/>
        </w:rPr>
        <w:t xml:space="preserve">required </w:t>
      </w:r>
      <w:r w:rsidR="00797B2B" w:rsidRPr="008A3740">
        <w:rPr>
          <w:rFonts w:ascii="Verdana" w:hAnsi="Verdana"/>
          <w:sz w:val="20"/>
          <w:lang w:val="en-US"/>
        </w:rPr>
        <w:t xml:space="preserve">to access the </w:t>
      </w:r>
      <w:r w:rsidR="008E6A56" w:rsidRPr="008A3740">
        <w:rPr>
          <w:rFonts w:ascii="Verdana" w:hAnsi="Verdana"/>
          <w:sz w:val="20"/>
          <w:lang w:val="en-US"/>
        </w:rPr>
        <w:t>health insurance t</w:t>
      </w:r>
      <w:r w:rsidR="00797B2B" w:rsidRPr="008A3740">
        <w:rPr>
          <w:rFonts w:ascii="Verdana" w:hAnsi="Verdana"/>
          <w:sz w:val="20"/>
          <w:lang w:val="en-US"/>
        </w:rPr>
        <w:t xml:space="preserve">o which he was entitled </w:t>
      </w:r>
      <w:r w:rsidR="007959CD" w:rsidRPr="008A3740">
        <w:rPr>
          <w:rFonts w:ascii="Verdana" w:hAnsi="Verdana"/>
          <w:sz w:val="20"/>
          <w:lang w:val="en-US"/>
        </w:rPr>
        <w:t>were</w:t>
      </w:r>
      <w:r w:rsidR="008E6A56" w:rsidRPr="008A3740">
        <w:rPr>
          <w:rFonts w:ascii="Verdana" w:hAnsi="Verdana"/>
          <w:sz w:val="20"/>
          <w:lang w:val="en-US"/>
        </w:rPr>
        <w:t xml:space="preserve"> </w:t>
      </w:r>
      <w:r w:rsidR="007959CD" w:rsidRPr="008A3740">
        <w:rPr>
          <w:rFonts w:ascii="Verdana" w:hAnsi="Verdana"/>
          <w:sz w:val="20"/>
          <w:lang w:val="en-US"/>
        </w:rPr>
        <w:t>not made</w:t>
      </w:r>
      <w:r w:rsidR="008E6A56" w:rsidRPr="008A3740">
        <w:rPr>
          <w:rFonts w:ascii="Verdana" w:hAnsi="Verdana"/>
          <w:sz w:val="20"/>
          <w:lang w:val="en-US"/>
        </w:rPr>
        <w:t xml:space="preserve"> </w:t>
      </w:r>
      <w:r w:rsidR="007959CD" w:rsidRPr="008A3740">
        <w:rPr>
          <w:rFonts w:ascii="Verdana" w:hAnsi="Verdana"/>
          <w:sz w:val="20"/>
          <w:lang w:val="en-US"/>
        </w:rPr>
        <w:t>and</w:t>
      </w:r>
      <w:r w:rsidR="005102DA" w:rsidRPr="008A3740">
        <w:rPr>
          <w:rFonts w:ascii="Verdana" w:hAnsi="Verdana"/>
          <w:sz w:val="20"/>
          <w:lang w:val="en-US"/>
        </w:rPr>
        <w:t>,</w:t>
      </w:r>
      <w:r w:rsidR="007959CD" w:rsidRPr="008A3740">
        <w:rPr>
          <w:rFonts w:ascii="Verdana" w:hAnsi="Verdana"/>
          <w:sz w:val="20"/>
          <w:lang w:val="en-US"/>
        </w:rPr>
        <w:t xml:space="preserve"> </w:t>
      </w:r>
      <w:r w:rsidR="008E6A56" w:rsidRPr="008A3740">
        <w:rPr>
          <w:rFonts w:ascii="Verdana" w:hAnsi="Verdana"/>
          <w:sz w:val="20"/>
          <w:lang w:val="en-US"/>
        </w:rPr>
        <w:t xml:space="preserve">therefore, the victim </w:t>
      </w:r>
      <w:r w:rsidR="007959CD" w:rsidRPr="008A3740">
        <w:rPr>
          <w:rFonts w:ascii="Verdana" w:hAnsi="Verdana"/>
          <w:sz w:val="20"/>
          <w:lang w:val="en-US"/>
        </w:rPr>
        <w:t xml:space="preserve">did not receive </w:t>
      </w:r>
      <w:r w:rsidR="008E6A56" w:rsidRPr="008A3740">
        <w:rPr>
          <w:rFonts w:ascii="Verdana" w:hAnsi="Verdana"/>
          <w:sz w:val="20"/>
          <w:lang w:val="en-US"/>
        </w:rPr>
        <w:t>the health coverage t</w:t>
      </w:r>
      <w:r w:rsidR="007959CD" w:rsidRPr="008A3740">
        <w:rPr>
          <w:rFonts w:ascii="Verdana" w:hAnsi="Verdana"/>
          <w:sz w:val="20"/>
          <w:lang w:val="en-US"/>
        </w:rPr>
        <w:t>o which he was also entitled under</w:t>
      </w:r>
      <w:r w:rsidR="003E7BAA" w:rsidRPr="008A3740">
        <w:rPr>
          <w:rFonts w:ascii="Verdana" w:hAnsi="Verdana"/>
          <w:sz w:val="20"/>
          <w:lang w:val="en-US"/>
        </w:rPr>
        <w:t xml:space="preserve"> Peruvian law </w:t>
      </w:r>
      <w:r w:rsidR="007959CD" w:rsidRPr="008A3740">
        <w:rPr>
          <w:rFonts w:ascii="Verdana" w:hAnsi="Verdana"/>
          <w:sz w:val="20"/>
          <w:lang w:val="en-US"/>
        </w:rPr>
        <w:t xml:space="preserve">and </w:t>
      </w:r>
      <w:r w:rsidR="003E7BAA" w:rsidRPr="008A3740">
        <w:rPr>
          <w:rFonts w:ascii="Verdana" w:hAnsi="Verdana"/>
          <w:sz w:val="20"/>
          <w:lang w:val="en-US"/>
        </w:rPr>
        <w:t xml:space="preserve">which, in turn, forms part of </w:t>
      </w:r>
      <w:r w:rsidR="008E6A56" w:rsidRPr="008A3740">
        <w:rPr>
          <w:rFonts w:ascii="Verdana" w:hAnsi="Verdana"/>
          <w:sz w:val="20"/>
          <w:lang w:val="en-US"/>
        </w:rPr>
        <w:t>the right t</w:t>
      </w:r>
      <w:r w:rsidR="003E7BAA" w:rsidRPr="008A3740">
        <w:rPr>
          <w:rFonts w:ascii="Verdana" w:hAnsi="Verdana"/>
          <w:sz w:val="20"/>
          <w:lang w:val="en-US"/>
        </w:rPr>
        <w:t xml:space="preserve">o social security. </w:t>
      </w:r>
      <w:r w:rsidR="004058DC" w:rsidRPr="008A3740">
        <w:rPr>
          <w:rFonts w:ascii="Verdana" w:hAnsi="Verdana"/>
          <w:sz w:val="20"/>
          <w:lang w:val="en-US"/>
        </w:rPr>
        <w:t>As result of t</w:t>
      </w:r>
      <w:r w:rsidR="00797B2B" w:rsidRPr="008A3740">
        <w:rPr>
          <w:rFonts w:ascii="Verdana" w:hAnsi="Verdana"/>
          <w:sz w:val="20"/>
          <w:lang w:val="en-US"/>
        </w:rPr>
        <w:t xml:space="preserve">his </w:t>
      </w:r>
      <w:r w:rsidR="008E6A56" w:rsidRPr="008A3740">
        <w:rPr>
          <w:rFonts w:ascii="Verdana" w:hAnsi="Verdana"/>
          <w:sz w:val="20"/>
          <w:lang w:val="en-US"/>
        </w:rPr>
        <w:t>s</w:t>
      </w:r>
      <w:r w:rsidR="004058DC" w:rsidRPr="008A3740">
        <w:rPr>
          <w:rFonts w:ascii="Verdana" w:hAnsi="Verdana"/>
          <w:sz w:val="20"/>
          <w:lang w:val="en-US"/>
        </w:rPr>
        <w:t>ituation</w:t>
      </w:r>
      <w:r w:rsidR="008E6A56" w:rsidRPr="008A3740">
        <w:rPr>
          <w:rFonts w:ascii="Verdana" w:hAnsi="Verdana"/>
          <w:sz w:val="20"/>
          <w:lang w:val="en-US"/>
        </w:rPr>
        <w:t xml:space="preserve">, </w:t>
      </w:r>
      <w:r w:rsidR="005102DA" w:rsidRPr="008A3740">
        <w:rPr>
          <w:rFonts w:ascii="Verdana" w:hAnsi="Verdana"/>
          <w:sz w:val="20"/>
          <w:szCs w:val="20"/>
          <w:lang w:val="en-US"/>
        </w:rPr>
        <w:t xml:space="preserve">Mr. Muelle Flores had to cover the </w:t>
      </w:r>
      <w:r w:rsidR="005102DA" w:rsidRPr="008A3740">
        <w:rPr>
          <w:rFonts w:ascii="Verdana" w:hAnsi="Verdana"/>
          <w:sz w:val="20"/>
          <w:lang w:val="en-US"/>
        </w:rPr>
        <w:t xml:space="preserve">cost of </w:t>
      </w:r>
      <w:r w:rsidR="004058DC" w:rsidRPr="008A3740">
        <w:rPr>
          <w:rFonts w:ascii="Verdana" w:hAnsi="Verdana"/>
          <w:sz w:val="20"/>
          <w:szCs w:val="20"/>
          <w:lang w:val="en-US"/>
        </w:rPr>
        <w:t xml:space="preserve">treatment for his </w:t>
      </w:r>
      <w:r w:rsidR="008E6A56" w:rsidRPr="008A3740">
        <w:rPr>
          <w:rFonts w:ascii="Verdana" w:hAnsi="Verdana"/>
          <w:sz w:val="20"/>
          <w:lang w:val="en-US"/>
        </w:rPr>
        <w:t>health</w:t>
      </w:r>
      <w:r w:rsidR="004058DC" w:rsidRPr="008A3740">
        <w:rPr>
          <w:rFonts w:ascii="Verdana" w:hAnsi="Verdana"/>
          <w:sz w:val="20"/>
          <w:lang w:val="en-US"/>
        </w:rPr>
        <w:t xml:space="preserve"> problems</w:t>
      </w:r>
      <w:r w:rsidR="003E7BAA" w:rsidRPr="008A3740">
        <w:rPr>
          <w:rFonts w:ascii="Verdana" w:hAnsi="Verdana"/>
          <w:sz w:val="20"/>
          <w:szCs w:val="20"/>
          <w:lang w:val="en-US"/>
        </w:rPr>
        <w:t xml:space="preserve"> </w:t>
      </w:r>
      <w:r w:rsidR="008E6A56" w:rsidRPr="008A3740">
        <w:rPr>
          <w:rFonts w:ascii="Verdana" w:hAnsi="Verdana"/>
          <w:sz w:val="20"/>
          <w:szCs w:val="20"/>
          <w:lang w:val="en-US"/>
        </w:rPr>
        <w:t xml:space="preserve">and the </w:t>
      </w:r>
      <w:r w:rsidR="003E7BAA" w:rsidRPr="008A3740">
        <w:rPr>
          <w:rFonts w:ascii="Verdana" w:hAnsi="Verdana"/>
          <w:sz w:val="20"/>
          <w:szCs w:val="20"/>
          <w:lang w:val="en-US"/>
        </w:rPr>
        <w:t xml:space="preserve">surgical </w:t>
      </w:r>
      <w:r w:rsidR="004058DC" w:rsidRPr="008A3740">
        <w:rPr>
          <w:rFonts w:ascii="Verdana" w:hAnsi="Verdana"/>
          <w:sz w:val="20"/>
          <w:szCs w:val="20"/>
          <w:lang w:val="en-US"/>
        </w:rPr>
        <w:t xml:space="preserve">intervention he </w:t>
      </w:r>
      <w:r w:rsidR="003E7BAA" w:rsidRPr="008A3740">
        <w:rPr>
          <w:rFonts w:ascii="Verdana" w:hAnsi="Verdana"/>
          <w:sz w:val="20"/>
          <w:szCs w:val="20"/>
          <w:lang w:val="en-US"/>
        </w:rPr>
        <w:t xml:space="preserve">required </w:t>
      </w:r>
      <w:r w:rsidR="008E6A56" w:rsidRPr="008A3740">
        <w:rPr>
          <w:rFonts w:ascii="Verdana" w:hAnsi="Verdana"/>
          <w:sz w:val="20"/>
          <w:szCs w:val="20"/>
          <w:lang w:val="en-US"/>
        </w:rPr>
        <w:t>(</w:t>
      </w:r>
      <w:r w:rsidR="008E6A56" w:rsidRPr="008A3740">
        <w:rPr>
          <w:rFonts w:ascii="Verdana" w:hAnsi="Verdana"/>
          <w:i/>
          <w:sz w:val="20"/>
          <w:szCs w:val="20"/>
          <w:lang w:val="en-US"/>
        </w:rPr>
        <w:t>supra</w:t>
      </w:r>
      <w:r w:rsidR="004058DC" w:rsidRPr="008A3740">
        <w:rPr>
          <w:rFonts w:ascii="Verdana" w:hAnsi="Verdana"/>
          <w:sz w:val="20"/>
          <w:szCs w:val="20"/>
          <w:lang w:val="en-US"/>
        </w:rPr>
        <w:t>, para. 84)</w:t>
      </w:r>
      <w:r w:rsidR="008E6A56" w:rsidRPr="008A3740">
        <w:rPr>
          <w:rFonts w:ascii="Verdana" w:hAnsi="Verdana"/>
          <w:sz w:val="20"/>
          <w:szCs w:val="20"/>
          <w:lang w:val="en-US"/>
        </w:rPr>
        <w:t xml:space="preserve"> </w:t>
      </w:r>
      <w:r w:rsidR="00155A37" w:rsidRPr="008A3740">
        <w:rPr>
          <w:rFonts w:ascii="Verdana" w:hAnsi="Verdana"/>
          <w:sz w:val="20"/>
          <w:szCs w:val="20"/>
          <w:lang w:val="en-US"/>
        </w:rPr>
        <w:t xml:space="preserve">with </w:t>
      </w:r>
      <w:r w:rsidR="005102DA" w:rsidRPr="008A3740">
        <w:rPr>
          <w:rFonts w:ascii="Verdana" w:hAnsi="Verdana"/>
          <w:sz w:val="20"/>
          <w:szCs w:val="20"/>
          <w:lang w:val="en-US"/>
        </w:rPr>
        <w:t xml:space="preserve">his </w:t>
      </w:r>
      <w:r w:rsidR="00155A37" w:rsidRPr="008A3740">
        <w:rPr>
          <w:rFonts w:ascii="Verdana" w:hAnsi="Verdana"/>
          <w:sz w:val="20"/>
          <w:szCs w:val="20"/>
          <w:lang w:val="en-US"/>
        </w:rPr>
        <w:t xml:space="preserve">own money, </w:t>
      </w:r>
      <w:r w:rsidR="005102DA" w:rsidRPr="008A3740">
        <w:rPr>
          <w:rFonts w:ascii="Verdana" w:hAnsi="Verdana"/>
          <w:sz w:val="20"/>
          <w:szCs w:val="20"/>
          <w:lang w:val="en-US"/>
        </w:rPr>
        <w:t xml:space="preserve">instead of being covered </w:t>
      </w:r>
      <w:r w:rsidR="008E6A56" w:rsidRPr="008A3740">
        <w:rPr>
          <w:rFonts w:ascii="Verdana" w:hAnsi="Verdana"/>
          <w:sz w:val="20"/>
          <w:szCs w:val="20"/>
          <w:lang w:val="en-US"/>
        </w:rPr>
        <w:t xml:space="preserve">by the </w:t>
      </w:r>
      <w:r w:rsidR="00D529B4" w:rsidRPr="008A3740">
        <w:rPr>
          <w:rFonts w:ascii="Verdana" w:hAnsi="Verdana"/>
          <w:sz w:val="20"/>
          <w:szCs w:val="20"/>
          <w:lang w:val="en-US"/>
        </w:rPr>
        <w:t>social health insurance</w:t>
      </w:r>
      <w:r w:rsidR="008E6A56" w:rsidRPr="008A3740">
        <w:rPr>
          <w:rFonts w:ascii="Verdana" w:hAnsi="Verdana"/>
          <w:sz w:val="20"/>
          <w:szCs w:val="20"/>
          <w:lang w:val="en-US"/>
        </w:rPr>
        <w:t xml:space="preserve"> t</w:t>
      </w:r>
      <w:r w:rsidR="00155A37" w:rsidRPr="008A3740">
        <w:rPr>
          <w:rFonts w:ascii="Verdana" w:hAnsi="Verdana"/>
          <w:sz w:val="20"/>
          <w:szCs w:val="20"/>
          <w:lang w:val="en-US"/>
        </w:rPr>
        <w:t>o which he was entitled</w:t>
      </w:r>
      <w:r w:rsidR="008E6A56" w:rsidRPr="008A3740">
        <w:rPr>
          <w:rFonts w:ascii="Verdana" w:hAnsi="Verdana"/>
          <w:sz w:val="20"/>
          <w:szCs w:val="20"/>
          <w:lang w:val="en-US"/>
        </w:rPr>
        <w:t xml:space="preserve">, </w:t>
      </w:r>
      <w:r w:rsidR="004058DC" w:rsidRPr="008A3740">
        <w:rPr>
          <w:rFonts w:ascii="Verdana" w:hAnsi="Verdana"/>
          <w:sz w:val="20"/>
          <w:szCs w:val="20"/>
          <w:lang w:val="en-US"/>
        </w:rPr>
        <w:t xml:space="preserve">in </w:t>
      </w:r>
      <w:r w:rsidR="00155A37" w:rsidRPr="008A3740">
        <w:rPr>
          <w:rFonts w:ascii="Verdana" w:hAnsi="Verdana"/>
          <w:sz w:val="20"/>
          <w:szCs w:val="20"/>
          <w:lang w:val="en-US"/>
        </w:rPr>
        <w:t>violati</w:t>
      </w:r>
      <w:r w:rsidR="004058DC" w:rsidRPr="008A3740">
        <w:rPr>
          <w:rFonts w:ascii="Verdana" w:hAnsi="Verdana"/>
          <w:sz w:val="20"/>
          <w:szCs w:val="20"/>
          <w:lang w:val="en-US"/>
        </w:rPr>
        <w:t xml:space="preserve">on of </w:t>
      </w:r>
      <w:r w:rsidR="00155A37" w:rsidRPr="008A3740">
        <w:rPr>
          <w:rFonts w:ascii="Verdana" w:hAnsi="Verdana"/>
          <w:sz w:val="20"/>
          <w:szCs w:val="20"/>
          <w:lang w:val="en-US"/>
        </w:rPr>
        <w:t xml:space="preserve">his </w:t>
      </w:r>
      <w:r w:rsidR="008E6A56" w:rsidRPr="008A3740">
        <w:rPr>
          <w:rFonts w:ascii="Verdana" w:hAnsi="Verdana"/>
          <w:sz w:val="20"/>
          <w:szCs w:val="20"/>
          <w:lang w:val="en-US"/>
        </w:rPr>
        <w:t xml:space="preserve">right to social security. </w:t>
      </w:r>
    </w:p>
    <w:p w14:paraId="0844AB3B" w14:textId="77777777" w:rsidR="008E6A56" w:rsidRPr="008A3740" w:rsidRDefault="008E6A56" w:rsidP="008E6A56">
      <w:pPr>
        <w:widowControl/>
        <w:tabs>
          <w:tab w:val="left" w:pos="567"/>
          <w:tab w:val="left" w:pos="720"/>
        </w:tabs>
        <w:adjustRightInd/>
        <w:textAlignment w:val="auto"/>
        <w:rPr>
          <w:rFonts w:ascii="Verdana" w:hAnsi="Verdana"/>
          <w:b/>
          <w:sz w:val="20"/>
          <w:szCs w:val="20"/>
          <w:lang w:val="en-US"/>
        </w:rPr>
      </w:pPr>
    </w:p>
    <w:p w14:paraId="4D69B00E" w14:textId="77777777" w:rsidR="008E6A56" w:rsidRPr="008A3740" w:rsidRDefault="00155A37" w:rsidP="00D17A65">
      <w:pPr>
        <w:numPr>
          <w:ilvl w:val="0"/>
          <w:numId w:val="3"/>
        </w:numPr>
        <w:tabs>
          <w:tab w:val="left" w:pos="567"/>
          <w:tab w:val="num" w:pos="1247"/>
          <w:tab w:val="num" w:pos="12305"/>
        </w:tabs>
        <w:ind w:left="0" w:firstLine="0"/>
        <w:rPr>
          <w:sz w:val="20"/>
          <w:szCs w:val="20"/>
          <w:lang w:val="en-US"/>
        </w:rPr>
      </w:pPr>
      <w:r w:rsidRPr="008A3740">
        <w:rPr>
          <w:rFonts w:ascii="Verdana" w:hAnsi="Verdana"/>
          <w:sz w:val="20"/>
          <w:szCs w:val="20"/>
          <w:lang w:val="en-US"/>
        </w:rPr>
        <w:t>Furthermore</w:t>
      </w:r>
      <w:r w:rsidR="008E6A56" w:rsidRPr="008A3740">
        <w:rPr>
          <w:rFonts w:ascii="Verdana" w:hAnsi="Verdana"/>
          <w:sz w:val="20"/>
          <w:szCs w:val="20"/>
          <w:lang w:val="en-US"/>
        </w:rPr>
        <w:t>, the Court considers</w:t>
      </w:r>
      <w:r w:rsidR="008E6A56" w:rsidRPr="008A3740">
        <w:rPr>
          <w:rFonts w:ascii="Verdana" w:hAnsi="Verdana"/>
          <w:sz w:val="20"/>
          <w:szCs w:val="20"/>
          <w:lang w:val="en-US" w:eastAsia="es-ES"/>
        </w:rPr>
        <w:t xml:space="preserve"> that </w:t>
      </w:r>
      <w:r w:rsidR="0032785C" w:rsidRPr="008A3740">
        <w:rPr>
          <w:rFonts w:ascii="Verdana" w:hAnsi="Verdana"/>
          <w:sz w:val="20"/>
          <w:szCs w:val="20"/>
          <w:lang w:val="en-US"/>
        </w:rPr>
        <w:t xml:space="preserve">in a context in which a legally recognized pension is not paid, the rights to </w:t>
      </w:r>
      <w:r w:rsidR="00721F15" w:rsidRPr="008A3740">
        <w:rPr>
          <w:rFonts w:ascii="Verdana" w:hAnsi="Verdana"/>
          <w:sz w:val="20"/>
          <w:szCs w:val="20"/>
          <w:lang w:val="en-US" w:eastAsia="es-ES"/>
        </w:rPr>
        <w:t xml:space="preserve">social security, </w:t>
      </w:r>
      <w:r w:rsidR="008E6A56" w:rsidRPr="008A3740">
        <w:rPr>
          <w:rFonts w:ascii="Verdana" w:hAnsi="Verdana"/>
          <w:sz w:val="20"/>
          <w:szCs w:val="20"/>
          <w:lang w:val="en-US" w:eastAsia="es-ES"/>
        </w:rPr>
        <w:t xml:space="preserve">personal integrity and </w:t>
      </w:r>
      <w:r w:rsidR="00B420B5" w:rsidRPr="008A3740">
        <w:rPr>
          <w:rFonts w:ascii="Verdana" w:hAnsi="Verdana"/>
          <w:sz w:val="20"/>
          <w:szCs w:val="20"/>
          <w:lang w:val="en-US" w:eastAsia="es-ES"/>
        </w:rPr>
        <w:t xml:space="preserve">human </w:t>
      </w:r>
      <w:r w:rsidR="008E6A56" w:rsidRPr="008A3740">
        <w:rPr>
          <w:rFonts w:ascii="Verdana" w:hAnsi="Verdana"/>
          <w:sz w:val="20"/>
          <w:szCs w:val="20"/>
          <w:lang w:val="en-US" w:eastAsia="es-ES"/>
        </w:rPr>
        <w:t xml:space="preserve">dignity </w:t>
      </w:r>
      <w:r w:rsidR="00851590" w:rsidRPr="008A3740">
        <w:rPr>
          <w:rFonts w:ascii="Verdana" w:hAnsi="Verdana"/>
          <w:sz w:val="20"/>
          <w:szCs w:val="20"/>
          <w:lang w:val="en-US" w:eastAsia="es-ES"/>
        </w:rPr>
        <w:t xml:space="preserve">are also affected, since they are </w:t>
      </w:r>
      <w:r w:rsidR="00851590" w:rsidRPr="008A3740">
        <w:rPr>
          <w:rFonts w:ascii="Verdana" w:hAnsi="Verdana"/>
          <w:sz w:val="20"/>
          <w:szCs w:val="20"/>
          <w:lang w:val="en-US"/>
        </w:rPr>
        <w:t xml:space="preserve">interrelated, and that sometimes </w:t>
      </w:r>
      <w:r w:rsidR="008E6A56" w:rsidRPr="008A3740">
        <w:rPr>
          <w:rFonts w:ascii="Verdana" w:hAnsi="Verdana"/>
          <w:sz w:val="20"/>
          <w:szCs w:val="20"/>
          <w:lang w:val="en-US" w:eastAsia="es-ES"/>
        </w:rPr>
        <w:t>the v</w:t>
      </w:r>
      <w:r w:rsidR="00B420B5" w:rsidRPr="008A3740">
        <w:rPr>
          <w:rFonts w:ascii="Verdana" w:hAnsi="Verdana"/>
          <w:sz w:val="20"/>
          <w:szCs w:val="20"/>
          <w:lang w:val="en-US" w:eastAsia="es-ES"/>
        </w:rPr>
        <w:t xml:space="preserve">iolation of one right </w:t>
      </w:r>
      <w:r w:rsidR="008E6A56" w:rsidRPr="008A3740">
        <w:rPr>
          <w:rFonts w:ascii="Verdana" w:hAnsi="Verdana"/>
          <w:sz w:val="20"/>
          <w:szCs w:val="20"/>
          <w:lang w:val="en-US" w:eastAsia="es-ES"/>
        </w:rPr>
        <w:t xml:space="preserve">directly </w:t>
      </w:r>
      <w:r w:rsidR="007959CD" w:rsidRPr="008A3740">
        <w:rPr>
          <w:rFonts w:ascii="Verdana" w:hAnsi="Verdana"/>
          <w:sz w:val="20"/>
          <w:szCs w:val="20"/>
          <w:lang w:val="en-US" w:eastAsia="es-ES"/>
        </w:rPr>
        <w:t xml:space="preserve">affects </w:t>
      </w:r>
      <w:r w:rsidR="00851590" w:rsidRPr="008A3740">
        <w:rPr>
          <w:rFonts w:ascii="Verdana" w:hAnsi="Verdana"/>
          <w:sz w:val="20"/>
          <w:szCs w:val="20"/>
          <w:lang w:val="en-US" w:eastAsia="es-ES"/>
        </w:rPr>
        <w:t>an</w:t>
      </w:r>
      <w:r w:rsidR="008E6A56" w:rsidRPr="008A3740">
        <w:rPr>
          <w:rFonts w:ascii="Verdana" w:hAnsi="Verdana"/>
          <w:sz w:val="20"/>
          <w:szCs w:val="20"/>
          <w:lang w:val="en-US" w:eastAsia="es-ES"/>
        </w:rPr>
        <w:t>ot</w:t>
      </w:r>
      <w:r w:rsidR="007959CD" w:rsidRPr="008A3740">
        <w:rPr>
          <w:rFonts w:ascii="Verdana" w:hAnsi="Verdana"/>
          <w:sz w:val="20"/>
          <w:szCs w:val="20"/>
          <w:lang w:val="en-US" w:eastAsia="es-ES"/>
        </w:rPr>
        <w:t>her</w:t>
      </w:r>
      <w:r w:rsidR="008E6A56" w:rsidRPr="008A3740">
        <w:rPr>
          <w:rFonts w:ascii="Verdana" w:hAnsi="Verdana"/>
          <w:sz w:val="20"/>
          <w:szCs w:val="20"/>
          <w:lang w:val="en-US" w:eastAsia="es-ES"/>
        </w:rPr>
        <w:t xml:space="preserve">, </w:t>
      </w:r>
      <w:r w:rsidR="007959CD" w:rsidRPr="008A3740">
        <w:rPr>
          <w:rFonts w:ascii="Verdana" w:hAnsi="Verdana"/>
          <w:sz w:val="20"/>
          <w:szCs w:val="20"/>
          <w:lang w:val="en-US" w:eastAsia="es-ES"/>
        </w:rPr>
        <w:t xml:space="preserve">a </w:t>
      </w:r>
      <w:r w:rsidR="008E6A56" w:rsidRPr="008A3740">
        <w:rPr>
          <w:rFonts w:ascii="Verdana" w:hAnsi="Verdana"/>
          <w:sz w:val="20"/>
          <w:szCs w:val="20"/>
          <w:lang w:val="en-US" w:eastAsia="es-ES"/>
        </w:rPr>
        <w:t xml:space="preserve">situation that </w:t>
      </w:r>
      <w:r w:rsidR="007959CD" w:rsidRPr="008A3740">
        <w:rPr>
          <w:rFonts w:ascii="Verdana" w:hAnsi="Verdana"/>
          <w:sz w:val="20"/>
          <w:szCs w:val="20"/>
          <w:lang w:val="en-US" w:eastAsia="es-ES"/>
        </w:rPr>
        <w:t xml:space="preserve">is accentuated </w:t>
      </w:r>
      <w:r w:rsidR="008E6A56" w:rsidRPr="008A3740">
        <w:rPr>
          <w:rFonts w:ascii="Verdana" w:hAnsi="Verdana"/>
          <w:sz w:val="20"/>
          <w:szCs w:val="20"/>
          <w:lang w:val="en-US" w:eastAsia="es-ES"/>
        </w:rPr>
        <w:t xml:space="preserve">in the case </w:t>
      </w:r>
      <w:r w:rsidR="007959CD" w:rsidRPr="008A3740">
        <w:rPr>
          <w:rFonts w:ascii="Verdana" w:hAnsi="Verdana"/>
          <w:sz w:val="20"/>
          <w:szCs w:val="20"/>
          <w:lang w:val="en-US" w:eastAsia="es-ES"/>
        </w:rPr>
        <w:t>of older persons</w:t>
      </w:r>
      <w:r w:rsidR="008E6A56" w:rsidRPr="008A3740">
        <w:rPr>
          <w:rFonts w:ascii="Verdana" w:hAnsi="Verdana"/>
          <w:sz w:val="20"/>
          <w:szCs w:val="20"/>
          <w:lang w:val="en-US" w:eastAsia="es-ES"/>
        </w:rPr>
        <w:t xml:space="preserve">. </w:t>
      </w:r>
      <w:r w:rsidR="00721F15" w:rsidRPr="008A3740">
        <w:rPr>
          <w:rFonts w:ascii="Verdana" w:hAnsi="Verdana"/>
          <w:sz w:val="20"/>
          <w:szCs w:val="20"/>
          <w:lang w:val="en-US" w:eastAsia="es-ES"/>
        </w:rPr>
        <w:t xml:space="preserve">Although </w:t>
      </w:r>
      <w:r w:rsidR="007959CD" w:rsidRPr="008A3740">
        <w:rPr>
          <w:rFonts w:ascii="Verdana" w:hAnsi="Verdana"/>
          <w:sz w:val="20"/>
          <w:szCs w:val="20"/>
          <w:lang w:val="en-US" w:eastAsia="es-ES"/>
        </w:rPr>
        <w:t xml:space="preserve">neither </w:t>
      </w:r>
      <w:r w:rsidR="007959CD" w:rsidRPr="008A3740">
        <w:rPr>
          <w:rFonts w:ascii="Verdana" w:hAnsi="Verdana"/>
          <w:sz w:val="20"/>
          <w:szCs w:val="20"/>
          <w:lang w:val="en-US"/>
        </w:rPr>
        <w:t>the Commission nor</w:t>
      </w:r>
      <w:r w:rsidR="008E6A56" w:rsidRPr="008A3740">
        <w:rPr>
          <w:rFonts w:ascii="Verdana" w:hAnsi="Verdana"/>
          <w:sz w:val="20"/>
          <w:szCs w:val="20"/>
          <w:lang w:val="en-US"/>
        </w:rPr>
        <w:t xml:space="preserve"> the representatives </w:t>
      </w:r>
      <w:r w:rsidR="00721F15" w:rsidRPr="008A3740">
        <w:rPr>
          <w:rFonts w:ascii="Verdana" w:hAnsi="Verdana"/>
          <w:sz w:val="20"/>
          <w:szCs w:val="20"/>
          <w:lang w:val="en-US"/>
        </w:rPr>
        <w:t xml:space="preserve">have </w:t>
      </w:r>
      <w:r w:rsidR="007959CD" w:rsidRPr="008A3740">
        <w:rPr>
          <w:rFonts w:ascii="Verdana" w:hAnsi="Verdana"/>
          <w:sz w:val="20"/>
          <w:szCs w:val="20"/>
          <w:lang w:val="en-US"/>
        </w:rPr>
        <w:t xml:space="preserve">expressly </w:t>
      </w:r>
      <w:r w:rsidR="008E6A56" w:rsidRPr="008A3740">
        <w:rPr>
          <w:rFonts w:ascii="Verdana" w:hAnsi="Verdana"/>
          <w:sz w:val="20"/>
          <w:szCs w:val="20"/>
          <w:lang w:val="en-US"/>
        </w:rPr>
        <w:t>al</w:t>
      </w:r>
      <w:r w:rsidR="00B420B5" w:rsidRPr="008A3740">
        <w:rPr>
          <w:rFonts w:ascii="Verdana" w:hAnsi="Verdana"/>
          <w:sz w:val="20"/>
          <w:szCs w:val="20"/>
          <w:lang w:val="en-US"/>
        </w:rPr>
        <w:t>lege</w:t>
      </w:r>
      <w:r w:rsidR="00721F15" w:rsidRPr="008A3740">
        <w:rPr>
          <w:rFonts w:ascii="Verdana" w:hAnsi="Verdana"/>
          <w:sz w:val="20"/>
          <w:szCs w:val="20"/>
          <w:lang w:val="en-US"/>
        </w:rPr>
        <w:t>d</w:t>
      </w:r>
      <w:r w:rsidR="00B420B5" w:rsidRPr="008A3740">
        <w:rPr>
          <w:rFonts w:ascii="Verdana" w:hAnsi="Verdana"/>
          <w:sz w:val="20"/>
          <w:szCs w:val="20"/>
          <w:lang w:val="en-US"/>
        </w:rPr>
        <w:t xml:space="preserve"> </w:t>
      </w:r>
      <w:r w:rsidR="00851590" w:rsidRPr="008A3740">
        <w:rPr>
          <w:rFonts w:ascii="Verdana" w:hAnsi="Verdana"/>
          <w:sz w:val="20"/>
          <w:szCs w:val="20"/>
          <w:lang w:val="en-US"/>
        </w:rPr>
        <w:t xml:space="preserve">the violation of </w:t>
      </w:r>
      <w:r w:rsidR="008E6A56" w:rsidRPr="008A3740">
        <w:rPr>
          <w:rFonts w:ascii="Verdana" w:hAnsi="Verdana"/>
          <w:sz w:val="20"/>
          <w:szCs w:val="20"/>
          <w:lang w:val="en-US"/>
        </w:rPr>
        <w:t>Ar</w:t>
      </w:r>
      <w:r w:rsidR="007959CD" w:rsidRPr="008A3740">
        <w:rPr>
          <w:rFonts w:ascii="Verdana" w:hAnsi="Verdana"/>
          <w:sz w:val="20"/>
          <w:szCs w:val="20"/>
          <w:lang w:val="en-US"/>
        </w:rPr>
        <w:t>ticles 5(</w:t>
      </w:r>
      <w:r w:rsidR="008E6A56" w:rsidRPr="008A3740">
        <w:rPr>
          <w:rFonts w:ascii="Verdana" w:hAnsi="Verdana"/>
          <w:sz w:val="20"/>
          <w:szCs w:val="20"/>
          <w:lang w:val="en-US"/>
        </w:rPr>
        <w:t>1</w:t>
      </w:r>
      <w:r w:rsidR="007959CD" w:rsidRPr="008A3740">
        <w:rPr>
          <w:rFonts w:ascii="Verdana" w:hAnsi="Verdana"/>
          <w:sz w:val="20"/>
          <w:szCs w:val="20"/>
          <w:lang w:val="en-US"/>
        </w:rPr>
        <w:t>) and 11(</w:t>
      </w:r>
      <w:r w:rsidR="008E6A56" w:rsidRPr="008A3740">
        <w:rPr>
          <w:rFonts w:ascii="Verdana" w:hAnsi="Verdana"/>
          <w:sz w:val="20"/>
          <w:szCs w:val="20"/>
          <w:lang w:val="en-US"/>
        </w:rPr>
        <w:t>1</w:t>
      </w:r>
      <w:r w:rsidR="007959CD" w:rsidRPr="008A3740">
        <w:rPr>
          <w:rFonts w:ascii="Verdana" w:hAnsi="Verdana"/>
          <w:sz w:val="20"/>
          <w:szCs w:val="20"/>
          <w:lang w:val="en-US"/>
        </w:rPr>
        <w:t>)</w:t>
      </w:r>
      <w:r w:rsidR="008E6A56" w:rsidRPr="008A3740">
        <w:rPr>
          <w:rFonts w:ascii="Verdana" w:hAnsi="Verdana"/>
          <w:sz w:val="20"/>
          <w:szCs w:val="20"/>
          <w:lang w:val="en-US"/>
        </w:rPr>
        <w:t xml:space="preserve"> of the Convention in th</w:t>
      </w:r>
      <w:r w:rsidR="00721F15" w:rsidRPr="008A3740">
        <w:rPr>
          <w:rFonts w:ascii="Verdana" w:hAnsi="Verdana"/>
          <w:sz w:val="20"/>
          <w:szCs w:val="20"/>
          <w:lang w:val="en-US"/>
        </w:rPr>
        <w:t xml:space="preserve">e instant </w:t>
      </w:r>
      <w:r w:rsidR="008E6A56" w:rsidRPr="008A3740">
        <w:rPr>
          <w:rFonts w:ascii="Verdana" w:hAnsi="Verdana"/>
          <w:sz w:val="20"/>
          <w:szCs w:val="20"/>
          <w:lang w:val="en-US"/>
        </w:rPr>
        <w:t xml:space="preserve">case, </w:t>
      </w:r>
      <w:r w:rsidR="0032785C" w:rsidRPr="008A3740">
        <w:rPr>
          <w:rFonts w:ascii="Verdana" w:hAnsi="Verdana"/>
          <w:sz w:val="20"/>
          <w:szCs w:val="20"/>
          <w:lang w:val="en-US"/>
        </w:rPr>
        <w:t>that</w:t>
      </w:r>
      <w:r w:rsidR="00AC43A6" w:rsidRPr="008A3740">
        <w:rPr>
          <w:rFonts w:ascii="Verdana" w:hAnsi="Verdana"/>
          <w:sz w:val="20"/>
          <w:szCs w:val="20"/>
          <w:lang w:val="en-US"/>
        </w:rPr>
        <w:t xml:space="preserve"> does not prevent this Court from applying those precept</w:t>
      </w:r>
      <w:r w:rsidR="008E6A56" w:rsidRPr="008A3740">
        <w:rPr>
          <w:rFonts w:ascii="Verdana" w:hAnsi="Verdana"/>
          <w:sz w:val="20"/>
          <w:szCs w:val="20"/>
          <w:lang w:val="en-US"/>
        </w:rPr>
        <w:t xml:space="preserve">s </w:t>
      </w:r>
      <w:r w:rsidR="00B420B5" w:rsidRPr="008A3740">
        <w:rPr>
          <w:rFonts w:ascii="Verdana" w:hAnsi="Verdana"/>
          <w:sz w:val="20"/>
          <w:szCs w:val="20"/>
          <w:lang w:val="en-US"/>
        </w:rPr>
        <w:t xml:space="preserve">by virtue of a general principle of law, </w:t>
      </w:r>
      <w:r w:rsidR="00B420B5" w:rsidRPr="008A3740">
        <w:rPr>
          <w:rFonts w:ascii="Verdana" w:hAnsi="Verdana"/>
          <w:i/>
          <w:sz w:val="20"/>
          <w:szCs w:val="20"/>
          <w:lang w:val="en-US"/>
        </w:rPr>
        <w:t>iura novit curia</w:t>
      </w:r>
      <w:r w:rsidR="00B420B5" w:rsidRPr="008A3740">
        <w:rPr>
          <w:rFonts w:ascii="Verdana" w:hAnsi="Verdana"/>
          <w:sz w:val="20"/>
          <w:szCs w:val="20"/>
          <w:lang w:val="en-US"/>
        </w:rPr>
        <w:t>, on which international jurisprudence has repeatedly relied and under which a court has the power and the duty to apply the juridical provisions relevant to a proceeding, even when the parties do not expressly invoke them.</w:t>
      </w:r>
      <w:r w:rsidR="008E6A56" w:rsidRPr="008A3740">
        <w:rPr>
          <w:rStyle w:val="Refdenotaalpie"/>
          <w:szCs w:val="20"/>
          <w:lang w:val="en-US"/>
        </w:rPr>
        <w:footnoteReference w:id="217"/>
      </w:r>
    </w:p>
    <w:p w14:paraId="6A93D6B6"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eastAsia="es-ES"/>
        </w:rPr>
      </w:pPr>
    </w:p>
    <w:p w14:paraId="44A0E4DA" w14:textId="77777777" w:rsidR="008E6A56" w:rsidRPr="008A3740" w:rsidRDefault="00AC43A6" w:rsidP="00D17A65">
      <w:pPr>
        <w:widowControl/>
        <w:numPr>
          <w:ilvl w:val="0"/>
          <w:numId w:val="3"/>
        </w:numPr>
        <w:tabs>
          <w:tab w:val="left" w:pos="567"/>
          <w:tab w:val="left" w:pos="720"/>
        </w:tabs>
        <w:adjustRightInd/>
        <w:ind w:left="0" w:firstLine="0"/>
        <w:textAlignment w:val="auto"/>
        <w:rPr>
          <w:rFonts w:ascii="Verdana" w:hAnsi="Verdana"/>
          <w:sz w:val="20"/>
          <w:szCs w:val="20"/>
          <w:lang w:val="en-US" w:eastAsia="es-ES"/>
        </w:rPr>
      </w:pPr>
      <w:r w:rsidRPr="008A3740">
        <w:rPr>
          <w:rFonts w:ascii="Verdana" w:hAnsi="Verdana"/>
          <w:sz w:val="20"/>
          <w:szCs w:val="20"/>
          <w:lang w:val="en-US" w:eastAsia="es-ES"/>
        </w:rPr>
        <w:t>Indeed</w:t>
      </w:r>
      <w:r w:rsidR="00B420B5" w:rsidRPr="008A3740">
        <w:rPr>
          <w:rFonts w:ascii="Verdana" w:hAnsi="Verdana"/>
          <w:sz w:val="20"/>
          <w:szCs w:val="20"/>
          <w:lang w:val="en-US" w:eastAsia="es-ES"/>
        </w:rPr>
        <w:t xml:space="preserve">, the </w:t>
      </w:r>
      <w:r w:rsidR="00F200EA" w:rsidRPr="008A3740">
        <w:rPr>
          <w:rFonts w:ascii="Verdana" w:hAnsi="Verdana"/>
          <w:sz w:val="20"/>
          <w:szCs w:val="20"/>
          <w:lang w:val="en-US" w:eastAsia="es-ES"/>
        </w:rPr>
        <w:t xml:space="preserve">lack </w:t>
      </w:r>
      <w:r w:rsidR="00B420B5" w:rsidRPr="008A3740">
        <w:rPr>
          <w:rFonts w:ascii="Verdana" w:hAnsi="Verdana"/>
          <w:sz w:val="20"/>
          <w:szCs w:val="20"/>
          <w:lang w:val="en-US" w:eastAsia="es-ES"/>
        </w:rPr>
        <w:t xml:space="preserve">of financial </w:t>
      </w:r>
      <w:r w:rsidR="008E6A56" w:rsidRPr="008A3740">
        <w:rPr>
          <w:rFonts w:ascii="Verdana" w:hAnsi="Verdana"/>
          <w:sz w:val="20"/>
          <w:szCs w:val="20"/>
          <w:lang w:val="en-US" w:eastAsia="es-ES"/>
        </w:rPr>
        <w:t>re</w:t>
      </w:r>
      <w:r w:rsidR="00B420B5" w:rsidRPr="008A3740">
        <w:rPr>
          <w:rFonts w:ascii="Verdana" w:hAnsi="Verdana"/>
          <w:sz w:val="20"/>
          <w:szCs w:val="20"/>
          <w:lang w:val="en-US" w:eastAsia="es-ES"/>
        </w:rPr>
        <w:t xml:space="preserve">sources </w:t>
      </w:r>
      <w:r w:rsidR="00F200EA" w:rsidRPr="008A3740">
        <w:rPr>
          <w:rFonts w:ascii="Verdana" w:hAnsi="Verdana"/>
          <w:sz w:val="20"/>
          <w:szCs w:val="20"/>
          <w:lang w:val="en-US" w:eastAsia="es-ES"/>
        </w:rPr>
        <w:t xml:space="preserve">resulting from </w:t>
      </w:r>
      <w:r w:rsidRPr="008A3740">
        <w:rPr>
          <w:rFonts w:ascii="Verdana" w:hAnsi="Verdana"/>
          <w:sz w:val="20"/>
          <w:szCs w:val="20"/>
          <w:lang w:val="en-US" w:eastAsia="es-ES"/>
        </w:rPr>
        <w:t xml:space="preserve">the </w:t>
      </w:r>
      <w:r w:rsidR="00B420B5" w:rsidRPr="008A3740">
        <w:rPr>
          <w:rFonts w:ascii="Verdana" w:hAnsi="Verdana"/>
          <w:sz w:val="20"/>
          <w:szCs w:val="20"/>
          <w:lang w:val="en-US" w:eastAsia="es-ES"/>
        </w:rPr>
        <w:t xml:space="preserve">failure to pay pension allowances </w:t>
      </w:r>
      <w:r w:rsidRPr="008A3740">
        <w:rPr>
          <w:rFonts w:ascii="Verdana" w:hAnsi="Verdana"/>
          <w:sz w:val="20"/>
          <w:szCs w:val="20"/>
          <w:lang w:val="en-US" w:eastAsia="es-ES"/>
        </w:rPr>
        <w:t xml:space="preserve">directly undermines the dignity </w:t>
      </w:r>
      <w:r w:rsidR="00721F15" w:rsidRPr="008A3740">
        <w:rPr>
          <w:rFonts w:ascii="Verdana" w:hAnsi="Verdana"/>
          <w:sz w:val="20"/>
          <w:szCs w:val="20"/>
          <w:lang w:val="en-US" w:eastAsia="es-ES"/>
        </w:rPr>
        <w:t>of an</w:t>
      </w:r>
      <w:r w:rsidRPr="008A3740">
        <w:rPr>
          <w:rFonts w:ascii="Verdana" w:hAnsi="Verdana"/>
          <w:sz w:val="20"/>
          <w:szCs w:val="20"/>
          <w:lang w:val="en-US" w:eastAsia="es-ES"/>
        </w:rPr>
        <w:t xml:space="preserve"> older person, since at this stage of life </w:t>
      </w:r>
      <w:r w:rsidR="008E6A56" w:rsidRPr="008A3740">
        <w:rPr>
          <w:rFonts w:ascii="Verdana" w:hAnsi="Verdana"/>
          <w:sz w:val="20"/>
          <w:szCs w:val="20"/>
          <w:lang w:val="en-US" w:eastAsia="es-ES"/>
        </w:rPr>
        <w:t>the pension constitu</w:t>
      </w:r>
      <w:r w:rsidRPr="008A3740">
        <w:rPr>
          <w:rFonts w:ascii="Verdana" w:hAnsi="Verdana"/>
          <w:sz w:val="20"/>
          <w:szCs w:val="20"/>
          <w:lang w:val="en-US" w:eastAsia="es-ES"/>
        </w:rPr>
        <w:t>tes the</w:t>
      </w:r>
      <w:r w:rsidR="00851590" w:rsidRPr="008A3740">
        <w:rPr>
          <w:rFonts w:ascii="Verdana" w:hAnsi="Verdana"/>
          <w:sz w:val="20"/>
          <w:szCs w:val="20"/>
          <w:lang w:val="en-US" w:eastAsia="es-ES"/>
        </w:rPr>
        <w:t>ir</w:t>
      </w:r>
      <w:r w:rsidRPr="008A3740">
        <w:rPr>
          <w:rFonts w:ascii="Verdana" w:hAnsi="Verdana"/>
          <w:sz w:val="20"/>
          <w:szCs w:val="20"/>
          <w:lang w:val="en-US" w:eastAsia="es-ES"/>
        </w:rPr>
        <w:t xml:space="preserve"> main source of </w:t>
      </w:r>
      <w:r w:rsidR="0032785C" w:rsidRPr="008A3740">
        <w:rPr>
          <w:rFonts w:ascii="Verdana" w:hAnsi="Verdana"/>
          <w:sz w:val="20"/>
          <w:szCs w:val="20"/>
          <w:lang w:val="en-US" w:eastAsia="es-ES"/>
        </w:rPr>
        <w:t xml:space="preserve">income </w:t>
      </w:r>
      <w:r w:rsidRPr="008A3740">
        <w:rPr>
          <w:rFonts w:ascii="Verdana" w:hAnsi="Verdana"/>
          <w:sz w:val="20"/>
          <w:szCs w:val="20"/>
          <w:lang w:val="en-US" w:eastAsia="es-ES"/>
        </w:rPr>
        <w:t xml:space="preserve">to cover the basic and </w:t>
      </w:r>
      <w:r w:rsidR="008E6A56" w:rsidRPr="008A3740">
        <w:rPr>
          <w:rFonts w:ascii="Verdana" w:hAnsi="Verdana"/>
          <w:sz w:val="20"/>
          <w:szCs w:val="20"/>
          <w:lang w:val="en-US" w:eastAsia="es-ES"/>
        </w:rPr>
        <w:t>e</w:t>
      </w:r>
      <w:r w:rsidR="0032785C" w:rsidRPr="008A3740">
        <w:rPr>
          <w:rFonts w:ascii="Verdana" w:hAnsi="Verdana"/>
          <w:sz w:val="20"/>
          <w:szCs w:val="20"/>
          <w:lang w:val="en-US" w:eastAsia="es-ES"/>
        </w:rPr>
        <w:t xml:space="preserve">ssential </w:t>
      </w:r>
      <w:r w:rsidR="00851590" w:rsidRPr="008A3740">
        <w:rPr>
          <w:rFonts w:ascii="Verdana" w:hAnsi="Verdana"/>
          <w:sz w:val="20"/>
          <w:szCs w:val="20"/>
          <w:lang w:val="en-US" w:eastAsia="es-ES"/>
        </w:rPr>
        <w:t xml:space="preserve">necessities </w:t>
      </w:r>
      <w:r w:rsidR="00F200EA" w:rsidRPr="008A3740">
        <w:rPr>
          <w:rFonts w:ascii="Verdana" w:hAnsi="Verdana"/>
          <w:sz w:val="20"/>
          <w:szCs w:val="20"/>
          <w:lang w:val="en-US" w:eastAsia="es-ES"/>
        </w:rPr>
        <w:t>of a human being</w:t>
      </w:r>
      <w:r w:rsidR="008E6A56" w:rsidRPr="008A3740">
        <w:rPr>
          <w:rFonts w:ascii="Verdana" w:hAnsi="Verdana"/>
          <w:sz w:val="20"/>
          <w:szCs w:val="20"/>
          <w:lang w:val="en-US" w:eastAsia="es-ES"/>
        </w:rPr>
        <w:t>.</w:t>
      </w:r>
    </w:p>
    <w:p w14:paraId="6B7845C7"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eastAsia="es-ES"/>
        </w:rPr>
      </w:pPr>
    </w:p>
    <w:p w14:paraId="0019C12F" w14:textId="77777777" w:rsidR="008E6A56" w:rsidRPr="008A3740" w:rsidRDefault="00F200EA" w:rsidP="00D17A65">
      <w:pPr>
        <w:numPr>
          <w:ilvl w:val="0"/>
          <w:numId w:val="3"/>
        </w:numPr>
        <w:tabs>
          <w:tab w:val="left" w:pos="567"/>
          <w:tab w:val="num" w:pos="1247"/>
          <w:tab w:val="num" w:pos="12305"/>
        </w:tabs>
        <w:ind w:left="0" w:firstLine="0"/>
        <w:rPr>
          <w:sz w:val="20"/>
          <w:szCs w:val="20"/>
          <w:lang w:val="en-US"/>
        </w:rPr>
      </w:pPr>
      <w:r w:rsidRPr="008A3740">
        <w:rPr>
          <w:rFonts w:ascii="Verdana" w:hAnsi="Verdana"/>
          <w:sz w:val="20"/>
          <w:szCs w:val="20"/>
          <w:lang w:val="en-US" w:eastAsia="es-ES"/>
        </w:rPr>
        <w:t>F</w:t>
      </w:r>
      <w:r w:rsidR="0032785C" w:rsidRPr="008A3740">
        <w:rPr>
          <w:rFonts w:ascii="Verdana" w:hAnsi="Verdana"/>
          <w:sz w:val="20"/>
          <w:szCs w:val="20"/>
          <w:lang w:val="en-US" w:eastAsia="es-ES"/>
        </w:rPr>
        <w:t xml:space="preserve">or older persons, </w:t>
      </w:r>
      <w:r w:rsidR="008E6A56" w:rsidRPr="008A3740">
        <w:rPr>
          <w:rFonts w:ascii="Verdana" w:hAnsi="Verdana"/>
          <w:sz w:val="20"/>
          <w:szCs w:val="20"/>
          <w:lang w:val="en-US" w:eastAsia="es-ES"/>
        </w:rPr>
        <w:t xml:space="preserve">the </w:t>
      </w:r>
      <w:r w:rsidR="00721F15" w:rsidRPr="008A3740">
        <w:rPr>
          <w:rFonts w:ascii="Verdana" w:hAnsi="Verdana"/>
          <w:sz w:val="20"/>
          <w:szCs w:val="20"/>
          <w:lang w:val="en-US" w:eastAsia="es-ES"/>
        </w:rPr>
        <w:t xml:space="preserve">impairment of </w:t>
      </w:r>
      <w:r w:rsidR="008E6A56" w:rsidRPr="008A3740">
        <w:rPr>
          <w:rFonts w:ascii="Verdana" w:hAnsi="Verdana"/>
          <w:sz w:val="20"/>
          <w:szCs w:val="20"/>
          <w:lang w:val="en-US" w:eastAsia="es-ES"/>
        </w:rPr>
        <w:t>the</w:t>
      </w:r>
      <w:r w:rsidR="0032785C" w:rsidRPr="008A3740">
        <w:rPr>
          <w:rFonts w:ascii="Verdana" w:hAnsi="Verdana"/>
          <w:sz w:val="20"/>
          <w:szCs w:val="20"/>
          <w:lang w:val="en-US" w:eastAsia="es-ES"/>
        </w:rPr>
        <w:t>ir</w:t>
      </w:r>
      <w:r w:rsidR="008E6A56" w:rsidRPr="008A3740">
        <w:rPr>
          <w:rFonts w:ascii="Verdana" w:hAnsi="Verdana"/>
          <w:sz w:val="20"/>
          <w:szCs w:val="20"/>
          <w:lang w:val="en-US" w:eastAsia="es-ES"/>
        </w:rPr>
        <w:t xml:space="preserve"> right to social security </w:t>
      </w:r>
      <w:r w:rsidR="00721F15" w:rsidRPr="008A3740">
        <w:rPr>
          <w:rFonts w:ascii="Verdana" w:hAnsi="Verdana"/>
          <w:sz w:val="20"/>
          <w:szCs w:val="20"/>
          <w:lang w:val="en-US" w:eastAsia="es-ES"/>
        </w:rPr>
        <w:t xml:space="preserve">through </w:t>
      </w:r>
      <w:r w:rsidR="0032785C" w:rsidRPr="008A3740">
        <w:rPr>
          <w:rFonts w:ascii="Verdana" w:hAnsi="Verdana"/>
          <w:sz w:val="20"/>
          <w:szCs w:val="20"/>
          <w:lang w:val="en-US" w:eastAsia="es-ES"/>
        </w:rPr>
        <w:t xml:space="preserve">the </w:t>
      </w:r>
      <w:r w:rsidR="00721F15" w:rsidRPr="008A3740">
        <w:rPr>
          <w:rFonts w:ascii="Verdana" w:hAnsi="Verdana"/>
          <w:sz w:val="20"/>
          <w:szCs w:val="20"/>
          <w:lang w:val="en-US" w:eastAsia="es-ES"/>
        </w:rPr>
        <w:t xml:space="preserve">failure to pay pension </w:t>
      </w:r>
      <w:r w:rsidR="00AC43A6" w:rsidRPr="008A3740">
        <w:rPr>
          <w:rFonts w:ascii="Verdana" w:hAnsi="Verdana"/>
          <w:sz w:val="20"/>
          <w:szCs w:val="20"/>
          <w:lang w:val="en-US" w:eastAsia="es-ES"/>
        </w:rPr>
        <w:t xml:space="preserve">allowances </w:t>
      </w:r>
      <w:r w:rsidRPr="008A3740">
        <w:rPr>
          <w:rFonts w:ascii="Verdana" w:hAnsi="Verdana"/>
          <w:sz w:val="20"/>
          <w:szCs w:val="20"/>
          <w:lang w:val="en-US" w:eastAsia="es-ES"/>
        </w:rPr>
        <w:t xml:space="preserve">also </w:t>
      </w:r>
      <w:r w:rsidR="0032785C" w:rsidRPr="008A3740">
        <w:rPr>
          <w:rFonts w:ascii="Verdana" w:hAnsi="Verdana"/>
          <w:sz w:val="20"/>
          <w:szCs w:val="20"/>
          <w:lang w:val="en-US" w:eastAsia="es-ES"/>
        </w:rPr>
        <w:t xml:space="preserve">causes </w:t>
      </w:r>
      <w:r w:rsidR="008E6A56" w:rsidRPr="008A3740">
        <w:rPr>
          <w:rFonts w:ascii="Verdana" w:hAnsi="Verdana"/>
          <w:sz w:val="20"/>
          <w:szCs w:val="20"/>
          <w:lang w:val="en-US" w:eastAsia="es-ES"/>
        </w:rPr>
        <w:t>anguish, inse</w:t>
      </w:r>
      <w:r w:rsidR="00AC43A6" w:rsidRPr="008A3740">
        <w:rPr>
          <w:rFonts w:ascii="Verdana" w:hAnsi="Verdana"/>
          <w:sz w:val="20"/>
          <w:szCs w:val="20"/>
          <w:lang w:val="en-US" w:eastAsia="es-ES"/>
        </w:rPr>
        <w:t xml:space="preserve">curity </w:t>
      </w:r>
      <w:r w:rsidR="008E6A56" w:rsidRPr="008A3740">
        <w:rPr>
          <w:rFonts w:ascii="Verdana" w:hAnsi="Verdana"/>
          <w:sz w:val="20"/>
          <w:szCs w:val="20"/>
          <w:lang w:val="en-US" w:eastAsia="es-ES"/>
        </w:rPr>
        <w:t xml:space="preserve">and uncertainty </w:t>
      </w:r>
      <w:r w:rsidR="00AC43A6" w:rsidRPr="008A3740">
        <w:rPr>
          <w:rFonts w:ascii="Verdana" w:hAnsi="Verdana"/>
          <w:sz w:val="20"/>
          <w:szCs w:val="20"/>
          <w:lang w:val="en-US" w:eastAsia="es-ES"/>
        </w:rPr>
        <w:t>regarding the</w:t>
      </w:r>
      <w:r w:rsidR="0032785C" w:rsidRPr="008A3740">
        <w:rPr>
          <w:rFonts w:ascii="Verdana" w:hAnsi="Verdana"/>
          <w:sz w:val="20"/>
          <w:szCs w:val="20"/>
          <w:lang w:val="en-US" w:eastAsia="es-ES"/>
        </w:rPr>
        <w:t>ir</w:t>
      </w:r>
      <w:r w:rsidR="00AC43A6" w:rsidRPr="008A3740">
        <w:rPr>
          <w:rFonts w:ascii="Verdana" w:hAnsi="Verdana"/>
          <w:sz w:val="20"/>
          <w:szCs w:val="20"/>
          <w:lang w:val="en-US" w:eastAsia="es-ES"/>
        </w:rPr>
        <w:t xml:space="preserve"> </w:t>
      </w:r>
      <w:r w:rsidR="008E6A56" w:rsidRPr="008A3740">
        <w:rPr>
          <w:rFonts w:ascii="Verdana" w:hAnsi="Verdana"/>
          <w:sz w:val="20"/>
          <w:szCs w:val="20"/>
          <w:lang w:val="en-US" w:eastAsia="es-ES"/>
        </w:rPr>
        <w:t>futur</w:t>
      </w:r>
      <w:r w:rsidR="00AC43A6" w:rsidRPr="008A3740">
        <w:rPr>
          <w:rFonts w:ascii="Verdana" w:hAnsi="Verdana"/>
          <w:sz w:val="20"/>
          <w:szCs w:val="20"/>
          <w:lang w:val="en-US" w:eastAsia="es-ES"/>
        </w:rPr>
        <w:t>e</w:t>
      </w:r>
      <w:r w:rsidR="0032785C" w:rsidRPr="008A3740">
        <w:rPr>
          <w:rFonts w:ascii="Verdana" w:hAnsi="Verdana"/>
          <w:sz w:val="20"/>
          <w:szCs w:val="20"/>
          <w:lang w:val="en-US" w:eastAsia="es-ES"/>
        </w:rPr>
        <w:t>,</w:t>
      </w:r>
      <w:r w:rsidR="00AC43A6" w:rsidRPr="008A3740">
        <w:rPr>
          <w:rFonts w:ascii="Verdana" w:hAnsi="Verdana"/>
          <w:sz w:val="20"/>
          <w:szCs w:val="20"/>
          <w:lang w:val="en-US" w:eastAsia="es-ES"/>
        </w:rPr>
        <w:t xml:space="preserve"> </w:t>
      </w:r>
      <w:r w:rsidRPr="008A3740">
        <w:rPr>
          <w:rFonts w:ascii="Verdana" w:hAnsi="Verdana"/>
          <w:sz w:val="20"/>
          <w:szCs w:val="20"/>
          <w:lang w:val="en-US" w:eastAsia="es-ES"/>
        </w:rPr>
        <w:t xml:space="preserve">given the </w:t>
      </w:r>
      <w:r w:rsidR="008E6A56" w:rsidRPr="008A3740">
        <w:rPr>
          <w:rFonts w:ascii="Verdana" w:hAnsi="Verdana"/>
          <w:sz w:val="20"/>
          <w:szCs w:val="20"/>
          <w:lang w:val="en-US" w:eastAsia="es-ES"/>
        </w:rPr>
        <w:t xml:space="preserve">possible lack of </w:t>
      </w:r>
      <w:r w:rsidR="00B90A86" w:rsidRPr="008A3740">
        <w:rPr>
          <w:rFonts w:ascii="Verdana" w:hAnsi="Verdana"/>
          <w:sz w:val="20"/>
          <w:szCs w:val="20"/>
          <w:lang w:val="en-US" w:eastAsia="es-ES"/>
        </w:rPr>
        <w:t xml:space="preserve">financial resources for </w:t>
      </w:r>
      <w:r w:rsidR="0032785C" w:rsidRPr="008A3740">
        <w:rPr>
          <w:rFonts w:ascii="Verdana" w:hAnsi="Verdana"/>
          <w:sz w:val="20"/>
          <w:szCs w:val="20"/>
          <w:lang w:val="en-US" w:eastAsia="es-ES"/>
        </w:rPr>
        <w:t xml:space="preserve">their </w:t>
      </w:r>
      <w:r w:rsidR="008E6A56" w:rsidRPr="008A3740">
        <w:rPr>
          <w:rFonts w:ascii="Verdana" w:hAnsi="Verdana"/>
          <w:sz w:val="20"/>
          <w:szCs w:val="20"/>
          <w:lang w:val="en-US" w:eastAsia="es-ES"/>
        </w:rPr>
        <w:t>sub</w:t>
      </w:r>
      <w:r w:rsidR="00AC43A6" w:rsidRPr="008A3740">
        <w:rPr>
          <w:rFonts w:ascii="Verdana" w:hAnsi="Verdana"/>
          <w:sz w:val="20"/>
          <w:szCs w:val="20"/>
          <w:lang w:val="en-US" w:eastAsia="es-ES"/>
        </w:rPr>
        <w:t>sistence</w:t>
      </w:r>
      <w:r w:rsidR="008E6A56" w:rsidRPr="008A3740">
        <w:rPr>
          <w:rFonts w:ascii="Verdana" w:hAnsi="Verdana"/>
          <w:sz w:val="20"/>
          <w:szCs w:val="20"/>
          <w:lang w:val="en-US" w:eastAsia="es-ES"/>
        </w:rPr>
        <w:t xml:space="preserve">, since </w:t>
      </w:r>
      <w:r w:rsidR="00AC43A6" w:rsidRPr="008A3740">
        <w:rPr>
          <w:rFonts w:ascii="Verdana" w:hAnsi="Verdana"/>
          <w:sz w:val="20"/>
          <w:szCs w:val="20"/>
          <w:lang w:val="en-US" w:eastAsia="es-ES"/>
        </w:rPr>
        <w:t>deprivation of income intri</w:t>
      </w:r>
      <w:r w:rsidR="008E6A56" w:rsidRPr="008A3740">
        <w:rPr>
          <w:rFonts w:ascii="Verdana" w:hAnsi="Verdana"/>
          <w:sz w:val="20"/>
          <w:szCs w:val="20"/>
          <w:lang w:val="en-US" w:eastAsia="es-ES"/>
        </w:rPr>
        <w:t>ns</w:t>
      </w:r>
      <w:r w:rsidR="00AC43A6" w:rsidRPr="008A3740">
        <w:rPr>
          <w:rFonts w:ascii="Verdana" w:hAnsi="Verdana"/>
          <w:sz w:val="20"/>
          <w:szCs w:val="20"/>
          <w:lang w:val="en-US" w:eastAsia="es-ES"/>
        </w:rPr>
        <w:t xml:space="preserve">ically affects </w:t>
      </w:r>
      <w:r w:rsidR="008E6A56" w:rsidRPr="008A3740">
        <w:rPr>
          <w:rFonts w:ascii="Verdana" w:hAnsi="Verdana"/>
          <w:sz w:val="20"/>
          <w:szCs w:val="20"/>
          <w:lang w:val="en-US" w:eastAsia="es-ES"/>
        </w:rPr>
        <w:t xml:space="preserve">the </w:t>
      </w:r>
      <w:r w:rsidR="00AC43A6" w:rsidRPr="008A3740">
        <w:rPr>
          <w:rFonts w:ascii="Verdana" w:hAnsi="Verdana"/>
          <w:sz w:val="20"/>
          <w:szCs w:val="20"/>
          <w:lang w:val="en-US" w:eastAsia="es-ES"/>
        </w:rPr>
        <w:t xml:space="preserve">progress and development of their </w:t>
      </w:r>
      <w:r w:rsidR="008E6A56" w:rsidRPr="008A3740">
        <w:rPr>
          <w:rFonts w:ascii="Verdana" w:hAnsi="Verdana"/>
          <w:sz w:val="20"/>
          <w:szCs w:val="20"/>
          <w:lang w:val="en-US" w:eastAsia="es-ES"/>
        </w:rPr>
        <w:t xml:space="preserve">quality of </w:t>
      </w:r>
      <w:r w:rsidR="00AC43A6" w:rsidRPr="008A3740">
        <w:rPr>
          <w:rFonts w:ascii="Verdana" w:hAnsi="Verdana"/>
          <w:sz w:val="20"/>
          <w:szCs w:val="20"/>
          <w:lang w:val="en-US" w:eastAsia="es-ES"/>
        </w:rPr>
        <w:t>life and their</w:t>
      </w:r>
      <w:r w:rsidR="008E6A56" w:rsidRPr="008A3740">
        <w:rPr>
          <w:rFonts w:ascii="Verdana" w:hAnsi="Verdana"/>
          <w:sz w:val="20"/>
          <w:szCs w:val="20"/>
          <w:lang w:val="en-US" w:eastAsia="es-ES"/>
        </w:rPr>
        <w:t xml:space="preserve"> personal integrity. </w:t>
      </w:r>
    </w:p>
    <w:p w14:paraId="7714CC1D" w14:textId="77777777" w:rsidR="008E6A56" w:rsidRPr="008A3740" w:rsidRDefault="008E6A56" w:rsidP="008E6A56">
      <w:pPr>
        <w:widowControl/>
        <w:tabs>
          <w:tab w:val="left" w:pos="567"/>
          <w:tab w:val="left" w:pos="720"/>
        </w:tabs>
        <w:adjustRightInd/>
        <w:textAlignment w:val="auto"/>
        <w:rPr>
          <w:rFonts w:ascii="Verdana" w:hAnsi="Verdana"/>
          <w:sz w:val="20"/>
          <w:szCs w:val="20"/>
          <w:u w:val="single"/>
          <w:lang w:val="en-US"/>
        </w:rPr>
      </w:pPr>
    </w:p>
    <w:p w14:paraId="73E75C89" w14:textId="77777777" w:rsidR="008E6A56" w:rsidRPr="008A3740" w:rsidRDefault="00202A69" w:rsidP="00D17A65">
      <w:pPr>
        <w:widowControl/>
        <w:numPr>
          <w:ilvl w:val="0"/>
          <w:numId w:val="3"/>
        </w:numPr>
        <w:tabs>
          <w:tab w:val="left" w:pos="567"/>
          <w:tab w:val="num" w:pos="1569"/>
          <w:tab w:val="num" w:pos="12305"/>
        </w:tabs>
        <w:adjustRightInd/>
        <w:ind w:left="0" w:firstLine="0"/>
        <w:textAlignment w:val="auto"/>
        <w:rPr>
          <w:rFonts w:ascii="Verdana" w:hAnsi="Verdana"/>
          <w:b/>
          <w:color w:val="000000"/>
          <w:sz w:val="20"/>
          <w:szCs w:val="20"/>
          <w:bdr w:val="none" w:sz="0" w:space="0" w:color="auto" w:frame="1"/>
          <w:lang w:val="en-US"/>
        </w:rPr>
      </w:pPr>
      <w:r w:rsidRPr="008A3740">
        <w:rPr>
          <w:rFonts w:ascii="Verdana" w:hAnsi="Verdana"/>
          <w:iCs/>
          <w:sz w:val="20"/>
          <w:szCs w:val="20"/>
          <w:lang w:val="en-US"/>
        </w:rPr>
        <w:t xml:space="preserve">The </w:t>
      </w:r>
      <w:r w:rsidR="004B6F1E" w:rsidRPr="008A3740">
        <w:rPr>
          <w:rFonts w:ascii="Verdana" w:hAnsi="Verdana"/>
          <w:sz w:val="20"/>
          <w:szCs w:val="20"/>
          <w:lang w:val="en-US"/>
        </w:rPr>
        <w:t>failure to implement the right to social security for more than 27 years</w:t>
      </w:r>
      <w:r w:rsidR="004B6F1E" w:rsidRPr="008A3740">
        <w:rPr>
          <w:rFonts w:ascii="Verdana" w:hAnsi="Verdana"/>
          <w:iCs/>
          <w:sz w:val="20"/>
          <w:szCs w:val="20"/>
          <w:lang w:val="en-US"/>
        </w:rPr>
        <w:t xml:space="preserve"> </w:t>
      </w:r>
      <w:r w:rsidR="004B6F1E" w:rsidRPr="008A3740">
        <w:rPr>
          <w:rFonts w:ascii="Verdana" w:hAnsi="Verdana"/>
          <w:sz w:val="20"/>
          <w:szCs w:val="20"/>
          <w:lang w:val="en-US"/>
        </w:rPr>
        <w:t>se</w:t>
      </w:r>
      <w:r w:rsidR="00CF5D57" w:rsidRPr="008A3740">
        <w:rPr>
          <w:rFonts w:ascii="Verdana" w:hAnsi="Verdana"/>
          <w:sz w:val="20"/>
          <w:szCs w:val="20"/>
          <w:lang w:val="en-US"/>
        </w:rPr>
        <w:t xml:space="preserve">riously </w:t>
      </w:r>
      <w:r w:rsidR="004B6F1E" w:rsidRPr="008A3740">
        <w:rPr>
          <w:rFonts w:ascii="Verdana" w:hAnsi="Verdana"/>
          <w:sz w:val="20"/>
          <w:szCs w:val="20"/>
          <w:lang w:val="en-US"/>
        </w:rPr>
        <w:t>prejudi</w:t>
      </w:r>
      <w:r w:rsidR="00F200EA" w:rsidRPr="008A3740">
        <w:rPr>
          <w:rFonts w:ascii="Verdana" w:hAnsi="Verdana"/>
          <w:sz w:val="20"/>
          <w:szCs w:val="20"/>
          <w:lang w:val="en-US"/>
        </w:rPr>
        <w:t xml:space="preserve">ced the quality of life and </w:t>
      </w:r>
      <w:r w:rsidR="004B6F1E" w:rsidRPr="008A3740">
        <w:rPr>
          <w:rFonts w:ascii="Verdana" w:hAnsi="Verdana"/>
          <w:sz w:val="20"/>
          <w:szCs w:val="20"/>
          <w:lang w:val="en-US"/>
        </w:rPr>
        <w:t>health care coverage of Mr. Muelle, a</w:t>
      </w:r>
      <w:r w:rsidR="00B90BAF" w:rsidRPr="008A3740">
        <w:rPr>
          <w:rFonts w:ascii="Verdana" w:hAnsi="Verdana"/>
          <w:sz w:val="20"/>
          <w:szCs w:val="20"/>
          <w:lang w:val="en-US"/>
        </w:rPr>
        <w:t xml:space="preserve"> person in a situation requiring </w:t>
      </w:r>
      <w:r w:rsidR="004B6F1E" w:rsidRPr="008A3740">
        <w:rPr>
          <w:rFonts w:ascii="Verdana" w:hAnsi="Verdana"/>
          <w:sz w:val="20"/>
          <w:szCs w:val="20"/>
          <w:lang w:val="en-US"/>
        </w:rPr>
        <w:t>special protection because he was an older person with a disability</w:t>
      </w:r>
      <w:r w:rsidR="00B90A86" w:rsidRPr="008A3740">
        <w:rPr>
          <w:rFonts w:ascii="Verdana" w:hAnsi="Verdana"/>
          <w:color w:val="000000"/>
          <w:sz w:val="20"/>
          <w:szCs w:val="20"/>
          <w:bdr w:val="none" w:sz="0" w:space="0" w:color="auto" w:frame="1"/>
          <w:lang w:val="en-US"/>
        </w:rPr>
        <w:t xml:space="preserve">. </w:t>
      </w:r>
      <w:r w:rsidR="004B6F1E" w:rsidRPr="008A3740">
        <w:rPr>
          <w:rFonts w:ascii="Verdana" w:hAnsi="Verdana"/>
          <w:sz w:val="20"/>
          <w:szCs w:val="20"/>
          <w:lang w:val="en-US"/>
        </w:rPr>
        <w:t>The violation resulting from the failure to pay his pension exc</w:t>
      </w:r>
      <w:r w:rsidR="00F200EA" w:rsidRPr="008A3740">
        <w:rPr>
          <w:rFonts w:ascii="Verdana" w:hAnsi="Verdana"/>
          <w:sz w:val="20"/>
          <w:szCs w:val="20"/>
          <w:lang w:val="en-US"/>
        </w:rPr>
        <w:t xml:space="preserve">eeded a reasonable time and, </w:t>
      </w:r>
      <w:r w:rsidR="00CF5D57" w:rsidRPr="008A3740">
        <w:rPr>
          <w:rFonts w:ascii="Verdana" w:hAnsi="Verdana"/>
          <w:sz w:val="20"/>
          <w:szCs w:val="20"/>
          <w:lang w:val="en-US"/>
        </w:rPr>
        <w:t xml:space="preserve">as </w:t>
      </w:r>
      <w:r w:rsidR="00851590" w:rsidRPr="008A3740">
        <w:rPr>
          <w:rFonts w:ascii="Verdana" w:hAnsi="Verdana"/>
          <w:sz w:val="20"/>
          <w:szCs w:val="20"/>
          <w:lang w:val="en-US"/>
        </w:rPr>
        <w:t>this</w:t>
      </w:r>
      <w:r w:rsidR="004B6F1E" w:rsidRPr="008A3740">
        <w:rPr>
          <w:rFonts w:ascii="Verdana" w:hAnsi="Verdana"/>
          <w:sz w:val="20"/>
          <w:szCs w:val="20"/>
          <w:lang w:val="en-US"/>
        </w:rPr>
        <w:t xml:space="preserve"> was the victim’s only income, the prolonged absence of the payment</w:t>
      </w:r>
      <w:r w:rsidR="00F200EA" w:rsidRPr="008A3740">
        <w:rPr>
          <w:rFonts w:ascii="Verdana" w:hAnsi="Verdana"/>
          <w:sz w:val="20"/>
          <w:szCs w:val="20"/>
          <w:lang w:val="en-US"/>
        </w:rPr>
        <w:t>s</w:t>
      </w:r>
      <w:r w:rsidR="004B6F1E" w:rsidRPr="008A3740">
        <w:rPr>
          <w:rFonts w:ascii="Verdana" w:hAnsi="Verdana"/>
          <w:sz w:val="20"/>
          <w:szCs w:val="20"/>
          <w:lang w:val="en-US"/>
        </w:rPr>
        <w:t xml:space="preserve"> inevitably </w:t>
      </w:r>
      <w:r w:rsidR="000732B0" w:rsidRPr="008A3740">
        <w:rPr>
          <w:rFonts w:ascii="Verdana" w:hAnsi="Verdana"/>
          <w:sz w:val="20"/>
          <w:szCs w:val="20"/>
          <w:lang w:val="en-US"/>
        </w:rPr>
        <w:t xml:space="preserve">resulted in </w:t>
      </w:r>
      <w:r w:rsidR="004B6F1E" w:rsidRPr="008A3740">
        <w:rPr>
          <w:rFonts w:ascii="Verdana" w:hAnsi="Verdana"/>
          <w:sz w:val="20"/>
          <w:szCs w:val="20"/>
          <w:lang w:val="en-US"/>
        </w:rPr>
        <w:t xml:space="preserve">financial hardship that affected </w:t>
      </w:r>
      <w:r w:rsidR="000732B0" w:rsidRPr="008A3740">
        <w:rPr>
          <w:rFonts w:ascii="Verdana" w:hAnsi="Verdana"/>
          <w:iCs/>
          <w:sz w:val="20"/>
          <w:szCs w:val="20"/>
          <w:lang w:val="en-US"/>
        </w:rPr>
        <w:t xml:space="preserve">his ability to pay for his basic necessities and, consequently, affected his mental </w:t>
      </w:r>
      <w:r w:rsidR="004B6F1E" w:rsidRPr="008A3740">
        <w:rPr>
          <w:rFonts w:ascii="Verdana" w:hAnsi="Verdana"/>
          <w:sz w:val="20"/>
          <w:szCs w:val="20"/>
          <w:lang w:val="en-US"/>
        </w:rPr>
        <w:t>and moral integrity, a</w:t>
      </w:r>
      <w:r w:rsidR="000732B0" w:rsidRPr="008A3740">
        <w:rPr>
          <w:rFonts w:ascii="Verdana" w:hAnsi="Verdana"/>
          <w:sz w:val="20"/>
          <w:szCs w:val="20"/>
          <w:lang w:val="en-US"/>
        </w:rPr>
        <w:t xml:space="preserve">s well as </w:t>
      </w:r>
      <w:r w:rsidR="004B6F1E" w:rsidRPr="008A3740">
        <w:rPr>
          <w:rFonts w:ascii="Verdana" w:hAnsi="Verdana"/>
          <w:sz w:val="20"/>
          <w:szCs w:val="20"/>
          <w:lang w:val="en-US"/>
        </w:rPr>
        <w:t>his dignity</w:t>
      </w:r>
      <w:r w:rsidR="008E6A56" w:rsidRPr="008A3740">
        <w:rPr>
          <w:rFonts w:ascii="Verdana" w:hAnsi="Verdana"/>
          <w:color w:val="000000"/>
          <w:sz w:val="20"/>
          <w:szCs w:val="20"/>
          <w:bdr w:val="none" w:sz="0" w:space="0" w:color="auto" w:frame="1"/>
          <w:lang w:val="en-US"/>
        </w:rPr>
        <w:t>.</w:t>
      </w:r>
    </w:p>
    <w:p w14:paraId="0DD5DFE5" w14:textId="77777777" w:rsidR="008E6A56" w:rsidRPr="008A3740" w:rsidRDefault="008E6A56" w:rsidP="008E6A56">
      <w:pPr>
        <w:pStyle w:val="Ttulo3"/>
        <w:rPr>
          <w:lang w:val="en-US"/>
        </w:rPr>
      </w:pPr>
      <w:bookmarkStart w:id="109" w:name="_Toc5009888"/>
      <w:r w:rsidRPr="008A3740">
        <w:rPr>
          <w:lang w:val="en-US"/>
        </w:rPr>
        <w:t>C.3 Conclusion</w:t>
      </w:r>
      <w:bookmarkEnd w:id="109"/>
    </w:p>
    <w:p w14:paraId="60FB0BDD" w14:textId="77777777" w:rsidR="008E6A56" w:rsidRPr="008A3740" w:rsidRDefault="008E6A56" w:rsidP="008E6A56">
      <w:pPr>
        <w:widowControl/>
        <w:tabs>
          <w:tab w:val="left" w:pos="567"/>
          <w:tab w:val="left" w:pos="720"/>
        </w:tabs>
        <w:adjustRightInd/>
        <w:textAlignment w:val="auto"/>
        <w:rPr>
          <w:rFonts w:ascii="Verdana" w:hAnsi="Verdana"/>
          <w:i/>
          <w:sz w:val="20"/>
          <w:szCs w:val="20"/>
          <w:lang w:val="en-US"/>
        </w:rPr>
      </w:pPr>
    </w:p>
    <w:p w14:paraId="1A02F58E"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eastAsia="Times" w:hAnsi="Verdana"/>
          <w:sz w:val="20"/>
          <w:szCs w:val="20"/>
          <w:lang w:val="en-US"/>
        </w:rPr>
      </w:pPr>
      <w:r w:rsidRPr="008A3740">
        <w:rPr>
          <w:rFonts w:ascii="Verdana" w:hAnsi="Verdana"/>
          <w:sz w:val="20"/>
          <w:szCs w:val="20"/>
          <w:lang w:val="en-US"/>
        </w:rPr>
        <w:t xml:space="preserve">Based on </w:t>
      </w:r>
      <w:r w:rsidR="006B336C" w:rsidRPr="008A3740">
        <w:rPr>
          <w:rFonts w:ascii="Verdana" w:hAnsi="Verdana"/>
          <w:sz w:val="20"/>
          <w:szCs w:val="20"/>
          <w:lang w:val="en-US"/>
        </w:rPr>
        <w:t>the foregoing</w:t>
      </w:r>
      <w:r w:rsidR="00851590" w:rsidRPr="008A3740">
        <w:rPr>
          <w:rFonts w:ascii="Verdana" w:hAnsi="Verdana"/>
          <w:sz w:val="20"/>
          <w:szCs w:val="20"/>
          <w:lang w:val="en-US"/>
        </w:rPr>
        <w:t xml:space="preserve"> considerations</w:t>
      </w:r>
      <w:r w:rsidRPr="008A3740">
        <w:rPr>
          <w:rFonts w:ascii="Verdana" w:hAnsi="Verdana"/>
          <w:sz w:val="20"/>
          <w:szCs w:val="20"/>
          <w:lang w:val="en-US"/>
        </w:rPr>
        <w:t xml:space="preserve">, the </w:t>
      </w:r>
      <w:r w:rsidR="003624C0" w:rsidRPr="008A3740">
        <w:rPr>
          <w:rFonts w:ascii="Verdana" w:hAnsi="Verdana"/>
          <w:sz w:val="20"/>
          <w:szCs w:val="20"/>
          <w:lang w:val="en-US"/>
        </w:rPr>
        <w:t xml:space="preserve">Court concludes that the </w:t>
      </w:r>
      <w:r w:rsidRPr="008A3740">
        <w:rPr>
          <w:rFonts w:ascii="Verdana" w:hAnsi="Verdana"/>
          <w:sz w:val="20"/>
          <w:szCs w:val="20"/>
          <w:lang w:val="en-US"/>
        </w:rPr>
        <w:t>State is responsible for the violation of Article 26 of the American Conventio</w:t>
      </w:r>
      <w:r w:rsidR="00C75CAD" w:rsidRPr="008A3740">
        <w:rPr>
          <w:rFonts w:ascii="Verdana" w:hAnsi="Verdana"/>
          <w:sz w:val="20"/>
          <w:szCs w:val="20"/>
          <w:lang w:val="en-US"/>
        </w:rPr>
        <w:t>n, in relation to Articles 5, 8(</w:t>
      </w:r>
      <w:r w:rsidRPr="008A3740">
        <w:rPr>
          <w:rFonts w:ascii="Verdana" w:hAnsi="Verdana"/>
          <w:sz w:val="20"/>
          <w:szCs w:val="20"/>
          <w:lang w:val="en-US"/>
        </w:rPr>
        <w:t>1</w:t>
      </w:r>
      <w:r w:rsidR="00C75CAD" w:rsidRPr="008A3740">
        <w:rPr>
          <w:rFonts w:ascii="Verdana" w:hAnsi="Verdana"/>
          <w:sz w:val="20"/>
          <w:szCs w:val="20"/>
          <w:lang w:val="en-US"/>
        </w:rPr>
        <w:t>), 11(</w:t>
      </w:r>
      <w:r w:rsidRPr="008A3740">
        <w:rPr>
          <w:rFonts w:ascii="Verdana" w:hAnsi="Verdana"/>
          <w:sz w:val="20"/>
          <w:szCs w:val="20"/>
          <w:lang w:val="en-US"/>
        </w:rPr>
        <w:t>1</w:t>
      </w:r>
      <w:r w:rsidR="00C75CAD" w:rsidRPr="008A3740">
        <w:rPr>
          <w:rFonts w:ascii="Verdana" w:hAnsi="Verdana"/>
          <w:sz w:val="20"/>
          <w:szCs w:val="20"/>
          <w:lang w:val="en-US"/>
        </w:rPr>
        <w:t>)</w:t>
      </w:r>
      <w:r w:rsidRPr="008A3740">
        <w:rPr>
          <w:rFonts w:ascii="Verdana" w:hAnsi="Verdana"/>
          <w:sz w:val="20"/>
          <w:szCs w:val="20"/>
          <w:lang w:val="en-US"/>
        </w:rPr>
        <w:t>,</w:t>
      </w:r>
      <w:r w:rsidR="00202A69" w:rsidRPr="008A3740">
        <w:rPr>
          <w:rFonts w:ascii="Verdana" w:hAnsi="Verdana"/>
          <w:sz w:val="20"/>
          <w:szCs w:val="20"/>
          <w:lang w:val="en-US"/>
        </w:rPr>
        <w:t xml:space="preserve"> 25(1), 25(</w:t>
      </w:r>
      <w:r w:rsidR="00C75CAD" w:rsidRPr="008A3740">
        <w:rPr>
          <w:rFonts w:ascii="Verdana" w:hAnsi="Verdana"/>
          <w:sz w:val="20"/>
          <w:szCs w:val="20"/>
          <w:lang w:val="en-US"/>
        </w:rPr>
        <w:t>2</w:t>
      </w:r>
      <w:r w:rsidR="00851590" w:rsidRPr="008A3740">
        <w:rPr>
          <w:rFonts w:ascii="Verdana" w:hAnsi="Verdana"/>
          <w:sz w:val="20"/>
          <w:szCs w:val="20"/>
          <w:lang w:val="en-US"/>
        </w:rPr>
        <w:t>)</w:t>
      </w:r>
      <w:r w:rsidR="00202A69" w:rsidRPr="008A3740">
        <w:rPr>
          <w:rFonts w:ascii="Verdana" w:hAnsi="Verdana"/>
          <w:sz w:val="20"/>
          <w:szCs w:val="20"/>
          <w:lang w:val="en-US"/>
        </w:rPr>
        <w:t>(</w:t>
      </w:r>
      <w:r w:rsidR="00C75CAD" w:rsidRPr="008A3740">
        <w:rPr>
          <w:rFonts w:ascii="Verdana" w:hAnsi="Verdana"/>
          <w:sz w:val="20"/>
          <w:szCs w:val="20"/>
          <w:lang w:val="en-US"/>
        </w:rPr>
        <w:t>c) and 1(</w:t>
      </w:r>
      <w:r w:rsidRPr="008A3740">
        <w:rPr>
          <w:rFonts w:ascii="Verdana" w:hAnsi="Verdana"/>
          <w:sz w:val="20"/>
          <w:szCs w:val="20"/>
          <w:lang w:val="en-US"/>
        </w:rPr>
        <w:t>1</w:t>
      </w:r>
      <w:r w:rsidR="00C75CAD" w:rsidRPr="008A3740">
        <w:rPr>
          <w:rFonts w:ascii="Verdana" w:hAnsi="Verdana"/>
          <w:sz w:val="20"/>
          <w:szCs w:val="20"/>
          <w:lang w:val="en-US"/>
        </w:rPr>
        <w:t>)</w:t>
      </w:r>
      <w:r w:rsidRPr="008A3740">
        <w:rPr>
          <w:rFonts w:ascii="Verdana" w:hAnsi="Verdana"/>
          <w:sz w:val="20"/>
          <w:szCs w:val="20"/>
          <w:lang w:val="en-US"/>
        </w:rPr>
        <w:t xml:space="preserve"> thereof, as</w:t>
      </w:r>
      <w:r w:rsidR="00202A69" w:rsidRPr="008A3740">
        <w:rPr>
          <w:rFonts w:ascii="Verdana" w:hAnsi="Verdana"/>
          <w:sz w:val="20"/>
          <w:szCs w:val="20"/>
          <w:lang w:val="en-US"/>
        </w:rPr>
        <w:t xml:space="preserve"> well as </w:t>
      </w:r>
      <w:r w:rsidRPr="008A3740">
        <w:rPr>
          <w:rFonts w:ascii="Verdana" w:hAnsi="Verdana"/>
          <w:sz w:val="20"/>
          <w:szCs w:val="20"/>
          <w:lang w:val="en-US"/>
        </w:rPr>
        <w:t xml:space="preserve">Article 2 of the American Convention, to the detriment of Mr. Oscar Muelle Flores. </w:t>
      </w:r>
    </w:p>
    <w:p w14:paraId="7E92FB02" w14:textId="77777777" w:rsidR="008E6A56" w:rsidRPr="008A3740" w:rsidRDefault="008E6A56" w:rsidP="008E6A56">
      <w:pPr>
        <w:widowControl/>
        <w:tabs>
          <w:tab w:val="left" w:pos="567"/>
          <w:tab w:val="left" w:pos="720"/>
        </w:tabs>
        <w:adjustRightInd/>
        <w:textAlignment w:val="auto"/>
        <w:rPr>
          <w:rFonts w:ascii="Verdana" w:hAnsi="Verdana"/>
          <w:sz w:val="20"/>
          <w:szCs w:val="20"/>
          <w:lang w:val="en-US"/>
        </w:rPr>
      </w:pPr>
    </w:p>
    <w:p w14:paraId="67B4854B" w14:textId="77777777" w:rsidR="008E6A56" w:rsidRPr="008A3740" w:rsidRDefault="007F3319" w:rsidP="008E6A56">
      <w:pPr>
        <w:pStyle w:val="Ttulo2"/>
        <w:tabs>
          <w:tab w:val="clear" w:pos="360"/>
        </w:tabs>
        <w:ind w:hanging="360"/>
        <w:rPr>
          <w:lang w:val="en-US"/>
        </w:rPr>
      </w:pPr>
      <w:bookmarkStart w:id="110" w:name="_Toc5009889"/>
      <w:r w:rsidRPr="008A3740">
        <w:rPr>
          <w:lang w:val="en-US"/>
        </w:rPr>
        <w:t xml:space="preserve">Right to </w:t>
      </w:r>
      <w:r w:rsidR="008E6A56" w:rsidRPr="008A3740">
        <w:rPr>
          <w:lang w:val="en-US"/>
        </w:rPr>
        <w:t>property</w:t>
      </w:r>
      <w:bookmarkEnd w:id="105"/>
      <w:bookmarkEnd w:id="110"/>
    </w:p>
    <w:p w14:paraId="136A7AF8" w14:textId="77777777" w:rsidR="008E6A56" w:rsidRPr="008A3740" w:rsidRDefault="008E6A56" w:rsidP="008E6A56">
      <w:pPr>
        <w:rPr>
          <w:lang w:val="en-US"/>
        </w:rPr>
      </w:pPr>
    </w:p>
    <w:p w14:paraId="76FC4512" w14:textId="77777777" w:rsidR="008E6A56" w:rsidRPr="008A3740" w:rsidRDefault="00FE0B19" w:rsidP="008E6A56">
      <w:pPr>
        <w:pStyle w:val="Ttulo3"/>
        <w:spacing w:before="0"/>
        <w:rPr>
          <w:lang w:val="en-US"/>
        </w:rPr>
      </w:pPr>
      <w:bookmarkStart w:id="111" w:name="_Toc532545812"/>
      <w:bookmarkStart w:id="112" w:name="_Toc5009890"/>
      <w:r w:rsidRPr="008A3740">
        <w:rPr>
          <w:lang w:val="en-US"/>
        </w:rPr>
        <w:t xml:space="preserve">D.1 Arguments of </w:t>
      </w:r>
      <w:r w:rsidR="008E6A56" w:rsidRPr="008A3740">
        <w:rPr>
          <w:lang w:val="en-US"/>
        </w:rPr>
        <w:t>the parties and of the Commission</w:t>
      </w:r>
      <w:bookmarkEnd w:id="111"/>
      <w:bookmarkEnd w:id="112"/>
    </w:p>
    <w:p w14:paraId="46F2C098" w14:textId="77777777" w:rsidR="008E6A56" w:rsidRPr="008A3740" w:rsidRDefault="008E6A56" w:rsidP="008E6A56">
      <w:pPr>
        <w:rPr>
          <w:lang w:val="en-US"/>
        </w:rPr>
      </w:pPr>
    </w:p>
    <w:p w14:paraId="69D36733"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 xml:space="preserve">The </w:t>
      </w:r>
      <w:r w:rsidRPr="008A3740">
        <w:rPr>
          <w:rFonts w:ascii="Verdana" w:hAnsi="Verdana"/>
          <w:b/>
          <w:i/>
          <w:sz w:val="20"/>
          <w:lang w:val="en-US"/>
        </w:rPr>
        <w:t>Commission</w:t>
      </w:r>
      <w:r w:rsidRPr="008A3740">
        <w:rPr>
          <w:rFonts w:ascii="Verdana" w:hAnsi="Verdana"/>
          <w:sz w:val="20"/>
          <w:lang w:val="en-US"/>
        </w:rPr>
        <w:t xml:space="preserve"> indicated that Mr. Muelle Flores: i) </w:t>
      </w:r>
      <w:r w:rsidR="00202A69" w:rsidRPr="008A3740">
        <w:rPr>
          <w:rFonts w:ascii="Verdana" w:hAnsi="Verdana"/>
          <w:sz w:val="20"/>
          <w:lang w:val="en-US"/>
        </w:rPr>
        <w:t>was l</w:t>
      </w:r>
      <w:r w:rsidR="00C56F81" w:rsidRPr="008A3740">
        <w:rPr>
          <w:rFonts w:ascii="Verdana" w:hAnsi="Verdana"/>
          <w:sz w:val="20"/>
          <w:lang w:val="en-US"/>
        </w:rPr>
        <w:t xml:space="preserve">awfully included in </w:t>
      </w:r>
      <w:r w:rsidR="00202A69" w:rsidRPr="008A3740">
        <w:rPr>
          <w:rFonts w:ascii="Verdana" w:hAnsi="Verdana"/>
          <w:sz w:val="20"/>
          <w:lang w:val="en-US"/>
        </w:rPr>
        <w:t xml:space="preserve">the </w:t>
      </w:r>
      <w:r w:rsidRPr="008A3740">
        <w:rPr>
          <w:rFonts w:ascii="Verdana" w:hAnsi="Verdana"/>
          <w:sz w:val="20"/>
          <w:lang w:val="en-US"/>
        </w:rPr>
        <w:t>Decree Law No. 20530</w:t>
      </w:r>
      <w:r w:rsidR="00C56F81" w:rsidRPr="008A3740">
        <w:rPr>
          <w:rFonts w:ascii="Verdana" w:hAnsi="Verdana"/>
          <w:sz w:val="20"/>
          <w:lang w:val="en-US"/>
        </w:rPr>
        <w:t xml:space="preserve"> pension scheme</w:t>
      </w:r>
      <w:r w:rsidR="00202A69" w:rsidRPr="008A3740">
        <w:rPr>
          <w:rFonts w:ascii="Verdana" w:hAnsi="Verdana"/>
          <w:sz w:val="20"/>
          <w:lang w:val="en-US"/>
        </w:rPr>
        <w:t>,</w:t>
      </w:r>
      <w:r w:rsidRPr="008A3740">
        <w:rPr>
          <w:rFonts w:ascii="Verdana" w:hAnsi="Verdana"/>
          <w:sz w:val="20"/>
          <w:lang w:val="en-US"/>
        </w:rPr>
        <w:t xml:space="preserve"> </w:t>
      </w:r>
      <w:r w:rsidR="00C56F81" w:rsidRPr="008A3740">
        <w:rPr>
          <w:rFonts w:ascii="Verdana" w:hAnsi="Verdana"/>
          <w:sz w:val="20"/>
          <w:lang w:val="en-US"/>
        </w:rPr>
        <w:t>a</w:t>
      </w:r>
      <w:r w:rsidR="00CF1D3A" w:rsidRPr="008A3740">
        <w:rPr>
          <w:rFonts w:ascii="Verdana" w:hAnsi="Verdana"/>
          <w:sz w:val="20"/>
          <w:lang w:val="en-US"/>
        </w:rPr>
        <w:t>s ratified by</w:t>
      </w:r>
      <w:r w:rsidR="00C56F81" w:rsidRPr="008A3740">
        <w:rPr>
          <w:rFonts w:ascii="Verdana" w:hAnsi="Verdana"/>
          <w:sz w:val="20"/>
          <w:lang w:val="en-US"/>
        </w:rPr>
        <w:t xml:space="preserve"> </w:t>
      </w:r>
      <w:r w:rsidR="00CF1D3A" w:rsidRPr="008A3740">
        <w:rPr>
          <w:rFonts w:ascii="Verdana" w:hAnsi="Verdana"/>
          <w:sz w:val="20"/>
          <w:lang w:val="en-US"/>
        </w:rPr>
        <w:t xml:space="preserve">the courts </w:t>
      </w:r>
      <w:r w:rsidRPr="008A3740">
        <w:rPr>
          <w:rFonts w:ascii="Verdana" w:hAnsi="Verdana"/>
          <w:sz w:val="20"/>
          <w:lang w:val="en-US"/>
        </w:rPr>
        <w:t xml:space="preserve">in two </w:t>
      </w:r>
      <w:r w:rsidRPr="008A3740">
        <w:rPr>
          <w:rFonts w:ascii="Verdana" w:hAnsi="Verdana"/>
          <w:i/>
          <w:sz w:val="20"/>
          <w:lang w:val="en-US"/>
        </w:rPr>
        <w:t>amparo</w:t>
      </w:r>
      <w:r w:rsidRPr="008A3740">
        <w:rPr>
          <w:rFonts w:ascii="Verdana" w:hAnsi="Verdana"/>
          <w:sz w:val="20"/>
          <w:lang w:val="en-US"/>
        </w:rPr>
        <w:t xml:space="preserve"> </w:t>
      </w:r>
      <w:r w:rsidR="00C56F81" w:rsidRPr="008A3740">
        <w:rPr>
          <w:rFonts w:ascii="Verdana" w:hAnsi="Verdana"/>
          <w:sz w:val="20"/>
          <w:lang w:val="en-US"/>
        </w:rPr>
        <w:t xml:space="preserve">judgments </w:t>
      </w:r>
      <w:r w:rsidRPr="008A3740">
        <w:rPr>
          <w:rFonts w:ascii="Verdana" w:hAnsi="Verdana"/>
          <w:sz w:val="20"/>
          <w:lang w:val="en-US"/>
        </w:rPr>
        <w:t>and</w:t>
      </w:r>
      <w:r w:rsidR="00CF1D3A" w:rsidRPr="008A3740">
        <w:rPr>
          <w:rFonts w:ascii="Verdana" w:hAnsi="Verdana"/>
          <w:sz w:val="20"/>
          <w:lang w:val="en-US"/>
        </w:rPr>
        <w:t xml:space="preserve"> </w:t>
      </w:r>
      <w:r w:rsidRPr="008A3740">
        <w:rPr>
          <w:rFonts w:ascii="Verdana" w:hAnsi="Verdana"/>
          <w:sz w:val="20"/>
          <w:lang w:val="en-US"/>
        </w:rPr>
        <w:t xml:space="preserve">in the </w:t>
      </w:r>
      <w:r w:rsidR="00CF1D3A" w:rsidRPr="008A3740">
        <w:rPr>
          <w:rFonts w:ascii="Verdana" w:hAnsi="Verdana"/>
          <w:sz w:val="20"/>
          <w:lang w:val="en-US"/>
        </w:rPr>
        <w:t>ruling o</w:t>
      </w:r>
      <w:r w:rsidRPr="008A3740">
        <w:rPr>
          <w:rFonts w:ascii="Verdana" w:hAnsi="Verdana"/>
          <w:sz w:val="20"/>
          <w:lang w:val="en-US"/>
        </w:rPr>
        <w:t xml:space="preserve">n the </w:t>
      </w:r>
      <w:r w:rsidR="00C56F81" w:rsidRPr="008A3740">
        <w:rPr>
          <w:rFonts w:ascii="Verdana" w:hAnsi="Verdana"/>
          <w:sz w:val="20"/>
          <w:lang w:val="en-US"/>
        </w:rPr>
        <w:t xml:space="preserve">lawsuit </w:t>
      </w:r>
      <w:r w:rsidRPr="008A3740">
        <w:rPr>
          <w:rFonts w:ascii="Verdana" w:hAnsi="Verdana"/>
          <w:sz w:val="20"/>
          <w:lang w:val="en-US"/>
        </w:rPr>
        <w:t>filed by the company</w:t>
      </w:r>
      <w:r w:rsidR="00CF1D3A" w:rsidRPr="008A3740">
        <w:rPr>
          <w:rFonts w:ascii="Verdana" w:hAnsi="Verdana"/>
          <w:sz w:val="20"/>
          <w:lang w:val="en-US"/>
        </w:rPr>
        <w:t xml:space="preserve"> itself</w:t>
      </w:r>
      <w:r w:rsidRPr="008A3740">
        <w:rPr>
          <w:rFonts w:ascii="Verdana" w:hAnsi="Verdana"/>
          <w:sz w:val="20"/>
          <w:lang w:val="en-US"/>
        </w:rPr>
        <w:t xml:space="preserve">; ii) </w:t>
      </w:r>
      <w:r w:rsidR="00C56F81" w:rsidRPr="008A3740">
        <w:rPr>
          <w:rFonts w:ascii="Verdana" w:hAnsi="Verdana"/>
          <w:sz w:val="20"/>
          <w:lang w:val="en-US"/>
        </w:rPr>
        <w:t xml:space="preserve">he </w:t>
      </w:r>
      <w:r w:rsidRPr="008A3740">
        <w:rPr>
          <w:rFonts w:ascii="Verdana" w:hAnsi="Verdana"/>
          <w:sz w:val="20"/>
          <w:lang w:val="en-US"/>
        </w:rPr>
        <w:t xml:space="preserve">was </w:t>
      </w:r>
      <w:r w:rsidR="00CF1D3A" w:rsidRPr="008A3740">
        <w:rPr>
          <w:rFonts w:ascii="Verdana" w:hAnsi="Verdana"/>
          <w:sz w:val="20"/>
          <w:lang w:val="en-US"/>
        </w:rPr>
        <w:t xml:space="preserve">prevented </w:t>
      </w:r>
      <w:r w:rsidR="00FE0B19" w:rsidRPr="008A3740">
        <w:rPr>
          <w:rFonts w:ascii="Verdana" w:hAnsi="Verdana"/>
          <w:sz w:val="20"/>
          <w:lang w:val="en-US"/>
        </w:rPr>
        <w:t>from</w:t>
      </w:r>
      <w:r w:rsidRPr="008A3740">
        <w:rPr>
          <w:rFonts w:ascii="Verdana" w:hAnsi="Verdana"/>
          <w:sz w:val="20"/>
          <w:lang w:val="en-US"/>
        </w:rPr>
        <w:t xml:space="preserve"> continu</w:t>
      </w:r>
      <w:r w:rsidR="00FE0B19" w:rsidRPr="008A3740">
        <w:rPr>
          <w:rFonts w:ascii="Verdana" w:hAnsi="Verdana"/>
          <w:sz w:val="20"/>
          <w:lang w:val="en-US"/>
        </w:rPr>
        <w:t xml:space="preserve">ing </w:t>
      </w:r>
      <w:r w:rsidR="00C56F81" w:rsidRPr="008A3740">
        <w:rPr>
          <w:rFonts w:ascii="Verdana" w:hAnsi="Verdana"/>
          <w:sz w:val="20"/>
          <w:lang w:val="en-US"/>
        </w:rPr>
        <w:t xml:space="preserve">to </w:t>
      </w:r>
      <w:r w:rsidR="00CF1D3A" w:rsidRPr="008A3740">
        <w:rPr>
          <w:rFonts w:ascii="Verdana" w:hAnsi="Verdana"/>
          <w:sz w:val="20"/>
          <w:lang w:val="en-US"/>
        </w:rPr>
        <w:t>receive</w:t>
      </w:r>
      <w:r w:rsidR="00C56F81" w:rsidRPr="008A3740">
        <w:rPr>
          <w:rFonts w:ascii="Verdana" w:hAnsi="Verdana"/>
          <w:sz w:val="20"/>
          <w:lang w:val="en-US"/>
        </w:rPr>
        <w:t xml:space="preserve"> </w:t>
      </w:r>
      <w:r w:rsidRPr="008A3740">
        <w:rPr>
          <w:rFonts w:ascii="Verdana" w:hAnsi="Verdana"/>
          <w:sz w:val="20"/>
          <w:lang w:val="en-US"/>
        </w:rPr>
        <w:t xml:space="preserve">the benefits </w:t>
      </w:r>
      <w:r w:rsidR="00CF1D3A" w:rsidRPr="008A3740">
        <w:rPr>
          <w:rFonts w:ascii="Verdana" w:hAnsi="Verdana"/>
          <w:sz w:val="20"/>
          <w:lang w:val="en-US"/>
        </w:rPr>
        <w:t xml:space="preserve">to which he was entitled under </w:t>
      </w:r>
      <w:r w:rsidR="00C56F81" w:rsidRPr="008A3740">
        <w:rPr>
          <w:rFonts w:ascii="Verdana" w:hAnsi="Verdana"/>
          <w:sz w:val="20"/>
          <w:lang w:val="en-US"/>
        </w:rPr>
        <w:t>that system</w:t>
      </w:r>
      <w:r w:rsidRPr="008A3740">
        <w:rPr>
          <w:rFonts w:ascii="Verdana" w:hAnsi="Verdana"/>
          <w:sz w:val="20"/>
          <w:lang w:val="en-US"/>
        </w:rPr>
        <w:t>; i</w:t>
      </w:r>
      <w:r w:rsidR="00322053" w:rsidRPr="008A3740">
        <w:rPr>
          <w:rFonts w:ascii="Verdana" w:hAnsi="Verdana"/>
          <w:sz w:val="20"/>
          <w:lang w:val="en-US"/>
        </w:rPr>
        <w:t xml:space="preserve">ii) </w:t>
      </w:r>
      <w:r w:rsidR="00C56F81" w:rsidRPr="008A3740">
        <w:rPr>
          <w:rFonts w:ascii="Verdana" w:hAnsi="Verdana"/>
          <w:sz w:val="20"/>
          <w:lang w:val="en-US"/>
        </w:rPr>
        <w:t xml:space="preserve">he filed </w:t>
      </w:r>
      <w:r w:rsidR="00322053" w:rsidRPr="008A3740">
        <w:rPr>
          <w:rFonts w:ascii="Verdana" w:hAnsi="Verdana"/>
          <w:sz w:val="20"/>
          <w:lang w:val="en-US"/>
        </w:rPr>
        <w:t xml:space="preserve">judicial </w:t>
      </w:r>
      <w:r w:rsidR="00CF1D3A" w:rsidRPr="008A3740">
        <w:rPr>
          <w:rFonts w:ascii="Verdana" w:hAnsi="Verdana"/>
          <w:sz w:val="20"/>
          <w:lang w:val="en-US"/>
        </w:rPr>
        <w:t xml:space="preserve">appeals seeking </w:t>
      </w:r>
      <w:r w:rsidR="00202A69" w:rsidRPr="008A3740">
        <w:rPr>
          <w:rFonts w:ascii="Verdana" w:hAnsi="Verdana"/>
          <w:sz w:val="20"/>
          <w:lang w:val="en-US"/>
        </w:rPr>
        <w:t>his</w:t>
      </w:r>
      <w:r w:rsidRPr="008A3740">
        <w:rPr>
          <w:rFonts w:ascii="Verdana" w:hAnsi="Verdana"/>
          <w:sz w:val="20"/>
          <w:lang w:val="en-US"/>
        </w:rPr>
        <w:t xml:space="preserve"> rein</w:t>
      </w:r>
      <w:r w:rsidR="00202A69" w:rsidRPr="008A3740">
        <w:rPr>
          <w:rFonts w:ascii="Verdana" w:hAnsi="Verdana"/>
          <w:sz w:val="20"/>
          <w:lang w:val="en-US"/>
        </w:rPr>
        <w:t xml:space="preserve">statement in </w:t>
      </w:r>
      <w:r w:rsidR="00CF1D3A" w:rsidRPr="008A3740">
        <w:rPr>
          <w:rFonts w:ascii="Verdana" w:hAnsi="Verdana"/>
          <w:sz w:val="20"/>
          <w:lang w:val="en-US"/>
        </w:rPr>
        <w:t xml:space="preserve">that </w:t>
      </w:r>
      <w:r w:rsidR="00C56F81" w:rsidRPr="008A3740">
        <w:rPr>
          <w:rFonts w:ascii="Verdana" w:hAnsi="Verdana"/>
          <w:sz w:val="20"/>
          <w:lang w:val="en-US"/>
        </w:rPr>
        <w:t>pension scheme</w:t>
      </w:r>
      <w:r w:rsidRPr="008A3740">
        <w:rPr>
          <w:rFonts w:ascii="Verdana" w:hAnsi="Verdana"/>
          <w:sz w:val="20"/>
          <w:lang w:val="en-US"/>
        </w:rPr>
        <w:t xml:space="preserve">; iv) </w:t>
      </w:r>
      <w:r w:rsidR="004551BA" w:rsidRPr="008A3740">
        <w:rPr>
          <w:rFonts w:ascii="Verdana" w:hAnsi="Verdana"/>
          <w:sz w:val="20"/>
          <w:lang w:val="en-US"/>
        </w:rPr>
        <w:t xml:space="preserve">he obtained final </w:t>
      </w:r>
      <w:r w:rsidR="00CF1D3A" w:rsidRPr="008A3740">
        <w:rPr>
          <w:rFonts w:ascii="Verdana" w:hAnsi="Verdana"/>
          <w:sz w:val="20"/>
          <w:lang w:val="en-US"/>
        </w:rPr>
        <w:t xml:space="preserve">court </w:t>
      </w:r>
      <w:r w:rsidRPr="008A3740">
        <w:rPr>
          <w:rFonts w:ascii="Verdana" w:hAnsi="Verdana"/>
          <w:sz w:val="20"/>
          <w:lang w:val="en-US"/>
        </w:rPr>
        <w:t>judgme</w:t>
      </w:r>
      <w:r w:rsidR="00322053" w:rsidRPr="008A3740">
        <w:rPr>
          <w:rFonts w:ascii="Verdana" w:hAnsi="Verdana"/>
          <w:sz w:val="20"/>
          <w:lang w:val="en-US"/>
        </w:rPr>
        <w:t xml:space="preserve">nts </w:t>
      </w:r>
      <w:r w:rsidR="00CF1D3A" w:rsidRPr="008A3740">
        <w:rPr>
          <w:rFonts w:ascii="Verdana" w:hAnsi="Verdana"/>
          <w:sz w:val="20"/>
          <w:lang w:val="en-US"/>
        </w:rPr>
        <w:t xml:space="preserve">supporting </w:t>
      </w:r>
      <w:r w:rsidR="00322053" w:rsidRPr="008A3740">
        <w:rPr>
          <w:rFonts w:ascii="Verdana" w:hAnsi="Verdana"/>
          <w:sz w:val="20"/>
          <w:lang w:val="en-US"/>
        </w:rPr>
        <w:t>his</w:t>
      </w:r>
      <w:r w:rsidRPr="008A3740">
        <w:rPr>
          <w:rFonts w:ascii="Verdana" w:hAnsi="Verdana"/>
          <w:sz w:val="20"/>
          <w:lang w:val="en-US"/>
        </w:rPr>
        <w:t xml:space="preserve"> claim; and v) </w:t>
      </w:r>
      <w:r w:rsidR="00322053" w:rsidRPr="008A3740">
        <w:rPr>
          <w:rFonts w:ascii="Verdana" w:hAnsi="Verdana"/>
          <w:sz w:val="20"/>
          <w:lang w:val="en-US"/>
        </w:rPr>
        <w:t>to date</w:t>
      </w:r>
      <w:r w:rsidR="00202A69" w:rsidRPr="008A3740">
        <w:rPr>
          <w:rFonts w:ascii="Verdana" w:hAnsi="Verdana"/>
          <w:sz w:val="20"/>
          <w:lang w:val="en-US"/>
        </w:rPr>
        <w:t>, these rulings have not been e</w:t>
      </w:r>
      <w:r w:rsidR="00C56F81" w:rsidRPr="008A3740">
        <w:rPr>
          <w:rFonts w:ascii="Verdana" w:hAnsi="Verdana"/>
          <w:sz w:val="20"/>
          <w:lang w:val="en-US"/>
        </w:rPr>
        <w:t>xecuted</w:t>
      </w:r>
      <w:r w:rsidRPr="008A3740">
        <w:rPr>
          <w:rFonts w:ascii="Verdana" w:hAnsi="Verdana"/>
          <w:sz w:val="20"/>
          <w:lang w:val="en-US"/>
        </w:rPr>
        <w:t xml:space="preserve">. </w:t>
      </w:r>
      <w:r w:rsidR="00322053" w:rsidRPr="008A3740">
        <w:rPr>
          <w:rFonts w:ascii="Verdana" w:hAnsi="Verdana"/>
          <w:sz w:val="20"/>
          <w:lang w:val="en-US"/>
        </w:rPr>
        <w:t xml:space="preserve">Thus, </w:t>
      </w:r>
      <w:r w:rsidRPr="008A3740">
        <w:rPr>
          <w:rFonts w:ascii="Verdana" w:hAnsi="Verdana"/>
          <w:sz w:val="20"/>
          <w:lang w:val="en-US"/>
        </w:rPr>
        <w:t>the Commission a</w:t>
      </w:r>
      <w:r w:rsidR="00322053" w:rsidRPr="008A3740">
        <w:rPr>
          <w:rFonts w:ascii="Verdana" w:hAnsi="Verdana"/>
          <w:sz w:val="20"/>
          <w:lang w:val="en-US"/>
        </w:rPr>
        <w:t xml:space="preserve">rgued that all </w:t>
      </w:r>
      <w:r w:rsidRPr="008A3740">
        <w:rPr>
          <w:rFonts w:ascii="Verdana" w:hAnsi="Verdana"/>
          <w:sz w:val="20"/>
          <w:lang w:val="en-US"/>
        </w:rPr>
        <w:t xml:space="preserve">these </w:t>
      </w:r>
      <w:r w:rsidR="00CF1D3A" w:rsidRPr="008A3740">
        <w:rPr>
          <w:rFonts w:ascii="Verdana" w:hAnsi="Verdana"/>
          <w:sz w:val="20"/>
          <w:lang w:val="en-US"/>
        </w:rPr>
        <w:t xml:space="preserve">factors had impaired </w:t>
      </w:r>
      <w:r w:rsidRPr="008A3740">
        <w:rPr>
          <w:rFonts w:ascii="Verdana" w:hAnsi="Verdana"/>
          <w:sz w:val="20"/>
          <w:lang w:val="en-US"/>
        </w:rPr>
        <w:t>M</w:t>
      </w:r>
      <w:r w:rsidR="00322053" w:rsidRPr="008A3740">
        <w:rPr>
          <w:rFonts w:ascii="Verdana" w:hAnsi="Verdana"/>
          <w:sz w:val="20"/>
          <w:lang w:val="en-US"/>
        </w:rPr>
        <w:t>r. Muelle Flores</w:t>
      </w:r>
      <w:r w:rsidR="00CF1D3A" w:rsidRPr="008A3740">
        <w:rPr>
          <w:rFonts w:ascii="Verdana" w:hAnsi="Verdana"/>
          <w:sz w:val="20"/>
          <w:lang w:val="en-US"/>
        </w:rPr>
        <w:t xml:space="preserve">’ patrimony </w:t>
      </w:r>
      <w:r w:rsidR="00322053" w:rsidRPr="008A3740">
        <w:rPr>
          <w:rFonts w:ascii="Verdana" w:hAnsi="Verdana"/>
          <w:sz w:val="20"/>
          <w:lang w:val="en-US"/>
        </w:rPr>
        <w:t>and, conseq</w:t>
      </w:r>
      <w:r w:rsidRPr="008A3740">
        <w:rPr>
          <w:rFonts w:ascii="Verdana" w:hAnsi="Verdana"/>
          <w:sz w:val="20"/>
          <w:lang w:val="en-US"/>
        </w:rPr>
        <w:t>uent</w:t>
      </w:r>
      <w:r w:rsidR="00322053" w:rsidRPr="008A3740">
        <w:rPr>
          <w:rFonts w:ascii="Verdana" w:hAnsi="Verdana"/>
          <w:sz w:val="20"/>
          <w:lang w:val="en-US"/>
        </w:rPr>
        <w:t>ly</w:t>
      </w:r>
      <w:r w:rsidRPr="008A3740">
        <w:rPr>
          <w:rFonts w:ascii="Verdana" w:hAnsi="Verdana"/>
          <w:sz w:val="20"/>
          <w:lang w:val="en-US"/>
        </w:rPr>
        <w:t>, the State of Peru, vio</w:t>
      </w:r>
      <w:r w:rsidR="00CF1D3A" w:rsidRPr="008A3740">
        <w:rPr>
          <w:rFonts w:ascii="Verdana" w:hAnsi="Verdana"/>
          <w:sz w:val="20"/>
          <w:lang w:val="en-US"/>
        </w:rPr>
        <w:t xml:space="preserve">lated the right to </w:t>
      </w:r>
      <w:r w:rsidRPr="008A3740">
        <w:rPr>
          <w:rFonts w:ascii="Verdana" w:hAnsi="Verdana"/>
          <w:sz w:val="20"/>
          <w:lang w:val="en-US"/>
        </w:rPr>
        <w:t xml:space="preserve">property established in Article 21 of the Convention. </w:t>
      </w:r>
    </w:p>
    <w:p w14:paraId="6E2B0384" w14:textId="77777777" w:rsidR="008E6A56" w:rsidRPr="008A3740" w:rsidRDefault="008E6A56" w:rsidP="008E6A56">
      <w:pPr>
        <w:rPr>
          <w:rFonts w:ascii="Verdana" w:hAnsi="Verdana"/>
          <w:sz w:val="20"/>
          <w:lang w:val="en-US"/>
        </w:rPr>
      </w:pPr>
    </w:p>
    <w:p w14:paraId="0332BFB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 xml:space="preserve">The </w:t>
      </w:r>
      <w:r w:rsidRPr="008A3740">
        <w:rPr>
          <w:rFonts w:ascii="Verdana" w:hAnsi="Verdana"/>
          <w:b/>
          <w:i/>
          <w:sz w:val="20"/>
          <w:lang w:val="en-US"/>
        </w:rPr>
        <w:t>representatives</w:t>
      </w:r>
      <w:r w:rsidRPr="008A3740">
        <w:rPr>
          <w:rFonts w:ascii="Verdana" w:hAnsi="Verdana"/>
          <w:sz w:val="20"/>
          <w:lang w:val="en-US"/>
        </w:rPr>
        <w:t xml:space="preserve"> </w:t>
      </w:r>
      <w:r w:rsidR="00202A69" w:rsidRPr="008A3740">
        <w:rPr>
          <w:rFonts w:ascii="Verdana" w:hAnsi="Verdana"/>
          <w:sz w:val="20"/>
          <w:lang w:val="en-US"/>
        </w:rPr>
        <w:t xml:space="preserve">argued </w:t>
      </w:r>
      <w:r w:rsidR="009E3080" w:rsidRPr="008A3740">
        <w:rPr>
          <w:rFonts w:ascii="Verdana" w:hAnsi="Verdana"/>
          <w:sz w:val="20"/>
          <w:lang w:val="en-US"/>
        </w:rPr>
        <w:t xml:space="preserve">that the right to </w:t>
      </w:r>
      <w:r w:rsidRPr="008A3740">
        <w:rPr>
          <w:rFonts w:ascii="Verdana" w:hAnsi="Verdana"/>
          <w:sz w:val="20"/>
          <w:lang w:val="en-US"/>
        </w:rPr>
        <w:t xml:space="preserve">property </w:t>
      </w:r>
      <w:r w:rsidR="00202A69" w:rsidRPr="008A3740">
        <w:rPr>
          <w:rFonts w:ascii="Verdana" w:hAnsi="Verdana"/>
          <w:sz w:val="20"/>
          <w:lang w:val="en-US"/>
        </w:rPr>
        <w:t>encompasses</w:t>
      </w:r>
      <w:r w:rsidRPr="008A3740">
        <w:rPr>
          <w:rFonts w:ascii="Verdana" w:hAnsi="Verdana"/>
          <w:sz w:val="20"/>
          <w:lang w:val="en-US"/>
        </w:rPr>
        <w:t xml:space="preserve"> no</w:t>
      </w:r>
      <w:r w:rsidR="00322053" w:rsidRPr="008A3740">
        <w:rPr>
          <w:rFonts w:ascii="Verdana" w:hAnsi="Verdana"/>
          <w:sz w:val="20"/>
          <w:lang w:val="en-US"/>
        </w:rPr>
        <w:t>t only</w:t>
      </w:r>
      <w:r w:rsidRPr="008A3740">
        <w:rPr>
          <w:rFonts w:ascii="Verdana" w:hAnsi="Verdana"/>
          <w:sz w:val="20"/>
          <w:lang w:val="en-US"/>
        </w:rPr>
        <w:t xml:space="preserve"> material </w:t>
      </w:r>
      <w:r w:rsidR="00886DC7" w:rsidRPr="008A3740">
        <w:rPr>
          <w:rFonts w:ascii="Verdana" w:hAnsi="Verdana"/>
          <w:sz w:val="20"/>
          <w:lang w:val="en-US"/>
        </w:rPr>
        <w:t xml:space="preserve">possessions </w:t>
      </w:r>
      <w:r w:rsidRPr="008A3740">
        <w:rPr>
          <w:rFonts w:ascii="Verdana" w:hAnsi="Verdana"/>
          <w:sz w:val="20"/>
          <w:lang w:val="en-US"/>
        </w:rPr>
        <w:t xml:space="preserve">in </w:t>
      </w:r>
      <w:r w:rsidR="00322053" w:rsidRPr="008A3740">
        <w:rPr>
          <w:rFonts w:ascii="Verdana" w:hAnsi="Verdana"/>
          <w:sz w:val="20"/>
          <w:lang w:val="en-US"/>
        </w:rPr>
        <w:t>the strict sense</w:t>
      </w:r>
      <w:r w:rsidRPr="008A3740">
        <w:rPr>
          <w:rFonts w:ascii="Verdana" w:hAnsi="Verdana"/>
          <w:sz w:val="20"/>
          <w:lang w:val="en-US"/>
        </w:rPr>
        <w:t xml:space="preserve">, </w:t>
      </w:r>
      <w:r w:rsidR="00322053" w:rsidRPr="008A3740">
        <w:rPr>
          <w:rFonts w:ascii="Verdana" w:hAnsi="Verdana"/>
          <w:sz w:val="20"/>
          <w:lang w:val="en-US"/>
        </w:rPr>
        <w:t xml:space="preserve">but also </w:t>
      </w:r>
      <w:r w:rsidRPr="008A3740">
        <w:rPr>
          <w:rFonts w:ascii="Verdana" w:hAnsi="Verdana"/>
          <w:sz w:val="20"/>
          <w:lang w:val="en-US"/>
        </w:rPr>
        <w:t xml:space="preserve">the protection </w:t>
      </w:r>
      <w:r w:rsidR="00322053" w:rsidRPr="008A3740">
        <w:rPr>
          <w:rFonts w:ascii="Verdana" w:hAnsi="Verdana"/>
          <w:sz w:val="20"/>
          <w:lang w:val="en-US"/>
        </w:rPr>
        <w:t xml:space="preserve">of </w:t>
      </w:r>
      <w:r w:rsidRPr="008A3740">
        <w:rPr>
          <w:rFonts w:ascii="Verdana" w:hAnsi="Verdana"/>
          <w:sz w:val="20"/>
          <w:lang w:val="en-US"/>
        </w:rPr>
        <w:t xml:space="preserve">acquired </w:t>
      </w:r>
      <w:r w:rsidR="00322053" w:rsidRPr="008A3740">
        <w:rPr>
          <w:rFonts w:ascii="Verdana" w:hAnsi="Verdana"/>
          <w:sz w:val="20"/>
          <w:lang w:val="en-US"/>
        </w:rPr>
        <w:t xml:space="preserve">rights </w:t>
      </w:r>
      <w:r w:rsidRPr="008A3740">
        <w:rPr>
          <w:rFonts w:ascii="Verdana" w:hAnsi="Verdana"/>
          <w:sz w:val="20"/>
          <w:lang w:val="en-US"/>
        </w:rPr>
        <w:t>that</w:t>
      </w:r>
      <w:r w:rsidR="00512B97" w:rsidRPr="008A3740">
        <w:rPr>
          <w:rFonts w:ascii="Verdana" w:hAnsi="Verdana"/>
          <w:sz w:val="20"/>
          <w:lang w:val="en-US"/>
        </w:rPr>
        <w:t xml:space="preserve"> form part of </w:t>
      </w:r>
      <w:r w:rsidR="003C7C65" w:rsidRPr="008A3740">
        <w:rPr>
          <w:rFonts w:ascii="Verdana" w:hAnsi="Verdana"/>
          <w:sz w:val="20"/>
          <w:lang w:val="en-US"/>
        </w:rPr>
        <w:t xml:space="preserve">a person’s </w:t>
      </w:r>
      <w:r w:rsidR="00512B97" w:rsidRPr="008A3740">
        <w:rPr>
          <w:rFonts w:ascii="Verdana" w:hAnsi="Verdana"/>
          <w:sz w:val="20"/>
          <w:lang w:val="en-US"/>
        </w:rPr>
        <w:t>patrimony</w:t>
      </w:r>
      <w:r w:rsidRPr="008A3740">
        <w:rPr>
          <w:rFonts w:ascii="Verdana" w:hAnsi="Verdana"/>
          <w:sz w:val="20"/>
          <w:lang w:val="en-US"/>
        </w:rPr>
        <w:t xml:space="preserve">. </w:t>
      </w:r>
      <w:r w:rsidR="00322053" w:rsidRPr="008A3740">
        <w:rPr>
          <w:rFonts w:ascii="Verdana" w:hAnsi="Verdana"/>
          <w:sz w:val="20"/>
          <w:lang w:val="en-US"/>
        </w:rPr>
        <w:t xml:space="preserve">They affirmed that </w:t>
      </w:r>
      <w:r w:rsidRPr="008A3740">
        <w:rPr>
          <w:rFonts w:ascii="Verdana" w:hAnsi="Verdana"/>
          <w:sz w:val="20"/>
          <w:lang w:val="en-US"/>
        </w:rPr>
        <w:t xml:space="preserve">Mr. Muelle Flores </w:t>
      </w:r>
      <w:r w:rsidR="00322053" w:rsidRPr="008A3740">
        <w:rPr>
          <w:rFonts w:ascii="Verdana" w:hAnsi="Verdana"/>
          <w:sz w:val="20"/>
          <w:lang w:val="en-US"/>
        </w:rPr>
        <w:t>had not received any pension payments since 1991</w:t>
      </w:r>
      <w:r w:rsidRPr="008A3740">
        <w:rPr>
          <w:rFonts w:ascii="Verdana" w:hAnsi="Verdana"/>
          <w:sz w:val="20"/>
          <w:lang w:val="en-US"/>
        </w:rPr>
        <w:t xml:space="preserve">, </w:t>
      </w:r>
      <w:r w:rsidR="00322053" w:rsidRPr="008A3740">
        <w:rPr>
          <w:rFonts w:ascii="Verdana" w:hAnsi="Verdana"/>
          <w:sz w:val="20"/>
          <w:lang w:val="en-US"/>
        </w:rPr>
        <w:t xml:space="preserve">despite the fact that his </w:t>
      </w:r>
      <w:r w:rsidRPr="008A3740">
        <w:rPr>
          <w:rFonts w:ascii="Verdana" w:hAnsi="Verdana"/>
          <w:sz w:val="20"/>
          <w:lang w:val="en-US"/>
        </w:rPr>
        <w:t xml:space="preserve">right was </w:t>
      </w:r>
      <w:r w:rsidR="00BC17DD" w:rsidRPr="008A3740">
        <w:rPr>
          <w:rFonts w:ascii="Verdana" w:hAnsi="Verdana"/>
          <w:sz w:val="20"/>
          <w:lang w:val="en-US"/>
        </w:rPr>
        <w:t xml:space="preserve">judicially </w:t>
      </w:r>
      <w:r w:rsidRPr="008A3740">
        <w:rPr>
          <w:rFonts w:ascii="Verdana" w:hAnsi="Verdana"/>
          <w:sz w:val="20"/>
          <w:lang w:val="en-US"/>
        </w:rPr>
        <w:t xml:space="preserve">recognized </w:t>
      </w:r>
      <w:r w:rsidR="0083711C" w:rsidRPr="008A3740">
        <w:rPr>
          <w:rFonts w:ascii="Verdana" w:hAnsi="Verdana"/>
          <w:sz w:val="20"/>
          <w:lang w:val="en-US"/>
        </w:rPr>
        <w:t xml:space="preserve">in a final </w:t>
      </w:r>
      <w:r w:rsidR="00BC17DD" w:rsidRPr="008A3740">
        <w:rPr>
          <w:rFonts w:ascii="Verdana" w:hAnsi="Verdana"/>
          <w:sz w:val="20"/>
          <w:lang w:val="en-US"/>
        </w:rPr>
        <w:t xml:space="preserve">judgment </w:t>
      </w:r>
      <w:r w:rsidRPr="008A3740">
        <w:rPr>
          <w:rFonts w:ascii="Verdana" w:hAnsi="Verdana"/>
          <w:sz w:val="20"/>
          <w:lang w:val="en-US"/>
        </w:rPr>
        <w:t>in 1993. They argu</w:t>
      </w:r>
      <w:r w:rsidR="00BC17DD" w:rsidRPr="008A3740">
        <w:rPr>
          <w:rFonts w:ascii="Verdana" w:hAnsi="Verdana"/>
          <w:sz w:val="20"/>
          <w:lang w:val="en-US"/>
        </w:rPr>
        <w:t>ed</w:t>
      </w:r>
      <w:r w:rsidR="00512B97" w:rsidRPr="008A3740">
        <w:rPr>
          <w:rFonts w:ascii="Verdana" w:hAnsi="Verdana"/>
          <w:sz w:val="20"/>
          <w:lang w:val="en-US"/>
        </w:rPr>
        <w:t xml:space="preserve"> that </w:t>
      </w:r>
      <w:r w:rsidR="00BC17DD" w:rsidRPr="008A3740">
        <w:rPr>
          <w:rFonts w:ascii="Verdana" w:hAnsi="Verdana"/>
          <w:sz w:val="20"/>
          <w:lang w:val="en-US"/>
        </w:rPr>
        <w:t xml:space="preserve">the </w:t>
      </w:r>
      <w:r w:rsidR="00512B97" w:rsidRPr="008A3740">
        <w:rPr>
          <w:rFonts w:ascii="Verdana" w:hAnsi="Verdana"/>
          <w:sz w:val="20"/>
          <w:lang w:val="en-US"/>
        </w:rPr>
        <w:t xml:space="preserve">failure to comply with </w:t>
      </w:r>
      <w:r w:rsidRPr="008A3740">
        <w:rPr>
          <w:rFonts w:ascii="Verdana" w:hAnsi="Verdana"/>
          <w:sz w:val="20"/>
          <w:lang w:val="en-US"/>
        </w:rPr>
        <w:t xml:space="preserve">both </w:t>
      </w:r>
      <w:r w:rsidR="00322053" w:rsidRPr="008A3740">
        <w:rPr>
          <w:rFonts w:ascii="Verdana" w:hAnsi="Verdana"/>
          <w:sz w:val="20"/>
          <w:lang w:val="en-US"/>
        </w:rPr>
        <w:t xml:space="preserve">domestic </w:t>
      </w:r>
      <w:r w:rsidR="00BC17DD" w:rsidRPr="008A3740">
        <w:rPr>
          <w:rFonts w:ascii="Verdana" w:hAnsi="Verdana"/>
          <w:sz w:val="20"/>
          <w:lang w:val="en-US"/>
        </w:rPr>
        <w:t xml:space="preserve">rulings had </w:t>
      </w:r>
      <w:r w:rsidR="00512B97" w:rsidRPr="008A3740">
        <w:rPr>
          <w:rFonts w:ascii="Verdana" w:hAnsi="Verdana"/>
          <w:sz w:val="20"/>
          <w:lang w:val="en-US"/>
        </w:rPr>
        <w:t xml:space="preserve">resulted in a </w:t>
      </w:r>
      <w:r w:rsidRPr="008A3740">
        <w:rPr>
          <w:rFonts w:ascii="Verdana" w:hAnsi="Verdana"/>
          <w:sz w:val="20"/>
          <w:lang w:val="en-US"/>
        </w:rPr>
        <w:t>violation of the right to property</w:t>
      </w:r>
      <w:r w:rsidR="009D0DD7" w:rsidRPr="008A3740">
        <w:rPr>
          <w:rFonts w:ascii="Verdana" w:hAnsi="Verdana"/>
          <w:sz w:val="20"/>
          <w:lang w:val="en-US"/>
        </w:rPr>
        <w:t>,</w:t>
      </w:r>
      <w:r w:rsidRPr="008A3740">
        <w:rPr>
          <w:rFonts w:ascii="Verdana" w:hAnsi="Verdana"/>
          <w:sz w:val="20"/>
          <w:lang w:val="en-US"/>
        </w:rPr>
        <w:t xml:space="preserve"> </w:t>
      </w:r>
      <w:r w:rsidR="009D0DD7" w:rsidRPr="008A3740">
        <w:rPr>
          <w:rFonts w:ascii="Verdana" w:hAnsi="Verdana"/>
          <w:sz w:val="20"/>
          <w:lang w:val="en-US"/>
        </w:rPr>
        <w:t xml:space="preserve">which had </w:t>
      </w:r>
      <w:r w:rsidRPr="008A3740">
        <w:rPr>
          <w:rFonts w:ascii="Verdana" w:hAnsi="Verdana"/>
          <w:sz w:val="20"/>
          <w:lang w:val="en-US"/>
        </w:rPr>
        <w:t>“property implications” (</w:t>
      </w:r>
      <w:r w:rsidRPr="008A3740">
        <w:rPr>
          <w:rFonts w:ascii="Verdana" w:hAnsi="Verdana"/>
          <w:i/>
          <w:sz w:val="20"/>
          <w:lang w:val="en-US"/>
        </w:rPr>
        <w:t>patrimonial effects)</w:t>
      </w:r>
      <w:r w:rsidRPr="008A3740">
        <w:rPr>
          <w:rFonts w:ascii="Verdana" w:hAnsi="Verdana"/>
          <w:sz w:val="20"/>
          <w:lang w:val="en-US"/>
        </w:rPr>
        <w:t xml:space="preserve"> derived from </w:t>
      </w:r>
      <w:r w:rsidR="009D0DD7" w:rsidRPr="008A3740">
        <w:rPr>
          <w:rFonts w:ascii="Verdana" w:hAnsi="Verdana"/>
          <w:sz w:val="20"/>
          <w:lang w:val="en-US"/>
        </w:rPr>
        <w:t xml:space="preserve">his </w:t>
      </w:r>
      <w:r w:rsidRPr="008A3740">
        <w:rPr>
          <w:rFonts w:ascii="Verdana" w:hAnsi="Verdana"/>
          <w:sz w:val="20"/>
          <w:lang w:val="en-US"/>
        </w:rPr>
        <w:t xml:space="preserve">right to </w:t>
      </w:r>
      <w:r w:rsidR="00512B97" w:rsidRPr="008A3740">
        <w:rPr>
          <w:rFonts w:ascii="Verdana" w:hAnsi="Verdana"/>
          <w:sz w:val="20"/>
          <w:lang w:val="en-US"/>
        </w:rPr>
        <w:t>a</w:t>
      </w:r>
      <w:r w:rsidR="009D0DD7" w:rsidRPr="008A3740">
        <w:rPr>
          <w:rFonts w:ascii="Verdana" w:hAnsi="Verdana"/>
          <w:sz w:val="20"/>
          <w:lang w:val="en-US"/>
        </w:rPr>
        <w:t>n</w:t>
      </w:r>
      <w:r w:rsidR="00512B97" w:rsidRPr="008A3740">
        <w:rPr>
          <w:rFonts w:ascii="Verdana" w:hAnsi="Verdana"/>
          <w:sz w:val="20"/>
          <w:lang w:val="en-US"/>
        </w:rPr>
        <w:t xml:space="preserve"> equalized </w:t>
      </w:r>
      <w:r w:rsidRPr="008A3740">
        <w:rPr>
          <w:rFonts w:ascii="Verdana" w:hAnsi="Verdana"/>
          <w:sz w:val="20"/>
          <w:lang w:val="en-US"/>
        </w:rPr>
        <w:t xml:space="preserve">pension, </w:t>
      </w:r>
      <w:r w:rsidR="009D0DD7" w:rsidRPr="008A3740">
        <w:rPr>
          <w:rFonts w:ascii="Verdana" w:hAnsi="Verdana"/>
          <w:sz w:val="20"/>
          <w:lang w:val="en-US"/>
        </w:rPr>
        <w:t xml:space="preserve">an acquired right under </w:t>
      </w:r>
      <w:r w:rsidR="00512B97" w:rsidRPr="008A3740">
        <w:rPr>
          <w:rFonts w:ascii="Verdana" w:hAnsi="Verdana"/>
          <w:sz w:val="20"/>
          <w:lang w:val="en-US"/>
        </w:rPr>
        <w:t xml:space="preserve">Peru’s </w:t>
      </w:r>
      <w:r w:rsidR="009D0DD7" w:rsidRPr="008A3740">
        <w:rPr>
          <w:rFonts w:ascii="Verdana" w:hAnsi="Verdana"/>
          <w:sz w:val="20"/>
          <w:lang w:val="en-US"/>
        </w:rPr>
        <w:t xml:space="preserve">domestic law, pursuant to </w:t>
      </w:r>
      <w:r w:rsidRPr="008A3740">
        <w:rPr>
          <w:rFonts w:ascii="Verdana" w:hAnsi="Verdana"/>
          <w:sz w:val="20"/>
          <w:lang w:val="en-US"/>
        </w:rPr>
        <w:t xml:space="preserve">Decree Law No. 20530. Therefore, the representatives concluded that the State violated Article 21 of the American Convention. </w:t>
      </w:r>
    </w:p>
    <w:p w14:paraId="4CF08998" w14:textId="77777777" w:rsidR="008E6A56" w:rsidRPr="008A3740" w:rsidRDefault="008E6A56" w:rsidP="008E6A56">
      <w:pPr>
        <w:rPr>
          <w:rFonts w:ascii="Verdana" w:hAnsi="Verdana"/>
          <w:sz w:val="20"/>
          <w:lang w:val="en-US"/>
        </w:rPr>
      </w:pPr>
    </w:p>
    <w:p w14:paraId="42DB7113"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 xml:space="preserve">The </w:t>
      </w:r>
      <w:r w:rsidRPr="008A3740">
        <w:rPr>
          <w:rFonts w:ascii="Verdana" w:hAnsi="Verdana"/>
          <w:b/>
          <w:i/>
          <w:sz w:val="20"/>
          <w:lang w:val="en-US"/>
        </w:rPr>
        <w:t>State</w:t>
      </w:r>
      <w:r w:rsidRPr="008A3740">
        <w:rPr>
          <w:rFonts w:ascii="Verdana" w:hAnsi="Verdana"/>
          <w:b/>
          <w:sz w:val="20"/>
          <w:lang w:val="en-US"/>
        </w:rPr>
        <w:t xml:space="preserve"> </w:t>
      </w:r>
      <w:r w:rsidRPr="008A3740">
        <w:rPr>
          <w:rFonts w:ascii="Verdana" w:hAnsi="Verdana"/>
          <w:sz w:val="20"/>
          <w:lang w:val="en-US"/>
        </w:rPr>
        <w:t xml:space="preserve">considered that the cases of </w:t>
      </w:r>
      <w:r w:rsidRPr="008A3740">
        <w:rPr>
          <w:rFonts w:ascii="Verdana" w:hAnsi="Verdana"/>
          <w:i/>
          <w:sz w:val="20"/>
          <w:lang w:val="en-US"/>
        </w:rPr>
        <w:t>Five Pensioners v. Peru</w:t>
      </w:r>
      <w:r w:rsidRPr="008A3740">
        <w:rPr>
          <w:rFonts w:ascii="Verdana" w:hAnsi="Verdana"/>
          <w:sz w:val="20"/>
          <w:lang w:val="en-US"/>
        </w:rPr>
        <w:t xml:space="preserve"> and </w:t>
      </w:r>
      <w:r w:rsidRPr="008A3740">
        <w:rPr>
          <w:rFonts w:ascii="Verdana" w:hAnsi="Verdana"/>
          <w:i/>
          <w:sz w:val="20"/>
          <w:lang w:val="en-US"/>
        </w:rPr>
        <w:t>Acevedo Buendía</w:t>
      </w:r>
      <w:r w:rsidR="009D0DD7" w:rsidRPr="008A3740">
        <w:rPr>
          <w:rFonts w:ascii="Verdana" w:hAnsi="Verdana"/>
          <w:i/>
          <w:sz w:val="20"/>
          <w:lang w:val="en-US"/>
        </w:rPr>
        <w:t xml:space="preserve"> et al. </w:t>
      </w:r>
      <w:r w:rsidRPr="008A3740">
        <w:rPr>
          <w:rFonts w:ascii="Verdana" w:hAnsi="Verdana"/>
          <w:i/>
          <w:sz w:val="20"/>
          <w:lang w:val="en-US"/>
        </w:rPr>
        <w:t xml:space="preserve">("Discharged and Retired Employees of the Comptroller’s Office") v. Peru </w:t>
      </w:r>
      <w:r w:rsidRPr="008A3740">
        <w:rPr>
          <w:rFonts w:ascii="Verdana" w:hAnsi="Verdana"/>
          <w:sz w:val="20"/>
          <w:lang w:val="en-US"/>
        </w:rPr>
        <w:t xml:space="preserve">were not </w:t>
      </w:r>
      <w:r w:rsidR="00512B97" w:rsidRPr="008A3740">
        <w:rPr>
          <w:rFonts w:ascii="Verdana" w:hAnsi="Verdana"/>
          <w:sz w:val="20"/>
          <w:lang w:val="en-US"/>
        </w:rPr>
        <w:t>relevant to the instant case, since tho</w:t>
      </w:r>
      <w:r w:rsidRPr="008A3740">
        <w:rPr>
          <w:rFonts w:ascii="Verdana" w:hAnsi="Verdana"/>
          <w:sz w:val="20"/>
          <w:lang w:val="en-US"/>
        </w:rPr>
        <w:t xml:space="preserve">se </w:t>
      </w:r>
      <w:r w:rsidR="009D0DD7" w:rsidRPr="008A3740">
        <w:rPr>
          <w:rFonts w:ascii="Verdana" w:hAnsi="Verdana"/>
          <w:sz w:val="20"/>
          <w:lang w:val="en-US"/>
        </w:rPr>
        <w:t xml:space="preserve">cases </w:t>
      </w:r>
      <w:r w:rsidR="00512B97" w:rsidRPr="008A3740">
        <w:rPr>
          <w:rFonts w:ascii="Verdana" w:hAnsi="Verdana"/>
          <w:sz w:val="20"/>
          <w:lang w:val="en-US"/>
        </w:rPr>
        <w:t xml:space="preserve">involved </w:t>
      </w:r>
      <w:r w:rsidRPr="008A3740">
        <w:rPr>
          <w:rFonts w:ascii="Verdana" w:hAnsi="Verdana"/>
          <w:sz w:val="20"/>
          <w:lang w:val="en-US"/>
        </w:rPr>
        <w:t xml:space="preserve">pensioners of public </w:t>
      </w:r>
      <w:r w:rsidR="009D0DD7" w:rsidRPr="008A3740">
        <w:rPr>
          <w:rFonts w:ascii="Verdana" w:hAnsi="Verdana"/>
          <w:sz w:val="20"/>
          <w:lang w:val="en-US"/>
        </w:rPr>
        <w:t>institutions, whereas the instant</w:t>
      </w:r>
      <w:r w:rsidRPr="008A3740">
        <w:rPr>
          <w:rFonts w:ascii="Verdana" w:hAnsi="Verdana"/>
          <w:sz w:val="20"/>
          <w:lang w:val="en-US"/>
        </w:rPr>
        <w:t xml:space="preserve"> case concerns a pensioner of a public company that was subsequently privatized. </w:t>
      </w:r>
      <w:r w:rsidR="00512B97" w:rsidRPr="008A3740">
        <w:rPr>
          <w:rFonts w:ascii="Verdana" w:hAnsi="Verdana"/>
          <w:sz w:val="20"/>
          <w:lang w:val="en-US"/>
        </w:rPr>
        <w:t xml:space="preserve">It also </w:t>
      </w:r>
      <w:r w:rsidRPr="008A3740">
        <w:rPr>
          <w:rFonts w:ascii="Verdana" w:hAnsi="Verdana"/>
          <w:sz w:val="20"/>
          <w:lang w:val="en-US"/>
        </w:rPr>
        <w:t xml:space="preserve">affirmed that in the case </w:t>
      </w:r>
      <w:r w:rsidRPr="008A3740">
        <w:rPr>
          <w:rFonts w:ascii="Verdana" w:hAnsi="Verdana"/>
          <w:i/>
          <w:sz w:val="20"/>
          <w:lang w:val="en-US"/>
        </w:rPr>
        <w:t xml:space="preserve">Acevedo Buendía </w:t>
      </w:r>
      <w:r w:rsidR="00512B97" w:rsidRPr="008A3740">
        <w:rPr>
          <w:rFonts w:ascii="Verdana" w:hAnsi="Verdana"/>
          <w:i/>
          <w:sz w:val="20"/>
          <w:lang w:val="en-US"/>
        </w:rPr>
        <w:t xml:space="preserve">et al. </w:t>
      </w:r>
      <w:r w:rsidRPr="008A3740">
        <w:rPr>
          <w:rFonts w:ascii="Verdana" w:hAnsi="Verdana"/>
          <w:i/>
          <w:sz w:val="20"/>
          <w:lang w:val="en-US"/>
        </w:rPr>
        <w:t xml:space="preserve">v. Peru </w:t>
      </w:r>
      <w:r w:rsidRPr="008A3740">
        <w:rPr>
          <w:rFonts w:ascii="Verdana" w:hAnsi="Verdana"/>
          <w:sz w:val="20"/>
          <w:lang w:val="en-US"/>
        </w:rPr>
        <w:t xml:space="preserve">it was demonstrated in </w:t>
      </w:r>
      <w:r w:rsidR="00E54372" w:rsidRPr="008A3740">
        <w:rPr>
          <w:rFonts w:ascii="Verdana" w:hAnsi="Verdana"/>
          <w:sz w:val="20"/>
          <w:lang w:val="en-US"/>
        </w:rPr>
        <w:t xml:space="preserve">the domestic courts </w:t>
      </w:r>
      <w:r w:rsidRPr="008A3740">
        <w:rPr>
          <w:rFonts w:ascii="Verdana" w:hAnsi="Verdana"/>
          <w:sz w:val="20"/>
          <w:lang w:val="en-US"/>
        </w:rPr>
        <w:t xml:space="preserve">that the State </w:t>
      </w:r>
      <w:r w:rsidR="00512B97" w:rsidRPr="008A3740">
        <w:rPr>
          <w:rFonts w:ascii="Verdana" w:hAnsi="Verdana"/>
          <w:sz w:val="20"/>
          <w:lang w:val="en-US"/>
        </w:rPr>
        <w:t xml:space="preserve">had </w:t>
      </w:r>
      <w:r w:rsidR="009D0DD7" w:rsidRPr="008A3740">
        <w:rPr>
          <w:rFonts w:ascii="Verdana" w:hAnsi="Verdana"/>
          <w:sz w:val="20"/>
          <w:lang w:val="en-US"/>
        </w:rPr>
        <w:t>an</w:t>
      </w:r>
      <w:r w:rsidRPr="008A3740">
        <w:rPr>
          <w:rFonts w:ascii="Verdana" w:hAnsi="Verdana"/>
          <w:sz w:val="20"/>
          <w:lang w:val="en-US"/>
        </w:rPr>
        <w:t xml:space="preserve"> obligation to pay the victim</w:t>
      </w:r>
      <w:r w:rsidR="00512B97" w:rsidRPr="008A3740">
        <w:rPr>
          <w:rFonts w:ascii="Verdana" w:hAnsi="Verdana"/>
          <w:sz w:val="20"/>
          <w:lang w:val="en-US"/>
        </w:rPr>
        <w:t xml:space="preserve">s the amounts corresponding to </w:t>
      </w:r>
      <w:r w:rsidRPr="008A3740">
        <w:rPr>
          <w:rFonts w:ascii="Verdana" w:hAnsi="Verdana"/>
          <w:sz w:val="20"/>
          <w:lang w:val="en-US"/>
        </w:rPr>
        <w:t xml:space="preserve">the </w:t>
      </w:r>
      <w:r w:rsidR="00512B97" w:rsidRPr="008A3740">
        <w:rPr>
          <w:rFonts w:ascii="Verdana" w:hAnsi="Verdana"/>
          <w:sz w:val="20"/>
          <w:lang w:val="en-US"/>
        </w:rPr>
        <w:t xml:space="preserve">equalized </w:t>
      </w:r>
      <w:r w:rsidRPr="008A3740">
        <w:rPr>
          <w:rFonts w:ascii="Verdana" w:hAnsi="Verdana"/>
          <w:sz w:val="20"/>
          <w:lang w:val="en-US"/>
        </w:rPr>
        <w:t>pension</w:t>
      </w:r>
      <w:r w:rsidR="00512B97" w:rsidRPr="008A3740">
        <w:rPr>
          <w:rFonts w:ascii="Verdana" w:hAnsi="Verdana"/>
          <w:sz w:val="20"/>
          <w:lang w:val="en-US"/>
        </w:rPr>
        <w:t>,</w:t>
      </w:r>
      <w:r w:rsidRPr="008A3740">
        <w:rPr>
          <w:rFonts w:ascii="Verdana" w:hAnsi="Verdana"/>
          <w:sz w:val="20"/>
          <w:lang w:val="en-US"/>
        </w:rPr>
        <w:t xml:space="preserve"> </w:t>
      </w:r>
      <w:r w:rsidR="009D0DD7" w:rsidRPr="008A3740">
        <w:rPr>
          <w:rFonts w:ascii="Verdana" w:hAnsi="Verdana"/>
          <w:sz w:val="20"/>
          <w:lang w:val="en-US"/>
        </w:rPr>
        <w:t>and only had to determine</w:t>
      </w:r>
      <w:r w:rsidR="003C7C65" w:rsidRPr="008A3740">
        <w:rPr>
          <w:rFonts w:ascii="Verdana" w:hAnsi="Verdana"/>
          <w:sz w:val="20"/>
          <w:lang w:val="en-US"/>
        </w:rPr>
        <w:t xml:space="preserve"> </w:t>
      </w:r>
      <w:r w:rsidRPr="008A3740">
        <w:rPr>
          <w:rFonts w:ascii="Verdana" w:hAnsi="Verdana"/>
          <w:sz w:val="20"/>
          <w:lang w:val="en-US"/>
        </w:rPr>
        <w:t xml:space="preserve">the </w:t>
      </w:r>
      <w:r w:rsidR="00512B97" w:rsidRPr="008A3740">
        <w:rPr>
          <w:rFonts w:ascii="Verdana" w:hAnsi="Verdana"/>
          <w:sz w:val="20"/>
          <w:lang w:val="en-US"/>
        </w:rPr>
        <w:t xml:space="preserve">amount </w:t>
      </w:r>
      <w:r w:rsidR="003C7C65" w:rsidRPr="008A3740">
        <w:rPr>
          <w:rFonts w:ascii="Verdana" w:hAnsi="Verdana"/>
          <w:sz w:val="20"/>
          <w:lang w:val="en-US"/>
        </w:rPr>
        <w:t>owed</w:t>
      </w:r>
      <w:r w:rsidR="00512B97" w:rsidRPr="008A3740">
        <w:rPr>
          <w:rFonts w:ascii="Verdana" w:hAnsi="Verdana"/>
          <w:sz w:val="20"/>
          <w:lang w:val="en-US"/>
        </w:rPr>
        <w:t xml:space="preserve">, while in the case of </w:t>
      </w:r>
      <w:r w:rsidRPr="008A3740">
        <w:rPr>
          <w:rFonts w:ascii="Verdana" w:hAnsi="Verdana"/>
          <w:sz w:val="20"/>
          <w:lang w:val="en-US"/>
        </w:rPr>
        <w:t xml:space="preserve">Mr. Muelle Flores, </w:t>
      </w:r>
      <w:r w:rsidR="00512B97" w:rsidRPr="008A3740">
        <w:rPr>
          <w:rFonts w:ascii="Verdana" w:hAnsi="Verdana"/>
          <w:sz w:val="20"/>
          <w:lang w:val="en-US"/>
        </w:rPr>
        <w:t xml:space="preserve">it had not been </w:t>
      </w:r>
      <w:r w:rsidR="00DE773D" w:rsidRPr="008A3740">
        <w:rPr>
          <w:rFonts w:ascii="Verdana" w:hAnsi="Verdana"/>
          <w:sz w:val="20"/>
          <w:lang w:val="en-US"/>
        </w:rPr>
        <w:t xml:space="preserve">proven </w:t>
      </w:r>
      <w:r w:rsidR="00512B97" w:rsidRPr="008A3740">
        <w:rPr>
          <w:rFonts w:ascii="Verdana" w:hAnsi="Verdana"/>
          <w:sz w:val="20"/>
          <w:lang w:val="en-US"/>
        </w:rPr>
        <w:t xml:space="preserve">that </w:t>
      </w:r>
      <w:r w:rsidRPr="008A3740">
        <w:rPr>
          <w:rFonts w:ascii="Verdana" w:hAnsi="Verdana"/>
          <w:sz w:val="20"/>
          <w:lang w:val="en-US"/>
        </w:rPr>
        <w:t xml:space="preserve">the State of Peru </w:t>
      </w:r>
      <w:r w:rsidR="009D0DD7" w:rsidRPr="008A3740">
        <w:rPr>
          <w:rFonts w:ascii="Verdana" w:hAnsi="Verdana"/>
          <w:sz w:val="20"/>
          <w:lang w:val="en-US"/>
        </w:rPr>
        <w:t xml:space="preserve">was obligated to </w:t>
      </w:r>
      <w:r w:rsidRPr="008A3740">
        <w:rPr>
          <w:rFonts w:ascii="Verdana" w:hAnsi="Verdana"/>
          <w:sz w:val="20"/>
          <w:lang w:val="en-US"/>
        </w:rPr>
        <w:t xml:space="preserve">pay the pension, since the </w:t>
      </w:r>
      <w:r w:rsidR="00AC43A6" w:rsidRPr="008A3740">
        <w:rPr>
          <w:rFonts w:ascii="Verdana" w:hAnsi="Verdana"/>
          <w:sz w:val="20"/>
          <w:lang w:val="en-US"/>
        </w:rPr>
        <w:t xml:space="preserve">State </w:t>
      </w:r>
      <w:r w:rsidRPr="008A3740">
        <w:rPr>
          <w:rFonts w:ascii="Verdana" w:hAnsi="Verdana"/>
          <w:sz w:val="20"/>
          <w:lang w:val="en-US"/>
        </w:rPr>
        <w:t xml:space="preserve">company </w:t>
      </w:r>
      <w:r w:rsidR="009D0DD7" w:rsidRPr="008A3740">
        <w:rPr>
          <w:rFonts w:ascii="Verdana" w:hAnsi="Verdana"/>
          <w:sz w:val="20"/>
          <w:lang w:val="en-US"/>
        </w:rPr>
        <w:t xml:space="preserve">that was </w:t>
      </w:r>
      <w:r w:rsidR="00AC43A6" w:rsidRPr="008A3740">
        <w:rPr>
          <w:rFonts w:ascii="Verdana" w:hAnsi="Verdana"/>
          <w:sz w:val="20"/>
          <w:lang w:val="en-US"/>
        </w:rPr>
        <w:t>init</w:t>
      </w:r>
      <w:r w:rsidRPr="008A3740">
        <w:rPr>
          <w:rFonts w:ascii="Verdana" w:hAnsi="Verdana"/>
          <w:sz w:val="20"/>
          <w:lang w:val="en-US"/>
        </w:rPr>
        <w:t>ially obliga</w:t>
      </w:r>
      <w:r w:rsidR="00AC43A6" w:rsidRPr="008A3740">
        <w:rPr>
          <w:rFonts w:ascii="Verdana" w:hAnsi="Verdana"/>
          <w:sz w:val="20"/>
          <w:lang w:val="en-US"/>
        </w:rPr>
        <w:t>ted to do so was privatized</w:t>
      </w:r>
      <w:r w:rsidRPr="008A3740">
        <w:rPr>
          <w:rFonts w:ascii="Verdana" w:hAnsi="Verdana"/>
          <w:sz w:val="20"/>
          <w:lang w:val="en-US"/>
        </w:rPr>
        <w:t>, and t</w:t>
      </w:r>
      <w:r w:rsidR="0083711C" w:rsidRPr="008A3740">
        <w:rPr>
          <w:rFonts w:ascii="Verdana" w:hAnsi="Verdana"/>
          <w:sz w:val="20"/>
          <w:lang w:val="en-US"/>
        </w:rPr>
        <w:t xml:space="preserve">he legislation on this matter </w:t>
      </w:r>
      <w:r w:rsidR="00DE773D" w:rsidRPr="008A3740">
        <w:rPr>
          <w:rFonts w:ascii="Verdana" w:hAnsi="Verdana"/>
          <w:sz w:val="20"/>
          <w:lang w:val="en-US"/>
        </w:rPr>
        <w:t xml:space="preserve">had </w:t>
      </w:r>
      <w:r w:rsidR="0083711C" w:rsidRPr="008A3740">
        <w:rPr>
          <w:rFonts w:ascii="Verdana" w:hAnsi="Verdana"/>
          <w:sz w:val="20"/>
          <w:lang w:val="en-US"/>
        </w:rPr>
        <w:t>changed</w:t>
      </w:r>
      <w:r w:rsidRPr="008A3740">
        <w:rPr>
          <w:rFonts w:ascii="Verdana" w:hAnsi="Verdana"/>
          <w:sz w:val="20"/>
          <w:lang w:val="en-US"/>
        </w:rPr>
        <w:t xml:space="preserve">, </w:t>
      </w:r>
      <w:r w:rsidR="0083711C" w:rsidRPr="008A3740">
        <w:rPr>
          <w:rFonts w:ascii="Verdana" w:hAnsi="Verdana"/>
          <w:sz w:val="20"/>
          <w:lang w:val="en-US"/>
        </w:rPr>
        <w:t xml:space="preserve">thereby creating </w:t>
      </w:r>
      <w:r w:rsidRPr="008A3740">
        <w:rPr>
          <w:rFonts w:ascii="Verdana" w:hAnsi="Verdana"/>
          <w:sz w:val="20"/>
          <w:lang w:val="en-US"/>
        </w:rPr>
        <w:t>uncertainty re</w:t>
      </w:r>
      <w:r w:rsidR="0083711C" w:rsidRPr="008A3740">
        <w:rPr>
          <w:rFonts w:ascii="Verdana" w:hAnsi="Verdana"/>
          <w:sz w:val="20"/>
          <w:lang w:val="en-US"/>
        </w:rPr>
        <w:t>garding the entity responsible for</w:t>
      </w:r>
      <w:r w:rsidRPr="008A3740">
        <w:rPr>
          <w:rFonts w:ascii="Verdana" w:hAnsi="Verdana"/>
          <w:sz w:val="20"/>
          <w:lang w:val="en-US"/>
        </w:rPr>
        <w:t xml:space="preserve"> the payment. </w:t>
      </w:r>
      <w:r w:rsidR="0083711C" w:rsidRPr="008A3740">
        <w:rPr>
          <w:rFonts w:ascii="Verdana" w:hAnsi="Verdana"/>
          <w:sz w:val="20"/>
          <w:lang w:val="en-US"/>
        </w:rPr>
        <w:t>Furthermore</w:t>
      </w:r>
      <w:r w:rsidRPr="008A3740">
        <w:rPr>
          <w:rFonts w:ascii="Verdana" w:hAnsi="Verdana"/>
          <w:sz w:val="20"/>
          <w:lang w:val="en-US"/>
        </w:rPr>
        <w:t xml:space="preserve">, </w:t>
      </w:r>
      <w:r w:rsidR="0083711C" w:rsidRPr="008A3740">
        <w:rPr>
          <w:rFonts w:ascii="Verdana" w:hAnsi="Verdana"/>
          <w:sz w:val="20"/>
          <w:lang w:val="en-US"/>
        </w:rPr>
        <w:t xml:space="preserve">it argued that </w:t>
      </w:r>
      <w:r w:rsidR="009D0DD7" w:rsidRPr="008A3740">
        <w:rPr>
          <w:rFonts w:ascii="Verdana" w:hAnsi="Verdana"/>
          <w:sz w:val="20"/>
          <w:lang w:val="en-US"/>
        </w:rPr>
        <w:t xml:space="preserve">the plaintiff </w:t>
      </w:r>
      <w:r w:rsidR="009D0DD7" w:rsidRPr="008A3740">
        <w:rPr>
          <w:rFonts w:ascii="Verdana" w:hAnsi="Verdana"/>
          <w:sz w:val="20"/>
          <w:lang w:val="en-US"/>
        </w:rPr>
        <w:lastRenderedPageBreak/>
        <w:t xml:space="preserve">could not allege </w:t>
      </w:r>
      <w:r w:rsidR="0083711C" w:rsidRPr="008A3740">
        <w:rPr>
          <w:rFonts w:ascii="Verdana" w:hAnsi="Verdana"/>
          <w:sz w:val="20"/>
          <w:lang w:val="en-US"/>
        </w:rPr>
        <w:t>an absolute lack of compliance,</w:t>
      </w:r>
      <w:r w:rsidRPr="008A3740">
        <w:rPr>
          <w:rFonts w:ascii="Verdana" w:hAnsi="Verdana"/>
          <w:sz w:val="20"/>
          <w:lang w:val="en-US"/>
        </w:rPr>
        <w:t xml:space="preserve"> </w:t>
      </w:r>
      <w:r w:rsidR="0083711C" w:rsidRPr="008A3740">
        <w:rPr>
          <w:rFonts w:ascii="Verdana" w:hAnsi="Verdana"/>
          <w:sz w:val="20"/>
          <w:lang w:val="en-US"/>
        </w:rPr>
        <w:t xml:space="preserve">since </w:t>
      </w:r>
      <w:r w:rsidRPr="008A3740">
        <w:rPr>
          <w:rFonts w:ascii="Verdana" w:hAnsi="Verdana"/>
          <w:sz w:val="20"/>
          <w:lang w:val="en-US"/>
        </w:rPr>
        <w:t xml:space="preserve">partial </w:t>
      </w:r>
      <w:r w:rsidR="009D0DD7" w:rsidRPr="008A3740">
        <w:rPr>
          <w:rFonts w:ascii="Verdana" w:hAnsi="Verdana"/>
          <w:sz w:val="20"/>
          <w:lang w:val="en-US"/>
        </w:rPr>
        <w:t xml:space="preserve">pension </w:t>
      </w:r>
      <w:r w:rsidRPr="008A3740">
        <w:rPr>
          <w:rFonts w:ascii="Verdana" w:hAnsi="Verdana"/>
          <w:sz w:val="20"/>
          <w:lang w:val="en-US"/>
        </w:rPr>
        <w:t xml:space="preserve">payments </w:t>
      </w:r>
      <w:r w:rsidR="0083711C" w:rsidRPr="008A3740">
        <w:rPr>
          <w:rFonts w:ascii="Verdana" w:hAnsi="Verdana"/>
          <w:sz w:val="20"/>
          <w:lang w:val="en-US"/>
        </w:rPr>
        <w:t xml:space="preserve">were made </w:t>
      </w:r>
      <w:r w:rsidRPr="008A3740">
        <w:rPr>
          <w:rFonts w:ascii="Verdana" w:hAnsi="Verdana"/>
          <w:sz w:val="20"/>
          <w:lang w:val="en-US"/>
        </w:rPr>
        <w:t xml:space="preserve">between 1999 and 2001. </w:t>
      </w:r>
      <w:r w:rsidR="0083711C" w:rsidRPr="008A3740">
        <w:rPr>
          <w:rFonts w:ascii="Verdana" w:hAnsi="Verdana"/>
          <w:sz w:val="20"/>
          <w:lang w:val="en-US"/>
        </w:rPr>
        <w:t xml:space="preserve">Therefore, </w:t>
      </w:r>
      <w:r w:rsidRPr="008A3740">
        <w:rPr>
          <w:rFonts w:ascii="Verdana" w:hAnsi="Verdana"/>
          <w:sz w:val="20"/>
          <w:lang w:val="en-US"/>
        </w:rPr>
        <w:t xml:space="preserve">the State concluded that </w:t>
      </w:r>
      <w:r w:rsidR="009D0DD7" w:rsidRPr="008A3740">
        <w:rPr>
          <w:rFonts w:ascii="Verdana" w:hAnsi="Verdana"/>
          <w:sz w:val="20"/>
          <w:lang w:val="en-US"/>
        </w:rPr>
        <w:t xml:space="preserve">it </w:t>
      </w:r>
      <w:r w:rsidRPr="008A3740">
        <w:rPr>
          <w:rFonts w:ascii="Verdana" w:hAnsi="Verdana"/>
          <w:sz w:val="20"/>
          <w:lang w:val="en-US"/>
        </w:rPr>
        <w:t xml:space="preserve">was </w:t>
      </w:r>
      <w:r w:rsidR="009D0DD7" w:rsidRPr="008A3740">
        <w:rPr>
          <w:rFonts w:ascii="Verdana" w:hAnsi="Verdana"/>
          <w:sz w:val="20"/>
          <w:lang w:val="en-US"/>
        </w:rPr>
        <w:t xml:space="preserve">not </w:t>
      </w:r>
      <w:r w:rsidRPr="008A3740">
        <w:rPr>
          <w:rFonts w:ascii="Verdana" w:hAnsi="Verdana"/>
          <w:sz w:val="20"/>
          <w:lang w:val="en-US"/>
        </w:rPr>
        <w:t xml:space="preserve">responsible for the violation of Article 21 of the Convention. </w:t>
      </w:r>
    </w:p>
    <w:p w14:paraId="778DC31C" w14:textId="77777777" w:rsidR="008E6A56" w:rsidRPr="008A3740" w:rsidRDefault="008E6A56" w:rsidP="008E6A56">
      <w:pPr>
        <w:pStyle w:val="Ttulo3"/>
        <w:rPr>
          <w:lang w:val="en-US"/>
        </w:rPr>
      </w:pPr>
      <w:bookmarkStart w:id="113" w:name="_Toc532545813"/>
      <w:bookmarkStart w:id="114" w:name="_Toc5009891"/>
      <w:r w:rsidRPr="008A3740">
        <w:rPr>
          <w:lang w:val="en-US"/>
        </w:rPr>
        <w:t>D.2 Considerations of the Court</w:t>
      </w:r>
      <w:bookmarkEnd w:id="113"/>
      <w:bookmarkEnd w:id="114"/>
    </w:p>
    <w:p w14:paraId="148307E1" w14:textId="77777777" w:rsidR="008E6A56" w:rsidRPr="008A3740" w:rsidRDefault="008E6A56" w:rsidP="008E6A56">
      <w:pPr>
        <w:rPr>
          <w:rFonts w:ascii="Verdana" w:hAnsi="Verdana"/>
          <w:sz w:val="20"/>
          <w:szCs w:val="20"/>
          <w:lang w:val="en-US" w:eastAsia="en-US"/>
        </w:rPr>
      </w:pPr>
    </w:p>
    <w:p w14:paraId="01D1FC36"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In its case law, the Court has developed</w:t>
      </w:r>
      <w:r w:rsidRPr="008A3740">
        <w:rPr>
          <w:rStyle w:val="Refdenotaalpie"/>
          <w:i/>
          <w:lang w:val="en-US"/>
        </w:rPr>
        <w:footnoteReference w:id="218"/>
      </w:r>
      <w:r w:rsidRPr="008A3740">
        <w:rPr>
          <w:rFonts w:ascii="Verdana" w:hAnsi="Verdana"/>
          <w:sz w:val="20"/>
          <w:lang w:val="en-US"/>
        </w:rPr>
        <w:t xml:space="preserve"> a </w:t>
      </w:r>
      <w:r w:rsidR="00494ED1" w:rsidRPr="008A3740">
        <w:rPr>
          <w:rFonts w:ascii="Verdana" w:hAnsi="Verdana"/>
          <w:sz w:val="20"/>
          <w:lang w:val="en-US"/>
        </w:rPr>
        <w:t xml:space="preserve">broad </w:t>
      </w:r>
      <w:r w:rsidRPr="008A3740">
        <w:rPr>
          <w:rFonts w:ascii="Verdana" w:hAnsi="Verdana"/>
          <w:sz w:val="20"/>
          <w:lang w:val="en-US"/>
        </w:rPr>
        <w:t xml:space="preserve">concept of property that encompasses, </w:t>
      </w:r>
      <w:r w:rsidRPr="008A3740">
        <w:rPr>
          <w:rFonts w:ascii="Verdana" w:hAnsi="Verdana"/>
          <w:i/>
          <w:sz w:val="20"/>
          <w:lang w:val="en-US"/>
        </w:rPr>
        <w:t>inter alia</w:t>
      </w:r>
      <w:r w:rsidRPr="008A3740">
        <w:rPr>
          <w:rFonts w:ascii="Verdana" w:hAnsi="Verdana"/>
          <w:sz w:val="20"/>
          <w:lang w:val="en-US"/>
        </w:rPr>
        <w:t xml:space="preserve">, the use and enjoyment of </w:t>
      </w:r>
      <w:r w:rsidR="006F214B" w:rsidRPr="008A3740">
        <w:rPr>
          <w:rFonts w:ascii="Verdana" w:hAnsi="Verdana"/>
          <w:sz w:val="20"/>
          <w:lang w:val="en-US"/>
        </w:rPr>
        <w:t>possessions</w:t>
      </w:r>
      <w:r w:rsidRPr="008A3740">
        <w:rPr>
          <w:rFonts w:ascii="Verdana" w:hAnsi="Verdana"/>
          <w:sz w:val="20"/>
          <w:lang w:val="en-US"/>
        </w:rPr>
        <w:t xml:space="preserve">, defined </w:t>
      </w:r>
      <w:r w:rsidR="0033155A" w:rsidRPr="008A3740">
        <w:rPr>
          <w:rFonts w:ascii="Verdana" w:hAnsi="Verdana"/>
          <w:sz w:val="20"/>
          <w:lang w:val="en-US"/>
        </w:rPr>
        <w:t xml:space="preserve">in the case </w:t>
      </w:r>
      <w:r w:rsidR="007067F3" w:rsidRPr="008A3740">
        <w:rPr>
          <w:rFonts w:ascii="Verdana" w:hAnsi="Verdana"/>
          <w:sz w:val="20"/>
          <w:lang w:val="en-US"/>
        </w:rPr>
        <w:t>of Ivcher</w:t>
      </w:r>
      <w:r w:rsidR="0033155A" w:rsidRPr="008A3740">
        <w:rPr>
          <w:rFonts w:ascii="Verdana" w:hAnsi="Verdana"/>
          <w:i/>
          <w:sz w:val="20"/>
          <w:lang w:val="en-US"/>
        </w:rPr>
        <w:t xml:space="preserve"> Bronstein v. Peru</w:t>
      </w:r>
      <w:r w:rsidR="0033155A" w:rsidRPr="008A3740">
        <w:rPr>
          <w:rFonts w:ascii="Verdana" w:hAnsi="Verdana"/>
          <w:sz w:val="20"/>
          <w:lang w:val="en-US"/>
        </w:rPr>
        <w:t xml:space="preserve"> </w:t>
      </w:r>
      <w:r w:rsidRPr="008A3740">
        <w:rPr>
          <w:rFonts w:ascii="Verdana" w:hAnsi="Verdana"/>
          <w:sz w:val="20"/>
          <w:lang w:val="en-US"/>
        </w:rPr>
        <w:t xml:space="preserve">as </w:t>
      </w:r>
      <w:r w:rsidR="0033155A" w:rsidRPr="008A3740">
        <w:rPr>
          <w:rFonts w:ascii="Verdana" w:hAnsi="Verdana"/>
          <w:sz w:val="20"/>
          <w:lang w:val="en-US"/>
        </w:rPr>
        <w:t>“those material objects that may be appropriated, or intangible objects, as</w:t>
      </w:r>
      <w:r w:rsidRPr="008A3740">
        <w:rPr>
          <w:rFonts w:ascii="Verdana" w:hAnsi="Verdana"/>
          <w:sz w:val="20"/>
          <w:lang w:val="en-US"/>
        </w:rPr>
        <w:t xml:space="preserve"> </w:t>
      </w:r>
      <w:r w:rsidR="0033155A" w:rsidRPr="008A3740">
        <w:rPr>
          <w:rFonts w:ascii="Verdana" w:hAnsi="Verdana"/>
          <w:sz w:val="20"/>
          <w:lang w:val="en-US"/>
        </w:rPr>
        <w:t xml:space="preserve">well as any right that may form part of a person’s </w:t>
      </w:r>
      <w:r w:rsidRPr="008A3740">
        <w:rPr>
          <w:rFonts w:ascii="Verdana" w:hAnsi="Verdana"/>
          <w:sz w:val="20"/>
          <w:lang w:val="en-US"/>
        </w:rPr>
        <w:t>patrimony</w:t>
      </w:r>
      <w:r w:rsidR="0033155A" w:rsidRPr="008A3740">
        <w:rPr>
          <w:rFonts w:ascii="Verdana" w:hAnsi="Verdana"/>
          <w:sz w:val="20"/>
          <w:lang w:val="en-US"/>
        </w:rPr>
        <w:t>.</w:t>
      </w:r>
      <w:r w:rsidRPr="008A3740">
        <w:rPr>
          <w:rStyle w:val="Refdenotaalpie"/>
          <w:lang w:val="en-US"/>
        </w:rPr>
        <w:footnoteReference w:id="219"/>
      </w:r>
      <w:r w:rsidRPr="008A3740">
        <w:rPr>
          <w:rFonts w:ascii="Verdana" w:hAnsi="Verdana"/>
          <w:sz w:val="20"/>
          <w:lang w:val="en-US"/>
        </w:rPr>
        <w:t xml:space="preserve"> The Court </w:t>
      </w:r>
      <w:r w:rsidR="006F214B" w:rsidRPr="008A3740">
        <w:rPr>
          <w:rFonts w:ascii="Verdana" w:hAnsi="Verdana"/>
          <w:sz w:val="20"/>
          <w:lang w:val="en-US"/>
        </w:rPr>
        <w:t xml:space="preserve">has </w:t>
      </w:r>
      <w:r w:rsidR="0033155A" w:rsidRPr="008A3740">
        <w:rPr>
          <w:rFonts w:ascii="Verdana" w:hAnsi="Verdana"/>
          <w:sz w:val="20"/>
          <w:lang w:val="en-US"/>
        </w:rPr>
        <w:t xml:space="preserve">also considered that </w:t>
      </w:r>
      <w:r w:rsidRPr="008A3740">
        <w:rPr>
          <w:rFonts w:ascii="Verdana" w:hAnsi="Verdana"/>
          <w:sz w:val="20"/>
          <w:lang w:val="en-US"/>
        </w:rPr>
        <w:t>“</w:t>
      </w:r>
      <w:r w:rsidR="0033155A" w:rsidRPr="008A3740">
        <w:rPr>
          <w:rFonts w:ascii="Verdana" w:hAnsi="Verdana"/>
          <w:sz w:val="20"/>
          <w:lang w:val="en-US"/>
        </w:rPr>
        <w:t xml:space="preserve">this </w:t>
      </w:r>
      <w:r w:rsidRPr="008A3740">
        <w:rPr>
          <w:rFonts w:ascii="Verdana" w:hAnsi="Verdana"/>
          <w:sz w:val="20"/>
          <w:lang w:val="en-US"/>
        </w:rPr>
        <w:t xml:space="preserve">concept </w:t>
      </w:r>
      <w:r w:rsidR="0033155A" w:rsidRPr="008A3740">
        <w:rPr>
          <w:rFonts w:ascii="Verdana" w:hAnsi="Verdana"/>
          <w:sz w:val="20"/>
          <w:lang w:val="en-US"/>
        </w:rPr>
        <w:t>includes all movable and immovable property, corporal and incorporeal elements, and any other</w:t>
      </w:r>
      <w:r w:rsidRPr="008A3740">
        <w:rPr>
          <w:rFonts w:ascii="Verdana" w:hAnsi="Verdana"/>
          <w:sz w:val="20"/>
          <w:lang w:val="en-US"/>
        </w:rPr>
        <w:t xml:space="preserve"> in</w:t>
      </w:r>
      <w:r w:rsidR="0033155A" w:rsidRPr="008A3740">
        <w:rPr>
          <w:rFonts w:ascii="Verdana" w:hAnsi="Verdana"/>
          <w:sz w:val="20"/>
          <w:lang w:val="en-US"/>
        </w:rPr>
        <w:t>tangible object of any value</w:t>
      </w:r>
      <w:r w:rsidRPr="008A3740">
        <w:rPr>
          <w:rFonts w:ascii="Verdana" w:hAnsi="Verdana"/>
          <w:sz w:val="20"/>
          <w:lang w:val="en-US"/>
        </w:rPr>
        <w:t>.”</w:t>
      </w:r>
      <w:r w:rsidRPr="008A3740">
        <w:rPr>
          <w:rStyle w:val="Refdenotaalpie"/>
          <w:lang w:val="en-US"/>
        </w:rPr>
        <w:footnoteReference w:id="220"/>
      </w:r>
      <w:r w:rsidRPr="008A3740">
        <w:rPr>
          <w:rFonts w:ascii="Verdana" w:hAnsi="Verdana"/>
          <w:sz w:val="20"/>
          <w:lang w:val="en-US"/>
        </w:rPr>
        <w:t xml:space="preserve"> </w:t>
      </w:r>
    </w:p>
    <w:p w14:paraId="6FC5634E" w14:textId="77777777" w:rsidR="008E6A56" w:rsidRPr="008A3740" w:rsidRDefault="008E6A56" w:rsidP="008E6A56">
      <w:pPr>
        <w:widowControl/>
        <w:tabs>
          <w:tab w:val="left" w:pos="567"/>
          <w:tab w:val="left" w:pos="720"/>
        </w:tabs>
        <w:adjustRightInd/>
        <w:textAlignment w:val="auto"/>
        <w:rPr>
          <w:rFonts w:ascii="Verdana" w:hAnsi="Verdana"/>
          <w:sz w:val="20"/>
          <w:lang w:val="en-US"/>
        </w:rPr>
      </w:pPr>
      <w:r w:rsidRPr="008A3740">
        <w:rPr>
          <w:rFonts w:ascii="Verdana" w:hAnsi="Verdana"/>
          <w:sz w:val="20"/>
          <w:lang w:val="en-US"/>
        </w:rPr>
        <w:tab/>
      </w:r>
      <w:r w:rsidRPr="008A3740">
        <w:rPr>
          <w:rFonts w:ascii="Verdana" w:hAnsi="Verdana"/>
          <w:sz w:val="20"/>
          <w:lang w:val="en-US"/>
        </w:rPr>
        <w:tab/>
      </w:r>
    </w:p>
    <w:p w14:paraId="027F905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 xml:space="preserve">In the cases of the </w:t>
      </w:r>
      <w:r w:rsidRPr="008A3740">
        <w:rPr>
          <w:rFonts w:ascii="Verdana" w:hAnsi="Verdana"/>
          <w:i/>
          <w:sz w:val="20"/>
          <w:lang w:val="en-US"/>
        </w:rPr>
        <w:t>Five Pensioners v. Peru</w:t>
      </w:r>
      <w:r w:rsidRPr="008A3740">
        <w:rPr>
          <w:rFonts w:ascii="Verdana" w:hAnsi="Verdana"/>
          <w:sz w:val="20"/>
          <w:lang w:val="en-US"/>
        </w:rPr>
        <w:t xml:space="preserve"> and </w:t>
      </w:r>
      <w:r w:rsidRPr="008A3740">
        <w:rPr>
          <w:rFonts w:ascii="Verdana" w:hAnsi="Verdana"/>
          <w:i/>
          <w:sz w:val="20"/>
          <w:lang w:val="en-US"/>
        </w:rPr>
        <w:t>Acevedo Buendía et al. v. Peru,</w:t>
      </w:r>
      <w:r w:rsidRPr="008A3740">
        <w:rPr>
          <w:rFonts w:ascii="Verdana" w:hAnsi="Verdana"/>
          <w:sz w:val="20"/>
          <w:lang w:val="en-US"/>
        </w:rPr>
        <w:t xml:space="preserve"> the Court declared </w:t>
      </w:r>
      <w:r w:rsidR="006F214B" w:rsidRPr="008A3740">
        <w:rPr>
          <w:rFonts w:ascii="Verdana" w:hAnsi="Verdana"/>
          <w:sz w:val="20"/>
          <w:lang w:val="en-US"/>
        </w:rPr>
        <w:t xml:space="preserve">a </w:t>
      </w:r>
      <w:r w:rsidRPr="008A3740">
        <w:rPr>
          <w:rFonts w:ascii="Verdana" w:hAnsi="Verdana"/>
          <w:sz w:val="20"/>
          <w:szCs w:val="20"/>
          <w:lang w:val="en-US"/>
        </w:rPr>
        <w:t xml:space="preserve">violation of the right to property </w:t>
      </w:r>
      <w:r w:rsidR="006F214B" w:rsidRPr="008A3740">
        <w:rPr>
          <w:rFonts w:ascii="Verdana" w:hAnsi="Verdana"/>
          <w:sz w:val="20"/>
          <w:szCs w:val="20"/>
          <w:lang w:val="en-US"/>
        </w:rPr>
        <w:t xml:space="preserve">owing to the </w:t>
      </w:r>
      <w:r w:rsidRPr="008A3740">
        <w:rPr>
          <w:rFonts w:ascii="Verdana" w:hAnsi="Verdana"/>
          <w:sz w:val="20"/>
          <w:szCs w:val="20"/>
          <w:lang w:val="en-US"/>
        </w:rPr>
        <w:t>pa</w:t>
      </w:r>
      <w:r w:rsidR="006F214B" w:rsidRPr="008A3740">
        <w:rPr>
          <w:rFonts w:ascii="Verdana" w:hAnsi="Verdana"/>
          <w:sz w:val="20"/>
          <w:szCs w:val="20"/>
          <w:lang w:val="en-US"/>
        </w:rPr>
        <w:t xml:space="preserve">trimonial effects caused by the </w:t>
      </w:r>
      <w:r w:rsidR="00494ED1" w:rsidRPr="008A3740">
        <w:rPr>
          <w:rFonts w:ascii="Verdana" w:hAnsi="Verdana"/>
          <w:sz w:val="20"/>
          <w:szCs w:val="20"/>
          <w:lang w:val="en-US"/>
        </w:rPr>
        <w:t xml:space="preserve">failure to comply with </w:t>
      </w:r>
      <w:r w:rsidRPr="008A3740">
        <w:rPr>
          <w:rFonts w:ascii="Verdana" w:hAnsi="Verdana"/>
          <w:sz w:val="20"/>
          <w:szCs w:val="20"/>
          <w:lang w:val="en-US"/>
        </w:rPr>
        <w:t xml:space="preserve">judgments that </w:t>
      </w:r>
      <w:r w:rsidR="00494ED1" w:rsidRPr="008A3740">
        <w:rPr>
          <w:rFonts w:ascii="Verdana" w:hAnsi="Verdana"/>
          <w:sz w:val="20"/>
          <w:szCs w:val="20"/>
          <w:lang w:val="en-US"/>
        </w:rPr>
        <w:t xml:space="preserve">sought to protect </w:t>
      </w:r>
      <w:r w:rsidRPr="008A3740">
        <w:rPr>
          <w:rFonts w:ascii="Verdana" w:hAnsi="Verdana"/>
          <w:sz w:val="20"/>
          <w:szCs w:val="20"/>
          <w:lang w:val="en-US"/>
        </w:rPr>
        <w:t xml:space="preserve">the right to a pension, which had been acquired by the victims, in accordance with domestic </w:t>
      </w:r>
      <w:r w:rsidR="00494ED1" w:rsidRPr="008A3740">
        <w:rPr>
          <w:rFonts w:ascii="Verdana" w:hAnsi="Verdana"/>
          <w:sz w:val="20"/>
          <w:szCs w:val="20"/>
          <w:lang w:val="en-US"/>
        </w:rPr>
        <w:t>laws</w:t>
      </w:r>
      <w:r w:rsidRPr="008A3740">
        <w:rPr>
          <w:rFonts w:ascii="Verdana" w:hAnsi="Verdana"/>
          <w:sz w:val="20"/>
          <w:szCs w:val="20"/>
          <w:lang w:val="en-US"/>
        </w:rPr>
        <w:t xml:space="preserve">. In the case </w:t>
      </w:r>
      <w:r w:rsidR="008B6FB0" w:rsidRPr="008A3740">
        <w:rPr>
          <w:rFonts w:ascii="Verdana" w:hAnsi="Verdana"/>
          <w:sz w:val="20"/>
          <w:szCs w:val="20"/>
          <w:lang w:val="en-US"/>
        </w:rPr>
        <w:t xml:space="preserve">of </w:t>
      </w:r>
      <w:r w:rsidRPr="008A3740">
        <w:rPr>
          <w:rFonts w:ascii="Verdana" w:hAnsi="Verdana"/>
          <w:i/>
          <w:sz w:val="20"/>
          <w:szCs w:val="20"/>
          <w:lang w:val="en-US"/>
        </w:rPr>
        <w:t>Five Pensioners,</w:t>
      </w:r>
      <w:r w:rsidRPr="008A3740">
        <w:rPr>
          <w:rStyle w:val="Refdenotaalpie"/>
          <w:szCs w:val="20"/>
          <w:lang w:val="en-US"/>
        </w:rPr>
        <w:footnoteReference w:id="221"/>
      </w:r>
      <w:r w:rsidRPr="008A3740">
        <w:rPr>
          <w:rFonts w:ascii="Verdana" w:hAnsi="Verdana"/>
          <w:i/>
          <w:sz w:val="20"/>
          <w:szCs w:val="20"/>
          <w:lang w:val="en-US"/>
        </w:rPr>
        <w:t xml:space="preserve"> </w:t>
      </w:r>
      <w:r w:rsidRPr="008A3740">
        <w:rPr>
          <w:rFonts w:ascii="Verdana" w:hAnsi="Verdana"/>
          <w:sz w:val="20"/>
          <w:szCs w:val="20"/>
          <w:lang w:val="en-US"/>
        </w:rPr>
        <w:t xml:space="preserve">the Court </w:t>
      </w:r>
      <w:r w:rsidR="006F214B" w:rsidRPr="008A3740">
        <w:rPr>
          <w:rFonts w:ascii="Verdana" w:hAnsi="Verdana"/>
          <w:sz w:val="20"/>
          <w:szCs w:val="20"/>
          <w:lang w:val="en-US"/>
        </w:rPr>
        <w:t xml:space="preserve">considered </w:t>
      </w:r>
      <w:r w:rsidRPr="008A3740">
        <w:rPr>
          <w:rFonts w:ascii="Verdana" w:hAnsi="Verdana"/>
          <w:sz w:val="20"/>
          <w:szCs w:val="20"/>
          <w:lang w:val="en-US"/>
        </w:rPr>
        <w:t xml:space="preserve">that, from the </w:t>
      </w:r>
      <w:r w:rsidR="00B76814" w:rsidRPr="008A3740">
        <w:rPr>
          <w:rFonts w:ascii="Verdana" w:hAnsi="Verdana"/>
          <w:sz w:val="20"/>
          <w:szCs w:val="20"/>
          <w:lang w:val="en-US"/>
        </w:rPr>
        <w:t xml:space="preserve">time </w:t>
      </w:r>
      <w:r w:rsidRPr="008A3740">
        <w:rPr>
          <w:rFonts w:ascii="Verdana" w:hAnsi="Verdana"/>
          <w:sz w:val="20"/>
          <w:szCs w:val="20"/>
          <w:lang w:val="en-US"/>
        </w:rPr>
        <w:t xml:space="preserve">that a pensioner pays his contributions </w:t>
      </w:r>
      <w:r w:rsidR="00B76814" w:rsidRPr="008A3740">
        <w:rPr>
          <w:rFonts w:ascii="Verdana" w:hAnsi="Verdana"/>
          <w:sz w:val="20"/>
          <w:szCs w:val="20"/>
          <w:lang w:val="en-US"/>
        </w:rPr>
        <w:t xml:space="preserve">to the </w:t>
      </w:r>
      <w:r w:rsidRPr="008A3740">
        <w:rPr>
          <w:rFonts w:ascii="Verdana" w:hAnsi="Verdana"/>
          <w:sz w:val="20"/>
          <w:szCs w:val="20"/>
          <w:lang w:val="en-US"/>
        </w:rPr>
        <w:t>pension fund</w:t>
      </w:r>
      <w:r w:rsidR="008B6FB0" w:rsidRPr="008A3740">
        <w:rPr>
          <w:rFonts w:ascii="Verdana" w:hAnsi="Verdana"/>
          <w:sz w:val="20"/>
          <w:szCs w:val="20"/>
          <w:lang w:val="en-US"/>
        </w:rPr>
        <w:t>,</w:t>
      </w:r>
      <w:r w:rsidRPr="008A3740">
        <w:rPr>
          <w:rFonts w:ascii="Verdana" w:hAnsi="Verdana"/>
          <w:sz w:val="20"/>
          <w:szCs w:val="20"/>
          <w:lang w:val="en-US"/>
        </w:rPr>
        <w:t xml:space="preserve"> ceases to </w:t>
      </w:r>
      <w:r w:rsidR="00B76814" w:rsidRPr="008A3740">
        <w:rPr>
          <w:rFonts w:ascii="Verdana" w:hAnsi="Verdana"/>
          <w:sz w:val="20"/>
          <w:szCs w:val="20"/>
          <w:lang w:val="en-US"/>
        </w:rPr>
        <w:t xml:space="preserve">work for </w:t>
      </w:r>
      <w:r w:rsidRPr="008A3740">
        <w:rPr>
          <w:rFonts w:ascii="Verdana" w:hAnsi="Verdana"/>
          <w:sz w:val="20"/>
          <w:szCs w:val="20"/>
          <w:lang w:val="en-US"/>
        </w:rPr>
        <w:t xml:space="preserve">the institution </w:t>
      </w:r>
      <w:r w:rsidR="00B76814" w:rsidRPr="008A3740">
        <w:rPr>
          <w:rFonts w:ascii="Verdana" w:hAnsi="Verdana"/>
          <w:sz w:val="20"/>
          <w:szCs w:val="20"/>
          <w:lang w:val="en-US"/>
        </w:rPr>
        <w:t>in question</w:t>
      </w:r>
      <w:r w:rsidR="008B6FB0" w:rsidRPr="008A3740">
        <w:rPr>
          <w:rFonts w:ascii="Verdana" w:hAnsi="Verdana"/>
          <w:sz w:val="20"/>
          <w:szCs w:val="20"/>
          <w:lang w:val="en-US"/>
        </w:rPr>
        <w:t>,</w:t>
      </w:r>
      <w:r w:rsidR="00B76814" w:rsidRPr="008A3740">
        <w:rPr>
          <w:rFonts w:ascii="Verdana" w:hAnsi="Verdana"/>
          <w:sz w:val="20"/>
          <w:szCs w:val="20"/>
          <w:lang w:val="en-US"/>
        </w:rPr>
        <w:t xml:space="preserve"> and opts for </w:t>
      </w:r>
      <w:r w:rsidR="00960D1C" w:rsidRPr="008A3740">
        <w:rPr>
          <w:rFonts w:ascii="Verdana" w:hAnsi="Verdana"/>
          <w:sz w:val="20"/>
          <w:szCs w:val="20"/>
          <w:lang w:val="en-US"/>
        </w:rPr>
        <w:t xml:space="preserve">the </w:t>
      </w:r>
      <w:r w:rsidR="00DA6C4A" w:rsidRPr="008A3740">
        <w:rPr>
          <w:rFonts w:ascii="Verdana" w:hAnsi="Verdana"/>
          <w:sz w:val="20"/>
          <w:szCs w:val="20"/>
          <w:lang w:val="en-US"/>
        </w:rPr>
        <w:t xml:space="preserve">retirement </w:t>
      </w:r>
      <w:r w:rsidR="00B76814" w:rsidRPr="008A3740">
        <w:rPr>
          <w:rFonts w:ascii="Verdana" w:hAnsi="Verdana"/>
          <w:sz w:val="20"/>
          <w:szCs w:val="20"/>
          <w:lang w:val="en-US"/>
        </w:rPr>
        <w:t xml:space="preserve">regime </w:t>
      </w:r>
      <w:r w:rsidR="00494ED1" w:rsidRPr="008A3740">
        <w:rPr>
          <w:rFonts w:ascii="Verdana" w:hAnsi="Verdana"/>
          <w:sz w:val="20"/>
          <w:szCs w:val="20"/>
          <w:lang w:val="en-US"/>
        </w:rPr>
        <w:t xml:space="preserve">established by law, </w:t>
      </w:r>
      <w:r w:rsidR="00B76814" w:rsidRPr="008A3740">
        <w:rPr>
          <w:rFonts w:ascii="Verdana" w:hAnsi="Verdana"/>
          <w:sz w:val="20"/>
          <w:szCs w:val="20"/>
          <w:lang w:val="en-US"/>
        </w:rPr>
        <w:t xml:space="preserve">he </w:t>
      </w:r>
      <w:r w:rsidR="00494ED1" w:rsidRPr="008A3740">
        <w:rPr>
          <w:rFonts w:ascii="Verdana" w:hAnsi="Verdana"/>
          <w:sz w:val="20"/>
          <w:szCs w:val="20"/>
          <w:lang w:val="en-US"/>
        </w:rPr>
        <w:t>acqui</w:t>
      </w:r>
      <w:r w:rsidRPr="008A3740">
        <w:rPr>
          <w:rFonts w:ascii="Verdana" w:hAnsi="Verdana"/>
          <w:sz w:val="20"/>
          <w:szCs w:val="20"/>
          <w:lang w:val="en-US"/>
        </w:rPr>
        <w:t>re</w:t>
      </w:r>
      <w:r w:rsidR="00494ED1" w:rsidRPr="008A3740">
        <w:rPr>
          <w:rFonts w:ascii="Verdana" w:hAnsi="Verdana"/>
          <w:sz w:val="20"/>
          <w:szCs w:val="20"/>
          <w:lang w:val="en-US"/>
        </w:rPr>
        <w:t>s</w:t>
      </w:r>
      <w:r w:rsidRPr="008A3740">
        <w:rPr>
          <w:rFonts w:ascii="Verdana" w:hAnsi="Verdana"/>
          <w:sz w:val="20"/>
          <w:szCs w:val="20"/>
          <w:lang w:val="en-US"/>
        </w:rPr>
        <w:t xml:space="preserve"> the right </w:t>
      </w:r>
      <w:r w:rsidR="00B76814" w:rsidRPr="008A3740">
        <w:rPr>
          <w:rFonts w:ascii="Verdana" w:hAnsi="Verdana"/>
          <w:sz w:val="20"/>
          <w:szCs w:val="20"/>
          <w:lang w:val="en-US"/>
        </w:rPr>
        <w:t xml:space="preserve">to have his pension </w:t>
      </w:r>
      <w:r w:rsidR="00DA6C4A" w:rsidRPr="008A3740">
        <w:rPr>
          <w:rFonts w:ascii="Verdana" w:hAnsi="Verdana"/>
          <w:sz w:val="20"/>
          <w:szCs w:val="20"/>
          <w:lang w:val="en-US"/>
        </w:rPr>
        <w:t xml:space="preserve">governed </w:t>
      </w:r>
      <w:r w:rsidRPr="008A3740">
        <w:rPr>
          <w:rFonts w:ascii="Verdana" w:hAnsi="Verdana"/>
          <w:sz w:val="20"/>
          <w:szCs w:val="20"/>
          <w:lang w:val="en-US"/>
        </w:rPr>
        <w:t xml:space="preserve">by the terms and conditions established by </w:t>
      </w:r>
      <w:r w:rsidR="00DA6C4A" w:rsidRPr="008A3740">
        <w:rPr>
          <w:rFonts w:ascii="Verdana" w:hAnsi="Verdana"/>
          <w:sz w:val="20"/>
          <w:szCs w:val="20"/>
          <w:lang w:val="en-US"/>
        </w:rPr>
        <w:t xml:space="preserve">said </w:t>
      </w:r>
      <w:r w:rsidRPr="008A3740">
        <w:rPr>
          <w:rFonts w:ascii="Verdana" w:hAnsi="Verdana"/>
          <w:sz w:val="20"/>
          <w:szCs w:val="20"/>
          <w:lang w:val="en-US"/>
        </w:rPr>
        <w:t xml:space="preserve">law. </w:t>
      </w:r>
      <w:r w:rsidR="00917430" w:rsidRPr="008A3740">
        <w:rPr>
          <w:rFonts w:ascii="Verdana" w:hAnsi="Verdana"/>
          <w:sz w:val="20"/>
          <w:szCs w:val="20"/>
          <w:lang w:val="en-US"/>
        </w:rPr>
        <w:t>I</w:t>
      </w:r>
      <w:r w:rsidRPr="008A3740">
        <w:rPr>
          <w:rFonts w:ascii="Verdana" w:hAnsi="Verdana"/>
          <w:sz w:val="20"/>
          <w:szCs w:val="20"/>
          <w:lang w:val="en-US"/>
        </w:rPr>
        <w:t>n the case</w:t>
      </w:r>
      <w:r w:rsidR="00DA6C4A" w:rsidRPr="008A3740">
        <w:rPr>
          <w:rFonts w:ascii="Verdana" w:hAnsi="Verdana"/>
          <w:sz w:val="20"/>
          <w:szCs w:val="20"/>
          <w:lang w:val="en-US"/>
        </w:rPr>
        <w:t xml:space="preserve"> of</w:t>
      </w:r>
      <w:r w:rsidRPr="008A3740">
        <w:rPr>
          <w:rFonts w:ascii="Verdana" w:hAnsi="Verdana"/>
          <w:sz w:val="20"/>
          <w:szCs w:val="20"/>
          <w:lang w:val="en-US"/>
        </w:rPr>
        <w:t xml:space="preserve"> </w:t>
      </w:r>
      <w:r w:rsidRPr="008A3740">
        <w:rPr>
          <w:rFonts w:ascii="Verdana" w:hAnsi="Verdana"/>
          <w:i/>
          <w:sz w:val="20"/>
          <w:szCs w:val="20"/>
          <w:lang w:val="en-US"/>
        </w:rPr>
        <w:t>Acevedo Buendía et al. v. Peru</w:t>
      </w:r>
      <w:r w:rsidR="00494ED1" w:rsidRPr="008A3740">
        <w:rPr>
          <w:rFonts w:ascii="Verdana" w:hAnsi="Verdana"/>
          <w:i/>
          <w:sz w:val="20"/>
          <w:szCs w:val="20"/>
          <w:lang w:val="en-US"/>
        </w:rPr>
        <w:t>,</w:t>
      </w:r>
      <w:r w:rsidRPr="008A3740">
        <w:rPr>
          <w:rStyle w:val="Refdenotaalpie"/>
          <w:i/>
          <w:szCs w:val="20"/>
          <w:lang w:val="en-US"/>
        </w:rPr>
        <w:footnoteReference w:id="222"/>
      </w:r>
      <w:r w:rsidRPr="008A3740">
        <w:rPr>
          <w:rFonts w:ascii="Verdana" w:hAnsi="Verdana"/>
          <w:sz w:val="20"/>
          <w:szCs w:val="20"/>
          <w:lang w:val="en-US"/>
        </w:rPr>
        <w:t xml:space="preserve"> the Court declared that the right to a pension </w:t>
      </w:r>
      <w:r w:rsidR="006F214B" w:rsidRPr="008A3740">
        <w:rPr>
          <w:rFonts w:ascii="Verdana" w:hAnsi="Verdana"/>
          <w:sz w:val="20"/>
          <w:szCs w:val="20"/>
          <w:lang w:val="en-US"/>
        </w:rPr>
        <w:t xml:space="preserve">acquired by a </w:t>
      </w:r>
      <w:r w:rsidR="00B76814" w:rsidRPr="008A3740">
        <w:rPr>
          <w:rFonts w:ascii="Verdana" w:hAnsi="Verdana"/>
          <w:sz w:val="20"/>
          <w:szCs w:val="20"/>
          <w:lang w:val="en-US"/>
        </w:rPr>
        <w:t xml:space="preserve">pensioner produces </w:t>
      </w:r>
      <w:r w:rsidRPr="008A3740">
        <w:rPr>
          <w:rFonts w:ascii="Verdana" w:hAnsi="Verdana"/>
          <w:sz w:val="20"/>
          <w:szCs w:val="20"/>
          <w:lang w:val="en-US"/>
        </w:rPr>
        <w:t>“patrimonial effects,” which are protected under Article 21 of the Convention.</w:t>
      </w:r>
    </w:p>
    <w:p w14:paraId="72D029E5" w14:textId="77777777" w:rsidR="008E6A56" w:rsidRPr="008A3740" w:rsidRDefault="008E6A56" w:rsidP="008E6A56">
      <w:pPr>
        <w:pStyle w:val="Prrafodelista"/>
        <w:rPr>
          <w:rFonts w:ascii="Verdana" w:hAnsi="Verdana"/>
          <w:sz w:val="20"/>
          <w:lang w:val="en-US"/>
        </w:rPr>
      </w:pPr>
    </w:p>
    <w:p w14:paraId="36E4386C" w14:textId="77777777" w:rsidR="008E6A56" w:rsidRPr="008A3740" w:rsidRDefault="002A1F04"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T</w:t>
      </w:r>
      <w:r w:rsidR="008E6A56" w:rsidRPr="008A3740">
        <w:rPr>
          <w:rFonts w:ascii="Verdana" w:hAnsi="Verdana"/>
          <w:sz w:val="20"/>
          <w:lang w:val="en-US"/>
        </w:rPr>
        <w:t xml:space="preserve">he Court </w:t>
      </w:r>
      <w:r w:rsidRPr="008A3740">
        <w:rPr>
          <w:rFonts w:ascii="Verdana" w:hAnsi="Verdana"/>
          <w:sz w:val="20"/>
          <w:lang w:val="en-US"/>
        </w:rPr>
        <w:t xml:space="preserve">also </w:t>
      </w:r>
      <w:r w:rsidR="008E6A56" w:rsidRPr="008A3740">
        <w:rPr>
          <w:rFonts w:ascii="Verdana" w:hAnsi="Verdana"/>
          <w:sz w:val="20"/>
          <w:lang w:val="en-US"/>
        </w:rPr>
        <w:t xml:space="preserve">emphasizes and concurs with the points made </w:t>
      </w:r>
      <w:r w:rsidR="00917430" w:rsidRPr="008A3740">
        <w:rPr>
          <w:rFonts w:ascii="Verdana" w:hAnsi="Verdana"/>
          <w:sz w:val="20"/>
          <w:lang w:val="en-US"/>
        </w:rPr>
        <w:t xml:space="preserve">by </w:t>
      </w:r>
      <w:r w:rsidR="008E6A56" w:rsidRPr="008A3740">
        <w:rPr>
          <w:rFonts w:ascii="Verdana" w:hAnsi="Verdana"/>
          <w:sz w:val="20"/>
          <w:lang w:val="en-US"/>
        </w:rPr>
        <w:t xml:space="preserve">Christian Courtis </w:t>
      </w:r>
      <w:r w:rsidR="00917430" w:rsidRPr="008A3740">
        <w:rPr>
          <w:rFonts w:ascii="Verdana" w:hAnsi="Verdana"/>
          <w:sz w:val="20"/>
          <w:lang w:val="en-US"/>
        </w:rPr>
        <w:t xml:space="preserve">in his expert opinion, that </w:t>
      </w:r>
      <w:r w:rsidR="008E6A56" w:rsidRPr="008A3740">
        <w:rPr>
          <w:rFonts w:ascii="Verdana" w:hAnsi="Verdana"/>
          <w:sz w:val="20"/>
          <w:lang w:val="en-US"/>
        </w:rPr>
        <w:t>“</w:t>
      </w:r>
      <w:r w:rsidR="008E6A56" w:rsidRPr="008A3740">
        <w:rPr>
          <w:rFonts w:ascii="Verdana" w:hAnsi="Verdana"/>
          <w:sz w:val="20"/>
          <w:szCs w:val="20"/>
          <w:lang w:val="en-US"/>
        </w:rPr>
        <w:t>[t]he benefits derived from social security, including the right to a</w:t>
      </w:r>
      <w:r w:rsidR="000C3495" w:rsidRPr="008A3740">
        <w:rPr>
          <w:rFonts w:ascii="Verdana" w:hAnsi="Verdana"/>
          <w:sz w:val="20"/>
          <w:szCs w:val="20"/>
          <w:lang w:val="en-US"/>
        </w:rPr>
        <w:t>n</w:t>
      </w:r>
      <w:r w:rsidR="008E6A56" w:rsidRPr="008A3740">
        <w:rPr>
          <w:rFonts w:ascii="Verdana" w:hAnsi="Verdana"/>
          <w:sz w:val="20"/>
          <w:szCs w:val="20"/>
          <w:lang w:val="en-US"/>
        </w:rPr>
        <w:t xml:space="preserve"> </w:t>
      </w:r>
      <w:r w:rsidR="00DA6C4A" w:rsidRPr="008A3740">
        <w:rPr>
          <w:rFonts w:ascii="Verdana" w:hAnsi="Verdana"/>
          <w:sz w:val="20"/>
          <w:szCs w:val="20"/>
          <w:lang w:val="en-US"/>
        </w:rPr>
        <w:t>old-</w:t>
      </w:r>
      <w:r w:rsidR="000C3495" w:rsidRPr="008A3740">
        <w:rPr>
          <w:rFonts w:ascii="Verdana" w:hAnsi="Verdana"/>
          <w:sz w:val="20"/>
          <w:szCs w:val="20"/>
          <w:lang w:val="en-US"/>
        </w:rPr>
        <w:t xml:space="preserve">age </w:t>
      </w:r>
      <w:r w:rsidR="008E6A56" w:rsidRPr="008A3740">
        <w:rPr>
          <w:rFonts w:ascii="Verdana" w:hAnsi="Verdana"/>
          <w:sz w:val="20"/>
          <w:szCs w:val="20"/>
          <w:lang w:val="en-US"/>
        </w:rPr>
        <w:t>pension</w:t>
      </w:r>
      <w:r w:rsidR="000C3495" w:rsidRPr="008A3740">
        <w:rPr>
          <w:rFonts w:ascii="Verdana" w:hAnsi="Verdana"/>
          <w:sz w:val="20"/>
          <w:szCs w:val="20"/>
          <w:lang w:val="en-US"/>
        </w:rPr>
        <w:t xml:space="preserve">, form part of the right to property and </w:t>
      </w:r>
      <w:r w:rsidR="008E6A56" w:rsidRPr="008A3740">
        <w:rPr>
          <w:rFonts w:ascii="Verdana" w:hAnsi="Verdana"/>
          <w:sz w:val="20"/>
          <w:szCs w:val="20"/>
          <w:lang w:val="en-US"/>
        </w:rPr>
        <w:t xml:space="preserve">both must be protected against </w:t>
      </w:r>
      <w:r w:rsidR="00B76814" w:rsidRPr="008A3740">
        <w:rPr>
          <w:rFonts w:ascii="Verdana" w:hAnsi="Verdana"/>
          <w:sz w:val="20"/>
          <w:szCs w:val="20"/>
          <w:lang w:val="en-US"/>
        </w:rPr>
        <w:t>a</w:t>
      </w:r>
      <w:r w:rsidR="008E6A56" w:rsidRPr="008A3740">
        <w:rPr>
          <w:rFonts w:ascii="Verdana" w:hAnsi="Verdana"/>
          <w:sz w:val="20"/>
          <w:szCs w:val="20"/>
          <w:lang w:val="en-US"/>
        </w:rPr>
        <w:t xml:space="preserve">rbitrary interference </w:t>
      </w:r>
      <w:r w:rsidR="00B76814" w:rsidRPr="008A3740">
        <w:rPr>
          <w:rFonts w:ascii="Verdana" w:hAnsi="Verdana"/>
          <w:sz w:val="20"/>
          <w:szCs w:val="20"/>
          <w:lang w:val="en-US"/>
        </w:rPr>
        <w:t xml:space="preserve">by </w:t>
      </w:r>
      <w:r w:rsidR="008E6A56" w:rsidRPr="008A3740">
        <w:rPr>
          <w:rFonts w:ascii="Verdana" w:hAnsi="Verdana"/>
          <w:sz w:val="20"/>
          <w:szCs w:val="20"/>
          <w:lang w:val="en-US"/>
        </w:rPr>
        <w:t xml:space="preserve">the State. The right to property may even cover the </w:t>
      </w:r>
      <w:r w:rsidR="00A66B99" w:rsidRPr="008A3740">
        <w:rPr>
          <w:rFonts w:ascii="Verdana" w:hAnsi="Verdana"/>
          <w:sz w:val="20"/>
          <w:szCs w:val="20"/>
          <w:lang w:val="en-US"/>
        </w:rPr>
        <w:t xml:space="preserve">legitimate </w:t>
      </w:r>
      <w:r w:rsidR="008E6A56" w:rsidRPr="008A3740">
        <w:rPr>
          <w:rFonts w:ascii="Verdana" w:hAnsi="Verdana"/>
          <w:sz w:val="20"/>
          <w:szCs w:val="20"/>
          <w:lang w:val="en-US"/>
        </w:rPr>
        <w:t>expectations</w:t>
      </w:r>
      <w:r w:rsidR="000C3495" w:rsidRPr="008A3740">
        <w:rPr>
          <w:rFonts w:ascii="Verdana" w:hAnsi="Verdana"/>
          <w:sz w:val="20"/>
          <w:szCs w:val="20"/>
          <w:lang w:val="en-US"/>
        </w:rPr>
        <w:t xml:space="preserve"> of the </w:t>
      </w:r>
      <w:r w:rsidR="00B76814" w:rsidRPr="008A3740">
        <w:rPr>
          <w:rFonts w:ascii="Verdana" w:hAnsi="Verdana"/>
          <w:sz w:val="20"/>
          <w:szCs w:val="20"/>
          <w:lang w:val="en-US"/>
        </w:rPr>
        <w:t xml:space="preserve">beneficiary, </w:t>
      </w:r>
      <w:r w:rsidR="008E6A56" w:rsidRPr="008A3740">
        <w:rPr>
          <w:rFonts w:ascii="Verdana" w:hAnsi="Verdana"/>
          <w:sz w:val="20"/>
          <w:szCs w:val="20"/>
          <w:lang w:val="en-US"/>
        </w:rPr>
        <w:t>particular</w:t>
      </w:r>
      <w:r w:rsidR="000C3495" w:rsidRPr="008A3740">
        <w:rPr>
          <w:rFonts w:ascii="Verdana" w:hAnsi="Verdana"/>
          <w:sz w:val="20"/>
          <w:szCs w:val="20"/>
          <w:lang w:val="en-US"/>
        </w:rPr>
        <w:t>ly</w:t>
      </w:r>
      <w:r w:rsidR="008E6A56" w:rsidRPr="008A3740">
        <w:rPr>
          <w:rFonts w:ascii="Verdana" w:hAnsi="Verdana"/>
          <w:sz w:val="20"/>
          <w:szCs w:val="20"/>
          <w:lang w:val="en-US"/>
        </w:rPr>
        <w:t xml:space="preserve"> when </w:t>
      </w:r>
      <w:r w:rsidR="000C3495" w:rsidRPr="008A3740">
        <w:rPr>
          <w:rFonts w:ascii="Verdana" w:hAnsi="Verdana"/>
          <w:sz w:val="20"/>
          <w:szCs w:val="20"/>
          <w:lang w:val="en-US"/>
        </w:rPr>
        <w:t xml:space="preserve">he has </w:t>
      </w:r>
      <w:r w:rsidR="00B76814" w:rsidRPr="008A3740">
        <w:rPr>
          <w:rFonts w:ascii="Verdana" w:hAnsi="Verdana"/>
          <w:sz w:val="20"/>
          <w:szCs w:val="20"/>
          <w:lang w:val="en-US"/>
        </w:rPr>
        <w:t xml:space="preserve">paid </w:t>
      </w:r>
      <w:r w:rsidR="008E6A56" w:rsidRPr="008A3740">
        <w:rPr>
          <w:rFonts w:ascii="Verdana" w:hAnsi="Verdana"/>
          <w:sz w:val="20"/>
          <w:szCs w:val="20"/>
          <w:lang w:val="en-US"/>
        </w:rPr>
        <w:t xml:space="preserve">contributions </w:t>
      </w:r>
      <w:r w:rsidR="000C3495" w:rsidRPr="008A3740">
        <w:rPr>
          <w:rFonts w:ascii="Verdana" w:hAnsi="Verdana"/>
          <w:sz w:val="20"/>
          <w:szCs w:val="20"/>
          <w:lang w:val="en-US"/>
        </w:rPr>
        <w:t xml:space="preserve">through a contributory </w:t>
      </w:r>
      <w:r w:rsidR="008E6A56" w:rsidRPr="008A3740">
        <w:rPr>
          <w:rFonts w:ascii="Verdana" w:hAnsi="Verdana"/>
          <w:sz w:val="20"/>
          <w:szCs w:val="20"/>
          <w:lang w:val="en-US"/>
        </w:rPr>
        <w:t>system. With</w:t>
      </w:r>
      <w:r w:rsidR="00DA6C4A" w:rsidRPr="008A3740">
        <w:rPr>
          <w:rFonts w:ascii="Verdana" w:hAnsi="Verdana"/>
          <w:sz w:val="20"/>
          <w:szCs w:val="20"/>
          <w:lang w:val="en-US"/>
        </w:rPr>
        <w:t xml:space="preserve"> even</w:t>
      </w:r>
      <w:r w:rsidR="00FE2534" w:rsidRPr="008A3740">
        <w:rPr>
          <w:rFonts w:ascii="Verdana" w:hAnsi="Verdana"/>
          <w:sz w:val="20"/>
          <w:szCs w:val="20"/>
          <w:lang w:val="en-US"/>
        </w:rPr>
        <w:t xml:space="preserve"> greater reason</w:t>
      </w:r>
      <w:r w:rsidR="008E6A56" w:rsidRPr="008A3740">
        <w:rPr>
          <w:rFonts w:ascii="Verdana" w:hAnsi="Verdana"/>
          <w:sz w:val="20"/>
          <w:szCs w:val="20"/>
          <w:lang w:val="en-US"/>
        </w:rPr>
        <w:t xml:space="preserve">, </w:t>
      </w:r>
      <w:r w:rsidR="00DA6C4A" w:rsidRPr="008A3740">
        <w:rPr>
          <w:rFonts w:ascii="Verdana" w:hAnsi="Verdana"/>
          <w:sz w:val="20"/>
          <w:szCs w:val="20"/>
          <w:lang w:val="en-US"/>
        </w:rPr>
        <w:t xml:space="preserve">it should </w:t>
      </w:r>
      <w:r w:rsidR="008E6A56" w:rsidRPr="008A3740">
        <w:rPr>
          <w:rFonts w:ascii="Verdana" w:hAnsi="Verdana"/>
          <w:sz w:val="20"/>
          <w:szCs w:val="20"/>
          <w:lang w:val="en-US"/>
        </w:rPr>
        <w:t>c</w:t>
      </w:r>
      <w:r w:rsidR="00917430" w:rsidRPr="008A3740">
        <w:rPr>
          <w:rFonts w:ascii="Verdana" w:hAnsi="Verdana"/>
          <w:sz w:val="20"/>
          <w:szCs w:val="20"/>
          <w:lang w:val="en-US"/>
        </w:rPr>
        <w:t xml:space="preserve">over </w:t>
      </w:r>
      <w:r w:rsidR="008E6A56" w:rsidRPr="008A3740">
        <w:rPr>
          <w:rFonts w:ascii="Verdana" w:hAnsi="Verdana"/>
          <w:sz w:val="20"/>
          <w:szCs w:val="20"/>
          <w:lang w:val="en-US"/>
        </w:rPr>
        <w:t xml:space="preserve">the rights acquired </w:t>
      </w:r>
      <w:r w:rsidR="00983AAE" w:rsidRPr="008A3740">
        <w:rPr>
          <w:rFonts w:ascii="Verdana" w:hAnsi="Verdana"/>
          <w:sz w:val="20"/>
          <w:szCs w:val="20"/>
          <w:lang w:val="en-US"/>
        </w:rPr>
        <w:t xml:space="preserve">once </w:t>
      </w:r>
      <w:r w:rsidR="008E6A56" w:rsidRPr="008A3740">
        <w:rPr>
          <w:rFonts w:ascii="Verdana" w:hAnsi="Verdana"/>
          <w:sz w:val="20"/>
          <w:szCs w:val="20"/>
          <w:lang w:val="en-US"/>
        </w:rPr>
        <w:t xml:space="preserve">the conditions </w:t>
      </w:r>
      <w:r w:rsidR="0094186C" w:rsidRPr="008A3740">
        <w:rPr>
          <w:rFonts w:ascii="Verdana" w:hAnsi="Verdana"/>
          <w:sz w:val="20"/>
          <w:szCs w:val="20"/>
          <w:lang w:val="en-US"/>
        </w:rPr>
        <w:t xml:space="preserve">are met </w:t>
      </w:r>
      <w:r w:rsidR="008E6A56" w:rsidRPr="008A3740">
        <w:rPr>
          <w:rFonts w:ascii="Verdana" w:hAnsi="Verdana"/>
          <w:sz w:val="20"/>
          <w:szCs w:val="20"/>
          <w:lang w:val="en-US"/>
        </w:rPr>
        <w:t>to obtain a benefit such as the old</w:t>
      </w:r>
      <w:r w:rsidR="0094186C" w:rsidRPr="008A3740">
        <w:rPr>
          <w:rFonts w:ascii="Verdana" w:hAnsi="Verdana"/>
          <w:sz w:val="20"/>
          <w:szCs w:val="20"/>
          <w:lang w:val="en-US"/>
        </w:rPr>
        <w:t>-</w:t>
      </w:r>
      <w:r w:rsidR="008E6A56" w:rsidRPr="008A3740">
        <w:rPr>
          <w:rFonts w:ascii="Verdana" w:hAnsi="Verdana"/>
          <w:sz w:val="20"/>
          <w:szCs w:val="20"/>
          <w:lang w:val="en-US"/>
        </w:rPr>
        <w:t xml:space="preserve"> age pension, </w:t>
      </w:r>
      <w:r w:rsidR="0094186C" w:rsidRPr="008A3740">
        <w:rPr>
          <w:rFonts w:ascii="Verdana" w:hAnsi="Verdana"/>
          <w:sz w:val="20"/>
          <w:szCs w:val="20"/>
          <w:lang w:val="en-US"/>
        </w:rPr>
        <w:t xml:space="preserve">particularly </w:t>
      </w:r>
      <w:r w:rsidR="008E6A56" w:rsidRPr="008A3740">
        <w:rPr>
          <w:rFonts w:ascii="Verdana" w:hAnsi="Verdana"/>
          <w:sz w:val="20"/>
          <w:szCs w:val="20"/>
          <w:lang w:val="en-US"/>
        </w:rPr>
        <w:t xml:space="preserve">when that right has been recognized </w:t>
      </w:r>
      <w:r w:rsidR="0094186C" w:rsidRPr="008A3740">
        <w:rPr>
          <w:rFonts w:ascii="Verdana" w:hAnsi="Verdana"/>
          <w:sz w:val="20"/>
          <w:szCs w:val="20"/>
          <w:lang w:val="en-US"/>
        </w:rPr>
        <w:t xml:space="preserve">in </w:t>
      </w:r>
      <w:r w:rsidR="008E6A56" w:rsidRPr="008A3740">
        <w:rPr>
          <w:rFonts w:ascii="Verdana" w:hAnsi="Verdana"/>
          <w:sz w:val="20"/>
          <w:szCs w:val="20"/>
          <w:lang w:val="en-US"/>
        </w:rPr>
        <w:t xml:space="preserve">a judicial ruling. </w:t>
      </w:r>
      <w:r w:rsidRPr="008A3740">
        <w:rPr>
          <w:rFonts w:ascii="Verdana" w:hAnsi="Verdana"/>
          <w:sz w:val="20"/>
          <w:szCs w:val="20"/>
          <w:lang w:val="en-US"/>
        </w:rPr>
        <w:t>Furthermore</w:t>
      </w:r>
      <w:r w:rsidR="008E6A56" w:rsidRPr="008A3740">
        <w:rPr>
          <w:rFonts w:ascii="Verdana" w:hAnsi="Verdana"/>
          <w:sz w:val="20"/>
          <w:szCs w:val="20"/>
          <w:lang w:val="en-US"/>
        </w:rPr>
        <w:t xml:space="preserve">, among the </w:t>
      </w:r>
      <w:r w:rsidR="0094186C" w:rsidRPr="008A3740">
        <w:rPr>
          <w:rFonts w:ascii="Verdana" w:hAnsi="Verdana"/>
          <w:sz w:val="20"/>
          <w:szCs w:val="20"/>
          <w:lang w:val="en-US"/>
        </w:rPr>
        <w:t xml:space="preserve">wide </w:t>
      </w:r>
      <w:r w:rsidR="008E6A56" w:rsidRPr="008A3740">
        <w:rPr>
          <w:rFonts w:ascii="Verdana" w:hAnsi="Verdana"/>
          <w:sz w:val="20"/>
          <w:szCs w:val="20"/>
          <w:lang w:val="en-US"/>
        </w:rPr>
        <w:t xml:space="preserve">range of interests protected by the right to property, social security benefits acquire particular </w:t>
      </w:r>
      <w:r w:rsidR="0094186C" w:rsidRPr="008A3740">
        <w:rPr>
          <w:rFonts w:ascii="Verdana" w:hAnsi="Verdana"/>
          <w:sz w:val="20"/>
          <w:szCs w:val="20"/>
          <w:lang w:val="en-US"/>
        </w:rPr>
        <w:t xml:space="preserve">significance </w:t>
      </w:r>
      <w:r w:rsidR="00960D1C" w:rsidRPr="008A3740">
        <w:rPr>
          <w:rFonts w:ascii="Verdana" w:hAnsi="Verdana"/>
          <w:sz w:val="20"/>
          <w:szCs w:val="20"/>
          <w:lang w:val="en-US"/>
        </w:rPr>
        <w:t xml:space="preserve">in terms of </w:t>
      </w:r>
      <w:r w:rsidR="00917430" w:rsidRPr="008A3740">
        <w:rPr>
          <w:rFonts w:ascii="Verdana" w:hAnsi="Verdana"/>
          <w:sz w:val="20"/>
          <w:szCs w:val="20"/>
          <w:lang w:val="en-US"/>
        </w:rPr>
        <w:t xml:space="preserve">their </w:t>
      </w:r>
      <w:r w:rsidRPr="008A3740">
        <w:rPr>
          <w:rFonts w:ascii="Verdana" w:hAnsi="Verdana"/>
          <w:sz w:val="20"/>
          <w:szCs w:val="20"/>
          <w:lang w:val="en-US"/>
        </w:rPr>
        <w:t xml:space="preserve">nature </w:t>
      </w:r>
      <w:r w:rsidR="003E7BAA" w:rsidRPr="008A3740">
        <w:rPr>
          <w:rFonts w:ascii="Verdana" w:hAnsi="Verdana"/>
          <w:sz w:val="20"/>
          <w:szCs w:val="20"/>
          <w:lang w:val="en-US"/>
        </w:rPr>
        <w:t xml:space="preserve">as </w:t>
      </w:r>
      <w:r w:rsidR="0094186C" w:rsidRPr="008A3740">
        <w:rPr>
          <w:rFonts w:ascii="Verdana" w:hAnsi="Verdana"/>
          <w:sz w:val="20"/>
          <w:szCs w:val="20"/>
          <w:lang w:val="en-US"/>
        </w:rPr>
        <w:t>an alimentary and income-</w:t>
      </w:r>
      <w:r w:rsidR="003E7BAA" w:rsidRPr="008A3740">
        <w:rPr>
          <w:rFonts w:ascii="Verdana" w:hAnsi="Verdana"/>
          <w:sz w:val="20"/>
          <w:szCs w:val="20"/>
          <w:lang w:val="en-US"/>
        </w:rPr>
        <w:t>substituti</w:t>
      </w:r>
      <w:r w:rsidR="0094186C" w:rsidRPr="008A3740">
        <w:rPr>
          <w:rFonts w:ascii="Verdana" w:hAnsi="Verdana"/>
          <w:sz w:val="20"/>
          <w:szCs w:val="20"/>
          <w:lang w:val="en-US"/>
        </w:rPr>
        <w:t>ng benefit</w:t>
      </w:r>
      <w:r w:rsidR="008E6A56" w:rsidRPr="008A3740">
        <w:rPr>
          <w:rFonts w:ascii="Verdana" w:hAnsi="Verdana"/>
          <w:sz w:val="20"/>
          <w:szCs w:val="20"/>
          <w:lang w:val="en-US"/>
        </w:rPr>
        <w:t>.”</w:t>
      </w:r>
      <w:r w:rsidR="008E6A56" w:rsidRPr="008A3740">
        <w:rPr>
          <w:rStyle w:val="Refdenotaalpie"/>
          <w:szCs w:val="20"/>
          <w:lang w:val="en-US"/>
        </w:rPr>
        <w:footnoteReference w:id="223"/>
      </w:r>
    </w:p>
    <w:p w14:paraId="6C5545F2" w14:textId="77777777" w:rsidR="008E6A56" w:rsidRPr="008A3740" w:rsidRDefault="008E6A56" w:rsidP="008E6A56">
      <w:pPr>
        <w:pStyle w:val="Prrafodelista"/>
        <w:rPr>
          <w:rFonts w:ascii="Verdana" w:hAnsi="Verdana"/>
          <w:sz w:val="20"/>
          <w:lang w:val="en-US"/>
        </w:rPr>
      </w:pPr>
    </w:p>
    <w:p w14:paraId="1E695664"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 xml:space="preserve">In the instant case, the Court observes that, based on Decree Law No. 20530, Mr. Muelle Flores </w:t>
      </w:r>
      <w:r w:rsidR="0094186C" w:rsidRPr="008A3740">
        <w:rPr>
          <w:rFonts w:ascii="Verdana" w:hAnsi="Verdana"/>
          <w:sz w:val="20"/>
          <w:lang w:val="en-US"/>
        </w:rPr>
        <w:t>had acquired the right to an</w:t>
      </w:r>
      <w:r w:rsidRPr="008A3740">
        <w:rPr>
          <w:rFonts w:ascii="Verdana" w:hAnsi="Verdana"/>
          <w:sz w:val="20"/>
          <w:lang w:val="en-US"/>
        </w:rPr>
        <w:t xml:space="preserve"> </w:t>
      </w:r>
      <w:r w:rsidR="00D740E9" w:rsidRPr="008A3740">
        <w:rPr>
          <w:rFonts w:ascii="Verdana" w:hAnsi="Verdana"/>
          <w:sz w:val="20"/>
          <w:lang w:val="en-US"/>
        </w:rPr>
        <w:t>equalized pension</w:t>
      </w:r>
      <w:r w:rsidR="002A1F04" w:rsidRPr="008A3740">
        <w:rPr>
          <w:rFonts w:ascii="Verdana" w:hAnsi="Verdana"/>
          <w:sz w:val="20"/>
          <w:lang w:val="en-US"/>
        </w:rPr>
        <w:t xml:space="preserve"> upon </w:t>
      </w:r>
      <w:r w:rsidR="0094186C" w:rsidRPr="008A3740">
        <w:rPr>
          <w:rFonts w:ascii="Verdana" w:hAnsi="Verdana"/>
          <w:sz w:val="20"/>
          <w:lang w:val="en-US"/>
        </w:rPr>
        <w:t>retirement</w:t>
      </w:r>
      <w:r w:rsidRPr="008A3740">
        <w:rPr>
          <w:rFonts w:ascii="Verdana" w:hAnsi="Verdana"/>
          <w:sz w:val="20"/>
          <w:lang w:val="en-US"/>
        </w:rPr>
        <w:t>, on September 30, 1990, from his position as Assistant General Manager of the State</w:t>
      </w:r>
      <w:r w:rsidR="002A1F04" w:rsidRPr="008A3740">
        <w:rPr>
          <w:rFonts w:ascii="Verdana" w:hAnsi="Verdana"/>
          <w:sz w:val="20"/>
          <w:lang w:val="en-US"/>
        </w:rPr>
        <w:t>-owned</w:t>
      </w:r>
      <w:r w:rsidRPr="008A3740">
        <w:rPr>
          <w:rFonts w:ascii="Verdana" w:hAnsi="Verdana"/>
          <w:sz w:val="20"/>
          <w:lang w:val="en-US"/>
        </w:rPr>
        <w:t xml:space="preserve"> company Tintaya S.A. (</w:t>
      </w:r>
      <w:r w:rsidRPr="008A3740">
        <w:rPr>
          <w:rFonts w:ascii="Verdana" w:hAnsi="Verdana"/>
          <w:i/>
          <w:sz w:val="20"/>
          <w:lang w:val="en-US"/>
        </w:rPr>
        <w:t>supra</w:t>
      </w:r>
      <w:r w:rsidRPr="008A3740">
        <w:rPr>
          <w:rFonts w:ascii="Verdana" w:hAnsi="Verdana"/>
          <w:sz w:val="20"/>
          <w:lang w:val="en-US"/>
        </w:rPr>
        <w:t xml:space="preserve"> para. 43). Likewise, </w:t>
      </w:r>
      <w:r w:rsidR="0094186C" w:rsidRPr="008A3740">
        <w:rPr>
          <w:rFonts w:ascii="Verdana" w:hAnsi="Verdana"/>
          <w:sz w:val="20"/>
          <w:lang w:val="en-US"/>
        </w:rPr>
        <w:t>his inclusion in that pension scheme was declared lawful following</w:t>
      </w:r>
      <w:r w:rsidRPr="008A3740">
        <w:rPr>
          <w:rFonts w:ascii="Verdana" w:hAnsi="Verdana"/>
          <w:sz w:val="20"/>
          <w:lang w:val="en-US"/>
        </w:rPr>
        <w:t xml:space="preserve"> a</w:t>
      </w:r>
      <w:r w:rsidR="000C3495" w:rsidRPr="008A3740">
        <w:rPr>
          <w:rFonts w:ascii="Verdana" w:hAnsi="Verdana"/>
          <w:sz w:val="20"/>
          <w:lang w:val="en-US"/>
        </w:rPr>
        <w:t>n administrative</w:t>
      </w:r>
      <w:r w:rsidR="0094186C" w:rsidRPr="008A3740">
        <w:rPr>
          <w:rFonts w:ascii="Verdana" w:hAnsi="Verdana"/>
          <w:sz w:val="20"/>
          <w:lang w:val="en-US"/>
        </w:rPr>
        <w:t xml:space="preserve"> </w:t>
      </w:r>
      <w:r w:rsidR="0094186C" w:rsidRPr="008A3740">
        <w:rPr>
          <w:rFonts w:ascii="Verdana" w:hAnsi="Verdana"/>
          <w:sz w:val="20"/>
          <w:lang w:val="en-US"/>
        </w:rPr>
        <w:lastRenderedPageBreak/>
        <w:t xml:space="preserve">proceeding, which </w:t>
      </w:r>
      <w:r w:rsidRPr="008A3740">
        <w:rPr>
          <w:rFonts w:ascii="Verdana" w:hAnsi="Verdana"/>
          <w:sz w:val="20"/>
          <w:lang w:val="en-US"/>
        </w:rPr>
        <w:t>established that Mr. Muelle Flores met the necessary requirements to acquire the right to a</w:t>
      </w:r>
      <w:r w:rsidR="00983AAE" w:rsidRPr="008A3740">
        <w:rPr>
          <w:rFonts w:ascii="Verdana" w:hAnsi="Verdana"/>
          <w:sz w:val="20"/>
          <w:lang w:val="en-US"/>
        </w:rPr>
        <w:t>n</w:t>
      </w:r>
      <w:r w:rsidRPr="008A3740">
        <w:rPr>
          <w:rFonts w:ascii="Verdana" w:hAnsi="Verdana"/>
          <w:sz w:val="20"/>
          <w:lang w:val="en-US"/>
        </w:rPr>
        <w:t xml:space="preserve"> </w:t>
      </w:r>
      <w:r w:rsidR="00D740E9" w:rsidRPr="008A3740">
        <w:rPr>
          <w:rFonts w:ascii="Verdana" w:hAnsi="Verdana"/>
          <w:sz w:val="20"/>
          <w:lang w:val="en-US"/>
        </w:rPr>
        <w:t>equalized pension</w:t>
      </w:r>
      <w:r w:rsidRPr="008A3740">
        <w:rPr>
          <w:rFonts w:ascii="Verdana" w:hAnsi="Verdana"/>
          <w:sz w:val="20"/>
          <w:lang w:val="en-US"/>
        </w:rPr>
        <w:t xml:space="preserve">. </w:t>
      </w:r>
      <w:r w:rsidR="0094186C" w:rsidRPr="008A3740">
        <w:rPr>
          <w:rFonts w:ascii="Verdana" w:hAnsi="Verdana"/>
          <w:sz w:val="20"/>
          <w:lang w:val="en-US"/>
        </w:rPr>
        <w:t xml:space="preserve">In addition, </w:t>
      </w:r>
      <w:r w:rsidRPr="008A3740">
        <w:rPr>
          <w:rFonts w:ascii="Verdana" w:hAnsi="Verdana"/>
          <w:sz w:val="20"/>
          <w:lang w:val="en-US"/>
        </w:rPr>
        <w:t xml:space="preserve">two </w:t>
      </w:r>
      <w:r w:rsidRPr="008A3740">
        <w:rPr>
          <w:rFonts w:ascii="Verdana" w:hAnsi="Verdana"/>
          <w:i/>
          <w:sz w:val="20"/>
          <w:lang w:val="en-US"/>
        </w:rPr>
        <w:t>amparo</w:t>
      </w:r>
      <w:r w:rsidRPr="008A3740">
        <w:rPr>
          <w:rFonts w:ascii="Verdana" w:hAnsi="Verdana"/>
          <w:sz w:val="20"/>
          <w:lang w:val="en-US"/>
        </w:rPr>
        <w:t xml:space="preserve"> </w:t>
      </w:r>
      <w:r w:rsidR="0094186C" w:rsidRPr="008A3740">
        <w:rPr>
          <w:rFonts w:ascii="Verdana" w:hAnsi="Verdana"/>
          <w:sz w:val="20"/>
          <w:lang w:val="en-US"/>
        </w:rPr>
        <w:t xml:space="preserve">judgments </w:t>
      </w:r>
      <w:r w:rsidRPr="008A3740">
        <w:rPr>
          <w:rFonts w:ascii="Verdana" w:hAnsi="Verdana"/>
          <w:sz w:val="20"/>
          <w:lang w:val="en-US"/>
        </w:rPr>
        <w:t xml:space="preserve">were </w:t>
      </w:r>
      <w:r w:rsidR="002A1F04" w:rsidRPr="008A3740">
        <w:rPr>
          <w:rFonts w:ascii="Verdana" w:hAnsi="Verdana"/>
          <w:sz w:val="20"/>
          <w:lang w:val="en-US"/>
        </w:rPr>
        <w:t>issued that ordered</w:t>
      </w:r>
      <w:r w:rsidRPr="008A3740">
        <w:rPr>
          <w:rFonts w:ascii="Verdana" w:hAnsi="Verdana"/>
          <w:sz w:val="20"/>
          <w:lang w:val="en-US"/>
        </w:rPr>
        <w:t xml:space="preserve"> the payment of his pension, which were not implemented. </w:t>
      </w:r>
    </w:p>
    <w:p w14:paraId="4A240F5F" w14:textId="77777777" w:rsidR="008E6A56" w:rsidRPr="008A3740" w:rsidRDefault="008E6A56" w:rsidP="008E6A56">
      <w:pPr>
        <w:pStyle w:val="Prrafodelista"/>
        <w:rPr>
          <w:rFonts w:ascii="Verdana" w:hAnsi="Verdana"/>
          <w:sz w:val="20"/>
          <w:lang w:val="en-US"/>
        </w:rPr>
      </w:pPr>
    </w:p>
    <w:p w14:paraId="646E8F91"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Mr. Oscar Muelle Flores retired on September 30, 1990</w:t>
      </w:r>
      <w:r w:rsidR="007C220F" w:rsidRPr="008A3740">
        <w:rPr>
          <w:rFonts w:ascii="Verdana" w:hAnsi="Verdana"/>
          <w:sz w:val="20"/>
          <w:lang w:val="en-US"/>
        </w:rPr>
        <w:t>,</w:t>
      </w:r>
      <w:r w:rsidRPr="008A3740">
        <w:rPr>
          <w:rFonts w:ascii="Verdana" w:hAnsi="Verdana"/>
          <w:sz w:val="20"/>
          <w:lang w:val="en-US"/>
        </w:rPr>
        <w:t xml:space="preserve"> and </w:t>
      </w:r>
      <w:r w:rsidR="000C3495" w:rsidRPr="008A3740">
        <w:rPr>
          <w:rFonts w:ascii="Verdana" w:hAnsi="Verdana"/>
          <w:sz w:val="20"/>
          <w:lang w:val="en-US"/>
        </w:rPr>
        <w:t>received h</w:t>
      </w:r>
      <w:r w:rsidRPr="008A3740">
        <w:rPr>
          <w:rFonts w:ascii="Verdana" w:hAnsi="Verdana"/>
          <w:sz w:val="20"/>
          <w:lang w:val="en-US"/>
        </w:rPr>
        <w:t xml:space="preserve">is pension, in full, </w:t>
      </w:r>
      <w:r w:rsidR="007C220F" w:rsidRPr="008A3740">
        <w:rPr>
          <w:rFonts w:ascii="Verdana" w:hAnsi="Verdana"/>
          <w:sz w:val="20"/>
          <w:lang w:val="en-US"/>
        </w:rPr>
        <w:t xml:space="preserve">only </w:t>
      </w:r>
      <w:r w:rsidRPr="008A3740">
        <w:rPr>
          <w:rFonts w:ascii="Verdana" w:hAnsi="Verdana"/>
          <w:sz w:val="20"/>
          <w:lang w:val="en-US"/>
        </w:rPr>
        <w:t>from October 1990 until January 1991, since th</w:t>
      </w:r>
      <w:r w:rsidR="007C220F" w:rsidRPr="008A3740">
        <w:rPr>
          <w:rFonts w:ascii="Verdana" w:hAnsi="Verdana"/>
          <w:sz w:val="20"/>
          <w:lang w:val="en-US"/>
        </w:rPr>
        <w:t>e</w:t>
      </w:r>
      <w:r w:rsidR="00983AAE" w:rsidRPr="008A3740">
        <w:rPr>
          <w:rFonts w:ascii="Verdana" w:hAnsi="Verdana"/>
          <w:sz w:val="20"/>
          <w:lang w:val="en-US"/>
        </w:rPr>
        <w:t>s</w:t>
      </w:r>
      <w:r w:rsidRPr="008A3740">
        <w:rPr>
          <w:rFonts w:ascii="Verdana" w:hAnsi="Verdana"/>
          <w:sz w:val="20"/>
          <w:lang w:val="en-US"/>
        </w:rPr>
        <w:t>e payment</w:t>
      </w:r>
      <w:r w:rsidR="00983AAE" w:rsidRPr="008A3740">
        <w:rPr>
          <w:rFonts w:ascii="Verdana" w:hAnsi="Verdana"/>
          <w:sz w:val="20"/>
          <w:lang w:val="en-US"/>
        </w:rPr>
        <w:t>s were</w:t>
      </w:r>
      <w:r w:rsidRPr="008A3740">
        <w:rPr>
          <w:rFonts w:ascii="Verdana" w:hAnsi="Verdana"/>
          <w:sz w:val="20"/>
          <w:lang w:val="en-US"/>
        </w:rPr>
        <w:t xml:space="preserve"> suspended from February 1991. Alt</w:t>
      </w:r>
      <w:r w:rsidR="007C220F" w:rsidRPr="008A3740">
        <w:rPr>
          <w:rFonts w:ascii="Verdana" w:hAnsi="Verdana"/>
          <w:sz w:val="20"/>
          <w:lang w:val="en-US"/>
        </w:rPr>
        <w:t>hough the private company-</w:t>
      </w:r>
      <w:r w:rsidRPr="008A3740">
        <w:rPr>
          <w:rFonts w:ascii="Verdana" w:hAnsi="Verdana"/>
          <w:sz w:val="20"/>
          <w:lang w:val="en-US"/>
        </w:rPr>
        <w:t xml:space="preserve"> not </w:t>
      </w:r>
      <w:r w:rsidR="007C220F" w:rsidRPr="008A3740">
        <w:rPr>
          <w:rFonts w:ascii="Verdana" w:hAnsi="Verdana"/>
          <w:sz w:val="20"/>
          <w:lang w:val="en-US"/>
        </w:rPr>
        <w:t>the Peruvian State-</w:t>
      </w:r>
      <w:r w:rsidRPr="008A3740">
        <w:rPr>
          <w:rFonts w:ascii="Verdana" w:hAnsi="Verdana"/>
          <w:sz w:val="20"/>
          <w:lang w:val="en-US"/>
        </w:rPr>
        <w:t xml:space="preserve"> made payments from 1999 to 2001, these covered the pension, but only partially, as expressly </w:t>
      </w:r>
      <w:r w:rsidR="007C220F" w:rsidRPr="008A3740">
        <w:rPr>
          <w:rFonts w:ascii="Verdana" w:hAnsi="Verdana"/>
          <w:sz w:val="20"/>
          <w:lang w:val="en-US"/>
        </w:rPr>
        <w:t xml:space="preserve">indicated </w:t>
      </w:r>
      <w:r w:rsidRPr="008A3740">
        <w:rPr>
          <w:rFonts w:ascii="Verdana" w:hAnsi="Verdana"/>
          <w:sz w:val="20"/>
          <w:lang w:val="en-US"/>
        </w:rPr>
        <w:t>in the pay slips issued by the company (</w:t>
      </w:r>
      <w:r w:rsidRPr="008A3740">
        <w:rPr>
          <w:rFonts w:ascii="Verdana" w:hAnsi="Verdana"/>
          <w:i/>
          <w:sz w:val="20"/>
          <w:lang w:val="en-US"/>
        </w:rPr>
        <w:t>supra</w:t>
      </w:r>
      <w:r w:rsidRPr="008A3740">
        <w:rPr>
          <w:rFonts w:ascii="Verdana" w:hAnsi="Verdana"/>
          <w:sz w:val="20"/>
          <w:lang w:val="en-US"/>
        </w:rPr>
        <w:t xml:space="preserve"> para. 80). In this sense, the amounts paid to the victim as pension </w:t>
      </w:r>
      <w:r w:rsidR="007C220F" w:rsidRPr="008A3740">
        <w:rPr>
          <w:rFonts w:ascii="Verdana" w:hAnsi="Verdana"/>
          <w:sz w:val="20"/>
          <w:lang w:val="en-US"/>
        </w:rPr>
        <w:t xml:space="preserve">allowances </w:t>
      </w:r>
      <w:r w:rsidRPr="008A3740">
        <w:rPr>
          <w:rFonts w:ascii="Verdana" w:hAnsi="Verdana"/>
          <w:sz w:val="20"/>
          <w:lang w:val="en-US"/>
        </w:rPr>
        <w:t xml:space="preserve">from February 1991 until June 2001 consisted of partial payments, since </w:t>
      </w:r>
      <w:r w:rsidR="000C3495" w:rsidRPr="008A3740">
        <w:rPr>
          <w:rFonts w:ascii="Verdana" w:hAnsi="Verdana"/>
          <w:sz w:val="20"/>
          <w:lang w:val="en-US"/>
        </w:rPr>
        <w:t>the amount paid did not correspond to</w:t>
      </w:r>
      <w:r w:rsidRPr="008A3740">
        <w:rPr>
          <w:rFonts w:ascii="Verdana" w:hAnsi="Verdana"/>
          <w:sz w:val="20"/>
          <w:lang w:val="en-US"/>
        </w:rPr>
        <w:t xml:space="preserve"> the </w:t>
      </w:r>
      <w:r w:rsidR="007C220F" w:rsidRPr="008A3740">
        <w:rPr>
          <w:rFonts w:ascii="Verdana" w:hAnsi="Verdana"/>
          <w:sz w:val="20"/>
          <w:lang w:val="en-US"/>
        </w:rPr>
        <w:t xml:space="preserve">equalized </w:t>
      </w:r>
      <w:r w:rsidRPr="008A3740">
        <w:rPr>
          <w:rFonts w:ascii="Verdana" w:hAnsi="Verdana"/>
          <w:sz w:val="20"/>
          <w:lang w:val="en-US"/>
        </w:rPr>
        <w:t>amount t</w:t>
      </w:r>
      <w:r w:rsidR="007C220F" w:rsidRPr="008A3740">
        <w:rPr>
          <w:rFonts w:ascii="Verdana" w:hAnsi="Verdana"/>
          <w:sz w:val="20"/>
          <w:lang w:val="en-US"/>
        </w:rPr>
        <w:t xml:space="preserve">o which he was entitled </w:t>
      </w:r>
      <w:r w:rsidRPr="008A3740">
        <w:rPr>
          <w:rFonts w:ascii="Verdana" w:hAnsi="Verdana"/>
          <w:sz w:val="20"/>
          <w:lang w:val="en-US"/>
        </w:rPr>
        <w:t xml:space="preserve">under the </w:t>
      </w:r>
      <w:r w:rsidR="000C3495" w:rsidRPr="008A3740">
        <w:rPr>
          <w:rFonts w:ascii="Verdana" w:hAnsi="Verdana"/>
          <w:sz w:val="20"/>
          <w:lang w:val="en-US"/>
        </w:rPr>
        <w:t xml:space="preserve">pension scheme </w:t>
      </w:r>
      <w:r w:rsidRPr="008A3740">
        <w:rPr>
          <w:rFonts w:ascii="Verdana" w:hAnsi="Verdana"/>
          <w:sz w:val="20"/>
          <w:lang w:val="en-US"/>
        </w:rPr>
        <w:t xml:space="preserve">of Decree Law No. 20530, at least until the constitutional </w:t>
      </w:r>
      <w:r w:rsidR="007C220F" w:rsidRPr="008A3740">
        <w:rPr>
          <w:rFonts w:ascii="Verdana" w:hAnsi="Verdana"/>
          <w:sz w:val="20"/>
          <w:lang w:val="en-US"/>
        </w:rPr>
        <w:t xml:space="preserve">reform of </w:t>
      </w:r>
      <w:r w:rsidRPr="008A3740">
        <w:rPr>
          <w:rFonts w:ascii="Verdana" w:hAnsi="Verdana"/>
          <w:sz w:val="20"/>
          <w:lang w:val="en-US"/>
        </w:rPr>
        <w:t>November 2004 (</w:t>
      </w:r>
      <w:r w:rsidRPr="008A3740">
        <w:rPr>
          <w:rFonts w:ascii="Verdana" w:hAnsi="Verdana"/>
          <w:i/>
          <w:sz w:val="20"/>
          <w:lang w:val="en-US"/>
        </w:rPr>
        <w:t>supra</w:t>
      </w:r>
      <w:r w:rsidRPr="008A3740">
        <w:rPr>
          <w:rFonts w:ascii="Verdana" w:hAnsi="Verdana"/>
          <w:sz w:val="20"/>
          <w:lang w:val="en-US"/>
        </w:rPr>
        <w:t xml:space="preserve"> para. 103). Furthermore, the Court confirms that from </w:t>
      </w:r>
      <w:r w:rsidR="000C3495" w:rsidRPr="008A3740">
        <w:rPr>
          <w:rFonts w:ascii="Verdana" w:hAnsi="Verdana"/>
          <w:sz w:val="20"/>
          <w:lang w:val="en-US"/>
        </w:rPr>
        <w:t>J</w:t>
      </w:r>
      <w:r w:rsidRPr="008A3740">
        <w:rPr>
          <w:rFonts w:ascii="Verdana" w:hAnsi="Verdana"/>
          <w:sz w:val="20"/>
          <w:lang w:val="en-US"/>
        </w:rPr>
        <w:t>uly 2001, Mr. Muelle Flores did not receive any pension payment</w:t>
      </w:r>
      <w:r w:rsidR="000C3495" w:rsidRPr="008A3740">
        <w:rPr>
          <w:rFonts w:ascii="Verdana" w:hAnsi="Verdana"/>
          <w:sz w:val="20"/>
          <w:lang w:val="en-US"/>
        </w:rPr>
        <w:t>s</w:t>
      </w:r>
      <w:r w:rsidRPr="008A3740">
        <w:rPr>
          <w:rFonts w:ascii="Verdana" w:hAnsi="Verdana"/>
          <w:sz w:val="20"/>
          <w:lang w:val="en-US"/>
        </w:rPr>
        <w:t xml:space="preserve">; in other words, the victim has not </w:t>
      </w:r>
      <w:r w:rsidR="00A067D7" w:rsidRPr="008A3740">
        <w:rPr>
          <w:rFonts w:ascii="Verdana" w:hAnsi="Verdana"/>
          <w:sz w:val="20"/>
          <w:lang w:val="en-US"/>
        </w:rPr>
        <w:t>been able to realize</w:t>
      </w:r>
      <w:r w:rsidRPr="008A3740">
        <w:rPr>
          <w:rFonts w:ascii="Verdana" w:hAnsi="Verdana"/>
          <w:sz w:val="20"/>
          <w:lang w:val="en-US"/>
        </w:rPr>
        <w:t xml:space="preserve"> his right to a pension for more than 27 years.</w:t>
      </w:r>
    </w:p>
    <w:p w14:paraId="0086A8A3" w14:textId="77777777" w:rsidR="008E6A56" w:rsidRPr="008A3740" w:rsidRDefault="008E6A56" w:rsidP="008E6A56">
      <w:pPr>
        <w:widowControl/>
        <w:tabs>
          <w:tab w:val="left" w:pos="567"/>
          <w:tab w:val="left" w:pos="720"/>
        </w:tabs>
        <w:adjustRightInd/>
        <w:textAlignment w:val="auto"/>
        <w:rPr>
          <w:rFonts w:ascii="Verdana" w:hAnsi="Verdana"/>
          <w:sz w:val="20"/>
          <w:lang w:val="en-US"/>
        </w:rPr>
      </w:pPr>
    </w:p>
    <w:p w14:paraId="49002B76" w14:textId="77777777" w:rsidR="008E6A56" w:rsidRPr="008A3740" w:rsidRDefault="008E6A56"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 xml:space="preserve">The Court </w:t>
      </w:r>
      <w:r w:rsidR="00983AAE" w:rsidRPr="008A3740">
        <w:rPr>
          <w:rFonts w:ascii="Verdana" w:hAnsi="Verdana"/>
          <w:sz w:val="20"/>
          <w:lang w:val="en-US"/>
        </w:rPr>
        <w:t xml:space="preserve">considers </w:t>
      </w:r>
      <w:r w:rsidRPr="008A3740">
        <w:rPr>
          <w:rFonts w:ascii="Verdana" w:hAnsi="Verdana"/>
          <w:sz w:val="20"/>
          <w:lang w:val="en-US"/>
        </w:rPr>
        <w:t xml:space="preserve">that the </w:t>
      </w:r>
      <w:r w:rsidR="008B6FB0" w:rsidRPr="008A3740">
        <w:rPr>
          <w:rFonts w:ascii="Verdana" w:hAnsi="Verdana"/>
          <w:sz w:val="20"/>
          <w:lang w:val="en-US"/>
        </w:rPr>
        <w:t xml:space="preserve">victim’s </w:t>
      </w:r>
      <w:r w:rsidRPr="008A3740">
        <w:rPr>
          <w:rFonts w:ascii="Verdana" w:hAnsi="Verdana"/>
          <w:sz w:val="20"/>
          <w:lang w:val="en-US"/>
        </w:rPr>
        <w:t xml:space="preserve">right to </w:t>
      </w:r>
      <w:r w:rsidR="008B6FB0" w:rsidRPr="008A3740">
        <w:rPr>
          <w:rFonts w:ascii="Verdana" w:hAnsi="Verdana"/>
          <w:sz w:val="20"/>
          <w:lang w:val="en-US"/>
        </w:rPr>
        <w:t xml:space="preserve">an </w:t>
      </w:r>
      <w:r w:rsidR="00D740E9" w:rsidRPr="008A3740">
        <w:rPr>
          <w:rFonts w:ascii="Verdana" w:hAnsi="Verdana"/>
          <w:sz w:val="20"/>
          <w:lang w:val="en-US"/>
        </w:rPr>
        <w:t>equalized pension</w:t>
      </w:r>
      <w:r w:rsidR="008B6FB0" w:rsidRPr="008A3740">
        <w:rPr>
          <w:rFonts w:ascii="Verdana" w:hAnsi="Verdana"/>
          <w:sz w:val="20"/>
          <w:lang w:val="en-US"/>
        </w:rPr>
        <w:t>,</w:t>
      </w:r>
      <w:r w:rsidRPr="008A3740">
        <w:rPr>
          <w:rFonts w:ascii="Verdana" w:hAnsi="Verdana"/>
          <w:sz w:val="20"/>
          <w:lang w:val="en-US"/>
        </w:rPr>
        <w:t xml:space="preserve"> </w:t>
      </w:r>
      <w:r w:rsidR="00A067D7" w:rsidRPr="008A3740">
        <w:rPr>
          <w:rFonts w:ascii="Verdana" w:hAnsi="Verdana"/>
          <w:sz w:val="20"/>
          <w:lang w:val="en-US"/>
        </w:rPr>
        <w:t xml:space="preserve">under a system that was </w:t>
      </w:r>
      <w:r w:rsidRPr="008A3740">
        <w:rPr>
          <w:rFonts w:ascii="Verdana" w:hAnsi="Verdana"/>
          <w:sz w:val="20"/>
          <w:lang w:val="en-US"/>
        </w:rPr>
        <w:t xml:space="preserve">in </w:t>
      </w:r>
      <w:r w:rsidR="00983AAE" w:rsidRPr="008A3740">
        <w:rPr>
          <w:rFonts w:ascii="Verdana" w:hAnsi="Verdana"/>
          <w:sz w:val="20"/>
          <w:lang w:val="en-US"/>
        </w:rPr>
        <w:t xml:space="preserve">force </w:t>
      </w:r>
      <w:r w:rsidRPr="008A3740">
        <w:rPr>
          <w:rFonts w:ascii="Verdana" w:hAnsi="Verdana"/>
          <w:sz w:val="20"/>
          <w:lang w:val="en-US"/>
        </w:rPr>
        <w:t>in Peru until 2004, a</w:t>
      </w:r>
      <w:r w:rsidR="00034DFB" w:rsidRPr="008A3740">
        <w:rPr>
          <w:rFonts w:ascii="Verdana" w:hAnsi="Verdana"/>
          <w:sz w:val="20"/>
          <w:lang w:val="en-US"/>
        </w:rPr>
        <w:t xml:space="preserve">s well as </w:t>
      </w:r>
      <w:r w:rsidR="00423371" w:rsidRPr="008A3740">
        <w:rPr>
          <w:rFonts w:ascii="Verdana" w:hAnsi="Verdana"/>
          <w:sz w:val="20"/>
          <w:lang w:val="en-US"/>
        </w:rPr>
        <w:t>his right to a</w:t>
      </w:r>
      <w:r w:rsidRPr="008A3740">
        <w:rPr>
          <w:rFonts w:ascii="Verdana" w:hAnsi="Verdana"/>
          <w:sz w:val="20"/>
          <w:lang w:val="en-US"/>
        </w:rPr>
        <w:t xml:space="preserve"> pension </w:t>
      </w:r>
      <w:r w:rsidR="00A067D7" w:rsidRPr="008A3740">
        <w:rPr>
          <w:rFonts w:ascii="Verdana" w:hAnsi="Verdana"/>
          <w:sz w:val="20"/>
          <w:lang w:val="en-US"/>
        </w:rPr>
        <w:t xml:space="preserve">under </w:t>
      </w:r>
      <w:r w:rsidRPr="008A3740">
        <w:rPr>
          <w:rFonts w:ascii="Verdana" w:hAnsi="Verdana"/>
          <w:sz w:val="20"/>
          <w:lang w:val="en-US"/>
        </w:rPr>
        <w:t xml:space="preserve">the constitutional reforms </w:t>
      </w:r>
      <w:r w:rsidR="00983AAE" w:rsidRPr="008A3740">
        <w:rPr>
          <w:rFonts w:ascii="Verdana" w:hAnsi="Verdana"/>
          <w:sz w:val="20"/>
          <w:lang w:val="en-US"/>
        </w:rPr>
        <w:t xml:space="preserve">implemented on that date, </w:t>
      </w:r>
      <w:r w:rsidR="00423371" w:rsidRPr="008A3740">
        <w:rPr>
          <w:rFonts w:ascii="Verdana" w:hAnsi="Verdana"/>
          <w:sz w:val="20"/>
          <w:lang w:val="en-US"/>
        </w:rPr>
        <w:t xml:space="preserve">affected </w:t>
      </w:r>
      <w:r w:rsidR="00034DFB" w:rsidRPr="008A3740">
        <w:rPr>
          <w:rFonts w:ascii="Verdana" w:hAnsi="Verdana"/>
          <w:sz w:val="20"/>
          <w:lang w:val="en-US"/>
        </w:rPr>
        <w:t xml:space="preserve">the patrimony of </w:t>
      </w:r>
      <w:r w:rsidRPr="008A3740">
        <w:rPr>
          <w:rFonts w:ascii="Verdana" w:hAnsi="Verdana"/>
          <w:sz w:val="20"/>
          <w:lang w:val="en-US"/>
        </w:rPr>
        <w:t xml:space="preserve">Mr. Muelle Flores. In fact, </w:t>
      </w:r>
      <w:r w:rsidR="002A1F04" w:rsidRPr="008A3740">
        <w:rPr>
          <w:rFonts w:ascii="Verdana" w:hAnsi="Verdana"/>
          <w:sz w:val="20"/>
          <w:lang w:val="en-US"/>
        </w:rPr>
        <w:t xml:space="preserve">he </w:t>
      </w:r>
      <w:r w:rsidRPr="008A3740">
        <w:rPr>
          <w:rFonts w:ascii="Verdana" w:hAnsi="Verdana"/>
          <w:sz w:val="20"/>
          <w:lang w:val="en-US"/>
        </w:rPr>
        <w:t>acquired the right to receive a pension after he stopped providing services to t</w:t>
      </w:r>
      <w:r w:rsidR="00423371" w:rsidRPr="008A3740">
        <w:rPr>
          <w:rFonts w:ascii="Verdana" w:hAnsi="Verdana"/>
          <w:sz w:val="20"/>
          <w:lang w:val="en-US"/>
        </w:rPr>
        <w:t xml:space="preserve">he institution for which he had </w:t>
      </w:r>
      <w:r w:rsidRPr="008A3740">
        <w:rPr>
          <w:rFonts w:ascii="Verdana" w:hAnsi="Verdana"/>
          <w:sz w:val="20"/>
          <w:lang w:val="en-US"/>
        </w:rPr>
        <w:t xml:space="preserve">worked, having </w:t>
      </w:r>
      <w:r w:rsidR="00423371" w:rsidRPr="008A3740">
        <w:rPr>
          <w:rFonts w:ascii="Verdana" w:hAnsi="Verdana"/>
          <w:sz w:val="20"/>
          <w:lang w:val="en-US"/>
        </w:rPr>
        <w:t xml:space="preserve">met </w:t>
      </w:r>
      <w:r w:rsidRPr="008A3740">
        <w:rPr>
          <w:rFonts w:ascii="Verdana" w:hAnsi="Verdana"/>
          <w:sz w:val="20"/>
          <w:lang w:val="en-US"/>
        </w:rPr>
        <w:t xml:space="preserve">the requirements for that purpose and having paid the corresponding contributions, in accordance with Peru’s </w:t>
      </w:r>
      <w:r w:rsidR="00034DFB" w:rsidRPr="008A3740">
        <w:rPr>
          <w:rFonts w:ascii="Verdana" w:hAnsi="Verdana"/>
          <w:sz w:val="20"/>
          <w:lang w:val="en-US"/>
        </w:rPr>
        <w:t>domestic laws</w:t>
      </w:r>
      <w:r w:rsidRPr="008A3740">
        <w:rPr>
          <w:rFonts w:ascii="Verdana" w:hAnsi="Verdana"/>
          <w:sz w:val="20"/>
          <w:lang w:val="en-US"/>
        </w:rPr>
        <w:t xml:space="preserve">. In this sense, </w:t>
      </w:r>
      <w:r w:rsidR="00983AAE" w:rsidRPr="008A3740">
        <w:rPr>
          <w:rFonts w:ascii="Verdana" w:hAnsi="Verdana"/>
          <w:sz w:val="20"/>
          <w:lang w:val="en-US"/>
        </w:rPr>
        <w:t xml:space="preserve">his </w:t>
      </w:r>
      <w:r w:rsidRPr="008A3740">
        <w:rPr>
          <w:rFonts w:ascii="Verdana" w:hAnsi="Verdana"/>
          <w:sz w:val="20"/>
          <w:lang w:val="en-US"/>
        </w:rPr>
        <w:t>patrimony was directly affected by the State’s decision to suspend the payments, as</w:t>
      </w:r>
      <w:r w:rsidR="00983AAE" w:rsidRPr="008A3740">
        <w:rPr>
          <w:rFonts w:ascii="Verdana" w:hAnsi="Verdana"/>
          <w:sz w:val="20"/>
          <w:lang w:val="en-US"/>
        </w:rPr>
        <w:t xml:space="preserve"> well as </w:t>
      </w:r>
      <w:r w:rsidRPr="008A3740">
        <w:rPr>
          <w:rFonts w:ascii="Verdana" w:hAnsi="Verdana"/>
          <w:sz w:val="20"/>
          <w:lang w:val="en-US"/>
        </w:rPr>
        <w:t xml:space="preserve">by </w:t>
      </w:r>
      <w:r w:rsidR="00423371" w:rsidRPr="008A3740">
        <w:rPr>
          <w:rFonts w:ascii="Verdana" w:hAnsi="Verdana"/>
          <w:sz w:val="20"/>
          <w:lang w:val="en-US"/>
        </w:rPr>
        <w:t xml:space="preserve">its </w:t>
      </w:r>
      <w:r w:rsidRPr="008A3740">
        <w:rPr>
          <w:rFonts w:ascii="Verdana" w:hAnsi="Verdana"/>
          <w:sz w:val="20"/>
          <w:lang w:val="en-US"/>
        </w:rPr>
        <w:t xml:space="preserve">non-compliance and </w:t>
      </w:r>
      <w:r w:rsidR="00423371" w:rsidRPr="008A3740">
        <w:rPr>
          <w:rFonts w:ascii="Verdana" w:hAnsi="Verdana"/>
          <w:sz w:val="20"/>
          <w:lang w:val="en-US"/>
        </w:rPr>
        <w:t>failure to execute</w:t>
      </w:r>
      <w:r w:rsidR="00983AAE" w:rsidRPr="008A3740">
        <w:rPr>
          <w:rFonts w:ascii="Verdana" w:hAnsi="Verdana"/>
          <w:sz w:val="20"/>
          <w:lang w:val="en-US"/>
        </w:rPr>
        <w:t xml:space="preserve"> the</w:t>
      </w:r>
      <w:r w:rsidRPr="008A3740">
        <w:rPr>
          <w:rFonts w:ascii="Verdana" w:hAnsi="Verdana"/>
          <w:sz w:val="20"/>
          <w:lang w:val="en-US"/>
        </w:rPr>
        <w:t xml:space="preserve"> judgments. </w:t>
      </w:r>
      <w:r w:rsidR="00034DFB" w:rsidRPr="008A3740">
        <w:rPr>
          <w:rFonts w:ascii="Verdana" w:hAnsi="Verdana"/>
          <w:sz w:val="20"/>
          <w:lang w:val="en-US"/>
        </w:rPr>
        <w:t xml:space="preserve">Consequently, </w:t>
      </w:r>
      <w:r w:rsidRPr="008A3740">
        <w:rPr>
          <w:rFonts w:ascii="Verdana" w:hAnsi="Verdana"/>
          <w:sz w:val="20"/>
          <w:lang w:val="en-US"/>
        </w:rPr>
        <w:t xml:space="preserve">the victim </w:t>
      </w:r>
      <w:r w:rsidR="00034DFB" w:rsidRPr="008A3740">
        <w:rPr>
          <w:rFonts w:ascii="Verdana" w:hAnsi="Verdana"/>
          <w:sz w:val="20"/>
          <w:lang w:val="en-US"/>
        </w:rPr>
        <w:t xml:space="preserve">was unable to fully enjoy his </w:t>
      </w:r>
      <w:r w:rsidR="009E3080" w:rsidRPr="008A3740">
        <w:rPr>
          <w:rFonts w:ascii="Verdana" w:hAnsi="Verdana"/>
          <w:sz w:val="20"/>
          <w:lang w:val="en-US"/>
        </w:rPr>
        <w:t xml:space="preserve">right to </w:t>
      </w:r>
      <w:r w:rsidRPr="008A3740">
        <w:rPr>
          <w:rFonts w:ascii="Verdana" w:hAnsi="Verdana"/>
          <w:sz w:val="20"/>
          <w:lang w:val="en-US"/>
        </w:rPr>
        <w:t>property</w:t>
      </w:r>
      <w:r w:rsidR="000C3495" w:rsidRPr="008A3740">
        <w:rPr>
          <w:rFonts w:ascii="Verdana" w:hAnsi="Verdana"/>
          <w:sz w:val="20"/>
          <w:lang w:val="en-US"/>
        </w:rPr>
        <w:t xml:space="preserve"> </w:t>
      </w:r>
      <w:r w:rsidR="00423371" w:rsidRPr="008A3740">
        <w:rPr>
          <w:rFonts w:ascii="Verdana" w:hAnsi="Verdana"/>
          <w:sz w:val="20"/>
          <w:lang w:val="en-US"/>
        </w:rPr>
        <w:t xml:space="preserve">given the </w:t>
      </w:r>
      <w:r w:rsidR="000C3495" w:rsidRPr="008A3740">
        <w:rPr>
          <w:rFonts w:ascii="Verdana" w:hAnsi="Verdana"/>
          <w:sz w:val="20"/>
          <w:lang w:val="en-US"/>
        </w:rPr>
        <w:t xml:space="preserve">patrimonial </w:t>
      </w:r>
      <w:r w:rsidR="00423371" w:rsidRPr="008A3740">
        <w:rPr>
          <w:rFonts w:ascii="Verdana" w:hAnsi="Verdana"/>
          <w:sz w:val="20"/>
          <w:lang w:val="en-US"/>
        </w:rPr>
        <w:t xml:space="preserve">effects on </w:t>
      </w:r>
      <w:r w:rsidRPr="008A3740">
        <w:rPr>
          <w:rFonts w:ascii="Verdana" w:hAnsi="Verdana"/>
          <w:sz w:val="20"/>
          <w:lang w:val="en-US"/>
        </w:rPr>
        <w:t>his legally recognized</w:t>
      </w:r>
      <w:r w:rsidR="00423371" w:rsidRPr="008A3740">
        <w:rPr>
          <w:rFonts w:ascii="Verdana" w:hAnsi="Verdana"/>
          <w:sz w:val="20"/>
          <w:lang w:val="en-US"/>
        </w:rPr>
        <w:t xml:space="preserve"> pension,</w:t>
      </w:r>
      <w:r w:rsidR="004071AF" w:rsidRPr="008A3740">
        <w:rPr>
          <w:rFonts w:ascii="Verdana" w:hAnsi="Verdana"/>
          <w:sz w:val="20"/>
          <w:lang w:val="en-US"/>
        </w:rPr>
        <w:t xml:space="preserve"> this being understood as the </w:t>
      </w:r>
      <w:r w:rsidRPr="008A3740">
        <w:rPr>
          <w:rFonts w:ascii="Verdana" w:hAnsi="Verdana"/>
          <w:sz w:val="20"/>
          <w:lang w:val="en-US"/>
        </w:rPr>
        <w:t>amounts he did not receive. Similarly, given that the State has still not implemented the domestic judgments that ordered the payment of Mr.</w:t>
      </w:r>
      <w:r w:rsidR="004071AF" w:rsidRPr="008A3740">
        <w:rPr>
          <w:rFonts w:ascii="Verdana" w:hAnsi="Verdana"/>
          <w:sz w:val="20"/>
          <w:lang w:val="en-US"/>
        </w:rPr>
        <w:t xml:space="preserve"> Muelle Flores’ pension</w:t>
      </w:r>
      <w:r w:rsidRPr="008A3740">
        <w:rPr>
          <w:rFonts w:ascii="Verdana" w:hAnsi="Verdana"/>
          <w:sz w:val="20"/>
          <w:lang w:val="en-US"/>
        </w:rPr>
        <w:t xml:space="preserve">, the </w:t>
      </w:r>
      <w:r w:rsidR="00034DFB" w:rsidRPr="008A3740">
        <w:rPr>
          <w:rFonts w:ascii="Verdana" w:hAnsi="Verdana"/>
          <w:sz w:val="20"/>
          <w:lang w:val="en-US"/>
        </w:rPr>
        <w:t>effects on his patrimony continue</w:t>
      </w:r>
      <w:r w:rsidRPr="008A3740">
        <w:rPr>
          <w:rFonts w:ascii="Verdana" w:hAnsi="Verdana"/>
          <w:sz w:val="20"/>
          <w:lang w:val="en-US"/>
        </w:rPr>
        <w:t>. The foregoing situation is a direct consequence of the fai</w:t>
      </w:r>
      <w:r w:rsidR="00034DFB" w:rsidRPr="008A3740">
        <w:rPr>
          <w:rFonts w:ascii="Verdana" w:hAnsi="Verdana"/>
          <w:sz w:val="20"/>
          <w:lang w:val="en-US"/>
        </w:rPr>
        <w:t>l</w:t>
      </w:r>
      <w:r w:rsidRPr="008A3740">
        <w:rPr>
          <w:rFonts w:ascii="Verdana" w:hAnsi="Verdana"/>
          <w:sz w:val="20"/>
          <w:lang w:val="en-US"/>
        </w:rPr>
        <w:t>ure to comply with the judgments of the Supreme Court and the Constitutional Court.</w:t>
      </w:r>
      <w:r w:rsidRPr="008A3740">
        <w:rPr>
          <w:rStyle w:val="Refdenotaalpie"/>
          <w:lang w:val="en-US"/>
        </w:rPr>
        <w:footnoteReference w:id="224"/>
      </w:r>
    </w:p>
    <w:p w14:paraId="26903B31" w14:textId="77777777" w:rsidR="008E6A56" w:rsidRPr="008A3740" w:rsidRDefault="008E6A56" w:rsidP="008E6A56">
      <w:pPr>
        <w:widowControl/>
        <w:tabs>
          <w:tab w:val="left" w:pos="567"/>
          <w:tab w:val="left" w:pos="720"/>
        </w:tabs>
        <w:adjustRightInd/>
        <w:textAlignment w:val="auto"/>
        <w:rPr>
          <w:rFonts w:ascii="Verdana" w:hAnsi="Verdana"/>
          <w:sz w:val="20"/>
          <w:lang w:val="en-US"/>
        </w:rPr>
      </w:pPr>
    </w:p>
    <w:p w14:paraId="063B8645" w14:textId="77777777" w:rsidR="008E6A56" w:rsidRPr="008A3740" w:rsidRDefault="000C3495" w:rsidP="00D17A65">
      <w:pPr>
        <w:widowControl/>
        <w:numPr>
          <w:ilvl w:val="0"/>
          <w:numId w:val="3"/>
        </w:numPr>
        <w:tabs>
          <w:tab w:val="left" w:pos="567"/>
          <w:tab w:val="left" w:pos="720"/>
        </w:tabs>
        <w:adjustRightInd/>
        <w:ind w:left="0" w:firstLine="0"/>
        <w:textAlignment w:val="auto"/>
        <w:rPr>
          <w:rFonts w:ascii="Verdana" w:hAnsi="Verdana"/>
          <w:sz w:val="20"/>
          <w:lang w:val="en-US"/>
        </w:rPr>
      </w:pPr>
      <w:r w:rsidRPr="008A3740">
        <w:rPr>
          <w:rFonts w:ascii="Verdana" w:hAnsi="Verdana"/>
          <w:sz w:val="20"/>
          <w:lang w:val="en-US"/>
        </w:rPr>
        <w:t>F</w:t>
      </w:r>
      <w:r w:rsidR="008E6A56" w:rsidRPr="008A3740">
        <w:rPr>
          <w:rFonts w:ascii="Verdana" w:hAnsi="Verdana"/>
          <w:sz w:val="20"/>
          <w:lang w:val="en-US"/>
        </w:rPr>
        <w:t xml:space="preserve">or </w:t>
      </w:r>
      <w:r w:rsidRPr="008A3740">
        <w:rPr>
          <w:rFonts w:ascii="Verdana" w:hAnsi="Verdana"/>
          <w:sz w:val="20"/>
          <w:lang w:val="en-US"/>
        </w:rPr>
        <w:t xml:space="preserve">all the </w:t>
      </w:r>
      <w:r w:rsidR="000F4C84" w:rsidRPr="008A3740">
        <w:rPr>
          <w:rFonts w:ascii="Verdana" w:hAnsi="Verdana"/>
          <w:sz w:val="20"/>
          <w:lang w:val="en-US"/>
        </w:rPr>
        <w:t xml:space="preserve">aforementioned </w:t>
      </w:r>
      <w:r w:rsidRPr="008A3740">
        <w:rPr>
          <w:rFonts w:ascii="Verdana" w:hAnsi="Verdana"/>
          <w:sz w:val="20"/>
          <w:lang w:val="en-US"/>
        </w:rPr>
        <w:t>reasons,</w:t>
      </w:r>
      <w:r w:rsidR="008E6A56" w:rsidRPr="008A3740">
        <w:rPr>
          <w:rFonts w:ascii="Verdana" w:hAnsi="Verdana"/>
          <w:sz w:val="20"/>
          <w:lang w:val="en-US"/>
        </w:rPr>
        <w:t xml:space="preserve"> and be</w:t>
      </w:r>
      <w:r w:rsidR="00034DFB" w:rsidRPr="008A3740">
        <w:rPr>
          <w:rFonts w:ascii="Verdana" w:hAnsi="Verdana"/>
          <w:sz w:val="20"/>
          <w:lang w:val="en-US"/>
        </w:rPr>
        <w:t xml:space="preserve">aring in mind that the lack of </w:t>
      </w:r>
      <w:r w:rsidR="008E6A56" w:rsidRPr="008A3740">
        <w:rPr>
          <w:rFonts w:ascii="Verdana" w:hAnsi="Verdana"/>
          <w:sz w:val="20"/>
          <w:lang w:val="en-US"/>
        </w:rPr>
        <w:t xml:space="preserve">judicial protection affected the </w:t>
      </w:r>
      <w:r w:rsidR="00034DFB" w:rsidRPr="008A3740">
        <w:rPr>
          <w:rFonts w:ascii="Verdana" w:hAnsi="Verdana"/>
          <w:sz w:val="20"/>
          <w:lang w:val="en-US"/>
        </w:rPr>
        <w:t xml:space="preserve">victim’s </w:t>
      </w:r>
      <w:r w:rsidR="000F4C84" w:rsidRPr="008A3740">
        <w:rPr>
          <w:rFonts w:ascii="Verdana" w:hAnsi="Verdana"/>
          <w:sz w:val="20"/>
          <w:lang w:val="en-US"/>
        </w:rPr>
        <w:t>right to a</w:t>
      </w:r>
      <w:r w:rsidR="008E6A56" w:rsidRPr="008A3740">
        <w:rPr>
          <w:rFonts w:ascii="Verdana" w:hAnsi="Verdana"/>
          <w:sz w:val="20"/>
          <w:lang w:val="en-US"/>
        </w:rPr>
        <w:t xml:space="preserve"> pension that </w:t>
      </w:r>
      <w:r w:rsidR="000F4C84" w:rsidRPr="008A3740">
        <w:rPr>
          <w:rFonts w:ascii="Verdana" w:hAnsi="Verdana"/>
          <w:sz w:val="20"/>
          <w:lang w:val="en-US"/>
        </w:rPr>
        <w:t xml:space="preserve">formed part of </w:t>
      </w:r>
      <w:r w:rsidRPr="008A3740">
        <w:rPr>
          <w:rFonts w:ascii="Verdana" w:hAnsi="Verdana"/>
          <w:sz w:val="20"/>
          <w:lang w:val="en-US"/>
        </w:rPr>
        <w:t xml:space="preserve">his </w:t>
      </w:r>
      <w:r w:rsidR="008E6A56" w:rsidRPr="008A3740">
        <w:rPr>
          <w:rFonts w:ascii="Verdana" w:hAnsi="Verdana"/>
          <w:sz w:val="20"/>
          <w:lang w:val="en-US"/>
        </w:rPr>
        <w:t>patrimony, the Court declares that the State violated the right to property recognized in Article 21(1) and 21(2), in relation to Articles 25(1), 25</w:t>
      </w:r>
      <w:r w:rsidR="00613F8E" w:rsidRPr="008A3740">
        <w:rPr>
          <w:rFonts w:ascii="Verdana" w:hAnsi="Verdana"/>
          <w:sz w:val="20"/>
          <w:lang w:val="en-US"/>
        </w:rPr>
        <w:t>(2) (</w:t>
      </w:r>
      <w:r w:rsidR="008E6A56" w:rsidRPr="008A3740">
        <w:rPr>
          <w:rFonts w:ascii="Verdana" w:hAnsi="Verdana"/>
          <w:sz w:val="20"/>
          <w:lang w:val="en-US"/>
        </w:rPr>
        <w:t>c), 26 and 1(1) of the American Convention, to the detriment of Mr. Muelle Flores.</w:t>
      </w:r>
    </w:p>
    <w:p w14:paraId="349AB2C6" w14:textId="77777777" w:rsidR="008E6A56" w:rsidRPr="008A3740" w:rsidRDefault="008E6A56" w:rsidP="008E6A56">
      <w:pPr>
        <w:rPr>
          <w:rFonts w:ascii="Verdana" w:hAnsi="Verdana"/>
          <w:sz w:val="20"/>
          <w:szCs w:val="20"/>
          <w:lang w:val="en-US"/>
        </w:rPr>
      </w:pPr>
    </w:p>
    <w:p w14:paraId="2DC92821" w14:textId="77777777" w:rsidR="008E6A56" w:rsidRPr="008A3740" w:rsidRDefault="008E6A56" w:rsidP="008E6A56">
      <w:pPr>
        <w:pStyle w:val="Ttulo2"/>
        <w:tabs>
          <w:tab w:val="clear" w:pos="360"/>
        </w:tabs>
        <w:ind w:hanging="360"/>
        <w:rPr>
          <w:lang w:val="en-US"/>
        </w:rPr>
      </w:pPr>
      <w:bookmarkStart w:id="115" w:name="_Toc532545814"/>
      <w:bookmarkStart w:id="116" w:name="_Toc5009892"/>
      <w:r w:rsidRPr="008A3740">
        <w:rPr>
          <w:lang w:val="en-US"/>
        </w:rPr>
        <w:t>Conclusion</w:t>
      </w:r>
      <w:bookmarkEnd w:id="115"/>
      <w:r w:rsidRPr="008A3740">
        <w:rPr>
          <w:lang w:val="en-US"/>
        </w:rPr>
        <w:t xml:space="preserve">s </w:t>
      </w:r>
      <w:bookmarkEnd w:id="116"/>
    </w:p>
    <w:p w14:paraId="1915376F" w14:textId="77777777" w:rsidR="008E6A56" w:rsidRPr="008A3740" w:rsidRDefault="008E6A56" w:rsidP="008E6A56">
      <w:pPr>
        <w:rPr>
          <w:lang w:val="en-US"/>
        </w:rPr>
      </w:pPr>
    </w:p>
    <w:p w14:paraId="5DFC4EB3" w14:textId="77777777" w:rsidR="008E6A56" w:rsidRPr="008A3740" w:rsidRDefault="008E6A56" w:rsidP="00D17A65">
      <w:pPr>
        <w:widowControl/>
        <w:numPr>
          <w:ilvl w:val="0"/>
          <w:numId w:val="3"/>
        </w:numPr>
        <w:tabs>
          <w:tab w:val="left" w:pos="567"/>
          <w:tab w:val="num" w:pos="12305"/>
        </w:tabs>
        <w:adjustRightInd/>
        <w:ind w:left="0" w:firstLine="0"/>
        <w:textAlignment w:val="auto"/>
        <w:rPr>
          <w:rFonts w:ascii="Verdana" w:hAnsi="Verdana"/>
          <w:kern w:val="2"/>
          <w:sz w:val="20"/>
          <w:szCs w:val="20"/>
          <w:lang w:val="en-US" w:eastAsia="en-US"/>
        </w:rPr>
      </w:pPr>
      <w:r w:rsidRPr="008A3740">
        <w:rPr>
          <w:rFonts w:ascii="Verdana" w:hAnsi="Verdana"/>
          <w:kern w:val="2"/>
          <w:sz w:val="20"/>
          <w:szCs w:val="20"/>
          <w:lang w:val="en-US" w:eastAsia="en-US"/>
        </w:rPr>
        <w:t>Based on the foregoing considerations, the Court concludes that the State of Peru is r</w:t>
      </w:r>
      <w:r w:rsidR="000C3495" w:rsidRPr="008A3740">
        <w:rPr>
          <w:rFonts w:ascii="Verdana" w:hAnsi="Verdana"/>
          <w:kern w:val="2"/>
          <w:sz w:val="20"/>
          <w:szCs w:val="20"/>
          <w:lang w:val="en-US" w:eastAsia="en-US"/>
        </w:rPr>
        <w:t xml:space="preserve">esponsible for the violation of the rights to judicial guarantees, </w:t>
      </w:r>
      <w:r w:rsidRPr="008A3740">
        <w:rPr>
          <w:rFonts w:ascii="Verdana" w:hAnsi="Verdana"/>
          <w:kern w:val="2"/>
          <w:sz w:val="20"/>
          <w:szCs w:val="20"/>
          <w:lang w:val="en-US" w:eastAsia="en-US"/>
        </w:rPr>
        <w:t>judicial protection, social security,  personal integrity, dignity, and property, recogni</w:t>
      </w:r>
      <w:r w:rsidR="000C3495" w:rsidRPr="008A3740">
        <w:rPr>
          <w:rFonts w:ascii="Verdana" w:hAnsi="Verdana"/>
          <w:kern w:val="2"/>
          <w:sz w:val="20"/>
          <w:szCs w:val="20"/>
          <w:lang w:val="en-US" w:eastAsia="en-US"/>
        </w:rPr>
        <w:t>zed in Articles 8(1), 25(1), 25(2) (c), 26, 5, 11(1), 21(1), and 21(</w:t>
      </w:r>
      <w:r w:rsidRPr="008A3740">
        <w:rPr>
          <w:rFonts w:ascii="Verdana" w:hAnsi="Verdana"/>
          <w:kern w:val="2"/>
          <w:sz w:val="20"/>
          <w:szCs w:val="20"/>
          <w:lang w:val="en-US" w:eastAsia="en-US"/>
        </w:rPr>
        <w:t>2</w:t>
      </w:r>
      <w:r w:rsidR="000C3495" w:rsidRPr="008A3740">
        <w:rPr>
          <w:rFonts w:ascii="Verdana" w:hAnsi="Verdana"/>
          <w:kern w:val="2"/>
          <w:sz w:val="20"/>
          <w:szCs w:val="20"/>
          <w:lang w:val="en-US" w:eastAsia="en-US"/>
        </w:rPr>
        <w:t>)</w:t>
      </w:r>
      <w:r w:rsidRPr="008A3740">
        <w:rPr>
          <w:rFonts w:ascii="Verdana" w:hAnsi="Verdana"/>
          <w:kern w:val="2"/>
          <w:sz w:val="20"/>
          <w:szCs w:val="20"/>
          <w:lang w:val="en-US" w:eastAsia="en-US"/>
        </w:rPr>
        <w:t xml:space="preserve"> of the American Convention, respectively, in relation to Article 1(1)</w:t>
      </w:r>
      <w:r w:rsidR="000C3495" w:rsidRPr="008A3740">
        <w:rPr>
          <w:rFonts w:ascii="Verdana" w:hAnsi="Verdana"/>
          <w:kern w:val="2"/>
          <w:sz w:val="20"/>
          <w:szCs w:val="20"/>
          <w:lang w:val="en-US" w:eastAsia="en-US"/>
        </w:rPr>
        <w:t xml:space="preserve"> thereof</w:t>
      </w:r>
      <w:r w:rsidRPr="008A3740">
        <w:rPr>
          <w:rFonts w:ascii="Verdana" w:hAnsi="Verdana"/>
          <w:kern w:val="2"/>
          <w:sz w:val="20"/>
          <w:szCs w:val="20"/>
          <w:lang w:val="en-US" w:eastAsia="en-US"/>
        </w:rPr>
        <w:t xml:space="preserve">, to the detriment of Oscar Muelle Flores. </w:t>
      </w:r>
      <w:r w:rsidR="000C3495" w:rsidRPr="008A3740">
        <w:rPr>
          <w:rFonts w:ascii="Verdana" w:hAnsi="Verdana"/>
          <w:kern w:val="2"/>
          <w:sz w:val="20"/>
          <w:szCs w:val="20"/>
          <w:lang w:val="en-US" w:eastAsia="en-US"/>
        </w:rPr>
        <w:t>Furthermore</w:t>
      </w:r>
      <w:r w:rsidRPr="008A3740">
        <w:rPr>
          <w:rFonts w:ascii="Verdana" w:hAnsi="Verdana"/>
          <w:kern w:val="2"/>
          <w:sz w:val="20"/>
          <w:szCs w:val="20"/>
          <w:lang w:val="en-US" w:eastAsia="en-US"/>
        </w:rPr>
        <w:t>, the State is responsible for the violation of</w:t>
      </w:r>
      <w:r w:rsidR="00034DFB" w:rsidRPr="008A3740">
        <w:rPr>
          <w:rFonts w:ascii="Verdana" w:hAnsi="Verdana"/>
          <w:kern w:val="2"/>
          <w:sz w:val="20"/>
          <w:szCs w:val="20"/>
          <w:lang w:val="en-US" w:eastAsia="en-US"/>
        </w:rPr>
        <w:t xml:space="preserve"> its obligation to </w:t>
      </w:r>
      <w:r w:rsidRPr="008A3740">
        <w:rPr>
          <w:rFonts w:ascii="Verdana" w:hAnsi="Verdana"/>
          <w:kern w:val="2"/>
          <w:sz w:val="20"/>
          <w:szCs w:val="20"/>
          <w:lang w:val="en-US" w:eastAsia="en-US"/>
        </w:rPr>
        <w:t xml:space="preserve">adopt </w:t>
      </w:r>
      <w:r w:rsidR="00613F8E" w:rsidRPr="008A3740">
        <w:rPr>
          <w:rFonts w:ascii="Verdana" w:hAnsi="Verdana"/>
          <w:kern w:val="2"/>
          <w:sz w:val="20"/>
          <w:szCs w:val="20"/>
          <w:lang w:val="en-US" w:eastAsia="en-US"/>
        </w:rPr>
        <w:t>domestic legal effects</w:t>
      </w:r>
      <w:r w:rsidR="00034DFB" w:rsidRPr="008A3740">
        <w:rPr>
          <w:rFonts w:ascii="Verdana" w:hAnsi="Verdana"/>
          <w:kern w:val="2"/>
          <w:sz w:val="20"/>
          <w:szCs w:val="20"/>
          <w:lang w:val="en-US" w:eastAsia="en-US"/>
        </w:rPr>
        <w:t>, established</w:t>
      </w:r>
      <w:r w:rsidRPr="008A3740">
        <w:rPr>
          <w:rFonts w:ascii="Verdana" w:hAnsi="Verdana"/>
          <w:kern w:val="2"/>
          <w:sz w:val="20"/>
          <w:szCs w:val="20"/>
          <w:lang w:val="en-US" w:eastAsia="en-US"/>
        </w:rPr>
        <w:t xml:space="preserve"> in Article 2 of the American Convention, to the detriment of Oscar Muelle Flores.</w:t>
      </w:r>
    </w:p>
    <w:p w14:paraId="33641DC4" w14:textId="77777777" w:rsidR="008E6A56" w:rsidRPr="008A3740" w:rsidRDefault="008E6A56" w:rsidP="008E6A56">
      <w:pPr>
        <w:widowControl/>
        <w:tabs>
          <w:tab w:val="left" w:pos="567"/>
        </w:tabs>
        <w:adjustRightInd/>
        <w:textAlignment w:val="auto"/>
        <w:rPr>
          <w:rFonts w:ascii="Verdana" w:hAnsi="Verdana"/>
          <w:kern w:val="2"/>
          <w:sz w:val="20"/>
          <w:szCs w:val="20"/>
          <w:lang w:val="en-US" w:eastAsia="en-US"/>
        </w:rPr>
      </w:pPr>
    </w:p>
    <w:p w14:paraId="22D6C1E5" w14:textId="77777777" w:rsidR="008E6A56" w:rsidRPr="008A3740" w:rsidRDefault="008E6A56" w:rsidP="008E6A56">
      <w:pPr>
        <w:pStyle w:val="Ttulo"/>
        <w:rPr>
          <w:lang w:val="en-US"/>
        </w:rPr>
      </w:pPr>
      <w:bookmarkStart w:id="117" w:name="_Toc5009893"/>
      <w:bookmarkEnd w:id="82"/>
      <w:bookmarkEnd w:id="83"/>
      <w:bookmarkEnd w:id="84"/>
      <w:bookmarkEnd w:id="85"/>
      <w:bookmarkEnd w:id="86"/>
      <w:r w:rsidRPr="008A3740">
        <w:rPr>
          <w:lang w:val="en-US"/>
        </w:rPr>
        <w:t>VIII</w:t>
      </w:r>
      <w:r w:rsidRPr="008A3740">
        <w:rPr>
          <w:lang w:val="en-US"/>
        </w:rPr>
        <w:br/>
        <w:t>REPARATIONS</w:t>
      </w:r>
      <w:r w:rsidRPr="008A3740">
        <w:rPr>
          <w:lang w:val="en-US"/>
        </w:rPr>
        <w:br/>
        <w:t>(Application of Article 63(1) of the American Convention)</w:t>
      </w:r>
      <w:bookmarkEnd w:id="117"/>
    </w:p>
    <w:p w14:paraId="23D931EE" w14:textId="77777777" w:rsidR="008E6A56" w:rsidRPr="008A3740" w:rsidRDefault="008E6A56" w:rsidP="008E6A56">
      <w:pPr>
        <w:pStyle w:val="Ttulo"/>
        <w:rPr>
          <w:lang w:val="en-US"/>
        </w:rPr>
      </w:pPr>
    </w:p>
    <w:p w14:paraId="5E5D32BA" w14:textId="77777777" w:rsidR="008E6A56" w:rsidRPr="008A3740" w:rsidRDefault="008E6A56" w:rsidP="00D17A65">
      <w:pPr>
        <w:numPr>
          <w:ilvl w:val="0"/>
          <w:numId w:val="3"/>
        </w:numPr>
        <w:tabs>
          <w:tab w:val="left" w:pos="567"/>
          <w:tab w:val="num" w:pos="5057"/>
        </w:tabs>
        <w:ind w:left="0" w:firstLine="0"/>
        <w:textAlignment w:val="auto"/>
        <w:rPr>
          <w:rFonts w:ascii="Verdana" w:hAnsi="Verdana"/>
          <w:sz w:val="20"/>
          <w:szCs w:val="20"/>
          <w:lang w:val="en-US" w:bidi="en-US"/>
        </w:rPr>
      </w:pPr>
      <w:r w:rsidRPr="008A3740">
        <w:rPr>
          <w:rFonts w:ascii="Verdana" w:hAnsi="Verdana"/>
          <w:sz w:val="20"/>
          <w:szCs w:val="20"/>
          <w:lang w:val="en-US"/>
        </w:rPr>
        <w:t>Based on the provisions of Article 63 (1) of the American Convention</w:t>
      </w:r>
      <w:r w:rsidRPr="008A3740">
        <w:rPr>
          <w:rFonts w:ascii="Verdana" w:hAnsi="Verdana"/>
          <w:sz w:val="20"/>
          <w:szCs w:val="20"/>
          <w:lang w:val="en-US" w:eastAsia="es-ES" w:bidi="en-US"/>
        </w:rPr>
        <w:t>,</w:t>
      </w:r>
      <w:r w:rsidRPr="008A3740">
        <w:rPr>
          <w:rFonts w:ascii="Verdana" w:hAnsi="Verdana"/>
          <w:sz w:val="20"/>
          <w:szCs w:val="20"/>
          <w:vertAlign w:val="superscript"/>
          <w:lang w:val="en-US" w:bidi="en-US"/>
        </w:rPr>
        <w:footnoteReference w:id="225"/>
      </w:r>
      <w:r w:rsidRPr="008A3740">
        <w:rPr>
          <w:rFonts w:ascii="Verdana" w:hAnsi="Verdana"/>
          <w:sz w:val="20"/>
          <w:szCs w:val="20"/>
          <w:lang w:val="en-US" w:bidi="en-US"/>
        </w:rPr>
        <w:t xml:space="preserve"> the Court </w:t>
      </w:r>
      <w:r w:rsidRPr="008A3740">
        <w:rPr>
          <w:rFonts w:ascii="Verdana" w:hAnsi="Verdana"/>
          <w:sz w:val="20"/>
          <w:szCs w:val="20"/>
          <w:lang w:val="en-US"/>
        </w:rPr>
        <w:t xml:space="preserve">has indicated </w:t>
      </w:r>
      <w:r w:rsidRPr="008A3740">
        <w:rPr>
          <w:rFonts w:ascii="Verdana" w:hAnsi="Verdana"/>
          <w:sz w:val="20"/>
          <w:szCs w:val="20"/>
          <w:lang w:val="en-US"/>
        </w:rPr>
        <w:lastRenderedPageBreak/>
        <w:t>that any violation of an international obligation that has produced harm entails the obligation to make adequate</w:t>
      </w:r>
      <w:r w:rsidRPr="008A3740">
        <w:rPr>
          <w:rFonts w:ascii="Verdana" w:hAnsi="Verdana"/>
          <w:sz w:val="20"/>
          <w:szCs w:val="20"/>
          <w:lang w:val="en-US" w:bidi="en-US"/>
        </w:rPr>
        <w:t xml:space="preserve"> reparation and that this </w:t>
      </w:r>
      <w:r w:rsidRPr="008A3740">
        <w:rPr>
          <w:rFonts w:ascii="Verdana" w:hAnsi="Verdana"/>
          <w:sz w:val="20"/>
          <w:szCs w:val="20"/>
          <w:lang w:val="en-US"/>
        </w:rPr>
        <w:t>provision reflects a customary norm that constitutes one of the fundamental principles of contemporary international law on State responsibility</w:t>
      </w:r>
      <w:r w:rsidRPr="008A3740">
        <w:rPr>
          <w:rFonts w:ascii="Verdana" w:hAnsi="Verdana"/>
          <w:sz w:val="20"/>
          <w:szCs w:val="20"/>
          <w:lang w:val="en-US" w:bidi="en-US"/>
        </w:rPr>
        <w:t>.</w:t>
      </w:r>
      <w:r w:rsidRPr="008A3740">
        <w:rPr>
          <w:rFonts w:ascii="Verdana" w:hAnsi="Verdana"/>
          <w:sz w:val="20"/>
          <w:szCs w:val="20"/>
          <w:vertAlign w:val="superscript"/>
          <w:lang w:val="en-US" w:bidi="en-US"/>
        </w:rPr>
        <w:footnoteReference w:id="226"/>
      </w:r>
    </w:p>
    <w:p w14:paraId="386FFD69" w14:textId="77777777" w:rsidR="008E6A56" w:rsidRPr="008A3740" w:rsidRDefault="008E6A56" w:rsidP="008E6A56">
      <w:pPr>
        <w:autoSpaceDE w:val="0"/>
        <w:autoSpaceDN w:val="0"/>
        <w:rPr>
          <w:rFonts w:ascii="Verdana" w:hAnsi="Verdana" w:cs="Verdana"/>
          <w:sz w:val="20"/>
          <w:szCs w:val="20"/>
          <w:lang w:val="en-US"/>
        </w:rPr>
      </w:pPr>
    </w:p>
    <w:p w14:paraId="3B5977F1" w14:textId="77777777" w:rsidR="008E6A56" w:rsidRPr="008A3740" w:rsidRDefault="008E6A56" w:rsidP="00D17A65">
      <w:pPr>
        <w:numPr>
          <w:ilvl w:val="0"/>
          <w:numId w:val="3"/>
        </w:numPr>
        <w:tabs>
          <w:tab w:val="left" w:pos="567"/>
          <w:tab w:val="num" w:pos="5057"/>
        </w:tabs>
        <w:ind w:left="0" w:firstLine="0"/>
        <w:textAlignment w:val="auto"/>
        <w:rPr>
          <w:rFonts w:ascii="Verdana" w:hAnsi="Verdana"/>
          <w:sz w:val="20"/>
          <w:szCs w:val="20"/>
          <w:lang w:val="en-US" w:bidi="en-US"/>
        </w:rPr>
      </w:pPr>
      <w:r w:rsidRPr="008A3740">
        <w:rPr>
          <w:rFonts w:ascii="Verdana" w:hAnsi="Verdana"/>
          <w:bCs/>
          <w:iCs/>
          <w:sz w:val="20"/>
          <w:szCs w:val="20"/>
          <w:lang w:val="en-US"/>
        </w:rPr>
        <w:t>The reparation of the harm caused by the violation of an international obligation requires, whenever possible, full restitution (</w:t>
      </w:r>
      <w:r w:rsidRPr="008A3740">
        <w:rPr>
          <w:rFonts w:ascii="Verdana" w:hAnsi="Verdana"/>
          <w:bCs/>
          <w:i/>
          <w:iCs/>
          <w:sz w:val="20"/>
          <w:szCs w:val="20"/>
          <w:lang w:val="en-US"/>
        </w:rPr>
        <w:t>restitutio in integrum</w:t>
      </w:r>
      <w:r w:rsidRPr="008A3740">
        <w:rPr>
          <w:rFonts w:ascii="Verdana" w:hAnsi="Verdana"/>
          <w:bCs/>
          <w:iCs/>
          <w:sz w:val="20"/>
          <w:szCs w:val="20"/>
          <w:lang w:val="en-US"/>
        </w:rPr>
        <w:t xml:space="preserve">), which </w:t>
      </w:r>
      <w:r w:rsidR="00613F8E" w:rsidRPr="008A3740">
        <w:rPr>
          <w:rFonts w:ascii="Verdana" w:hAnsi="Verdana"/>
          <w:bCs/>
          <w:iCs/>
          <w:sz w:val="20"/>
          <w:szCs w:val="20"/>
          <w:lang w:val="en-US"/>
        </w:rPr>
        <w:t xml:space="preserve">consists of the re-establishment of </w:t>
      </w:r>
      <w:r w:rsidR="00BA21DC" w:rsidRPr="008A3740">
        <w:rPr>
          <w:rFonts w:ascii="Verdana" w:hAnsi="Verdana"/>
          <w:sz w:val="20"/>
          <w:szCs w:val="20"/>
          <w:lang w:val="en-US"/>
        </w:rPr>
        <w:t>the situation prior to the commission of the violation</w:t>
      </w:r>
      <w:r w:rsidRPr="008A3740">
        <w:rPr>
          <w:rFonts w:ascii="Verdana" w:hAnsi="Verdana"/>
          <w:bCs/>
          <w:sz w:val="20"/>
          <w:szCs w:val="20"/>
          <w:lang w:val="en-US"/>
        </w:rPr>
        <w:t xml:space="preserve">. </w:t>
      </w:r>
      <w:r w:rsidRPr="008A3740">
        <w:rPr>
          <w:rFonts w:ascii="Verdana" w:hAnsi="Verdana"/>
          <w:sz w:val="20"/>
          <w:szCs w:val="20"/>
          <w:lang w:val="en-US"/>
        </w:rPr>
        <w:t xml:space="preserve">If this is not feasible, </w:t>
      </w:r>
      <w:r w:rsidRPr="008A3740">
        <w:rPr>
          <w:rFonts w:ascii="Verdana" w:hAnsi="Verdana"/>
          <w:bCs/>
          <w:iCs/>
          <w:sz w:val="20"/>
          <w:szCs w:val="20"/>
          <w:lang w:val="en-US"/>
        </w:rPr>
        <w:t>the Court will determine measures to guarantee the rights that have been violated and to redress the consequences of those</w:t>
      </w:r>
      <w:r w:rsidRPr="008A3740">
        <w:rPr>
          <w:rFonts w:ascii="Verdana" w:hAnsi="Verdana"/>
          <w:bCs/>
          <w:sz w:val="20"/>
          <w:szCs w:val="20"/>
          <w:lang w:val="en-US" w:bidi="en-US"/>
        </w:rPr>
        <w:t xml:space="preserve"> violations.</w:t>
      </w:r>
      <w:r w:rsidRPr="008A3740">
        <w:rPr>
          <w:rFonts w:ascii="Verdana" w:hAnsi="Verdana"/>
          <w:sz w:val="20"/>
          <w:szCs w:val="20"/>
          <w:vertAlign w:val="superscript"/>
          <w:lang w:val="en-US" w:bidi="en-US"/>
        </w:rPr>
        <w:footnoteReference w:id="227"/>
      </w:r>
      <w:r w:rsidRPr="008A3740">
        <w:rPr>
          <w:rFonts w:ascii="Verdana" w:hAnsi="Verdana"/>
          <w:bCs/>
          <w:sz w:val="20"/>
          <w:szCs w:val="20"/>
          <w:lang w:val="en-US" w:bidi="en-US"/>
        </w:rPr>
        <w:t xml:space="preserve"> </w:t>
      </w:r>
      <w:r w:rsidR="003E6E56" w:rsidRPr="008A3740">
        <w:rPr>
          <w:rFonts w:ascii="Verdana" w:hAnsi="Verdana"/>
          <w:bCs/>
          <w:sz w:val="20"/>
          <w:szCs w:val="20"/>
          <w:lang w:val="en-US" w:bidi="en-US"/>
        </w:rPr>
        <w:t>Accordingly,</w:t>
      </w:r>
      <w:r w:rsidRPr="008A3740">
        <w:rPr>
          <w:rFonts w:ascii="Verdana" w:hAnsi="Verdana"/>
          <w:bCs/>
          <w:sz w:val="20"/>
          <w:szCs w:val="20"/>
          <w:lang w:val="en-US" w:bidi="en-US"/>
        </w:rPr>
        <w:t xml:space="preserve"> </w:t>
      </w:r>
      <w:r w:rsidRPr="008A3740">
        <w:rPr>
          <w:rFonts w:ascii="Verdana" w:hAnsi="Verdana"/>
          <w:sz w:val="20"/>
          <w:szCs w:val="20"/>
          <w:lang w:val="en-US" w:bidi="en-US"/>
        </w:rPr>
        <w:t>the Court ha</w:t>
      </w:r>
      <w:r w:rsidR="00BA21DC" w:rsidRPr="008A3740">
        <w:rPr>
          <w:rFonts w:ascii="Verdana" w:hAnsi="Verdana"/>
          <w:sz w:val="20"/>
          <w:szCs w:val="20"/>
          <w:lang w:val="en-US" w:bidi="en-US"/>
        </w:rPr>
        <w:t>s</w:t>
      </w:r>
      <w:r w:rsidRPr="008A3740">
        <w:rPr>
          <w:rFonts w:ascii="Verdana" w:hAnsi="Verdana"/>
          <w:sz w:val="20"/>
          <w:szCs w:val="20"/>
          <w:lang w:val="en-US" w:bidi="en-US"/>
        </w:rPr>
        <w:t xml:space="preserve"> consider</w:t>
      </w:r>
      <w:r w:rsidR="00BA21DC" w:rsidRPr="008A3740">
        <w:rPr>
          <w:rFonts w:ascii="Verdana" w:hAnsi="Verdana"/>
          <w:sz w:val="20"/>
          <w:szCs w:val="20"/>
          <w:lang w:val="en-US" w:bidi="en-US"/>
        </w:rPr>
        <w:t xml:space="preserve">ed </w:t>
      </w:r>
      <w:r w:rsidRPr="008A3740">
        <w:rPr>
          <w:rFonts w:ascii="Verdana" w:hAnsi="Verdana"/>
          <w:sz w:val="20"/>
          <w:szCs w:val="20"/>
          <w:lang w:val="en-US" w:bidi="en-US"/>
        </w:rPr>
        <w:t>the ne</w:t>
      </w:r>
      <w:r w:rsidR="00983AAE" w:rsidRPr="008A3740">
        <w:rPr>
          <w:rFonts w:ascii="Verdana" w:hAnsi="Verdana"/>
          <w:sz w:val="20"/>
          <w:szCs w:val="20"/>
          <w:lang w:val="en-US" w:bidi="en-US"/>
        </w:rPr>
        <w:t xml:space="preserve">ed to grant </w:t>
      </w:r>
      <w:r w:rsidRPr="008A3740">
        <w:rPr>
          <w:rFonts w:ascii="Verdana" w:hAnsi="Verdana"/>
          <w:sz w:val="20"/>
          <w:szCs w:val="20"/>
          <w:lang w:val="en-US" w:bidi="en-US"/>
        </w:rPr>
        <w:t>di</w:t>
      </w:r>
      <w:r w:rsidR="00983AAE" w:rsidRPr="008A3740">
        <w:rPr>
          <w:rFonts w:ascii="Verdana" w:hAnsi="Verdana"/>
          <w:sz w:val="20"/>
          <w:szCs w:val="20"/>
          <w:lang w:val="en-US" w:bidi="en-US"/>
        </w:rPr>
        <w:t xml:space="preserve">fferent </w:t>
      </w:r>
      <w:r w:rsidRPr="008A3740">
        <w:rPr>
          <w:rFonts w:ascii="Verdana" w:hAnsi="Verdana"/>
          <w:sz w:val="20"/>
          <w:szCs w:val="20"/>
          <w:lang w:val="en-US" w:bidi="en-US"/>
        </w:rPr>
        <w:t xml:space="preserve">measures of reparation in order to </w:t>
      </w:r>
      <w:r w:rsidR="003E6E56" w:rsidRPr="008A3740">
        <w:rPr>
          <w:rFonts w:ascii="Verdana" w:hAnsi="Verdana"/>
          <w:sz w:val="20"/>
          <w:szCs w:val="20"/>
          <w:lang w:val="en-US" w:bidi="en-US"/>
        </w:rPr>
        <w:t xml:space="preserve">fully </w:t>
      </w:r>
      <w:r w:rsidRPr="008A3740">
        <w:rPr>
          <w:rFonts w:ascii="Verdana" w:hAnsi="Verdana"/>
          <w:sz w:val="20"/>
          <w:szCs w:val="20"/>
          <w:lang w:val="en-US" w:bidi="en-US"/>
        </w:rPr>
        <w:t>re</w:t>
      </w:r>
      <w:r w:rsidR="00927F27" w:rsidRPr="008A3740">
        <w:rPr>
          <w:rFonts w:ascii="Verdana" w:hAnsi="Verdana"/>
          <w:sz w:val="20"/>
          <w:szCs w:val="20"/>
          <w:lang w:val="en-US" w:bidi="en-US"/>
        </w:rPr>
        <w:t xml:space="preserve">dress </w:t>
      </w:r>
      <w:r w:rsidRPr="008A3740">
        <w:rPr>
          <w:rFonts w:ascii="Verdana" w:hAnsi="Verdana"/>
          <w:sz w:val="20"/>
          <w:szCs w:val="20"/>
          <w:lang w:val="en-US" w:bidi="en-US"/>
        </w:rPr>
        <w:t xml:space="preserve">the </w:t>
      </w:r>
      <w:r w:rsidR="00983AAE" w:rsidRPr="008A3740">
        <w:rPr>
          <w:rFonts w:ascii="Verdana" w:hAnsi="Verdana"/>
          <w:sz w:val="20"/>
          <w:szCs w:val="20"/>
          <w:lang w:val="en-US" w:bidi="en-US"/>
        </w:rPr>
        <w:t>harm</w:t>
      </w:r>
      <w:r w:rsidR="00927F27" w:rsidRPr="008A3740">
        <w:rPr>
          <w:rFonts w:ascii="Verdana" w:hAnsi="Verdana"/>
          <w:sz w:val="20"/>
          <w:szCs w:val="20"/>
          <w:lang w:val="en-US" w:bidi="en-US"/>
        </w:rPr>
        <w:t xml:space="preserve"> caused</w:t>
      </w:r>
      <w:r w:rsidR="003E6E56" w:rsidRPr="008A3740">
        <w:rPr>
          <w:rFonts w:ascii="Verdana" w:hAnsi="Verdana"/>
          <w:sz w:val="20"/>
          <w:szCs w:val="20"/>
          <w:lang w:val="en-US" w:bidi="en-US"/>
        </w:rPr>
        <w:t>; thus,</w:t>
      </w:r>
      <w:r w:rsidRPr="008A3740">
        <w:rPr>
          <w:rFonts w:ascii="Verdana" w:hAnsi="Verdana"/>
          <w:sz w:val="20"/>
          <w:szCs w:val="20"/>
          <w:lang w:val="en-US" w:bidi="en-US"/>
        </w:rPr>
        <w:t xml:space="preserve"> </w:t>
      </w:r>
      <w:r w:rsidR="003E6E56" w:rsidRPr="008A3740">
        <w:rPr>
          <w:rFonts w:ascii="Verdana" w:hAnsi="Verdana"/>
          <w:sz w:val="20"/>
          <w:szCs w:val="20"/>
          <w:lang w:val="en-US" w:bidi="en-US"/>
        </w:rPr>
        <w:t xml:space="preserve">in addition to </w:t>
      </w:r>
      <w:r w:rsidR="00983AAE" w:rsidRPr="008A3740">
        <w:rPr>
          <w:rFonts w:ascii="Verdana" w:hAnsi="Verdana"/>
          <w:sz w:val="20"/>
          <w:szCs w:val="20"/>
          <w:lang w:val="en-US" w:bidi="en-US"/>
        </w:rPr>
        <w:t xml:space="preserve">pecuniary </w:t>
      </w:r>
      <w:r w:rsidRPr="008A3740">
        <w:rPr>
          <w:rFonts w:ascii="Verdana" w:hAnsi="Verdana"/>
          <w:sz w:val="20"/>
          <w:szCs w:val="20"/>
          <w:lang w:val="en-US" w:bidi="en-US"/>
        </w:rPr>
        <w:t xml:space="preserve">compensation, </w:t>
      </w:r>
      <w:r w:rsidR="00927F27" w:rsidRPr="008A3740">
        <w:rPr>
          <w:rFonts w:ascii="Verdana" w:hAnsi="Verdana"/>
          <w:sz w:val="20"/>
          <w:szCs w:val="20"/>
          <w:lang w:val="en-US" w:bidi="en-US"/>
        </w:rPr>
        <w:t xml:space="preserve">the Court will order </w:t>
      </w:r>
      <w:r w:rsidRPr="008A3740">
        <w:rPr>
          <w:rFonts w:ascii="Verdana" w:hAnsi="Verdana"/>
          <w:sz w:val="20"/>
          <w:szCs w:val="20"/>
          <w:lang w:val="en-US" w:bidi="en-US"/>
        </w:rPr>
        <w:t>measures</w:t>
      </w:r>
      <w:r w:rsidR="003E6E56" w:rsidRPr="008A3740">
        <w:rPr>
          <w:rFonts w:ascii="Verdana" w:hAnsi="Verdana"/>
          <w:sz w:val="20"/>
          <w:szCs w:val="20"/>
          <w:lang w:val="en-US" w:bidi="en-US"/>
        </w:rPr>
        <w:t xml:space="preserve"> of </w:t>
      </w:r>
      <w:r w:rsidRPr="008A3740">
        <w:rPr>
          <w:rFonts w:ascii="Verdana" w:hAnsi="Verdana"/>
          <w:sz w:val="20"/>
          <w:szCs w:val="20"/>
          <w:lang w:val="en-US" w:bidi="en-US"/>
        </w:rPr>
        <w:t>restitution, rehabilitation</w:t>
      </w:r>
      <w:r w:rsidR="003E6E56" w:rsidRPr="008A3740">
        <w:rPr>
          <w:rFonts w:ascii="Verdana" w:hAnsi="Verdana"/>
          <w:sz w:val="20"/>
          <w:szCs w:val="20"/>
          <w:lang w:val="en-US" w:bidi="en-US"/>
        </w:rPr>
        <w:t xml:space="preserve"> and </w:t>
      </w:r>
      <w:r w:rsidRPr="008A3740">
        <w:rPr>
          <w:rFonts w:ascii="Verdana" w:hAnsi="Verdana"/>
          <w:sz w:val="20"/>
          <w:szCs w:val="20"/>
          <w:lang w:val="en-US" w:bidi="en-US"/>
        </w:rPr>
        <w:t>satisfaction</w:t>
      </w:r>
      <w:r w:rsidR="003E6E56" w:rsidRPr="008A3740">
        <w:rPr>
          <w:rFonts w:ascii="Verdana" w:hAnsi="Verdana"/>
          <w:sz w:val="20"/>
          <w:szCs w:val="20"/>
          <w:lang w:val="en-US" w:bidi="en-US"/>
        </w:rPr>
        <w:t>,</w:t>
      </w:r>
      <w:r w:rsidRPr="008A3740">
        <w:rPr>
          <w:rFonts w:ascii="Verdana" w:hAnsi="Verdana"/>
          <w:sz w:val="20"/>
          <w:szCs w:val="20"/>
          <w:lang w:val="en-US" w:bidi="en-US"/>
        </w:rPr>
        <w:t xml:space="preserve"> and guar</w:t>
      </w:r>
      <w:r w:rsidR="003E6E56" w:rsidRPr="008A3740">
        <w:rPr>
          <w:rFonts w:ascii="Verdana" w:hAnsi="Verdana"/>
          <w:sz w:val="20"/>
          <w:szCs w:val="20"/>
          <w:lang w:val="en-US" w:bidi="en-US"/>
        </w:rPr>
        <w:t xml:space="preserve">antees of </w:t>
      </w:r>
      <w:r w:rsidR="00983AAE" w:rsidRPr="008A3740">
        <w:rPr>
          <w:rFonts w:ascii="Verdana" w:hAnsi="Verdana"/>
          <w:sz w:val="20"/>
          <w:szCs w:val="20"/>
          <w:lang w:val="en-US" w:bidi="en-US"/>
        </w:rPr>
        <w:t>non-repetition</w:t>
      </w:r>
      <w:r w:rsidR="00927F27" w:rsidRPr="008A3740">
        <w:rPr>
          <w:rFonts w:ascii="Verdana" w:hAnsi="Verdana"/>
          <w:sz w:val="20"/>
          <w:szCs w:val="20"/>
          <w:lang w:val="en-US" w:bidi="en-US"/>
        </w:rPr>
        <w:t>, which</w:t>
      </w:r>
      <w:r w:rsidR="00983AAE" w:rsidRPr="008A3740">
        <w:rPr>
          <w:rFonts w:ascii="Verdana" w:hAnsi="Verdana"/>
          <w:sz w:val="20"/>
          <w:szCs w:val="20"/>
          <w:lang w:val="en-US" w:bidi="en-US"/>
        </w:rPr>
        <w:t xml:space="preserve"> have </w:t>
      </w:r>
      <w:r w:rsidRPr="008A3740">
        <w:rPr>
          <w:rFonts w:ascii="Verdana" w:hAnsi="Verdana"/>
          <w:sz w:val="20"/>
          <w:szCs w:val="20"/>
          <w:lang w:val="en-US" w:bidi="en-US"/>
        </w:rPr>
        <w:t xml:space="preserve">special </w:t>
      </w:r>
      <w:r w:rsidR="003E6E56" w:rsidRPr="008A3740">
        <w:rPr>
          <w:rFonts w:ascii="Verdana" w:hAnsi="Verdana"/>
          <w:sz w:val="20"/>
          <w:szCs w:val="20"/>
          <w:lang w:val="en-US" w:bidi="en-US"/>
        </w:rPr>
        <w:t xml:space="preserve">relevance owing to the nature of the damage </w:t>
      </w:r>
      <w:r w:rsidRPr="008A3740">
        <w:rPr>
          <w:rFonts w:ascii="Verdana" w:hAnsi="Verdana"/>
          <w:sz w:val="20"/>
          <w:szCs w:val="20"/>
          <w:lang w:val="en-US" w:bidi="en-US"/>
        </w:rPr>
        <w:t>caused.</w:t>
      </w:r>
      <w:r w:rsidRPr="008A3740">
        <w:rPr>
          <w:rFonts w:ascii="Verdana" w:hAnsi="Verdana"/>
          <w:sz w:val="20"/>
          <w:szCs w:val="20"/>
          <w:vertAlign w:val="superscript"/>
          <w:lang w:val="en-US" w:bidi="en-US"/>
        </w:rPr>
        <w:footnoteReference w:id="228"/>
      </w:r>
    </w:p>
    <w:p w14:paraId="725B275F" w14:textId="77777777" w:rsidR="008E6A56" w:rsidRPr="008A3740" w:rsidRDefault="008E6A56" w:rsidP="008E6A56">
      <w:pPr>
        <w:autoSpaceDE w:val="0"/>
        <w:autoSpaceDN w:val="0"/>
        <w:rPr>
          <w:rFonts w:ascii="Verdana" w:hAnsi="Verdana" w:cs="Verdana"/>
          <w:sz w:val="20"/>
          <w:szCs w:val="20"/>
          <w:lang w:val="en-US"/>
        </w:rPr>
      </w:pPr>
    </w:p>
    <w:p w14:paraId="2E026B03" w14:textId="77777777" w:rsidR="008E6A56" w:rsidRPr="008A3740" w:rsidRDefault="008E6A56" w:rsidP="00D17A65">
      <w:pPr>
        <w:numPr>
          <w:ilvl w:val="0"/>
          <w:numId w:val="3"/>
        </w:numPr>
        <w:tabs>
          <w:tab w:val="left" w:pos="567"/>
          <w:tab w:val="num" w:pos="12305"/>
        </w:tabs>
        <w:ind w:left="0" w:firstLine="0"/>
        <w:rPr>
          <w:rFonts w:ascii="Verdana" w:hAnsi="Verdana"/>
          <w:sz w:val="20"/>
          <w:szCs w:val="20"/>
          <w:lang w:val="en-US" w:bidi="en-US"/>
        </w:rPr>
      </w:pPr>
      <w:r w:rsidRPr="008A3740">
        <w:rPr>
          <w:rFonts w:ascii="Verdana" w:hAnsi="Verdana"/>
          <w:sz w:val="20"/>
          <w:szCs w:val="20"/>
          <w:lang w:val="en-US" w:bidi="en-US"/>
        </w:rPr>
        <w:t xml:space="preserve">The Court has established that reparations </w:t>
      </w:r>
      <w:r w:rsidRPr="008A3740">
        <w:rPr>
          <w:rFonts w:ascii="Verdana" w:hAnsi="Verdana"/>
          <w:iCs/>
          <w:sz w:val="20"/>
          <w:szCs w:val="20"/>
          <w:lang w:val="en-US"/>
        </w:rPr>
        <w:t xml:space="preserve">must have a causal nexus with the facts of the case, the </w:t>
      </w:r>
      <w:r w:rsidR="007B08A1" w:rsidRPr="008A3740">
        <w:rPr>
          <w:rFonts w:ascii="Verdana" w:hAnsi="Verdana"/>
          <w:iCs/>
          <w:sz w:val="20"/>
          <w:szCs w:val="20"/>
          <w:lang w:val="en-US"/>
        </w:rPr>
        <w:t>violations declared, the damage</w:t>
      </w:r>
      <w:r w:rsidRPr="008A3740">
        <w:rPr>
          <w:rFonts w:ascii="Verdana" w:hAnsi="Verdana"/>
          <w:iCs/>
          <w:sz w:val="20"/>
          <w:szCs w:val="20"/>
          <w:lang w:val="en-US"/>
        </w:rPr>
        <w:t xml:space="preserve"> proven and the measures requested to repair the resulting harm</w:t>
      </w:r>
      <w:r w:rsidRPr="008A3740">
        <w:rPr>
          <w:rFonts w:ascii="Verdana" w:hAnsi="Verdana"/>
          <w:sz w:val="20"/>
          <w:szCs w:val="20"/>
          <w:lang w:val="en-US" w:bidi="en-US"/>
        </w:rPr>
        <w:t xml:space="preserve">. Therefore, the </w:t>
      </w:r>
      <w:r w:rsidR="00034DFB" w:rsidRPr="008A3740">
        <w:rPr>
          <w:rFonts w:ascii="Verdana" w:hAnsi="Verdana"/>
          <w:sz w:val="20"/>
          <w:szCs w:val="20"/>
          <w:lang w:val="en-US" w:bidi="en-US"/>
        </w:rPr>
        <w:t xml:space="preserve">Court must observe </w:t>
      </w:r>
      <w:r w:rsidR="00526BEF" w:rsidRPr="008A3740">
        <w:rPr>
          <w:rFonts w:ascii="Verdana" w:hAnsi="Verdana"/>
          <w:sz w:val="20"/>
          <w:szCs w:val="20"/>
          <w:lang w:val="en-US"/>
        </w:rPr>
        <w:t>such concurrence in order to adjudge and declare according to law</w:t>
      </w:r>
      <w:r w:rsidR="00034DFB" w:rsidRPr="008A3740">
        <w:rPr>
          <w:rFonts w:ascii="Verdana" w:hAnsi="Verdana"/>
          <w:sz w:val="20"/>
          <w:szCs w:val="20"/>
          <w:lang w:val="en-US" w:bidi="en-US"/>
        </w:rPr>
        <w:t>.</w:t>
      </w:r>
      <w:r w:rsidRPr="008A3740">
        <w:rPr>
          <w:rFonts w:ascii="Verdana" w:hAnsi="Verdana"/>
          <w:sz w:val="20"/>
          <w:szCs w:val="20"/>
          <w:vertAlign w:val="superscript"/>
          <w:lang w:val="en-US" w:bidi="en-US"/>
        </w:rPr>
        <w:footnoteReference w:id="229"/>
      </w:r>
      <w:r w:rsidRPr="008A3740">
        <w:rPr>
          <w:rFonts w:ascii="Verdana" w:hAnsi="Verdana"/>
          <w:sz w:val="20"/>
          <w:szCs w:val="20"/>
          <w:lang w:val="en-US" w:bidi="en-US"/>
        </w:rPr>
        <w:t xml:space="preserve"> </w:t>
      </w:r>
    </w:p>
    <w:p w14:paraId="2DD0238A" w14:textId="77777777" w:rsidR="008E6A56" w:rsidRPr="008A3740" w:rsidRDefault="008E6A56" w:rsidP="008E6A56">
      <w:pPr>
        <w:tabs>
          <w:tab w:val="left" w:pos="567"/>
        </w:tabs>
        <w:rPr>
          <w:rFonts w:ascii="Verdana" w:hAnsi="Verdana"/>
          <w:sz w:val="20"/>
          <w:szCs w:val="20"/>
          <w:lang w:val="en-US" w:bidi="en-US"/>
        </w:rPr>
      </w:pPr>
    </w:p>
    <w:p w14:paraId="24F0299F" w14:textId="77777777" w:rsidR="008E6A56" w:rsidRPr="008A3740" w:rsidRDefault="008E6A56" w:rsidP="00D17A65">
      <w:pPr>
        <w:numPr>
          <w:ilvl w:val="0"/>
          <w:numId w:val="3"/>
        </w:numPr>
        <w:tabs>
          <w:tab w:val="left" w:pos="567"/>
          <w:tab w:val="num" w:pos="5057"/>
        </w:tabs>
        <w:ind w:left="0" w:firstLine="0"/>
        <w:textAlignment w:val="auto"/>
        <w:rPr>
          <w:rFonts w:ascii="Verdana" w:hAnsi="Verdana"/>
          <w:sz w:val="20"/>
          <w:szCs w:val="20"/>
          <w:lang w:val="en-US" w:bidi="en-US"/>
        </w:rPr>
      </w:pPr>
      <w:r w:rsidRPr="008A3740">
        <w:rPr>
          <w:rFonts w:ascii="Verdana" w:hAnsi="Verdana"/>
          <w:sz w:val="20"/>
          <w:szCs w:val="20"/>
          <w:lang w:val="en-US"/>
        </w:rPr>
        <w:t xml:space="preserve">Considering the violations of the American Convention declared in the foregoing chapters, </w:t>
      </w:r>
      <w:r w:rsidR="00927F27" w:rsidRPr="008A3740">
        <w:rPr>
          <w:rFonts w:ascii="Verdana" w:hAnsi="Verdana"/>
          <w:sz w:val="20"/>
          <w:szCs w:val="20"/>
          <w:lang w:val="en-US"/>
        </w:rPr>
        <w:t xml:space="preserve">and </w:t>
      </w:r>
      <w:r w:rsidRPr="008A3740">
        <w:rPr>
          <w:rFonts w:ascii="Verdana" w:hAnsi="Verdana"/>
          <w:sz w:val="20"/>
          <w:szCs w:val="20"/>
          <w:lang w:val="en-US" w:bidi="en-US"/>
        </w:rPr>
        <w:t xml:space="preserve">in light </w:t>
      </w:r>
      <w:r w:rsidRPr="008A3740">
        <w:rPr>
          <w:rFonts w:ascii="Verdana" w:hAnsi="Verdana"/>
          <w:sz w:val="20"/>
          <w:szCs w:val="20"/>
          <w:lang w:val="en-US"/>
        </w:rPr>
        <w:t>of the criteria established in its case law regarding the nature and scope of the obligation to make reparation,</w:t>
      </w:r>
      <w:r w:rsidRPr="008A3740">
        <w:rPr>
          <w:rStyle w:val="Refdenotaalpie"/>
          <w:szCs w:val="20"/>
          <w:lang w:val="en-US"/>
        </w:rPr>
        <w:footnoteReference w:id="230"/>
      </w:r>
      <w:r w:rsidRPr="008A3740">
        <w:rPr>
          <w:rFonts w:ascii="Verdana" w:hAnsi="Verdana"/>
          <w:sz w:val="20"/>
          <w:szCs w:val="20"/>
          <w:lang w:val="en-US"/>
        </w:rPr>
        <w:t xml:space="preserve"> the Court will analyze the claims presented by the Commission and the representatives, as well as the arguments of the State, with a view to ordering measures aimed at making reparation for those violations.</w:t>
      </w:r>
    </w:p>
    <w:p w14:paraId="2C796CFD" w14:textId="77777777" w:rsidR="008E6A56" w:rsidRPr="008A3740" w:rsidRDefault="008E6A56" w:rsidP="008E6A56">
      <w:pPr>
        <w:tabs>
          <w:tab w:val="left" w:pos="567"/>
        </w:tabs>
        <w:rPr>
          <w:rFonts w:ascii="Verdana" w:hAnsi="Verdana"/>
          <w:sz w:val="20"/>
          <w:szCs w:val="20"/>
          <w:lang w:val="en-US" w:bidi="en-US"/>
        </w:rPr>
      </w:pPr>
    </w:p>
    <w:p w14:paraId="4956F08A" w14:textId="77777777" w:rsidR="008E6A56" w:rsidRPr="008A3740" w:rsidRDefault="008E6A56" w:rsidP="00D17A65">
      <w:pPr>
        <w:pStyle w:val="Ttulo2"/>
        <w:numPr>
          <w:ilvl w:val="0"/>
          <w:numId w:val="14"/>
        </w:numPr>
        <w:rPr>
          <w:lang w:val="en-US"/>
        </w:rPr>
      </w:pPr>
      <w:r w:rsidRPr="008A3740">
        <w:rPr>
          <w:lang w:val="en-US"/>
        </w:rPr>
        <w:t>Injured Party</w:t>
      </w:r>
    </w:p>
    <w:p w14:paraId="2756B4AD" w14:textId="77777777" w:rsidR="008E6A56" w:rsidRPr="008A3740" w:rsidRDefault="008E6A56" w:rsidP="008E6A56">
      <w:pPr>
        <w:tabs>
          <w:tab w:val="left" w:pos="567"/>
        </w:tabs>
        <w:textAlignment w:val="auto"/>
        <w:rPr>
          <w:rFonts w:ascii="Verdana" w:eastAsia="Verdana" w:hAnsi="Verdana" w:cs="Verdana"/>
          <w:sz w:val="20"/>
          <w:szCs w:val="20"/>
          <w:lang w:val="en-US"/>
        </w:rPr>
      </w:pPr>
    </w:p>
    <w:p w14:paraId="445E22D2" w14:textId="77777777" w:rsidR="008E6A56" w:rsidRPr="008A3740" w:rsidRDefault="008E6A56" w:rsidP="00D17A65">
      <w:pPr>
        <w:numPr>
          <w:ilvl w:val="0"/>
          <w:numId w:val="3"/>
        </w:numPr>
        <w:tabs>
          <w:tab w:val="left" w:pos="567"/>
          <w:tab w:val="num" w:pos="5057"/>
        </w:tabs>
        <w:ind w:left="0" w:firstLine="0"/>
        <w:textAlignment w:val="auto"/>
        <w:rPr>
          <w:rFonts w:ascii="Verdana" w:eastAsia="Verdana" w:hAnsi="Verdana" w:cs="Verdana"/>
          <w:sz w:val="20"/>
          <w:szCs w:val="20"/>
          <w:lang w:val="en-US"/>
        </w:rPr>
      </w:pPr>
      <w:r w:rsidRPr="008A3740">
        <w:rPr>
          <w:rFonts w:ascii="Verdana" w:hAnsi="Verdana"/>
          <w:sz w:val="20"/>
          <w:szCs w:val="20"/>
          <w:lang w:val="en-US"/>
        </w:rPr>
        <w:t>Under the terms of Article 63(1) of the Convention, the Court considers as injured party anyone who has been declared a victim of the violation of any right recognized therein</w:t>
      </w:r>
      <w:r w:rsidRPr="008A3740">
        <w:rPr>
          <w:rFonts w:ascii="Verdana" w:eastAsia="MS Mincho" w:hAnsi="Verdana"/>
          <w:sz w:val="20"/>
          <w:szCs w:val="20"/>
          <w:lang w:val="en-US" w:bidi="en-US"/>
        </w:rPr>
        <w:t>. Therefore, this Court considers as</w:t>
      </w:r>
      <w:r w:rsidR="00034DFB" w:rsidRPr="008A3740">
        <w:rPr>
          <w:rFonts w:ascii="Verdana" w:eastAsia="MS Mincho" w:hAnsi="Verdana"/>
          <w:sz w:val="20"/>
          <w:szCs w:val="20"/>
          <w:lang w:val="en-US" w:bidi="en-US"/>
        </w:rPr>
        <w:t xml:space="preserve"> </w:t>
      </w:r>
      <w:r w:rsidR="007B08A1" w:rsidRPr="008A3740">
        <w:rPr>
          <w:rFonts w:ascii="Verdana" w:eastAsia="MS Mincho" w:hAnsi="Verdana"/>
          <w:sz w:val="20"/>
          <w:szCs w:val="20"/>
          <w:lang w:val="en-US" w:bidi="en-US"/>
        </w:rPr>
        <w:t>“Injured Party</w:t>
      </w:r>
      <w:r w:rsidRPr="008A3740">
        <w:rPr>
          <w:rFonts w:ascii="Verdana" w:eastAsia="MS Mincho" w:hAnsi="Verdana"/>
          <w:sz w:val="20"/>
          <w:szCs w:val="20"/>
          <w:lang w:val="en-US" w:bidi="en-US"/>
        </w:rPr>
        <w:t>”</w:t>
      </w:r>
      <w:r w:rsidRPr="008A3740">
        <w:rPr>
          <w:rFonts w:ascii="Verdana" w:hAnsi="Verdana"/>
          <w:sz w:val="20"/>
          <w:szCs w:val="20"/>
          <w:lang w:val="en-US"/>
        </w:rPr>
        <w:t xml:space="preserve"> </w:t>
      </w:r>
      <w:r w:rsidR="007B08A1" w:rsidRPr="008A3740">
        <w:rPr>
          <w:rFonts w:ascii="Verdana" w:hAnsi="Verdana"/>
          <w:sz w:val="20"/>
          <w:szCs w:val="20"/>
          <w:lang w:val="en-US"/>
        </w:rPr>
        <w:t xml:space="preserve">Mr. Oscar Rubén Muelle Flores </w:t>
      </w:r>
      <w:r w:rsidRPr="008A3740">
        <w:rPr>
          <w:rFonts w:ascii="Verdana" w:hAnsi="Verdana"/>
          <w:sz w:val="20"/>
          <w:szCs w:val="20"/>
          <w:lang w:val="en-US"/>
        </w:rPr>
        <w:t xml:space="preserve">who, as </w:t>
      </w:r>
      <w:r w:rsidRPr="008A3740">
        <w:rPr>
          <w:rFonts w:ascii="Verdana" w:eastAsia="MS Mincho" w:hAnsi="Verdana"/>
          <w:sz w:val="20"/>
          <w:szCs w:val="20"/>
          <w:lang w:val="en-US" w:bidi="en-US"/>
        </w:rPr>
        <w:t xml:space="preserve">victim of the violations declared in this Judgment will be considered as the beneficiary of the reparations </w:t>
      </w:r>
      <w:r w:rsidR="00927F27" w:rsidRPr="008A3740">
        <w:rPr>
          <w:rFonts w:ascii="Verdana" w:eastAsia="MS Mincho" w:hAnsi="Verdana"/>
          <w:sz w:val="20"/>
          <w:szCs w:val="20"/>
          <w:lang w:val="en-US" w:bidi="en-US"/>
        </w:rPr>
        <w:t xml:space="preserve">ordered by </w:t>
      </w:r>
      <w:r w:rsidRPr="008A3740">
        <w:rPr>
          <w:rFonts w:ascii="Verdana" w:eastAsia="MS Mincho" w:hAnsi="Verdana"/>
          <w:sz w:val="20"/>
          <w:szCs w:val="20"/>
          <w:lang w:val="en-US" w:bidi="en-US"/>
        </w:rPr>
        <w:t>the Court.</w:t>
      </w:r>
    </w:p>
    <w:p w14:paraId="6A6AA130" w14:textId="77777777" w:rsidR="008E6A56" w:rsidRPr="008A3740" w:rsidRDefault="008E6A56" w:rsidP="008E6A56">
      <w:pPr>
        <w:tabs>
          <w:tab w:val="left" w:pos="567"/>
        </w:tabs>
        <w:textAlignment w:val="auto"/>
        <w:rPr>
          <w:rFonts w:ascii="Verdana" w:eastAsia="Verdana" w:hAnsi="Verdana" w:cs="Verdana"/>
          <w:sz w:val="20"/>
          <w:szCs w:val="20"/>
          <w:lang w:val="en-US"/>
        </w:rPr>
      </w:pPr>
    </w:p>
    <w:p w14:paraId="17B6928B" w14:textId="77777777" w:rsidR="008E6A56" w:rsidRPr="008A3740" w:rsidRDefault="008E6A56" w:rsidP="008E6A56">
      <w:pPr>
        <w:pStyle w:val="Ttulo2"/>
        <w:tabs>
          <w:tab w:val="clear" w:pos="360"/>
        </w:tabs>
        <w:ind w:hanging="360"/>
        <w:rPr>
          <w:lang w:val="en-US"/>
        </w:rPr>
      </w:pPr>
      <w:bookmarkStart w:id="118" w:name="_Toc5009895"/>
      <w:r w:rsidRPr="008A3740">
        <w:rPr>
          <w:lang w:val="en-US"/>
        </w:rPr>
        <w:t>Rest</w:t>
      </w:r>
      <w:r w:rsidR="00927F27" w:rsidRPr="008A3740">
        <w:rPr>
          <w:lang w:val="en-US"/>
        </w:rPr>
        <w:t xml:space="preserve">oration </w:t>
      </w:r>
      <w:r w:rsidRPr="008A3740">
        <w:rPr>
          <w:lang w:val="en-US"/>
        </w:rPr>
        <w:t>of Mr. Muelle Flores’ pension: compliance with the final judgments</w:t>
      </w:r>
      <w:r w:rsidR="00927F27" w:rsidRPr="008A3740">
        <w:rPr>
          <w:lang w:val="en-US"/>
        </w:rPr>
        <w:t xml:space="preserve"> of the domestic courts</w:t>
      </w:r>
      <w:r w:rsidRPr="008A3740">
        <w:rPr>
          <w:lang w:val="en-US"/>
        </w:rPr>
        <w:t xml:space="preserve"> </w:t>
      </w:r>
      <w:bookmarkEnd w:id="118"/>
    </w:p>
    <w:p w14:paraId="5220ABBF" w14:textId="77777777" w:rsidR="008E6A56" w:rsidRPr="008A3740" w:rsidRDefault="008E6A56" w:rsidP="008E6A56">
      <w:pPr>
        <w:pStyle w:val="Ttulo3"/>
        <w:rPr>
          <w:lang w:val="en-US"/>
        </w:rPr>
      </w:pPr>
      <w:bookmarkStart w:id="119" w:name="_Toc5009896"/>
      <w:r w:rsidRPr="008A3740">
        <w:rPr>
          <w:lang w:val="en-US"/>
        </w:rPr>
        <w:t>B.1. Arguments of the Commission and of the parties</w:t>
      </w:r>
      <w:bookmarkEnd w:id="119"/>
    </w:p>
    <w:p w14:paraId="4A69A2A4" w14:textId="77777777" w:rsidR="008E6A56" w:rsidRPr="008A3740" w:rsidRDefault="008E6A56" w:rsidP="008E6A56">
      <w:pPr>
        <w:tabs>
          <w:tab w:val="left" w:pos="1701"/>
        </w:tabs>
        <w:rPr>
          <w:rFonts w:ascii="Verdana" w:hAnsi="Verdana"/>
          <w:i/>
          <w:sz w:val="20"/>
          <w:szCs w:val="20"/>
          <w:lang w:val="en-US"/>
        </w:rPr>
      </w:pPr>
    </w:p>
    <w:p w14:paraId="519148C4"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Commission</w:t>
      </w:r>
      <w:r w:rsidRPr="008A3740">
        <w:rPr>
          <w:rFonts w:ascii="Verdana" w:hAnsi="Verdana"/>
          <w:b/>
          <w:sz w:val="20"/>
          <w:szCs w:val="20"/>
          <w:lang w:val="en-US"/>
        </w:rPr>
        <w:t xml:space="preserve"> </w:t>
      </w:r>
      <w:r w:rsidRPr="008A3740">
        <w:rPr>
          <w:rFonts w:ascii="Verdana" w:hAnsi="Verdana"/>
          <w:sz w:val="20"/>
          <w:szCs w:val="20"/>
          <w:lang w:val="en-US"/>
        </w:rPr>
        <w:t>asked the Court to order the State to comply</w:t>
      </w:r>
      <w:r w:rsidRPr="008A3740">
        <w:rPr>
          <w:rFonts w:ascii="Verdana" w:hAnsi="Verdana" w:cs="Arial"/>
          <w:sz w:val="20"/>
          <w:szCs w:val="20"/>
          <w:lang w:val="en-US"/>
        </w:rPr>
        <w:t>, as soon as possible, with the judgments of the Supreme Court of Justice</w:t>
      </w:r>
      <w:r w:rsidR="002B6755" w:rsidRPr="008A3740">
        <w:rPr>
          <w:rFonts w:ascii="Verdana" w:hAnsi="Verdana" w:cs="Arial"/>
          <w:sz w:val="20"/>
          <w:szCs w:val="20"/>
          <w:lang w:val="en-US"/>
        </w:rPr>
        <w:t>,</w:t>
      </w:r>
      <w:r w:rsidRPr="008A3740">
        <w:rPr>
          <w:rFonts w:ascii="Verdana" w:hAnsi="Verdana" w:cs="Arial"/>
          <w:sz w:val="20"/>
          <w:szCs w:val="20"/>
          <w:lang w:val="en-US"/>
        </w:rPr>
        <w:t xml:space="preserve"> of February 2, 1993, and of the Constitutional Court</w:t>
      </w:r>
      <w:r w:rsidR="002B6755" w:rsidRPr="008A3740">
        <w:rPr>
          <w:rFonts w:ascii="Verdana" w:hAnsi="Verdana" w:cs="Arial"/>
          <w:sz w:val="20"/>
          <w:szCs w:val="20"/>
          <w:lang w:val="en-US"/>
        </w:rPr>
        <w:t>, of December 10, 1999, and to immediately</w:t>
      </w:r>
      <w:r w:rsidRPr="008A3740">
        <w:rPr>
          <w:rFonts w:ascii="Verdana" w:hAnsi="Verdana" w:cs="Arial"/>
          <w:sz w:val="20"/>
          <w:szCs w:val="20"/>
          <w:lang w:val="en-US"/>
        </w:rPr>
        <w:t xml:space="preserve"> take the necessary </w:t>
      </w:r>
      <w:r w:rsidR="002B6755" w:rsidRPr="008A3740">
        <w:rPr>
          <w:rFonts w:ascii="Verdana" w:hAnsi="Verdana" w:cs="Arial"/>
          <w:sz w:val="20"/>
          <w:szCs w:val="20"/>
          <w:lang w:val="en-US"/>
        </w:rPr>
        <w:t xml:space="preserve">steps </w:t>
      </w:r>
      <w:r w:rsidRPr="008A3740">
        <w:rPr>
          <w:rFonts w:ascii="Verdana" w:hAnsi="Verdana" w:cs="Arial"/>
          <w:sz w:val="20"/>
          <w:szCs w:val="20"/>
          <w:lang w:val="en-US"/>
        </w:rPr>
        <w:t xml:space="preserve">to pay Mr. Muelle Flores’ pension </w:t>
      </w:r>
      <w:r w:rsidR="002B6755" w:rsidRPr="008A3740">
        <w:rPr>
          <w:rFonts w:ascii="Verdana" w:hAnsi="Verdana" w:cs="Arial"/>
          <w:sz w:val="20"/>
          <w:szCs w:val="20"/>
          <w:lang w:val="en-US"/>
        </w:rPr>
        <w:t xml:space="preserve">under </w:t>
      </w:r>
      <w:r w:rsidRPr="008A3740">
        <w:rPr>
          <w:rFonts w:ascii="Verdana" w:hAnsi="Verdana" w:cs="Arial"/>
          <w:sz w:val="20"/>
          <w:szCs w:val="20"/>
          <w:lang w:val="en-US"/>
        </w:rPr>
        <w:t xml:space="preserve">the terms recognized by the courts, that is to say, those of Decree Law </w:t>
      </w:r>
      <w:r w:rsidRPr="008A3740">
        <w:rPr>
          <w:rFonts w:ascii="Verdana" w:hAnsi="Verdana"/>
          <w:sz w:val="20"/>
          <w:szCs w:val="20"/>
          <w:lang w:val="en-US"/>
        </w:rPr>
        <w:t xml:space="preserve">N° </w:t>
      </w:r>
      <w:r w:rsidRPr="008A3740">
        <w:rPr>
          <w:rFonts w:ascii="Verdana" w:hAnsi="Verdana" w:cs="Arial"/>
          <w:sz w:val="20"/>
          <w:szCs w:val="20"/>
          <w:lang w:val="en-US"/>
        </w:rPr>
        <w:t>20530.</w:t>
      </w:r>
    </w:p>
    <w:p w14:paraId="4DA16337" w14:textId="77777777" w:rsidR="008E6A56" w:rsidRPr="008A3740" w:rsidRDefault="008E6A56" w:rsidP="008E6A56">
      <w:pPr>
        <w:tabs>
          <w:tab w:val="left" w:pos="567"/>
        </w:tabs>
        <w:textAlignment w:val="auto"/>
        <w:rPr>
          <w:rFonts w:ascii="Verdana" w:hAnsi="Verdana" w:cs="Arial"/>
          <w:sz w:val="20"/>
          <w:szCs w:val="20"/>
          <w:lang w:val="en-US"/>
        </w:rPr>
      </w:pPr>
    </w:p>
    <w:p w14:paraId="436810EB"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b/>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representatives</w:t>
      </w:r>
      <w:r w:rsidRPr="008A3740">
        <w:rPr>
          <w:rFonts w:ascii="Verdana" w:hAnsi="Verdana"/>
          <w:sz w:val="20"/>
          <w:szCs w:val="20"/>
          <w:lang w:val="en-US"/>
        </w:rPr>
        <w:t xml:space="preserve"> asked the Court to order the State to implement, immediately, the </w:t>
      </w:r>
      <w:r w:rsidR="002B6755" w:rsidRPr="008A3740">
        <w:rPr>
          <w:rFonts w:ascii="Verdana" w:hAnsi="Verdana"/>
          <w:sz w:val="20"/>
          <w:szCs w:val="20"/>
          <w:lang w:val="en-US"/>
        </w:rPr>
        <w:t xml:space="preserve">equalized </w:t>
      </w:r>
      <w:r w:rsidRPr="008A3740">
        <w:rPr>
          <w:rFonts w:ascii="Verdana" w:hAnsi="Verdana"/>
          <w:sz w:val="20"/>
          <w:szCs w:val="20"/>
          <w:lang w:val="en-US"/>
        </w:rPr>
        <w:t xml:space="preserve">pension in favor of Mr. Muelle Flores, </w:t>
      </w:r>
      <w:r w:rsidR="007B08A1" w:rsidRPr="008A3740">
        <w:rPr>
          <w:rFonts w:ascii="Verdana" w:hAnsi="Verdana"/>
          <w:sz w:val="20"/>
          <w:szCs w:val="20"/>
          <w:lang w:val="en-US"/>
        </w:rPr>
        <w:t xml:space="preserve">on </w:t>
      </w:r>
      <w:r w:rsidRPr="008A3740">
        <w:rPr>
          <w:rFonts w:ascii="Verdana" w:hAnsi="Verdana"/>
          <w:sz w:val="20"/>
          <w:szCs w:val="20"/>
          <w:lang w:val="en-US"/>
        </w:rPr>
        <w:t xml:space="preserve">the terms </w:t>
      </w:r>
      <w:r w:rsidR="007B08A1" w:rsidRPr="008A3740">
        <w:rPr>
          <w:rFonts w:ascii="Verdana" w:hAnsi="Verdana"/>
          <w:sz w:val="20"/>
          <w:szCs w:val="20"/>
          <w:lang w:val="en-US"/>
        </w:rPr>
        <w:t xml:space="preserve">established </w:t>
      </w:r>
      <w:r w:rsidRPr="008A3740">
        <w:rPr>
          <w:rFonts w:ascii="Verdana" w:hAnsi="Verdana"/>
          <w:sz w:val="20"/>
          <w:szCs w:val="20"/>
          <w:lang w:val="en-US"/>
        </w:rPr>
        <w:t>in the judgments of the Supreme Court of Justice and the Constitutional Court.</w:t>
      </w:r>
      <w:r w:rsidRPr="008A3740">
        <w:rPr>
          <w:rFonts w:ascii="Verdana" w:hAnsi="Verdana"/>
          <w:b/>
          <w:sz w:val="20"/>
          <w:szCs w:val="20"/>
          <w:lang w:val="en-US"/>
        </w:rPr>
        <w:t xml:space="preserve"> </w:t>
      </w:r>
      <w:r w:rsidRPr="008A3740">
        <w:rPr>
          <w:rFonts w:ascii="Verdana" w:hAnsi="Verdana"/>
          <w:sz w:val="20"/>
          <w:szCs w:val="20"/>
          <w:lang w:val="en-US"/>
        </w:rPr>
        <w:t>They also requested</w:t>
      </w:r>
      <w:r w:rsidRPr="008A3740">
        <w:rPr>
          <w:rFonts w:ascii="Verdana" w:hAnsi="Verdana"/>
          <w:b/>
          <w:sz w:val="20"/>
          <w:szCs w:val="20"/>
          <w:lang w:val="en-US"/>
        </w:rPr>
        <w:t xml:space="preserve"> </w:t>
      </w:r>
      <w:r w:rsidRPr="008A3740">
        <w:rPr>
          <w:rFonts w:ascii="Verdana" w:hAnsi="Verdana"/>
          <w:sz w:val="20"/>
          <w:szCs w:val="20"/>
          <w:lang w:val="en-US"/>
        </w:rPr>
        <w:t xml:space="preserve">that the State adopt some </w:t>
      </w:r>
      <w:r w:rsidR="00034DFB" w:rsidRPr="008A3740">
        <w:rPr>
          <w:rFonts w:ascii="Verdana" w:hAnsi="Verdana"/>
          <w:sz w:val="20"/>
          <w:szCs w:val="20"/>
          <w:lang w:val="en-US"/>
        </w:rPr>
        <w:t xml:space="preserve">basic secondary </w:t>
      </w:r>
      <w:r w:rsidRPr="008A3740">
        <w:rPr>
          <w:rFonts w:ascii="Verdana" w:hAnsi="Verdana"/>
          <w:sz w:val="20"/>
          <w:szCs w:val="20"/>
          <w:lang w:val="en-US"/>
        </w:rPr>
        <w:t xml:space="preserve">obligations, namely: i) </w:t>
      </w:r>
      <w:r w:rsidR="002B6755" w:rsidRPr="008A3740">
        <w:rPr>
          <w:rFonts w:ascii="Verdana" w:hAnsi="Verdana"/>
          <w:sz w:val="20"/>
          <w:szCs w:val="20"/>
          <w:lang w:val="en-US"/>
        </w:rPr>
        <w:t xml:space="preserve">ensure </w:t>
      </w:r>
      <w:r w:rsidRPr="008A3740">
        <w:rPr>
          <w:rFonts w:ascii="Verdana" w:hAnsi="Verdana"/>
          <w:sz w:val="20"/>
          <w:szCs w:val="20"/>
          <w:lang w:val="en-US"/>
        </w:rPr>
        <w:t xml:space="preserve">that the </w:t>
      </w:r>
      <w:r w:rsidR="00034DFB" w:rsidRPr="008A3740">
        <w:rPr>
          <w:rFonts w:ascii="Verdana" w:hAnsi="Verdana"/>
          <w:sz w:val="20"/>
          <w:szCs w:val="20"/>
          <w:lang w:val="en-US"/>
        </w:rPr>
        <w:t xml:space="preserve">pension </w:t>
      </w:r>
      <w:r w:rsidRPr="008A3740">
        <w:rPr>
          <w:rFonts w:ascii="Verdana" w:hAnsi="Verdana"/>
          <w:sz w:val="20"/>
          <w:szCs w:val="20"/>
          <w:lang w:val="en-US"/>
        </w:rPr>
        <w:t>payment</w:t>
      </w:r>
      <w:r w:rsidR="00034DFB" w:rsidRPr="008A3740">
        <w:rPr>
          <w:rFonts w:ascii="Verdana" w:hAnsi="Verdana"/>
          <w:sz w:val="20"/>
          <w:szCs w:val="20"/>
          <w:lang w:val="en-US"/>
        </w:rPr>
        <w:t>s</w:t>
      </w:r>
      <w:r w:rsidRPr="008A3740">
        <w:rPr>
          <w:rFonts w:ascii="Verdana" w:hAnsi="Verdana"/>
          <w:sz w:val="20"/>
          <w:szCs w:val="20"/>
          <w:lang w:val="en-US"/>
        </w:rPr>
        <w:t xml:space="preserve"> respe</w:t>
      </w:r>
      <w:r w:rsidR="00034DFB" w:rsidRPr="008A3740">
        <w:rPr>
          <w:rFonts w:ascii="Verdana" w:hAnsi="Verdana"/>
          <w:sz w:val="20"/>
          <w:szCs w:val="20"/>
          <w:lang w:val="en-US"/>
        </w:rPr>
        <w:t>ct</w:t>
      </w:r>
      <w:r w:rsidRPr="008A3740">
        <w:rPr>
          <w:rFonts w:ascii="Verdana" w:hAnsi="Verdana"/>
          <w:sz w:val="20"/>
          <w:szCs w:val="20"/>
          <w:lang w:val="en-US"/>
        </w:rPr>
        <w:t xml:space="preserve"> the </w:t>
      </w:r>
      <w:r w:rsidR="002B6755" w:rsidRPr="008A3740">
        <w:rPr>
          <w:rFonts w:ascii="Verdana" w:hAnsi="Verdana"/>
          <w:sz w:val="20"/>
          <w:szCs w:val="20"/>
          <w:lang w:val="en-US"/>
        </w:rPr>
        <w:t xml:space="preserve">victim’s acquired </w:t>
      </w:r>
      <w:r w:rsidRPr="008A3740">
        <w:rPr>
          <w:rFonts w:ascii="Verdana" w:hAnsi="Verdana"/>
          <w:sz w:val="20"/>
          <w:szCs w:val="20"/>
          <w:lang w:val="en-US"/>
        </w:rPr>
        <w:t xml:space="preserve">right to </w:t>
      </w:r>
      <w:r w:rsidR="00E5227C" w:rsidRPr="008A3740">
        <w:rPr>
          <w:rFonts w:ascii="Verdana" w:hAnsi="Verdana"/>
          <w:sz w:val="20"/>
          <w:szCs w:val="20"/>
          <w:lang w:val="en-US"/>
        </w:rPr>
        <w:t>equalization</w:t>
      </w:r>
      <w:r w:rsidR="002B6755" w:rsidRPr="008A3740">
        <w:rPr>
          <w:rFonts w:ascii="Verdana" w:hAnsi="Verdana"/>
          <w:sz w:val="20"/>
          <w:szCs w:val="20"/>
          <w:lang w:val="en-US"/>
        </w:rPr>
        <w:t>,</w:t>
      </w:r>
      <w:r w:rsidRPr="008A3740">
        <w:rPr>
          <w:rFonts w:ascii="Verdana" w:hAnsi="Verdana"/>
          <w:sz w:val="20"/>
          <w:szCs w:val="20"/>
          <w:lang w:val="en-US"/>
        </w:rPr>
        <w:t xml:space="preserve"> and that </w:t>
      </w:r>
      <w:r w:rsidR="002B6755" w:rsidRPr="008A3740">
        <w:rPr>
          <w:rFonts w:ascii="Verdana" w:hAnsi="Verdana"/>
          <w:sz w:val="20"/>
          <w:szCs w:val="20"/>
          <w:lang w:val="en-US"/>
        </w:rPr>
        <w:t xml:space="preserve">the amount paid is </w:t>
      </w:r>
      <w:r w:rsidRPr="008A3740">
        <w:rPr>
          <w:rFonts w:ascii="Verdana" w:hAnsi="Verdana"/>
          <w:sz w:val="20"/>
          <w:szCs w:val="20"/>
          <w:lang w:val="en-US"/>
        </w:rPr>
        <w:t xml:space="preserve">equivalent to the current remuneration of a public servant </w:t>
      </w:r>
      <w:r w:rsidR="002B6755" w:rsidRPr="008A3740">
        <w:rPr>
          <w:rFonts w:ascii="Verdana" w:hAnsi="Verdana"/>
          <w:sz w:val="20"/>
          <w:szCs w:val="20"/>
          <w:lang w:val="en-US"/>
        </w:rPr>
        <w:t xml:space="preserve">in a position of </w:t>
      </w:r>
      <w:r w:rsidRPr="008A3740">
        <w:rPr>
          <w:rFonts w:ascii="Verdana" w:hAnsi="Verdana"/>
          <w:sz w:val="20"/>
          <w:szCs w:val="20"/>
          <w:lang w:val="en-US"/>
        </w:rPr>
        <w:t xml:space="preserve">the same </w:t>
      </w:r>
      <w:r w:rsidR="002B6755" w:rsidRPr="008A3740">
        <w:rPr>
          <w:rFonts w:ascii="Verdana" w:hAnsi="Verdana"/>
          <w:sz w:val="20"/>
          <w:szCs w:val="20"/>
          <w:lang w:val="en-US"/>
        </w:rPr>
        <w:t xml:space="preserve">rank as that held by Mr. Muelle Flores </w:t>
      </w:r>
      <w:r w:rsidRPr="008A3740">
        <w:rPr>
          <w:rFonts w:ascii="Verdana" w:hAnsi="Verdana"/>
          <w:sz w:val="20"/>
          <w:szCs w:val="20"/>
          <w:lang w:val="en-US"/>
        </w:rPr>
        <w:t>when he retired; ii) guarantee Mr. Muelle Flores “immediate access to the health system” and to all social security benefits available to pensioners protected under the Decree Law No. 20.530</w:t>
      </w:r>
      <w:r w:rsidR="002B6755" w:rsidRPr="008A3740">
        <w:rPr>
          <w:rFonts w:ascii="Verdana" w:hAnsi="Verdana"/>
          <w:sz w:val="20"/>
          <w:szCs w:val="20"/>
          <w:lang w:val="en-US"/>
        </w:rPr>
        <w:t xml:space="preserve"> pension scheme</w:t>
      </w:r>
      <w:r w:rsidRPr="008A3740">
        <w:rPr>
          <w:rFonts w:ascii="Verdana" w:hAnsi="Verdana"/>
          <w:sz w:val="20"/>
          <w:szCs w:val="20"/>
          <w:lang w:val="en-US"/>
        </w:rPr>
        <w:t>, and</w:t>
      </w:r>
      <w:r w:rsidR="002B6755" w:rsidRPr="008A3740">
        <w:rPr>
          <w:rFonts w:ascii="Verdana" w:hAnsi="Verdana"/>
          <w:sz w:val="20"/>
          <w:szCs w:val="20"/>
          <w:lang w:val="en-US"/>
        </w:rPr>
        <w:t>,</w:t>
      </w:r>
      <w:r w:rsidRPr="008A3740">
        <w:rPr>
          <w:rFonts w:ascii="Verdana" w:hAnsi="Verdana"/>
          <w:sz w:val="20"/>
          <w:szCs w:val="20"/>
          <w:lang w:val="en-US"/>
        </w:rPr>
        <w:t xml:space="preserve"> iii) reestablish the payment of a provisional pension of S/800 soles monthly, immediately and provisionally, until the total value of the equalized pension has been calculated. </w:t>
      </w:r>
    </w:p>
    <w:p w14:paraId="0A5DDC58" w14:textId="77777777" w:rsidR="008E6A56" w:rsidRPr="008A3740" w:rsidRDefault="008E6A56" w:rsidP="008E6A56">
      <w:pPr>
        <w:tabs>
          <w:tab w:val="left" w:pos="567"/>
        </w:tabs>
        <w:textAlignment w:val="auto"/>
        <w:rPr>
          <w:rFonts w:ascii="Verdana" w:hAnsi="Verdana" w:cs="Arial"/>
          <w:b/>
          <w:sz w:val="20"/>
          <w:szCs w:val="20"/>
          <w:lang w:val="en-US"/>
        </w:rPr>
      </w:pPr>
    </w:p>
    <w:p w14:paraId="4DDACEB2"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b/>
          <w:sz w:val="20"/>
          <w:szCs w:val="20"/>
          <w:lang w:val="en-US"/>
        </w:rPr>
      </w:pPr>
      <w:r w:rsidRPr="008A3740">
        <w:rPr>
          <w:rFonts w:ascii="Verdana" w:hAnsi="Verdana"/>
          <w:sz w:val="20"/>
          <w:szCs w:val="20"/>
          <w:lang w:val="en-US"/>
        </w:rPr>
        <w:t xml:space="preserve">In their brief of January 9, 2019, and in relation to the measures adopted by the State </w:t>
      </w:r>
      <w:r w:rsidR="00526BEF" w:rsidRPr="008A3740">
        <w:rPr>
          <w:rFonts w:ascii="Verdana" w:hAnsi="Verdana"/>
          <w:sz w:val="20"/>
          <w:szCs w:val="20"/>
          <w:lang w:val="en-US"/>
        </w:rPr>
        <w:t xml:space="preserve">and </w:t>
      </w:r>
      <w:r w:rsidRPr="008A3740">
        <w:rPr>
          <w:rFonts w:ascii="Verdana" w:hAnsi="Verdana"/>
          <w:sz w:val="20"/>
          <w:szCs w:val="20"/>
          <w:lang w:val="en-US"/>
        </w:rPr>
        <w:t xml:space="preserve">described </w:t>
      </w:r>
      <w:r w:rsidRPr="008A3740">
        <w:rPr>
          <w:rFonts w:ascii="Verdana" w:hAnsi="Verdana"/>
          <w:i/>
          <w:sz w:val="20"/>
          <w:szCs w:val="20"/>
          <w:lang w:val="en-US"/>
        </w:rPr>
        <w:t>infra</w:t>
      </w:r>
      <w:r w:rsidRPr="008A3740">
        <w:rPr>
          <w:rFonts w:ascii="Verdana" w:hAnsi="Verdana"/>
          <w:sz w:val="20"/>
          <w:szCs w:val="20"/>
          <w:lang w:val="en-US"/>
        </w:rPr>
        <w:t xml:space="preserve">, the representatives </w:t>
      </w:r>
      <w:r w:rsidR="00974FFD" w:rsidRPr="008A3740">
        <w:rPr>
          <w:rFonts w:ascii="Verdana" w:hAnsi="Verdana"/>
          <w:sz w:val="20"/>
          <w:szCs w:val="20"/>
          <w:lang w:val="en-US"/>
        </w:rPr>
        <w:t xml:space="preserve">considered </w:t>
      </w:r>
      <w:r w:rsidRPr="008A3740">
        <w:rPr>
          <w:rFonts w:ascii="Verdana" w:hAnsi="Verdana"/>
          <w:sz w:val="20"/>
          <w:szCs w:val="20"/>
          <w:lang w:val="en-US"/>
        </w:rPr>
        <w:t xml:space="preserve">that the </w:t>
      </w:r>
      <w:r w:rsidR="002B6755" w:rsidRPr="008A3740">
        <w:rPr>
          <w:rFonts w:ascii="Verdana" w:hAnsi="Verdana"/>
          <w:sz w:val="20"/>
          <w:szCs w:val="20"/>
          <w:lang w:val="en-US"/>
        </w:rPr>
        <w:t>payment of the provisional pension to</w:t>
      </w:r>
      <w:r w:rsidRPr="008A3740">
        <w:rPr>
          <w:rFonts w:ascii="Verdana" w:hAnsi="Verdana"/>
          <w:sz w:val="20"/>
          <w:szCs w:val="20"/>
          <w:lang w:val="en-US"/>
        </w:rPr>
        <w:t xml:space="preserve"> Mr. Muelle Flores constituted a major step forward in </w:t>
      </w:r>
      <w:r w:rsidR="00526BEF" w:rsidRPr="008A3740">
        <w:rPr>
          <w:rFonts w:ascii="Verdana" w:hAnsi="Verdana"/>
          <w:sz w:val="20"/>
          <w:szCs w:val="20"/>
          <w:lang w:val="en-US"/>
        </w:rPr>
        <w:t xml:space="preserve">settling </w:t>
      </w:r>
      <w:r w:rsidRPr="008A3740">
        <w:rPr>
          <w:rFonts w:ascii="Verdana" w:hAnsi="Verdana"/>
          <w:sz w:val="20"/>
          <w:szCs w:val="20"/>
          <w:lang w:val="en-US"/>
        </w:rPr>
        <w:t xml:space="preserve">the case and </w:t>
      </w:r>
      <w:r w:rsidR="00526BEF" w:rsidRPr="008A3740">
        <w:rPr>
          <w:rFonts w:ascii="Verdana" w:hAnsi="Verdana"/>
          <w:sz w:val="20"/>
          <w:szCs w:val="20"/>
          <w:lang w:val="en-US"/>
        </w:rPr>
        <w:t>in guaranteeing his</w:t>
      </w:r>
      <w:r w:rsidRPr="008A3740">
        <w:rPr>
          <w:rFonts w:ascii="Verdana" w:hAnsi="Verdana"/>
          <w:sz w:val="20"/>
          <w:szCs w:val="20"/>
          <w:lang w:val="en-US"/>
        </w:rPr>
        <w:t xml:space="preserve"> rights. However, the</w:t>
      </w:r>
      <w:r w:rsidR="00974FFD" w:rsidRPr="008A3740">
        <w:rPr>
          <w:rFonts w:ascii="Verdana" w:hAnsi="Verdana"/>
          <w:sz w:val="20"/>
          <w:szCs w:val="20"/>
          <w:lang w:val="en-US"/>
        </w:rPr>
        <w:t>y</w:t>
      </w:r>
      <w:r w:rsidRPr="008A3740">
        <w:rPr>
          <w:rFonts w:ascii="Verdana" w:hAnsi="Verdana"/>
          <w:sz w:val="20"/>
          <w:szCs w:val="20"/>
          <w:lang w:val="en-US"/>
        </w:rPr>
        <w:t xml:space="preserve"> </w:t>
      </w:r>
      <w:r w:rsidR="002B6755" w:rsidRPr="008A3740">
        <w:rPr>
          <w:rFonts w:ascii="Verdana" w:hAnsi="Verdana"/>
          <w:sz w:val="20"/>
          <w:szCs w:val="20"/>
          <w:lang w:val="en-US"/>
        </w:rPr>
        <w:t xml:space="preserve">emphasized </w:t>
      </w:r>
      <w:r w:rsidRPr="008A3740">
        <w:rPr>
          <w:rFonts w:ascii="Verdana" w:hAnsi="Verdana"/>
          <w:sz w:val="20"/>
          <w:szCs w:val="20"/>
          <w:lang w:val="en-US"/>
        </w:rPr>
        <w:t>that this was a provisional measure and disputed the amount calculated by the State (S/1,337.61 new soles), considering that it did not correspond to the amount of an equalized pension</w:t>
      </w:r>
      <w:r w:rsidR="00526BEF" w:rsidRPr="008A3740">
        <w:rPr>
          <w:rFonts w:ascii="Verdana" w:hAnsi="Verdana"/>
          <w:sz w:val="20"/>
          <w:szCs w:val="20"/>
          <w:lang w:val="en-US"/>
        </w:rPr>
        <w:t xml:space="preserve">, </w:t>
      </w:r>
      <w:r w:rsidR="002B6755" w:rsidRPr="008A3740">
        <w:rPr>
          <w:rFonts w:ascii="Verdana" w:hAnsi="Verdana"/>
          <w:sz w:val="20"/>
          <w:szCs w:val="20"/>
          <w:lang w:val="en-US"/>
        </w:rPr>
        <w:t xml:space="preserve">which should take as reference </w:t>
      </w:r>
      <w:r w:rsidRPr="008A3740">
        <w:rPr>
          <w:rFonts w:ascii="Verdana" w:hAnsi="Verdana"/>
          <w:sz w:val="20"/>
          <w:szCs w:val="20"/>
          <w:lang w:val="en-US"/>
        </w:rPr>
        <w:t xml:space="preserve">the salary of an employee </w:t>
      </w:r>
      <w:r w:rsidR="00A64672" w:rsidRPr="008A3740">
        <w:rPr>
          <w:rFonts w:ascii="Verdana" w:hAnsi="Verdana"/>
          <w:sz w:val="20"/>
          <w:szCs w:val="20"/>
          <w:lang w:val="en-US"/>
        </w:rPr>
        <w:t xml:space="preserve">of the </w:t>
      </w:r>
      <w:r w:rsidRPr="008A3740">
        <w:rPr>
          <w:rFonts w:ascii="Verdana" w:hAnsi="Verdana"/>
          <w:sz w:val="20"/>
          <w:szCs w:val="20"/>
          <w:lang w:val="en-US"/>
        </w:rPr>
        <w:t xml:space="preserve">same </w:t>
      </w:r>
      <w:r w:rsidR="00526BEF" w:rsidRPr="008A3740">
        <w:rPr>
          <w:rFonts w:ascii="Verdana" w:hAnsi="Verdana"/>
          <w:sz w:val="20"/>
          <w:szCs w:val="20"/>
          <w:lang w:val="en-US"/>
        </w:rPr>
        <w:t>hierarchical rank</w:t>
      </w:r>
      <w:r w:rsidR="00974FFD" w:rsidRPr="008A3740">
        <w:rPr>
          <w:rFonts w:ascii="Verdana" w:hAnsi="Verdana"/>
          <w:sz w:val="20"/>
          <w:szCs w:val="20"/>
          <w:lang w:val="en-US"/>
        </w:rPr>
        <w:t xml:space="preserve"> (</w:t>
      </w:r>
      <w:r w:rsidR="009B3DE2" w:rsidRPr="008A3740">
        <w:rPr>
          <w:rFonts w:ascii="Verdana" w:hAnsi="Verdana"/>
          <w:sz w:val="20"/>
          <w:szCs w:val="20"/>
          <w:lang w:val="en-US"/>
        </w:rPr>
        <w:t xml:space="preserve">as that </w:t>
      </w:r>
      <w:r w:rsidR="00974FFD" w:rsidRPr="008A3740">
        <w:rPr>
          <w:rFonts w:ascii="Verdana" w:hAnsi="Verdana"/>
          <w:sz w:val="20"/>
          <w:szCs w:val="20"/>
          <w:lang w:val="en-US"/>
        </w:rPr>
        <w:t>held by the victim).</w:t>
      </w:r>
      <w:r w:rsidRPr="008A3740">
        <w:rPr>
          <w:rFonts w:ascii="Verdana" w:hAnsi="Verdana"/>
          <w:sz w:val="20"/>
          <w:szCs w:val="20"/>
          <w:lang w:val="en-US"/>
        </w:rPr>
        <w:t xml:space="preserve"> </w:t>
      </w:r>
      <w:r w:rsidR="00526BEF" w:rsidRPr="008A3740">
        <w:rPr>
          <w:rFonts w:ascii="Verdana" w:hAnsi="Verdana"/>
          <w:sz w:val="20"/>
          <w:szCs w:val="20"/>
          <w:lang w:val="en-US"/>
        </w:rPr>
        <w:t xml:space="preserve">They argued </w:t>
      </w:r>
      <w:r w:rsidRPr="008A3740">
        <w:rPr>
          <w:rFonts w:ascii="Verdana" w:hAnsi="Verdana"/>
          <w:sz w:val="20"/>
          <w:szCs w:val="20"/>
          <w:lang w:val="en-US"/>
        </w:rPr>
        <w:t xml:space="preserve">that </w:t>
      </w:r>
      <w:r w:rsidR="00526BEF" w:rsidRPr="008A3740">
        <w:rPr>
          <w:rFonts w:ascii="Verdana" w:hAnsi="Verdana"/>
          <w:sz w:val="20"/>
          <w:szCs w:val="20"/>
          <w:lang w:val="en-US"/>
        </w:rPr>
        <w:t xml:space="preserve">they </w:t>
      </w:r>
      <w:r w:rsidR="00A64672" w:rsidRPr="008A3740">
        <w:rPr>
          <w:rFonts w:ascii="Verdana" w:hAnsi="Verdana"/>
          <w:sz w:val="20"/>
          <w:szCs w:val="20"/>
          <w:lang w:val="en-US"/>
        </w:rPr>
        <w:t xml:space="preserve">had encountered </w:t>
      </w:r>
      <w:r w:rsidR="00526BEF" w:rsidRPr="008A3740">
        <w:rPr>
          <w:rFonts w:ascii="Verdana" w:hAnsi="Verdana"/>
          <w:sz w:val="20"/>
          <w:szCs w:val="20"/>
          <w:lang w:val="en-US"/>
        </w:rPr>
        <w:t xml:space="preserve">evidentiary </w:t>
      </w:r>
      <w:r w:rsidRPr="008A3740">
        <w:rPr>
          <w:rFonts w:ascii="Verdana" w:hAnsi="Verdana"/>
          <w:sz w:val="20"/>
          <w:szCs w:val="20"/>
          <w:lang w:val="en-US"/>
        </w:rPr>
        <w:t xml:space="preserve">obstacles </w:t>
      </w:r>
      <w:r w:rsidR="00A64672" w:rsidRPr="008A3740">
        <w:rPr>
          <w:rFonts w:ascii="Verdana" w:hAnsi="Verdana"/>
          <w:sz w:val="20"/>
          <w:szCs w:val="20"/>
          <w:lang w:val="en-US"/>
        </w:rPr>
        <w:t>in determining</w:t>
      </w:r>
      <w:r w:rsidR="00526BEF" w:rsidRPr="008A3740">
        <w:rPr>
          <w:rFonts w:ascii="Verdana" w:hAnsi="Verdana"/>
          <w:sz w:val="20"/>
          <w:szCs w:val="20"/>
          <w:lang w:val="en-US"/>
        </w:rPr>
        <w:t xml:space="preserve"> </w:t>
      </w:r>
      <w:r w:rsidRPr="008A3740">
        <w:rPr>
          <w:rFonts w:ascii="Verdana" w:hAnsi="Verdana"/>
          <w:sz w:val="20"/>
          <w:szCs w:val="20"/>
          <w:lang w:val="en-US"/>
        </w:rPr>
        <w:t xml:space="preserve">the </w:t>
      </w:r>
      <w:r w:rsidR="00A64672" w:rsidRPr="008A3740">
        <w:rPr>
          <w:rFonts w:ascii="Verdana" w:hAnsi="Verdana"/>
          <w:sz w:val="20"/>
          <w:szCs w:val="20"/>
          <w:lang w:val="en-US"/>
        </w:rPr>
        <w:t xml:space="preserve">current or updated </w:t>
      </w:r>
      <w:r w:rsidR="00034DFB" w:rsidRPr="008A3740">
        <w:rPr>
          <w:rFonts w:ascii="Verdana" w:hAnsi="Verdana"/>
          <w:sz w:val="20"/>
          <w:szCs w:val="20"/>
          <w:lang w:val="en-US"/>
        </w:rPr>
        <w:t xml:space="preserve">value of </w:t>
      </w:r>
      <w:r w:rsidRPr="008A3740">
        <w:rPr>
          <w:rFonts w:ascii="Verdana" w:hAnsi="Verdana"/>
          <w:sz w:val="20"/>
          <w:szCs w:val="20"/>
          <w:lang w:val="en-US"/>
        </w:rPr>
        <w:t xml:space="preserve">the </w:t>
      </w:r>
      <w:r w:rsidR="00526BEF" w:rsidRPr="008A3740">
        <w:rPr>
          <w:rFonts w:ascii="Verdana" w:hAnsi="Verdana"/>
          <w:sz w:val="20"/>
          <w:szCs w:val="20"/>
          <w:lang w:val="en-US"/>
        </w:rPr>
        <w:t xml:space="preserve">equalized pension; however, as a </w:t>
      </w:r>
      <w:r w:rsidRPr="008A3740">
        <w:rPr>
          <w:rFonts w:ascii="Verdana" w:hAnsi="Verdana"/>
          <w:sz w:val="20"/>
          <w:szCs w:val="20"/>
          <w:lang w:val="en-US"/>
        </w:rPr>
        <w:t>point</w:t>
      </w:r>
      <w:r w:rsidR="00526BEF" w:rsidRPr="008A3740">
        <w:rPr>
          <w:rFonts w:ascii="Verdana" w:hAnsi="Verdana"/>
          <w:sz w:val="20"/>
          <w:szCs w:val="20"/>
          <w:lang w:val="en-US"/>
        </w:rPr>
        <w:t xml:space="preserve"> of reference, based on the </w:t>
      </w:r>
      <w:r w:rsidRPr="008A3740">
        <w:rPr>
          <w:rFonts w:ascii="Verdana" w:hAnsi="Verdana"/>
          <w:sz w:val="20"/>
          <w:szCs w:val="20"/>
          <w:lang w:val="en-US"/>
        </w:rPr>
        <w:t xml:space="preserve">current salaries of public servants </w:t>
      </w:r>
      <w:r w:rsidR="00974FFD" w:rsidRPr="008A3740">
        <w:rPr>
          <w:rFonts w:ascii="Verdana" w:hAnsi="Verdana"/>
          <w:sz w:val="20"/>
          <w:szCs w:val="20"/>
          <w:lang w:val="en-US"/>
        </w:rPr>
        <w:t xml:space="preserve">holding </w:t>
      </w:r>
      <w:r w:rsidRPr="008A3740">
        <w:rPr>
          <w:rFonts w:ascii="Verdana" w:hAnsi="Verdana"/>
          <w:sz w:val="20"/>
          <w:szCs w:val="20"/>
          <w:lang w:val="en-US"/>
        </w:rPr>
        <w:t>strate</w:t>
      </w:r>
      <w:r w:rsidR="00A64672" w:rsidRPr="008A3740">
        <w:rPr>
          <w:rFonts w:ascii="Verdana" w:hAnsi="Verdana"/>
          <w:sz w:val="20"/>
          <w:szCs w:val="20"/>
          <w:lang w:val="en-US"/>
        </w:rPr>
        <w:t>gic and/or management positions</w:t>
      </w:r>
      <w:r w:rsidR="00974FFD" w:rsidRPr="008A3740">
        <w:rPr>
          <w:rFonts w:ascii="Verdana" w:hAnsi="Verdana"/>
          <w:sz w:val="20"/>
          <w:szCs w:val="20"/>
          <w:lang w:val="en-US"/>
        </w:rPr>
        <w:t xml:space="preserve">, as </w:t>
      </w:r>
      <w:r w:rsidRPr="008A3740">
        <w:rPr>
          <w:rFonts w:ascii="Verdana" w:hAnsi="Verdana"/>
          <w:sz w:val="20"/>
          <w:szCs w:val="20"/>
          <w:lang w:val="en-US"/>
        </w:rPr>
        <w:t xml:space="preserve"> </w:t>
      </w:r>
      <w:r w:rsidR="00A64672" w:rsidRPr="008A3740">
        <w:rPr>
          <w:rFonts w:ascii="Verdana" w:hAnsi="Verdana"/>
          <w:sz w:val="20"/>
          <w:szCs w:val="20"/>
          <w:lang w:val="en-US"/>
        </w:rPr>
        <w:t xml:space="preserve">cited in </w:t>
      </w:r>
      <w:r w:rsidRPr="008A3740">
        <w:rPr>
          <w:rFonts w:ascii="Verdana" w:hAnsi="Verdana"/>
          <w:sz w:val="20"/>
          <w:szCs w:val="20"/>
          <w:lang w:val="en-US"/>
        </w:rPr>
        <w:t xml:space="preserve">the State’s Transparency Portal, the current salaries </w:t>
      </w:r>
      <w:r w:rsidR="00974FFD" w:rsidRPr="008A3740">
        <w:rPr>
          <w:rFonts w:ascii="Verdana" w:hAnsi="Verdana"/>
          <w:sz w:val="20"/>
          <w:szCs w:val="20"/>
          <w:lang w:val="en-US"/>
        </w:rPr>
        <w:t xml:space="preserve">ranged </w:t>
      </w:r>
      <w:r w:rsidRPr="008A3740">
        <w:rPr>
          <w:rFonts w:ascii="Verdana" w:hAnsi="Verdana"/>
          <w:sz w:val="20"/>
          <w:szCs w:val="20"/>
          <w:lang w:val="en-US"/>
        </w:rPr>
        <w:t>from S/13,000 to S/22,600 new soles. They emphasized that some functions w</w:t>
      </w:r>
      <w:r w:rsidR="00526BEF" w:rsidRPr="008A3740">
        <w:rPr>
          <w:rFonts w:ascii="Verdana" w:hAnsi="Verdana"/>
          <w:sz w:val="20"/>
          <w:szCs w:val="20"/>
          <w:lang w:val="en-US"/>
        </w:rPr>
        <w:t>hich required a lower level of education, such as drivers</w:t>
      </w:r>
      <w:r w:rsidRPr="008A3740">
        <w:rPr>
          <w:rFonts w:ascii="Verdana" w:hAnsi="Verdana"/>
          <w:sz w:val="20"/>
          <w:szCs w:val="20"/>
          <w:lang w:val="en-US"/>
        </w:rPr>
        <w:t xml:space="preserve"> and others, received higher wages than those </w:t>
      </w:r>
      <w:r w:rsidR="00974FFD" w:rsidRPr="008A3740">
        <w:rPr>
          <w:rFonts w:ascii="Verdana" w:hAnsi="Verdana"/>
          <w:sz w:val="20"/>
          <w:szCs w:val="20"/>
          <w:lang w:val="en-US"/>
        </w:rPr>
        <w:t xml:space="preserve">offered </w:t>
      </w:r>
      <w:r w:rsidRPr="008A3740">
        <w:rPr>
          <w:rFonts w:ascii="Verdana" w:hAnsi="Verdana"/>
          <w:sz w:val="20"/>
          <w:szCs w:val="20"/>
          <w:lang w:val="en-US"/>
        </w:rPr>
        <w:t xml:space="preserve">by </w:t>
      </w:r>
      <w:r w:rsidR="00974FFD" w:rsidRPr="008A3740">
        <w:rPr>
          <w:rFonts w:ascii="Verdana" w:hAnsi="Verdana"/>
          <w:sz w:val="20"/>
          <w:szCs w:val="20"/>
          <w:lang w:val="en-US"/>
        </w:rPr>
        <w:t xml:space="preserve">the </w:t>
      </w:r>
      <w:r w:rsidRPr="008A3740">
        <w:rPr>
          <w:rFonts w:ascii="Verdana" w:hAnsi="Verdana"/>
          <w:sz w:val="20"/>
          <w:szCs w:val="20"/>
          <w:lang w:val="en-US"/>
        </w:rPr>
        <w:t xml:space="preserve">Peruvian State. The representatives requested that </w:t>
      </w:r>
      <w:r w:rsidR="00034DFB" w:rsidRPr="008A3740">
        <w:rPr>
          <w:rFonts w:ascii="Verdana" w:hAnsi="Verdana"/>
          <w:sz w:val="20"/>
          <w:szCs w:val="20"/>
          <w:lang w:val="en-US"/>
        </w:rPr>
        <w:t xml:space="preserve">the amount </w:t>
      </w:r>
      <w:r w:rsidR="00974FFD" w:rsidRPr="008A3740">
        <w:rPr>
          <w:rFonts w:ascii="Verdana" w:hAnsi="Verdana"/>
          <w:sz w:val="20"/>
          <w:szCs w:val="20"/>
          <w:lang w:val="en-US"/>
        </w:rPr>
        <w:t xml:space="preserve">due </w:t>
      </w:r>
      <w:r w:rsidR="00034DFB" w:rsidRPr="008A3740">
        <w:rPr>
          <w:rFonts w:ascii="Verdana" w:hAnsi="Verdana"/>
          <w:sz w:val="20"/>
          <w:szCs w:val="20"/>
          <w:lang w:val="en-US"/>
        </w:rPr>
        <w:t xml:space="preserve">be determined based on </w:t>
      </w:r>
      <w:r w:rsidRPr="008A3740">
        <w:rPr>
          <w:rFonts w:ascii="Verdana" w:hAnsi="Verdana"/>
          <w:sz w:val="20"/>
          <w:szCs w:val="20"/>
          <w:lang w:val="en-US"/>
        </w:rPr>
        <w:t xml:space="preserve">the criterion of equity, </w:t>
      </w:r>
      <w:r w:rsidR="00974FFD" w:rsidRPr="008A3740">
        <w:rPr>
          <w:rFonts w:ascii="Verdana" w:hAnsi="Verdana"/>
          <w:sz w:val="20"/>
          <w:szCs w:val="20"/>
          <w:lang w:val="en-US"/>
        </w:rPr>
        <w:t xml:space="preserve">and </w:t>
      </w:r>
      <w:r w:rsidR="00034DFB" w:rsidRPr="008A3740">
        <w:rPr>
          <w:rFonts w:ascii="Verdana" w:hAnsi="Verdana"/>
          <w:sz w:val="20"/>
          <w:szCs w:val="20"/>
          <w:lang w:val="en-US"/>
        </w:rPr>
        <w:t xml:space="preserve">on </w:t>
      </w:r>
      <w:r w:rsidRPr="008A3740">
        <w:rPr>
          <w:rFonts w:ascii="Verdana" w:hAnsi="Verdana"/>
          <w:sz w:val="20"/>
          <w:szCs w:val="20"/>
          <w:lang w:val="en-US"/>
        </w:rPr>
        <w:t xml:space="preserve">the amounts </w:t>
      </w:r>
      <w:r w:rsidR="00034DFB" w:rsidRPr="008A3740">
        <w:rPr>
          <w:rFonts w:ascii="Verdana" w:hAnsi="Verdana"/>
          <w:sz w:val="20"/>
          <w:szCs w:val="20"/>
          <w:lang w:val="en-US"/>
        </w:rPr>
        <w:t xml:space="preserve">currently </w:t>
      </w:r>
      <w:r w:rsidRPr="008A3740">
        <w:rPr>
          <w:rFonts w:ascii="Verdana" w:hAnsi="Verdana"/>
          <w:sz w:val="20"/>
          <w:szCs w:val="20"/>
          <w:lang w:val="en-US"/>
        </w:rPr>
        <w:t xml:space="preserve">received by those in </w:t>
      </w:r>
      <w:r w:rsidR="00034DFB" w:rsidRPr="008A3740">
        <w:rPr>
          <w:rFonts w:ascii="Verdana" w:hAnsi="Verdana"/>
          <w:sz w:val="20"/>
          <w:szCs w:val="20"/>
          <w:lang w:val="en-US"/>
        </w:rPr>
        <w:t xml:space="preserve">public sector </w:t>
      </w:r>
      <w:r w:rsidRPr="008A3740">
        <w:rPr>
          <w:rFonts w:ascii="Verdana" w:hAnsi="Verdana"/>
          <w:sz w:val="20"/>
          <w:szCs w:val="20"/>
          <w:lang w:val="en-US"/>
        </w:rPr>
        <w:t xml:space="preserve">management positions, with a value </w:t>
      </w:r>
      <w:r w:rsidR="00974FFD" w:rsidRPr="008A3740">
        <w:rPr>
          <w:rFonts w:ascii="Verdana" w:hAnsi="Verdana"/>
          <w:sz w:val="20"/>
          <w:szCs w:val="20"/>
          <w:lang w:val="en-US"/>
        </w:rPr>
        <w:t xml:space="preserve">of </w:t>
      </w:r>
      <w:r w:rsidRPr="008A3740">
        <w:rPr>
          <w:rFonts w:ascii="Verdana" w:hAnsi="Verdana"/>
          <w:sz w:val="20"/>
          <w:szCs w:val="20"/>
          <w:lang w:val="en-US"/>
        </w:rPr>
        <w:t>no less than S/15,600 new soles.</w:t>
      </w:r>
    </w:p>
    <w:p w14:paraId="5E385B61" w14:textId="77777777" w:rsidR="008E6A56" w:rsidRPr="008A3740" w:rsidRDefault="008E6A56" w:rsidP="008E6A56">
      <w:pPr>
        <w:tabs>
          <w:tab w:val="left" w:pos="567"/>
        </w:tabs>
        <w:textAlignment w:val="auto"/>
        <w:rPr>
          <w:rFonts w:ascii="Verdana" w:hAnsi="Verdana" w:cs="Arial"/>
          <w:sz w:val="20"/>
          <w:szCs w:val="20"/>
          <w:lang w:val="en-US"/>
        </w:rPr>
      </w:pPr>
    </w:p>
    <w:p w14:paraId="3316747A" w14:textId="77777777" w:rsidR="008E6A56" w:rsidRPr="008A3740" w:rsidRDefault="008E6A56" w:rsidP="00D17A65">
      <w:pPr>
        <w:numPr>
          <w:ilvl w:val="0"/>
          <w:numId w:val="3"/>
        </w:numPr>
        <w:tabs>
          <w:tab w:val="left" w:pos="567"/>
          <w:tab w:val="num" w:pos="5057"/>
        </w:tabs>
        <w:ind w:left="0" w:firstLine="0"/>
        <w:contextualSpacing/>
        <w:textAlignment w:val="auto"/>
        <w:rPr>
          <w:rFonts w:ascii="Verdana" w:hAnsi="Verdana" w:cs="Arial"/>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State</w:t>
      </w:r>
      <w:r w:rsidRPr="008A3740">
        <w:rPr>
          <w:rFonts w:ascii="Verdana" w:hAnsi="Verdana"/>
          <w:sz w:val="20"/>
          <w:szCs w:val="20"/>
          <w:lang w:val="en-US"/>
        </w:rPr>
        <w:t xml:space="preserve"> argued that the Judiciary was currently </w:t>
      </w:r>
      <w:r w:rsidR="00A04B3F" w:rsidRPr="008A3740">
        <w:rPr>
          <w:rFonts w:ascii="Verdana" w:hAnsi="Verdana"/>
          <w:sz w:val="20"/>
          <w:szCs w:val="20"/>
          <w:lang w:val="en-US"/>
        </w:rPr>
        <w:t xml:space="preserve">engaged in efforts </w:t>
      </w:r>
      <w:r w:rsidR="0090570A" w:rsidRPr="008A3740">
        <w:rPr>
          <w:rFonts w:ascii="Verdana" w:hAnsi="Verdana"/>
          <w:sz w:val="20"/>
          <w:szCs w:val="20"/>
          <w:lang w:val="en-US"/>
        </w:rPr>
        <w:t xml:space="preserve">to conclude </w:t>
      </w:r>
      <w:r w:rsidRPr="008A3740">
        <w:rPr>
          <w:rFonts w:ascii="Verdana" w:hAnsi="Verdana"/>
          <w:sz w:val="20"/>
          <w:szCs w:val="20"/>
          <w:lang w:val="en-US"/>
        </w:rPr>
        <w:t xml:space="preserve">the execution </w:t>
      </w:r>
      <w:r w:rsidR="00034DFB" w:rsidRPr="008A3740">
        <w:rPr>
          <w:rFonts w:ascii="Verdana" w:hAnsi="Verdana"/>
          <w:sz w:val="20"/>
          <w:szCs w:val="20"/>
          <w:lang w:val="en-US"/>
        </w:rPr>
        <w:t xml:space="preserve">process </w:t>
      </w:r>
      <w:r w:rsidRPr="008A3740">
        <w:rPr>
          <w:rFonts w:ascii="Verdana" w:hAnsi="Verdana"/>
          <w:sz w:val="20"/>
          <w:szCs w:val="20"/>
          <w:lang w:val="en-US"/>
        </w:rPr>
        <w:t xml:space="preserve">of the first </w:t>
      </w:r>
      <w:r w:rsidRPr="008A3740">
        <w:rPr>
          <w:rFonts w:ascii="Verdana" w:hAnsi="Verdana"/>
          <w:i/>
          <w:sz w:val="20"/>
          <w:szCs w:val="20"/>
          <w:lang w:val="en-US"/>
        </w:rPr>
        <w:t>amparo</w:t>
      </w:r>
      <w:r w:rsidR="00A04B3F" w:rsidRPr="008A3740">
        <w:rPr>
          <w:rFonts w:ascii="Verdana" w:hAnsi="Verdana"/>
          <w:sz w:val="20"/>
          <w:szCs w:val="20"/>
          <w:lang w:val="en-US"/>
        </w:rPr>
        <w:t xml:space="preserve"> ruling</w:t>
      </w:r>
      <w:r w:rsidRPr="008A3740">
        <w:rPr>
          <w:rFonts w:ascii="Verdana" w:hAnsi="Verdana"/>
          <w:sz w:val="20"/>
          <w:szCs w:val="20"/>
          <w:lang w:val="en-US"/>
        </w:rPr>
        <w:t xml:space="preserve">, </w:t>
      </w:r>
      <w:r w:rsidR="00A04B3F" w:rsidRPr="008A3740">
        <w:rPr>
          <w:rFonts w:ascii="Verdana" w:hAnsi="Verdana"/>
          <w:sz w:val="20"/>
          <w:szCs w:val="20"/>
          <w:lang w:val="en-US"/>
        </w:rPr>
        <w:t xml:space="preserve">and noted </w:t>
      </w:r>
      <w:r w:rsidRPr="008A3740">
        <w:rPr>
          <w:rFonts w:ascii="Verdana" w:hAnsi="Verdana"/>
          <w:sz w:val="20"/>
          <w:szCs w:val="20"/>
          <w:lang w:val="en-US"/>
        </w:rPr>
        <w:t xml:space="preserve">that the Commission had not claimed any delay in the execution of the second </w:t>
      </w:r>
      <w:r w:rsidRPr="008A3740">
        <w:rPr>
          <w:rFonts w:ascii="Verdana" w:hAnsi="Verdana"/>
          <w:i/>
          <w:sz w:val="20"/>
          <w:szCs w:val="20"/>
          <w:lang w:val="en-US"/>
        </w:rPr>
        <w:t>amparo</w:t>
      </w:r>
      <w:r w:rsidR="00034DFB" w:rsidRPr="008A3740">
        <w:rPr>
          <w:rFonts w:ascii="Verdana" w:hAnsi="Verdana"/>
          <w:sz w:val="20"/>
          <w:szCs w:val="20"/>
          <w:lang w:val="en-US"/>
        </w:rPr>
        <w:t xml:space="preserve"> judgment</w:t>
      </w:r>
      <w:r w:rsidRPr="008A3740">
        <w:rPr>
          <w:rFonts w:ascii="Verdana" w:hAnsi="Verdana"/>
          <w:sz w:val="20"/>
          <w:szCs w:val="20"/>
          <w:lang w:val="en-US"/>
        </w:rPr>
        <w:t>. In addition</w:t>
      </w:r>
      <w:r w:rsidR="00A04B3F" w:rsidRPr="008A3740">
        <w:rPr>
          <w:rFonts w:ascii="Verdana" w:hAnsi="Verdana"/>
          <w:sz w:val="20"/>
          <w:szCs w:val="20"/>
          <w:lang w:val="en-US"/>
        </w:rPr>
        <w:t>,</w:t>
      </w:r>
      <w:r w:rsidRPr="008A3740">
        <w:rPr>
          <w:rFonts w:ascii="Verdana" w:hAnsi="Verdana"/>
          <w:sz w:val="20"/>
          <w:szCs w:val="20"/>
          <w:lang w:val="en-US"/>
        </w:rPr>
        <w:t xml:space="preserve"> </w:t>
      </w:r>
      <w:r w:rsidR="00A04B3F" w:rsidRPr="008A3740">
        <w:rPr>
          <w:rFonts w:ascii="Verdana" w:hAnsi="Verdana"/>
          <w:sz w:val="20"/>
          <w:szCs w:val="20"/>
          <w:lang w:val="en-US"/>
        </w:rPr>
        <w:t xml:space="preserve">the State </w:t>
      </w:r>
      <w:r w:rsidRPr="008A3740">
        <w:rPr>
          <w:rFonts w:ascii="Verdana" w:hAnsi="Verdana"/>
          <w:sz w:val="20"/>
          <w:szCs w:val="20"/>
          <w:lang w:val="en-US"/>
        </w:rPr>
        <w:t xml:space="preserve">emphasized that, in the event of being ordered to pay the </w:t>
      </w:r>
      <w:r w:rsidR="005165CD" w:rsidRPr="008A3740">
        <w:rPr>
          <w:rFonts w:ascii="Verdana" w:hAnsi="Verdana"/>
          <w:sz w:val="20"/>
          <w:szCs w:val="20"/>
          <w:lang w:val="en-US"/>
        </w:rPr>
        <w:t xml:space="preserve">equalized </w:t>
      </w:r>
      <w:r w:rsidRPr="008A3740">
        <w:rPr>
          <w:rFonts w:ascii="Verdana" w:hAnsi="Verdana"/>
          <w:sz w:val="20"/>
          <w:szCs w:val="20"/>
          <w:lang w:val="en-US"/>
        </w:rPr>
        <w:t xml:space="preserve">pension, </w:t>
      </w:r>
      <w:r w:rsidR="005165CD" w:rsidRPr="008A3740">
        <w:rPr>
          <w:rFonts w:ascii="Verdana" w:hAnsi="Verdana"/>
          <w:sz w:val="20"/>
          <w:szCs w:val="20"/>
          <w:lang w:val="en-US"/>
        </w:rPr>
        <w:t xml:space="preserve">it would be necessary to </w:t>
      </w:r>
      <w:r w:rsidRPr="008A3740">
        <w:rPr>
          <w:rFonts w:ascii="Verdana" w:hAnsi="Verdana"/>
          <w:sz w:val="20"/>
          <w:szCs w:val="20"/>
          <w:lang w:val="en-US"/>
        </w:rPr>
        <w:t xml:space="preserve">deduct from the total </w:t>
      </w:r>
      <w:r w:rsidR="00B21F41" w:rsidRPr="008A3740">
        <w:rPr>
          <w:rFonts w:ascii="Verdana" w:hAnsi="Verdana"/>
          <w:sz w:val="20"/>
          <w:szCs w:val="20"/>
          <w:lang w:val="en-US"/>
        </w:rPr>
        <w:t xml:space="preserve">sum </w:t>
      </w:r>
      <w:r w:rsidRPr="008A3740">
        <w:rPr>
          <w:rFonts w:ascii="Verdana" w:hAnsi="Verdana"/>
          <w:sz w:val="20"/>
          <w:szCs w:val="20"/>
          <w:lang w:val="en-US"/>
        </w:rPr>
        <w:t>orde</w:t>
      </w:r>
      <w:r w:rsidR="00526BEF" w:rsidRPr="008A3740">
        <w:rPr>
          <w:rFonts w:ascii="Verdana" w:hAnsi="Verdana"/>
          <w:sz w:val="20"/>
          <w:szCs w:val="20"/>
          <w:lang w:val="en-US"/>
        </w:rPr>
        <w:t>red</w:t>
      </w:r>
      <w:r w:rsidRPr="008A3740">
        <w:rPr>
          <w:rFonts w:ascii="Verdana" w:hAnsi="Verdana"/>
          <w:sz w:val="20"/>
          <w:szCs w:val="20"/>
          <w:lang w:val="en-US"/>
        </w:rPr>
        <w:t xml:space="preserve"> the </w:t>
      </w:r>
      <w:r w:rsidR="005165CD" w:rsidRPr="008A3740">
        <w:rPr>
          <w:rFonts w:ascii="Verdana" w:hAnsi="Verdana"/>
          <w:sz w:val="20"/>
          <w:szCs w:val="20"/>
          <w:lang w:val="en-US"/>
        </w:rPr>
        <w:t xml:space="preserve">amounts </w:t>
      </w:r>
      <w:r w:rsidRPr="008A3740">
        <w:rPr>
          <w:rFonts w:ascii="Verdana" w:hAnsi="Verdana"/>
          <w:sz w:val="20"/>
          <w:szCs w:val="20"/>
          <w:lang w:val="en-US"/>
        </w:rPr>
        <w:t xml:space="preserve">corresponding to the payments made between 1999 and 2001, reiterating that these </w:t>
      </w:r>
      <w:r w:rsidR="005165CD" w:rsidRPr="008A3740">
        <w:rPr>
          <w:rFonts w:ascii="Verdana" w:hAnsi="Verdana"/>
          <w:sz w:val="20"/>
          <w:szCs w:val="20"/>
          <w:lang w:val="en-US"/>
        </w:rPr>
        <w:t>were duly accredited in</w:t>
      </w:r>
      <w:r w:rsidRPr="008A3740">
        <w:rPr>
          <w:rFonts w:ascii="Verdana" w:hAnsi="Verdana"/>
          <w:sz w:val="20"/>
          <w:szCs w:val="20"/>
          <w:lang w:val="en-US"/>
        </w:rPr>
        <w:t xml:space="preserve"> the respective documentation. It </w:t>
      </w:r>
      <w:r w:rsidR="00A04B3F" w:rsidRPr="008A3740">
        <w:rPr>
          <w:rFonts w:ascii="Verdana" w:hAnsi="Verdana"/>
          <w:sz w:val="20"/>
          <w:szCs w:val="20"/>
          <w:lang w:val="en-US"/>
        </w:rPr>
        <w:t xml:space="preserve">stressed </w:t>
      </w:r>
      <w:r w:rsidRPr="008A3740">
        <w:rPr>
          <w:rFonts w:ascii="Verdana" w:hAnsi="Verdana"/>
          <w:sz w:val="20"/>
          <w:szCs w:val="20"/>
          <w:lang w:val="en-US"/>
        </w:rPr>
        <w:t xml:space="preserve">that if the Court should find the State responsible, it would not object to adopting the measures contemplated in the domestic regulations for </w:t>
      </w:r>
      <w:r w:rsidR="00A04B3F" w:rsidRPr="008A3740">
        <w:rPr>
          <w:rFonts w:ascii="Verdana" w:hAnsi="Verdana"/>
          <w:sz w:val="20"/>
          <w:szCs w:val="20"/>
          <w:lang w:val="en-US"/>
        </w:rPr>
        <w:t xml:space="preserve">executing </w:t>
      </w:r>
      <w:r w:rsidRPr="008A3740">
        <w:rPr>
          <w:rFonts w:ascii="Verdana" w:hAnsi="Verdana"/>
          <w:sz w:val="20"/>
          <w:szCs w:val="20"/>
          <w:lang w:val="en-US"/>
        </w:rPr>
        <w:t xml:space="preserve">the payment of the amounts </w:t>
      </w:r>
      <w:r w:rsidR="00B21F41" w:rsidRPr="008A3740">
        <w:rPr>
          <w:rFonts w:ascii="Verdana" w:hAnsi="Verdana"/>
          <w:sz w:val="20"/>
          <w:szCs w:val="20"/>
          <w:lang w:val="en-US"/>
        </w:rPr>
        <w:t>owed</w:t>
      </w:r>
      <w:r w:rsidRPr="008A3740">
        <w:rPr>
          <w:rFonts w:ascii="Verdana" w:hAnsi="Verdana"/>
          <w:sz w:val="20"/>
          <w:szCs w:val="20"/>
          <w:lang w:val="en-US"/>
        </w:rPr>
        <w:t xml:space="preserve">, </w:t>
      </w:r>
      <w:r w:rsidR="00B21F41" w:rsidRPr="008A3740">
        <w:rPr>
          <w:rFonts w:ascii="Verdana" w:hAnsi="Verdana"/>
          <w:sz w:val="20"/>
          <w:szCs w:val="20"/>
          <w:lang w:val="en-US"/>
        </w:rPr>
        <w:t xml:space="preserve">with </w:t>
      </w:r>
      <w:r w:rsidRPr="008A3740">
        <w:rPr>
          <w:rFonts w:ascii="Verdana" w:hAnsi="Verdana"/>
          <w:sz w:val="20"/>
          <w:szCs w:val="20"/>
          <w:lang w:val="en-US"/>
        </w:rPr>
        <w:t xml:space="preserve">the corresponding interest, </w:t>
      </w:r>
      <w:r w:rsidR="00B21F41" w:rsidRPr="008A3740">
        <w:rPr>
          <w:rFonts w:ascii="Verdana" w:hAnsi="Verdana"/>
          <w:sz w:val="20"/>
          <w:szCs w:val="20"/>
          <w:lang w:val="en-US"/>
        </w:rPr>
        <w:t xml:space="preserve">together with </w:t>
      </w:r>
      <w:r w:rsidRPr="008A3740">
        <w:rPr>
          <w:rFonts w:ascii="Verdana" w:hAnsi="Verdana"/>
          <w:sz w:val="20"/>
          <w:szCs w:val="20"/>
          <w:lang w:val="en-US"/>
        </w:rPr>
        <w:t>the “health insurance” requested.</w:t>
      </w:r>
    </w:p>
    <w:p w14:paraId="7F7F36CC" w14:textId="77777777" w:rsidR="008E6A56" w:rsidRPr="008A3740" w:rsidRDefault="008E6A56" w:rsidP="008E6A56">
      <w:pPr>
        <w:pStyle w:val="Prrafodelista"/>
        <w:rPr>
          <w:rFonts w:ascii="Verdana" w:hAnsi="Verdana"/>
          <w:sz w:val="20"/>
          <w:szCs w:val="20"/>
          <w:lang w:val="en-US"/>
        </w:rPr>
      </w:pPr>
    </w:p>
    <w:p w14:paraId="4E661F14" w14:textId="77777777" w:rsidR="008E6A56" w:rsidRPr="008A3740" w:rsidRDefault="008E6A56" w:rsidP="00D17A65">
      <w:pPr>
        <w:numPr>
          <w:ilvl w:val="0"/>
          <w:numId w:val="3"/>
        </w:numPr>
        <w:tabs>
          <w:tab w:val="left" w:pos="567"/>
          <w:tab w:val="num" w:pos="5057"/>
        </w:tabs>
        <w:ind w:left="0" w:firstLine="0"/>
        <w:contextualSpacing/>
        <w:textAlignment w:val="auto"/>
        <w:rPr>
          <w:rFonts w:ascii="Verdana" w:hAnsi="Verdana" w:cs="Arial"/>
          <w:sz w:val="20"/>
          <w:szCs w:val="20"/>
          <w:lang w:val="en-US"/>
        </w:rPr>
      </w:pPr>
      <w:r w:rsidRPr="008A3740">
        <w:rPr>
          <w:rFonts w:ascii="Verdana" w:hAnsi="Verdana"/>
          <w:sz w:val="20"/>
          <w:szCs w:val="20"/>
          <w:lang w:val="en-US"/>
        </w:rPr>
        <w:t xml:space="preserve">Likewise, in its brief of December 20, 2018, the State </w:t>
      </w:r>
      <w:r w:rsidR="005165CD" w:rsidRPr="008A3740">
        <w:rPr>
          <w:rFonts w:ascii="Verdana" w:hAnsi="Verdana"/>
          <w:sz w:val="20"/>
          <w:szCs w:val="20"/>
          <w:lang w:val="en-US"/>
        </w:rPr>
        <w:t xml:space="preserve">reported </w:t>
      </w:r>
      <w:r w:rsidRPr="008A3740">
        <w:rPr>
          <w:rFonts w:ascii="Verdana" w:hAnsi="Verdana"/>
          <w:sz w:val="20"/>
          <w:szCs w:val="20"/>
          <w:lang w:val="en-US"/>
        </w:rPr>
        <w:t xml:space="preserve">that through </w:t>
      </w:r>
      <w:r w:rsidR="00A04B3F" w:rsidRPr="008A3740">
        <w:rPr>
          <w:rFonts w:ascii="Verdana" w:hAnsi="Verdana"/>
          <w:sz w:val="20"/>
          <w:szCs w:val="20"/>
          <w:lang w:val="en-US"/>
        </w:rPr>
        <w:t xml:space="preserve">Executive </w:t>
      </w:r>
      <w:r w:rsidRPr="008A3740">
        <w:rPr>
          <w:rFonts w:ascii="Verdana" w:hAnsi="Verdana"/>
          <w:sz w:val="20"/>
          <w:szCs w:val="20"/>
          <w:lang w:val="en-US"/>
        </w:rPr>
        <w:t>Resolution No. 635-2018-EF/43.02 of the MEF, and in the context of the request for provisional measures presented by the representatives (</w:t>
      </w:r>
      <w:r w:rsidRPr="008A3740">
        <w:rPr>
          <w:rFonts w:ascii="Verdana" w:hAnsi="Verdana"/>
          <w:i/>
          <w:sz w:val="20"/>
          <w:szCs w:val="20"/>
          <w:lang w:val="en-US"/>
        </w:rPr>
        <w:t>supra</w:t>
      </w:r>
      <w:r w:rsidRPr="008A3740">
        <w:rPr>
          <w:rFonts w:ascii="Verdana" w:hAnsi="Verdana"/>
          <w:sz w:val="20"/>
          <w:szCs w:val="20"/>
          <w:lang w:val="en-US"/>
        </w:rPr>
        <w:t xml:space="preserve"> para. 12), it had decided to re</w:t>
      </w:r>
      <w:r w:rsidR="00A04B3F" w:rsidRPr="008A3740">
        <w:rPr>
          <w:rFonts w:ascii="Verdana" w:hAnsi="Verdana"/>
          <w:sz w:val="20"/>
          <w:szCs w:val="20"/>
          <w:lang w:val="en-US"/>
        </w:rPr>
        <w:t>-</w:t>
      </w:r>
      <w:r w:rsidR="00526BEF" w:rsidRPr="008A3740">
        <w:rPr>
          <w:rFonts w:ascii="Verdana" w:hAnsi="Verdana"/>
          <w:sz w:val="20"/>
          <w:szCs w:val="20"/>
          <w:lang w:val="en-US"/>
        </w:rPr>
        <w:t>e</w:t>
      </w:r>
      <w:r w:rsidRPr="008A3740">
        <w:rPr>
          <w:rFonts w:ascii="Verdana" w:hAnsi="Verdana"/>
          <w:sz w:val="20"/>
          <w:szCs w:val="20"/>
          <w:lang w:val="en-US"/>
        </w:rPr>
        <w:t xml:space="preserve">stablish </w:t>
      </w:r>
      <w:r w:rsidRPr="008A3740">
        <w:rPr>
          <w:rFonts w:ascii="Verdana" w:hAnsi="Verdana"/>
          <w:i/>
          <w:sz w:val="20"/>
          <w:szCs w:val="20"/>
          <w:lang w:val="en-US"/>
        </w:rPr>
        <w:t>ex officio</w:t>
      </w:r>
      <w:r w:rsidRPr="008A3740">
        <w:rPr>
          <w:rFonts w:ascii="Verdana" w:hAnsi="Verdana"/>
          <w:sz w:val="20"/>
          <w:szCs w:val="20"/>
          <w:lang w:val="en-US"/>
        </w:rPr>
        <w:t xml:space="preserve">, and provisionally, the pension of Mr. Muelle Flores for the sum of S/800 new soles monthly, </w:t>
      </w:r>
      <w:r w:rsidR="00A04B3F" w:rsidRPr="008A3740">
        <w:rPr>
          <w:rFonts w:ascii="Verdana" w:hAnsi="Verdana"/>
          <w:sz w:val="20"/>
          <w:szCs w:val="20"/>
          <w:lang w:val="en-US"/>
        </w:rPr>
        <w:t xml:space="preserve">with </w:t>
      </w:r>
      <w:r w:rsidRPr="008A3740">
        <w:rPr>
          <w:rFonts w:ascii="Verdana" w:hAnsi="Verdana"/>
          <w:sz w:val="20"/>
          <w:szCs w:val="20"/>
          <w:lang w:val="en-US"/>
        </w:rPr>
        <w:t xml:space="preserve">the deductions </w:t>
      </w:r>
      <w:r w:rsidR="00B21F41" w:rsidRPr="008A3740">
        <w:rPr>
          <w:rFonts w:ascii="Verdana" w:hAnsi="Verdana"/>
          <w:sz w:val="20"/>
          <w:szCs w:val="20"/>
          <w:lang w:val="en-US"/>
        </w:rPr>
        <w:t>required by law</w:t>
      </w:r>
      <w:r w:rsidRPr="008A3740">
        <w:rPr>
          <w:rFonts w:ascii="Verdana" w:hAnsi="Verdana"/>
          <w:sz w:val="20"/>
          <w:szCs w:val="20"/>
          <w:lang w:val="en-US"/>
        </w:rPr>
        <w:t xml:space="preserve">, </w:t>
      </w:r>
      <w:r w:rsidR="00A04B3F" w:rsidRPr="008A3740">
        <w:rPr>
          <w:rFonts w:ascii="Verdana" w:hAnsi="Verdana"/>
          <w:sz w:val="20"/>
          <w:szCs w:val="20"/>
          <w:lang w:val="en-US"/>
        </w:rPr>
        <w:t xml:space="preserve">as of </w:t>
      </w:r>
      <w:r w:rsidRPr="008A3740">
        <w:rPr>
          <w:rFonts w:ascii="Verdana" w:hAnsi="Verdana"/>
          <w:sz w:val="20"/>
          <w:szCs w:val="20"/>
          <w:lang w:val="en-US"/>
        </w:rPr>
        <w:t xml:space="preserve">January 1, 2018, and until the Court </w:t>
      </w:r>
      <w:r w:rsidR="00526BEF" w:rsidRPr="008A3740">
        <w:rPr>
          <w:rFonts w:ascii="Verdana" w:hAnsi="Verdana"/>
          <w:sz w:val="20"/>
          <w:szCs w:val="20"/>
          <w:lang w:val="en-US"/>
        </w:rPr>
        <w:t>issue</w:t>
      </w:r>
      <w:r w:rsidR="00650C0B" w:rsidRPr="008A3740">
        <w:rPr>
          <w:rFonts w:ascii="Verdana" w:hAnsi="Verdana"/>
          <w:sz w:val="20"/>
          <w:szCs w:val="20"/>
          <w:lang w:val="en-US"/>
        </w:rPr>
        <w:t>s</w:t>
      </w:r>
      <w:r w:rsidR="00526BEF" w:rsidRPr="008A3740">
        <w:rPr>
          <w:rFonts w:ascii="Verdana" w:hAnsi="Verdana"/>
          <w:sz w:val="20"/>
          <w:szCs w:val="20"/>
          <w:lang w:val="en-US"/>
        </w:rPr>
        <w:t xml:space="preserve"> </w:t>
      </w:r>
      <w:r w:rsidRPr="008A3740">
        <w:rPr>
          <w:rFonts w:ascii="Verdana" w:hAnsi="Verdana"/>
          <w:sz w:val="20"/>
          <w:szCs w:val="20"/>
          <w:lang w:val="en-US"/>
        </w:rPr>
        <w:t xml:space="preserve">the </w:t>
      </w:r>
      <w:r w:rsidR="00650C0B" w:rsidRPr="008A3740">
        <w:rPr>
          <w:rFonts w:ascii="Verdana" w:hAnsi="Verdana"/>
          <w:sz w:val="20"/>
          <w:szCs w:val="20"/>
          <w:lang w:val="en-US"/>
        </w:rPr>
        <w:t xml:space="preserve">corresponding </w:t>
      </w:r>
      <w:r w:rsidRPr="008A3740">
        <w:rPr>
          <w:rFonts w:ascii="Verdana" w:hAnsi="Verdana"/>
          <w:sz w:val="20"/>
          <w:szCs w:val="20"/>
          <w:lang w:val="en-US"/>
        </w:rPr>
        <w:t xml:space="preserve">Judgment. The State indicated that after that, the ONP </w:t>
      </w:r>
      <w:r w:rsidR="000F4C84" w:rsidRPr="008A3740">
        <w:rPr>
          <w:rFonts w:ascii="Verdana" w:hAnsi="Verdana"/>
          <w:sz w:val="20"/>
          <w:szCs w:val="20"/>
          <w:lang w:val="en-US"/>
        </w:rPr>
        <w:t xml:space="preserve">would determine </w:t>
      </w:r>
      <w:r w:rsidRPr="008A3740">
        <w:rPr>
          <w:rFonts w:ascii="Verdana" w:hAnsi="Verdana"/>
          <w:sz w:val="20"/>
          <w:szCs w:val="20"/>
          <w:lang w:val="en-US"/>
        </w:rPr>
        <w:t xml:space="preserve">the </w:t>
      </w:r>
      <w:r w:rsidR="000F4C84" w:rsidRPr="008A3740">
        <w:rPr>
          <w:rFonts w:ascii="Verdana" w:hAnsi="Verdana"/>
          <w:sz w:val="20"/>
          <w:szCs w:val="20"/>
          <w:lang w:val="en-US"/>
        </w:rPr>
        <w:t xml:space="preserve">ranking, salary level </w:t>
      </w:r>
      <w:r w:rsidRPr="008A3740">
        <w:rPr>
          <w:rFonts w:ascii="Verdana" w:hAnsi="Verdana"/>
          <w:sz w:val="20"/>
          <w:szCs w:val="20"/>
          <w:lang w:val="en-US"/>
        </w:rPr>
        <w:t>and amount that t</w:t>
      </w:r>
      <w:r w:rsidR="00E16AFE" w:rsidRPr="008A3740">
        <w:rPr>
          <w:rFonts w:ascii="Verdana" w:hAnsi="Verdana"/>
          <w:sz w:val="20"/>
          <w:szCs w:val="20"/>
          <w:lang w:val="en-US"/>
        </w:rPr>
        <w:t xml:space="preserve">he victim should receive, which it estimated would </w:t>
      </w:r>
      <w:r w:rsidRPr="008A3740">
        <w:rPr>
          <w:rFonts w:ascii="Verdana" w:hAnsi="Verdana"/>
          <w:sz w:val="20"/>
          <w:szCs w:val="20"/>
          <w:lang w:val="en-US"/>
        </w:rPr>
        <w:t>total</w:t>
      </w:r>
      <w:r w:rsidR="00E16AFE" w:rsidRPr="008A3740">
        <w:rPr>
          <w:rFonts w:ascii="Verdana" w:hAnsi="Verdana"/>
          <w:sz w:val="20"/>
          <w:szCs w:val="20"/>
          <w:lang w:val="en-US"/>
        </w:rPr>
        <w:t xml:space="preserve"> </w:t>
      </w:r>
      <w:r w:rsidRPr="008A3740">
        <w:rPr>
          <w:rFonts w:ascii="Verdana" w:hAnsi="Verdana"/>
          <w:sz w:val="20"/>
          <w:szCs w:val="20"/>
          <w:lang w:val="en-US"/>
        </w:rPr>
        <w:t xml:space="preserve">S/1,337.61 new soles, as established by the MEF. </w:t>
      </w:r>
      <w:r w:rsidR="000F4C84" w:rsidRPr="008A3740">
        <w:rPr>
          <w:rFonts w:ascii="Verdana" w:hAnsi="Verdana"/>
          <w:sz w:val="20"/>
          <w:szCs w:val="20"/>
          <w:lang w:val="en-US"/>
        </w:rPr>
        <w:t>T</w:t>
      </w:r>
      <w:r w:rsidRPr="008A3740">
        <w:rPr>
          <w:rFonts w:ascii="Verdana" w:hAnsi="Verdana"/>
          <w:sz w:val="20"/>
          <w:szCs w:val="20"/>
          <w:lang w:val="en-US"/>
        </w:rPr>
        <w:t xml:space="preserve">he State </w:t>
      </w:r>
      <w:r w:rsidR="00E16AFE" w:rsidRPr="008A3740">
        <w:rPr>
          <w:rFonts w:ascii="Verdana" w:hAnsi="Verdana"/>
          <w:sz w:val="20"/>
          <w:szCs w:val="20"/>
          <w:lang w:val="en-US"/>
        </w:rPr>
        <w:t xml:space="preserve">also </w:t>
      </w:r>
      <w:r w:rsidR="000F4C84" w:rsidRPr="008A3740">
        <w:rPr>
          <w:rFonts w:ascii="Verdana" w:hAnsi="Verdana"/>
          <w:sz w:val="20"/>
          <w:szCs w:val="20"/>
          <w:lang w:val="en-US"/>
        </w:rPr>
        <w:t xml:space="preserve">reported that it had </w:t>
      </w:r>
      <w:r w:rsidRPr="008A3740">
        <w:rPr>
          <w:rFonts w:ascii="Verdana" w:hAnsi="Verdana"/>
          <w:sz w:val="20"/>
          <w:szCs w:val="20"/>
          <w:lang w:val="en-US"/>
        </w:rPr>
        <w:t>re</w:t>
      </w:r>
      <w:r w:rsidR="00E16AFE" w:rsidRPr="008A3740">
        <w:rPr>
          <w:rFonts w:ascii="Verdana" w:hAnsi="Verdana"/>
          <w:sz w:val="20"/>
          <w:szCs w:val="20"/>
          <w:lang w:val="en-US"/>
        </w:rPr>
        <w:t>-</w:t>
      </w:r>
      <w:r w:rsidRPr="008A3740">
        <w:rPr>
          <w:rFonts w:ascii="Verdana" w:hAnsi="Verdana"/>
          <w:sz w:val="20"/>
          <w:szCs w:val="20"/>
          <w:lang w:val="en-US"/>
        </w:rPr>
        <w:t xml:space="preserve">established medical care </w:t>
      </w:r>
      <w:r w:rsidR="000F4C84" w:rsidRPr="008A3740">
        <w:rPr>
          <w:rFonts w:ascii="Verdana" w:hAnsi="Verdana"/>
          <w:sz w:val="20"/>
          <w:szCs w:val="20"/>
          <w:lang w:val="en-US"/>
        </w:rPr>
        <w:t xml:space="preserve">for </w:t>
      </w:r>
      <w:r w:rsidRPr="008A3740">
        <w:rPr>
          <w:rFonts w:ascii="Verdana" w:hAnsi="Verdana"/>
          <w:sz w:val="20"/>
          <w:szCs w:val="20"/>
          <w:lang w:val="en-US"/>
        </w:rPr>
        <w:t xml:space="preserve">Mr. Muelle Flores through the social health insurance </w:t>
      </w:r>
      <w:r w:rsidR="000F4C84" w:rsidRPr="008A3740">
        <w:rPr>
          <w:rFonts w:ascii="Verdana" w:hAnsi="Verdana"/>
          <w:sz w:val="20"/>
          <w:szCs w:val="20"/>
          <w:lang w:val="en-US"/>
        </w:rPr>
        <w:t xml:space="preserve">system, </w:t>
      </w:r>
      <w:r w:rsidRPr="008A3740">
        <w:rPr>
          <w:rFonts w:ascii="Verdana" w:hAnsi="Verdana"/>
          <w:sz w:val="20"/>
          <w:szCs w:val="20"/>
          <w:lang w:val="en-US"/>
        </w:rPr>
        <w:t xml:space="preserve">EsSalud, and therefore </w:t>
      </w:r>
      <w:r w:rsidR="000F4C84" w:rsidRPr="008A3740">
        <w:rPr>
          <w:rFonts w:ascii="Verdana" w:hAnsi="Verdana"/>
          <w:sz w:val="20"/>
          <w:szCs w:val="20"/>
          <w:lang w:val="en-US"/>
        </w:rPr>
        <w:t xml:space="preserve">he </w:t>
      </w:r>
      <w:r w:rsidRPr="008A3740">
        <w:rPr>
          <w:rFonts w:ascii="Verdana" w:hAnsi="Verdana"/>
          <w:sz w:val="20"/>
          <w:szCs w:val="20"/>
          <w:lang w:val="en-US"/>
        </w:rPr>
        <w:t xml:space="preserve">should register </w:t>
      </w:r>
      <w:r w:rsidR="00E16AFE" w:rsidRPr="008A3740">
        <w:rPr>
          <w:rFonts w:ascii="Verdana" w:hAnsi="Verdana"/>
          <w:sz w:val="20"/>
          <w:szCs w:val="20"/>
          <w:lang w:val="en-US"/>
        </w:rPr>
        <w:t xml:space="preserve">in order </w:t>
      </w:r>
      <w:r w:rsidRPr="008A3740">
        <w:rPr>
          <w:rFonts w:ascii="Verdana" w:hAnsi="Verdana"/>
          <w:sz w:val="20"/>
          <w:szCs w:val="20"/>
          <w:lang w:val="en-US"/>
        </w:rPr>
        <w:t xml:space="preserve">to have immediate access to </w:t>
      </w:r>
      <w:r w:rsidR="000F4C84" w:rsidRPr="008A3740">
        <w:rPr>
          <w:rFonts w:ascii="Verdana" w:hAnsi="Verdana"/>
          <w:sz w:val="20"/>
          <w:szCs w:val="20"/>
          <w:lang w:val="en-US"/>
        </w:rPr>
        <w:t xml:space="preserve">those </w:t>
      </w:r>
      <w:r w:rsidRPr="008A3740">
        <w:rPr>
          <w:rFonts w:ascii="Verdana" w:hAnsi="Verdana"/>
          <w:sz w:val="20"/>
          <w:szCs w:val="20"/>
          <w:lang w:val="en-US"/>
        </w:rPr>
        <w:t>services. In view</w:t>
      </w:r>
      <w:r w:rsidRPr="008A3740">
        <w:rPr>
          <w:rFonts w:ascii="Verdana" w:hAnsi="Verdana"/>
          <w:b/>
          <w:sz w:val="20"/>
          <w:szCs w:val="20"/>
          <w:lang w:val="en-US"/>
        </w:rPr>
        <w:t xml:space="preserve"> </w:t>
      </w:r>
      <w:r w:rsidRPr="008A3740">
        <w:rPr>
          <w:rFonts w:ascii="Verdana" w:hAnsi="Verdana"/>
          <w:sz w:val="20"/>
          <w:szCs w:val="20"/>
          <w:lang w:val="en-US"/>
        </w:rPr>
        <w:t>of the actions taken, the State asked the Court to deduct the amounts a</w:t>
      </w:r>
      <w:r w:rsidR="00E16AFE" w:rsidRPr="008A3740">
        <w:rPr>
          <w:rFonts w:ascii="Verdana" w:hAnsi="Verdana"/>
          <w:sz w:val="20"/>
          <w:szCs w:val="20"/>
          <w:lang w:val="en-US"/>
        </w:rPr>
        <w:t xml:space="preserve">llocated </w:t>
      </w:r>
      <w:r w:rsidRPr="008A3740">
        <w:rPr>
          <w:rFonts w:ascii="Verdana" w:hAnsi="Verdana"/>
          <w:sz w:val="20"/>
          <w:szCs w:val="20"/>
          <w:lang w:val="en-US"/>
        </w:rPr>
        <w:t>f</w:t>
      </w:r>
      <w:r w:rsidR="00E16AFE" w:rsidRPr="008A3740">
        <w:rPr>
          <w:rFonts w:ascii="Verdana" w:hAnsi="Verdana"/>
          <w:sz w:val="20"/>
          <w:szCs w:val="20"/>
          <w:lang w:val="en-US"/>
        </w:rPr>
        <w:t xml:space="preserve">rom </w:t>
      </w:r>
      <w:r w:rsidRPr="008A3740">
        <w:rPr>
          <w:rFonts w:ascii="Verdana" w:hAnsi="Verdana"/>
          <w:sz w:val="20"/>
          <w:szCs w:val="20"/>
          <w:lang w:val="en-US"/>
        </w:rPr>
        <w:t xml:space="preserve">any compensation that </w:t>
      </w:r>
      <w:r w:rsidR="00E16AFE" w:rsidRPr="008A3740">
        <w:rPr>
          <w:rFonts w:ascii="Verdana" w:hAnsi="Verdana"/>
          <w:sz w:val="20"/>
          <w:szCs w:val="20"/>
          <w:lang w:val="en-US"/>
        </w:rPr>
        <w:t xml:space="preserve">it might </w:t>
      </w:r>
      <w:r w:rsidRPr="008A3740">
        <w:rPr>
          <w:rFonts w:ascii="Verdana" w:hAnsi="Verdana"/>
          <w:sz w:val="20"/>
          <w:szCs w:val="20"/>
          <w:lang w:val="en-US"/>
        </w:rPr>
        <w:t xml:space="preserve">eventually </w:t>
      </w:r>
      <w:r w:rsidR="00E16AFE" w:rsidRPr="008A3740">
        <w:rPr>
          <w:rFonts w:ascii="Verdana" w:hAnsi="Verdana"/>
          <w:sz w:val="20"/>
          <w:szCs w:val="20"/>
          <w:lang w:val="en-US"/>
        </w:rPr>
        <w:t>order</w:t>
      </w:r>
      <w:r w:rsidRPr="008A3740">
        <w:rPr>
          <w:rFonts w:ascii="Verdana" w:hAnsi="Verdana"/>
          <w:b/>
          <w:sz w:val="20"/>
          <w:szCs w:val="20"/>
          <w:lang w:val="en-US"/>
        </w:rPr>
        <w:t>.</w:t>
      </w:r>
    </w:p>
    <w:p w14:paraId="3EC31C8E" w14:textId="77777777" w:rsidR="008E6A56" w:rsidRPr="008A3740" w:rsidRDefault="008E6A56" w:rsidP="008E6A56">
      <w:pPr>
        <w:pStyle w:val="Ttulo3"/>
        <w:rPr>
          <w:lang w:val="en-US"/>
        </w:rPr>
      </w:pPr>
      <w:bookmarkStart w:id="120" w:name="_Toc5009897"/>
      <w:r w:rsidRPr="008A3740">
        <w:rPr>
          <w:lang w:val="en-US"/>
        </w:rPr>
        <w:t>B.2. Considerations of the Court</w:t>
      </w:r>
      <w:bookmarkEnd w:id="120"/>
    </w:p>
    <w:p w14:paraId="5E2B48B4" w14:textId="77777777" w:rsidR="008E6A56" w:rsidRPr="008A3740" w:rsidRDefault="008E6A56" w:rsidP="008E6A56">
      <w:pPr>
        <w:contextualSpacing/>
        <w:rPr>
          <w:rFonts w:ascii="Verdana" w:hAnsi="Verdana"/>
          <w:b/>
          <w:sz w:val="20"/>
          <w:szCs w:val="20"/>
          <w:lang w:val="en-US"/>
        </w:rPr>
      </w:pPr>
    </w:p>
    <w:p w14:paraId="3D91086B"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bCs/>
          <w:spacing w:val="-2"/>
          <w:sz w:val="20"/>
          <w:szCs w:val="20"/>
          <w:lang w:val="en-US"/>
        </w:rPr>
        <w:t xml:space="preserve">As this Court has already established, the </w:t>
      </w:r>
      <w:r w:rsidRPr="008A3740">
        <w:rPr>
          <w:rFonts w:ascii="Verdana" w:hAnsi="Verdana"/>
          <w:bCs/>
          <w:iCs/>
          <w:sz w:val="20"/>
          <w:szCs w:val="20"/>
          <w:lang w:val="en-US"/>
        </w:rPr>
        <w:t xml:space="preserve">reparation of the harm caused by the violation of an </w:t>
      </w:r>
      <w:r w:rsidRPr="008A3740">
        <w:rPr>
          <w:rFonts w:ascii="Verdana" w:hAnsi="Verdana"/>
          <w:bCs/>
          <w:iCs/>
          <w:sz w:val="20"/>
          <w:szCs w:val="20"/>
          <w:lang w:val="en-US"/>
        </w:rPr>
        <w:lastRenderedPageBreak/>
        <w:t>international obligation requires, whenever possible, full restitution (</w:t>
      </w:r>
      <w:r w:rsidRPr="008A3740">
        <w:rPr>
          <w:rFonts w:ascii="Verdana" w:hAnsi="Verdana"/>
          <w:bCs/>
          <w:i/>
          <w:iCs/>
          <w:sz w:val="20"/>
          <w:szCs w:val="20"/>
          <w:lang w:val="en-US"/>
        </w:rPr>
        <w:t>restitutio in integrum</w:t>
      </w:r>
      <w:r w:rsidRPr="008A3740">
        <w:rPr>
          <w:rFonts w:ascii="Verdana" w:hAnsi="Verdana"/>
          <w:bCs/>
          <w:iCs/>
          <w:sz w:val="20"/>
          <w:szCs w:val="20"/>
          <w:lang w:val="en-US"/>
        </w:rPr>
        <w:t xml:space="preserve">), which consists of the </w:t>
      </w:r>
      <w:r w:rsidR="0090570A" w:rsidRPr="008A3740">
        <w:rPr>
          <w:rFonts w:ascii="Verdana" w:hAnsi="Verdana"/>
          <w:bCs/>
          <w:iCs/>
          <w:sz w:val="20"/>
          <w:szCs w:val="20"/>
          <w:lang w:val="en-US"/>
        </w:rPr>
        <w:t xml:space="preserve">restoration </w:t>
      </w:r>
      <w:r w:rsidRPr="008A3740">
        <w:rPr>
          <w:rFonts w:ascii="Verdana" w:hAnsi="Verdana"/>
          <w:bCs/>
          <w:iCs/>
          <w:sz w:val="20"/>
          <w:szCs w:val="20"/>
          <w:lang w:val="en-US"/>
        </w:rPr>
        <w:t>of the previous situation</w:t>
      </w:r>
      <w:r w:rsidRPr="008A3740">
        <w:rPr>
          <w:rFonts w:ascii="Verdana" w:hAnsi="Verdana"/>
          <w:bCs/>
          <w:spacing w:val="-2"/>
          <w:sz w:val="20"/>
          <w:szCs w:val="20"/>
          <w:lang w:val="en-US"/>
        </w:rPr>
        <w:t xml:space="preserve">. In </w:t>
      </w:r>
      <w:r w:rsidRPr="008A3740">
        <w:rPr>
          <w:rFonts w:ascii="Verdana" w:hAnsi="Verdana"/>
          <w:sz w:val="20"/>
          <w:szCs w:val="20"/>
          <w:lang w:val="en-US"/>
        </w:rPr>
        <w:t xml:space="preserve">this </w:t>
      </w:r>
      <w:r w:rsidR="00DB7C0F" w:rsidRPr="008A3740">
        <w:rPr>
          <w:rFonts w:ascii="Verdana" w:hAnsi="Verdana"/>
          <w:sz w:val="20"/>
          <w:szCs w:val="20"/>
          <w:lang w:val="en-US"/>
        </w:rPr>
        <w:t>regard</w:t>
      </w:r>
      <w:r w:rsidRPr="008A3740">
        <w:rPr>
          <w:rFonts w:ascii="Verdana" w:hAnsi="Verdana"/>
          <w:sz w:val="20"/>
          <w:szCs w:val="20"/>
          <w:lang w:val="en-US"/>
        </w:rPr>
        <w:t xml:space="preserve">, although the Court positively assesses the State’s willingness to fulfill its pension obligations with respect to Mr. Muelle Flores, </w:t>
      </w:r>
      <w:r w:rsidR="0090570A" w:rsidRPr="008A3740">
        <w:rPr>
          <w:rFonts w:ascii="Verdana" w:hAnsi="Verdana"/>
          <w:sz w:val="20"/>
          <w:szCs w:val="20"/>
          <w:lang w:val="en-US"/>
        </w:rPr>
        <w:t xml:space="preserve">it notes </w:t>
      </w:r>
      <w:r w:rsidRPr="008A3740">
        <w:rPr>
          <w:rFonts w:ascii="Verdana" w:hAnsi="Verdana"/>
          <w:sz w:val="20"/>
          <w:szCs w:val="20"/>
          <w:lang w:val="en-US"/>
        </w:rPr>
        <w:t>that mo</w:t>
      </w:r>
      <w:r w:rsidR="00034DFB" w:rsidRPr="008A3740">
        <w:rPr>
          <w:rFonts w:ascii="Verdana" w:hAnsi="Verdana"/>
          <w:sz w:val="20"/>
          <w:szCs w:val="20"/>
          <w:lang w:val="en-US"/>
        </w:rPr>
        <w:t>r</w:t>
      </w:r>
      <w:r w:rsidRPr="008A3740">
        <w:rPr>
          <w:rFonts w:ascii="Verdana" w:hAnsi="Verdana"/>
          <w:sz w:val="20"/>
          <w:szCs w:val="20"/>
          <w:lang w:val="en-US"/>
        </w:rPr>
        <w:t>e than</w:t>
      </w:r>
      <w:r w:rsidRPr="008A3740">
        <w:rPr>
          <w:rFonts w:ascii="Verdana" w:hAnsi="Verdana" w:cs="Cambria"/>
          <w:sz w:val="20"/>
          <w:szCs w:val="20"/>
          <w:lang w:val="en-US"/>
        </w:rPr>
        <w:t xml:space="preserve"> </w:t>
      </w:r>
      <w:r w:rsidRPr="008A3740">
        <w:rPr>
          <w:rFonts w:ascii="Verdana" w:hAnsi="Verdana"/>
          <w:sz w:val="20"/>
          <w:szCs w:val="20"/>
          <w:lang w:val="en-US"/>
        </w:rPr>
        <w:t xml:space="preserve">25 </w:t>
      </w:r>
      <w:r w:rsidRPr="008A3740">
        <w:rPr>
          <w:rFonts w:ascii="Verdana" w:hAnsi="Verdana" w:cs="Arial"/>
          <w:sz w:val="20"/>
          <w:szCs w:val="20"/>
          <w:lang w:val="en-US"/>
        </w:rPr>
        <w:t xml:space="preserve">years have elapsed </w:t>
      </w:r>
      <w:r w:rsidR="00034DFB" w:rsidRPr="008A3740">
        <w:rPr>
          <w:rFonts w:ascii="Verdana" w:hAnsi="Verdana" w:cs="Arial"/>
          <w:sz w:val="20"/>
          <w:szCs w:val="20"/>
          <w:lang w:val="en-US"/>
        </w:rPr>
        <w:t xml:space="preserve">since </w:t>
      </w:r>
      <w:r w:rsidRPr="008A3740">
        <w:rPr>
          <w:rFonts w:ascii="Verdana" w:hAnsi="Verdana" w:cs="Arial"/>
          <w:sz w:val="20"/>
          <w:szCs w:val="20"/>
          <w:lang w:val="en-US"/>
        </w:rPr>
        <w:t>the fi</w:t>
      </w:r>
      <w:r w:rsidR="002B6755" w:rsidRPr="008A3740">
        <w:rPr>
          <w:rFonts w:ascii="Verdana" w:hAnsi="Verdana" w:cs="Arial"/>
          <w:sz w:val="20"/>
          <w:szCs w:val="20"/>
          <w:lang w:val="en-US"/>
        </w:rPr>
        <w:t>nal j</w:t>
      </w:r>
      <w:r w:rsidRPr="008A3740">
        <w:rPr>
          <w:rFonts w:ascii="Verdana" w:hAnsi="Verdana" w:cs="Arial"/>
          <w:sz w:val="20"/>
          <w:szCs w:val="20"/>
          <w:lang w:val="en-US"/>
        </w:rPr>
        <w:t>udgment of February 2, 1993</w:t>
      </w:r>
      <w:r w:rsidR="00A64672" w:rsidRPr="008A3740">
        <w:rPr>
          <w:rFonts w:ascii="Verdana" w:hAnsi="Verdana" w:cs="Arial"/>
          <w:sz w:val="20"/>
          <w:szCs w:val="20"/>
          <w:lang w:val="en-US"/>
        </w:rPr>
        <w:t>,</w:t>
      </w:r>
      <w:r w:rsidRPr="008A3740">
        <w:rPr>
          <w:rFonts w:ascii="Verdana" w:hAnsi="Verdana" w:cs="Arial"/>
          <w:sz w:val="20"/>
          <w:szCs w:val="20"/>
          <w:lang w:val="en-US"/>
        </w:rPr>
        <w:t xml:space="preserve"> and 19 years since the Judgment of December 10, 1999</w:t>
      </w:r>
      <w:r w:rsidR="0090570A" w:rsidRPr="008A3740">
        <w:rPr>
          <w:rFonts w:ascii="Verdana" w:hAnsi="Verdana" w:cs="Arial"/>
          <w:sz w:val="20"/>
          <w:szCs w:val="20"/>
          <w:lang w:val="en-US"/>
        </w:rPr>
        <w:t>,</w:t>
      </w:r>
      <w:r w:rsidR="00DB7C0F" w:rsidRPr="008A3740">
        <w:rPr>
          <w:rFonts w:ascii="Verdana" w:hAnsi="Verdana" w:cs="Arial"/>
          <w:sz w:val="20"/>
          <w:szCs w:val="20"/>
          <w:lang w:val="en-US"/>
        </w:rPr>
        <w:t xml:space="preserve"> were issued</w:t>
      </w:r>
      <w:r w:rsidRPr="008A3740">
        <w:rPr>
          <w:rFonts w:ascii="Verdana" w:hAnsi="Verdana" w:cs="Arial"/>
          <w:sz w:val="20"/>
          <w:szCs w:val="20"/>
          <w:lang w:val="en-US"/>
        </w:rPr>
        <w:t xml:space="preserve">, </w:t>
      </w:r>
      <w:r w:rsidR="00810E97" w:rsidRPr="008A3740">
        <w:rPr>
          <w:rFonts w:ascii="Verdana" w:hAnsi="Verdana" w:cs="Arial"/>
          <w:sz w:val="20"/>
          <w:szCs w:val="20"/>
          <w:lang w:val="en-US"/>
        </w:rPr>
        <w:t xml:space="preserve">and </w:t>
      </w:r>
      <w:r w:rsidR="0090570A" w:rsidRPr="008A3740">
        <w:rPr>
          <w:rFonts w:ascii="Verdana" w:hAnsi="Verdana" w:cs="Arial"/>
          <w:sz w:val="20"/>
          <w:szCs w:val="20"/>
          <w:lang w:val="en-US"/>
        </w:rPr>
        <w:t xml:space="preserve">yet </w:t>
      </w:r>
      <w:r w:rsidR="00810E97" w:rsidRPr="008A3740">
        <w:rPr>
          <w:rFonts w:ascii="Verdana" w:hAnsi="Verdana" w:cs="Arial"/>
          <w:sz w:val="20"/>
          <w:szCs w:val="20"/>
          <w:lang w:val="en-US"/>
        </w:rPr>
        <w:t>still these rulings have not been complied with or executed</w:t>
      </w:r>
      <w:r w:rsidRPr="008A3740">
        <w:rPr>
          <w:rFonts w:ascii="Verdana" w:hAnsi="Verdana" w:cs="Cambria"/>
          <w:sz w:val="20"/>
          <w:szCs w:val="20"/>
          <w:lang w:val="en-US"/>
        </w:rPr>
        <w:t>. Accordingly, this Court declares that the State of Peru is responsible for the violation of  Articles</w:t>
      </w:r>
      <w:r w:rsidR="00810E97" w:rsidRPr="008A3740">
        <w:rPr>
          <w:rFonts w:ascii="Verdana" w:hAnsi="Verdana"/>
          <w:sz w:val="20"/>
          <w:szCs w:val="20"/>
          <w:lang w:val="en-US"/>
        </w:rPr>
        <w:t xml:space="preserve"> 8(1), 25(1) and 25(</w:t>
      </w:r>
      <w:r w:rsidRPr="008A3740">
        <w:rPr>
          <w:rFonts w:ascii="Verdana" w:hAnsi="Verdana"/>
          <w:sz w:val="20"/>
          <w:szCs w:val="20"/>
          <w:lang w:val="en-US"/>
        </w:rPr>
        <w:t>2</w:t>
      </w:r>
      <w:r w:rsidR="00810E97" w:rsidRPr="008A3740">
        <w:rPr>
          <w:rFonts w:ascii="Verdana" w:hAnsi="Verdana"/>
          <w:sz w:val="20"/>
          <w:szCs w:val="20"/>
          <w:lang w:val="en-US"/>
        </w:rPr>
        <w:t>)(</w:t>
      </w:r>
      <w:r w:rsidRPr="008A3740">
        <w:rPr>
          <w:rFonts w:ascii="Verdana" w:hAnsi="Verdana"/>
          <w:sz w:val="20"/>
          <w:szCs w:val="20"/>
          <w:lang w:val="en-US"/>
        </w:rPr>
        <w:t>c</w:t>
      </w:r>
      <w:r w:rsidR="00810E97" w:rsidRPr="008A3740">
        <w:rPr>
          <w:rFonts w:ascii="Verdana" w:hAnsi="Verdana"/>
          <w:sz w:val="20"/>
          <w:szCs w:val="20"/>
          <w:lang w:val="en-US"/>
        </w:rPr>
        <w:t>)</w:t>
      </w:r>
      <w:r w:rsidRPr="008A3740">
        <w:rPr>
          <w:rFonts w:ascii="Verdana" w:hAnsi="Verdana"/>
          <w:sz w:val="20"/>
          <w:szCs w:val="20"/>
          <w:lang w:val="en-US"/>
        </w:rPr>
        <w:t xml:space="preserve"> of the Convention, as well as </w:t>
      </w:r>
      <w:r w:rsidR="0090570A" w:rsidRPr="008A3740">
        <w:rPr>
          <w:rFonts w:ascii="Verdana" w:hAnsi="Verdana"/>
          <w:sz w:val="20"/>
          <w:szCs w:val="20"/>
          <w:lang w:val="en-US"/>
        </w:rPr>
        <w:t xml:space="preserve">of </w:t>
      </w:r>
      <w:r w:rsidRPr="008A3740">
        <w:rPr>
          <w:rFonts w:ascii="Verdana" w:hAnsi="Verdana"/>
          <w:sz w:val="20"/>
          <w:szCs w:val="20"/>
          <w:lang w:val="en-US"/>
        </w:rPr>
        <w:t>Articles 26, 5(1), 11(1)</w:t>
      </w:r>
      <w:r w:rsidRPr="008A3740">
        <w:rPr>
          <w:rFonts w:ascii="Verdana" w:hAnsi="Verdana"/>
          <w:b/>
          <w:sz w:val="20"/>
          <w:szCs w:val="20"/>
          <w:lang w:val="en-US"/>
        </w:rPr>
        <w:t>,</w:t>
      </w:r>
      <w:r w:rsidRPr="008A3740">
        <w:rPr>
          <w:rFonts w:ascii="Verdana" w:hAnsi="Verdana"/>
          <w:sz w:val="20"/>
          <w:szCs w:val="20"/>
          <w:lang w:val="en-US"/>
        </w:rPr>
        <w:t xml:space="preserve"> 21(1) and 21(2) thereof, to the detriment of Oscar Muelle Flores.</w:t>
      </w:r>
    </w:p>
    <w:p w14:paraId="7FFCC157" w14:textId="77777777" w:rsidR="008E6A56" w:rsidRPr="008A3740" w:rsidRDefault="008E6A56" w:rsidP="008E6A56">
      <w:pPr>
        <w:tabs>
          <w:tab w:val="left" w:pos="567"/>
        </w:tabs>
        <w:textAlignment w:val="auto"/>
        <w:rPr>
          <w:rFonts w:ascii="Verdana" w:hAnsi="Verdana" w:cs="Arial"/>
          <w:sz w:val="20"/>
          <w:szCs w:val="20"/>
          <w:lang w:val="en-US"/>
        </w:rPr>
      </w:pPr>
    </w:p>
    <w:p w14:paraId="1E9229F5" w14:textId="77777777" w:rsidR="008E6A56" w:rsidRPr="008A3740" w:rsidRDefault="007067F3"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cs="Arial"/>
          <w:sz w:val="20"/>
          <w:szCs w:val="20"/>
          <w:lang w:val="en-US"/>
        </w:rPr>
        <w:t>Nevertheless</w:t>
      </w:r>
      <w:r w:rsidR="008E6A56" w:rsidRPr="008A3740">
        <w:rPr>
          <w:rFonts w:ascii="Verdana" w:hAnsi="Verdana" w:cs="Arial"/>
          <w:sz w:val="20"/>
          <w:szCs w:val="20"/>
          <w:lang w:val="en-US"/>
        </w:rPr>
        <w:t>, the Court considers very positive the decision of the State to re</w:t>
      </w:r>
      <w:r w:rsidR="00810E97" w:rsidRPr="008A3740">
        <w:rPr>
          <w:rFonts w:ascii="Verdana" w:hAnsi="Verdana" w:cs="Arial"/>
          <w:sz w:val="20"/>
          <w:szCs w:val="20"/>
          <w:lang w:val="en-US"/>
        </w:rPr>
        <w:t>-</w:t>
      </w:r>
      <w:r w:rsidR="008E6A56" w:rsidRPr="008A3740">
        <w:rPr>
          <w:rFonts w:ascii="Verdana" w:hAnsi="Verdana" w:cs="Arial"/>
          <w:sz w:val="20"/>
          <w:szCs w:val="20"/>
          <w:lang w:val="en-US"/>
        </w:rPr>
        <w:t xml:space="preserve">establish, provisionally, Mr. Muelle Flores’ pension, and </w:t>
      </w:r>
      <w:r w:rsidR="00810E97" w:rsidRPr="008A3740">
        <w:rPr>
          <w:rFonts w:ascii="Verdana" w:hAnsi="Verdana" w:cs="Arial"/>
          <w:sz w:val="20"/>
          <w:szCs w:val="20"/>
          <w:lang w:val="en-US"/>
        </w:rPr>
        <w:t xml:space="preserve">to restore </w:t>
      </w:r>
      <w:r w:rsidR="00E22ED8" w:rsidRPr="008A3740">
        <w:rPr>
          <w:rFonts w:ascii="Verdana" w:hAnsi="Verdana" w:cs="Arial"/>
          <w:sz w:val="20"/>
          <w:szCs w:val="20"/>
          <w:lang w:val="en-US"/>
        </w:rPr>
        <w:t xml:space="preserve">his access to </w:t>
      </w:r>
      <w:r w:rsidR="008E6A56" w:rsidRPr="008A3740">
        <w:rPr>
          <w:rFonts w:ascii="Verdana" w:hAnsi="Verdana" w:cs="Arial"/>
          <w:sz w:val="20"/>
          <w:szCs w:val="20"/>
          <w:lang w:val="en-US"/>
        </w:rPr>
        <w:t>the medical care provided by Peru’s social security</w:t>
      </w:r>
      <w:r w:rsidR="0090570A" w:rsidRPr="008A3740">
        <w:rPr>
          <w:rFonts w:ascii="Verdana" w:hAnsi="Verdana" w:cs="Arial"/>
          <w:sz w:val="20"/>
          <w:szCs w:val="20"/>
          <w:lang w:val="en-US"/>
        </w:rPr>
        <w:t xml:space="preserve"> system</w:t>
      </w:r>
      <w:r w:rsidR="008E6A56" w:rsidRPr="008A3740">
        <w:rPr>
          <w:rFonts w:ascii="Verdana" w:hAnsi="Verdana" w:cs="Arial"/>
          <w:sz w:val="20"/>
          <w:szCs w:val="20"/>
          <w:lang w:val="en-US"/>
        </w:rPr>
        <w:t xml:space="preserve">. This decision was adopted </w:t>
      </w:r>
      <w:r w:rsidR="008E6A56" w:rsidRPr="008A3740">
        <w:rPr>
          <w:rFonts w:ascii="Verdana" w:hAnsi="Verdana" w:cs="Arial"/>
          <w:i/>
          <w:sz w:val="20"/>
          <w:szCs w:val="20"/>
          <w:lang w:val="en-US"/>
        </w:rPr>
        <w:t>ex officio</w:t>
      </w:r>
      <w:r w:rsidR="008E6A56" w:rsidRPr="008A3740">
        <w:rPr>
          <w:rFonts w:ascii="Verdana" w:hAnsi="Verdana" w:cs="Arial"/>
          <w:sz w:val="20"/>
          <w:szCs w:val="20"/>
          <w:lang w:val="en-US"/>
        </w:rPr>
        <w:t xml:space="preserve"> by the State, in order to guarantee the victim access to a better quality of life, wh</w:t>
      </w:r>
      <w:r w:rsidR="00135EBB" w:rsidRPr="008A3740">
        <w:rPr>
          <w:rFonts w:ascii="Verdana" w:hAnsi="Verdana" w:cs="Arial"/>
          <w:sz w:val="20"/>
          <w:szCs w:val="20"/>
          <w:lang w:val="en-US"/>
        </w:rPr>
        <w:t>ich denotes a positive attitude</w:t>
      </w:r>
      <w:r w:rsidR="008E6A56" w:rsidRPr="008A3740">
        <w:rPr>
          <w:rFonts w:ascii="Verdana" w:hAnsi="Verdana" w:cs="Arial"/>
          <w:sz w:val="20"/>
          <w:szCs w:val="20"/>
          <w:lang w:val="en-US"/>
        </w:rPr>
        <w:t xml:space="preserve"> on the part of the Peruvian State, </w:t>
      </w:r>
      <w:r w:rsidR="00135EBB" w:rsidRPr="008A3740">
        <w:rPr>
          <w:rFonts w:ascii="Verdana" w:hAnsi="Verdana" w:cs="Arial"/>
          <w:sz w:val="20"/>
          <w:szCs w:val="20"/>
          <w:lang w:val="en-US"/>
        </w:rPr>
        <w:t>in</w:t>
      </w:r>
      <w:r w:rsidR="008E6A56" w:rsidRPr="008A3740">
        <w:rPr>
          <w:rFonts w:ascii="Verdana" w:hAnsi="Verdana" w:cs="Arial"/>
          <w:sz w:val="20"/>
          <w:szCs w:val="20"/>
          <w:lang w:val="en-US"/>
        </w:rPr>
        <w:t xml:space="preserve"> compliance with</w:t>
      </w:r>
      <w:r w:rsidR="00E00853" w:rsidRPr="008A3740">
        <w:rPr>
          <w:rFonts w:ascii="Verdana" w:hAnsi="Verdana" w:cs="Arial"/>
          <w:sz w:val="20"/>
          <w:szCs w:val="20"/>
          <w:lang w:val="en-US"/>
        </w:rPr>
        <w:t xml:space="preserve"> its international obligations </w:t>
      </w:r>
      <w:r w:rsidR="008E6A56" w:rsidRPr="008A3740">
        <w:rPr>
          <w:rFonts w:ascii="Verdana" w:hAnsi="Verdana" w:cs="Arial"/>
          <w:sz w:val="20"/>
          <w:szCs w:val="20"/>
          <w:lang w:val="en-US"/>
        </w:rPr>
        <w:t>under the American Convention.</w:t>
      </w:r>
    </w:p>
    <w:p w14:paraId="68605F83" w14:textId="77777777" w:rsidR="008E6A56" w:rsidRPr="008A3740" w:rsidRDefault="008E6A56" w:rsidP="008E6A56">
      <w:pPr>
        <w:tabs>
          <w:tab w:val="left" w:pos="567"/>
        </w:tabs>
        <w:textAlignment w:val="auto"/>
        <w:rPr>
          <w:rFonts w:ascii="Verdana" w:hAnsi="Verdana" w:cs="Arial"/>
          <w:sz w:val="20"/>
          <w:szCs w:val="20"/>
          <w:lang w:val="en-US"/>
        </w:rPr>
      </w:pPr>
    </w:p>
    <w:p w14:paraId="543D17AE"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cs="Cambria"/>
          <w:sz w:val="20"/>
          <w:szCs w:val="20"/>
          <w:lang w:val="en-US"/>
        </w:rPr>
        <w:t xml:space="preserve">Given that the State indicated that the measures adopted are provisional until this Court </w:t>
      </w:r>
      <w:r w:rsidR="00135EBB" w:rsidRPr="008A3740">
        <w:rPr>
          <w:rFonts w:ascii="Verdana" w:hAnsi="Verdana" w:cs="Cambria"/>
          <w:sz w:val="20"/>
          <w:szCs w:val="20"/>
          <w:lang w:val="en-US"/>
        </w:rPr>
        <w:t xml:space="preserve">delivers </w:t>
      </w:r>
      <w:r w:rsidR="0090570A" w:rsidRPr="008A3740">
        <w:rPr>
          <w:rFonts w:ascii="Verdana" w:hAnsi="Verdana" w:cs="Cambria"/>
          <w:sz w:val="20"/>
          <w:szCs w:val="20"/>
          <w:lang w:val="en-US"/>
        </w:rPr>
        <w:t>the corresponding J</w:t>
      </w:r>
      <w:r w:rsidRPr="008A3740">
        <w:rPr>
          <w:rFonts w:ascii="Verdana" w:hAnsi="Verdana" w:cs="Cambria"/>
          <w:sz w:val="20"/>
          <w:szCs w:val="20"/>
          <w:lang w:val="en-US"/>
        </w:rPr>
        <w:t xml:space="preserve">udgment, </w:t>
      </w:r>
      <w:r w:rsidR="00135EBB" w:rsidRPr="008A3740">
        <w:rPr>
          <w:rFonts w:ascii="Verdana" w:hAnsi="Verdana" w:cs="Cambria"/>
          <w:sz w:val="20"/>
          <w:szCs w:val="20"/>
          <w:lang w:val="en-US"/>
        </w:rPr>
        <w:t xml:space="preserve">and until it has been </w:t>
      </w:r>
      <w:r w:rsidRPr="008A3740">
        <w:rPr>
          <w:rFonts w:ascii="Verdana" w:hAnsi="Verdana" w:cs="Cambria"/>
          <w:sz w:val="20"/>
          <w:szCs w:val="20"/>
          <w:lang w:val="en-US"/>
        </w:rPr>
        <w:t xml:space="preserve">notified thereof, </w:t>
      </w:r>
      <w:r w:rsidR="00135EBB" w:rsidRPr="008A3740">
        <w:rPr>
          <w:rFonts w:ascii="Verdana" w:hAnsi="Verdana" w:cs="Cambria"/>
          <w:sz w:val="20"/>
          <w:szCs w:val="20"/>
          <w:lang w:val="en-US"/>
        </w:rPr>
        <w:t xml:space="preserve">it </w:t>
      </w:r>
      <w:r w:rsidRPr="008A3740">
        <w:rPr>
          <w:rFonts w:ascii="Verdana" w:hAnsi="Verdana" w:cs="Cambria"/>
          <w:sz w:val="20"/>
          <w:szCs w:val="20"/>
          <w:lang w:val="en-US"/>
        </w:rPr>
        <w:t>must comply with the judgments delivered in favor of the victim and ensure the effective payment of Mr. Oscar Muelle Flores’ pension under the terms of Decree Law</w:t>
      </w:r>
      <w:r w:rsidR="00135EBB" w:rsidRPr="008A3740">
        <w:rPr>
          <w:rFonts w:ascii="Verdana" w:hAnsi="Verdana"/>
          <w:iCs/>
          <w:sz w:val="20"/>
          <w:szCs w:val="20"/>
          <w:lang w:val="en-US"/>
        </w:rPr>
        <w:t xml:space="preserve"> No. 20530 and pursuant to</w:t>
      </w:r>
      <w:r w:rsidRPr="008A3740">
        <w:rPr>
          <w:rFonts w:ascii="Verdana" w:hAnsi="Verdana"/>
          <w:iCs/>
          <w:sz w:val="20"/>
          <w:szCs w:val="20"/>
          <w:lang w:val="en-US"/>
        </w:rPr>
        <w:t xml:space="preserve"> current regulations on this matter,</w:t>
      </w:r>
      <w:r w:rsidRPr="008A3740">
        <w:rPr>
          <w:rStyle w:val="Refdenotaalpie"/>
          <w:szCs w:val="20"/>
          <w:lang w:val="en-US"/>
        </w:rPr>
        <w:footnoteReference w:id="231"/>
      </w:r>
      <w:r w:rsidRPr="008A3740">
        <w:rPr>
          <w:rFonts w:ascii="Verdana" w:hAnsi="Verdana"/>
          <w:sz w:val="20"/>
          <w:szCs w:val="20"/>
          <w:lang w:val="en-US"/>
        </w:rPr>
        <w:t xml:space="preserve"> within </w:t>
      </w:r>
      <w:r w:rsidR="00135EBB" w:rsidRPr="008A3740">
        <w:rPr>
          <w:rFonts w:ascii="Verdana" w:hAnsi="Verdana" w:cs="Cambria"/>
          <w:sz w:val="20"/>
          <w:szCs w:val="20"/>
          <w:lang w:val="en-US"/>
        </w:rPr>
        <w:t>six months of</w:t>
      </w:r>
      <w:r w:rsidRPr="008A3740">
        <w:rPr>
          <w:rFonts w:ascii="Verdana" w:hAnsi="Verdana" w:cs="Cambria"/>
          <w:sz w:val="20"/>
          <w:szCs w:val="20"/>
          <w:lang w:val="en-US"/>
        </w:rPr>
        <w:t xml:space="preserve"> notification of this Judgment.</w:t>
      </w:r>
      <w:r w:rsidRPr="008A3740">
        <w:rPr>
          <w:rFonts w:ascii="Verdana" w:hAnsi="Verdana"/>
          <w:sz w:val="20"/>
          <w:szCs w:val="20"/>
          <w:lang w:val="en-US"/>
        </w:rPr>
        <w:t xml:space="preserve"> </w:t>
      </w:r>
      <w:r w:rsidR="00135EBB" w:rsidRPr="008A3740">
        <w:rPr>
          <w:rFonts w:ascii="Verdana" w:hAnsi="Verdana"/>
          <w:sz w:val="20"/>
          <w:szCs w:val="20"/>
          <w:lang w:val="en-US"/>
        </w:rPr>
        <w:t>Accordingly</w:t>
      </w:r>
      <w:r w:rsidRPr="008A3740">
        <w:rPr>
          <w:rFonts w:ascii="Verdana" w:hAnsi="Verdana"/>
          <w:sz w:val="20"/>
          <w:szCs w:val="20"/>
          <w:lang w:val="en-US"/>
        </w:rPr>
        <w:t xml:space="preserve">, the judicial authorities </w:t>
      </w:r>
      <w:r w:rsidR="007067F3" w:rsidRPr="008A3740">
        <w:rPr>
          <w:rFonts w:ascii="Verdana" w:hAnsi="Verdana"/>
          <w:sz w:val="20"/>
          <w:szCs w:val="20"/>
          <w:lang w:val="en-US"/>
        </w:rPr>
        <w:t xml:space="preserve">must </w:t>
      </w:r>
      <w:r w:rsidR="00E00853" w:rsidRPr="008A3740">
        <w:rPr>
          <w:rFonts w:ascii="Verdana" w:hAnsi="Verdana" w:cs="Cambria"/>
          <w:sz w:val="20"/>
          <w:szCs w:val="20"/>
          <w:lang w:val="en-US"/>
        </w:rPr>
        <w:t>implement any</w:t>
      </w:r>
      <w:r w:rsidRPr="008A3740">
        <w:rPr>
          <w:rFonts w:ascii="Verdana" w:hAnsi="Verdana" w:cs="Cambria"/>
          <w:sz w:val="20"/>
          <w:szCs w:val="20"/>
          <w:lang w:val="en-US"/>
        </w:rPr>
        <w:t xml:space="preserve"> measures </w:t>
      </w:r>
      <w:r w:rsidR="00135EBB" w:rsidRPr="008A3740">
        <w:rPr>
          <w:rFonts w:ascii="Verdana" w:hAnsi="Verdana" w:cs="Cambria"/>
          <w:sz w:val="20"/>
          <w:szCs w:val="20"/>
          <w:lang w:val="en-US"/>
        </w:rPr>
        <w:t xml:space="preserve">deemed </w:t>
      </w:r>
      <w:r w:rsidRPr="008A3740">
        <w:rPr>
          <w:rFonts w:ascii="Verdana" w:hAnsi="Verdana" w:cs="Cambria"/>
          <w:sz w:val="20"/>
          <w:szCs w:val="20"/>
          <w:lang w:val="en-US"/>
        </w:rPr>
        <w:t xml:space="preserve">necessary in </w:t>
      </w:r>
      <w:r w:rsidR="00E00853" w:rsidRPr="008A3740">
        <w:rPr>
          <w:rFonts w:ascii="Verdana" w:hAnsi="Verdana" w:cs="Cambria"/>
          <w:sz w:val="20"/>
          <w:szCs w:val="20"/>
          <w:lang w:val="en-US"/>
        </w:rPr>
        <w:t xml:space="preserve">the event of </w:t>
      </w:r>
      <w:r w:rsidRPr="008A3740">
        <w:rPr>
          <w:rFonts w:ascii="Verdana" w:hAnsi="Verdana" w:cs="Cambria"/>
          <w:sz w:val="20"/>
          <w:szCs w:val="20"/>
          <w:lang w:val="en-US"/>
        </w:rPr>
        <w:t xml:space="preserve">non-compliance </w:t>
      </w:r>
      <w:r w:rsidR="00135EBB" w:rsidRPr="008A3740">
        <w:rPr>
          <w:rFonts w:ascii="Verdana" w:hAnsi="Verdana" w:cs="Cambria"/>
          <w:sz w:val="20"/>
          <w:szCs w:val="20"/>
          <w:lang w:val="en-US"/>
        </w:rPr>
        <w:t xml:space="preserve">by </w:t>
      </w:r>
      <w:r w:rsidR="007067F3" w:rsidRPr="008A3740">
        <w:rPr>
          <w:rFonts w:ascii="Verdana" w:hAnsi="Verdana" w:cs="Cambria"/>
          <w:sz w:val="20"/>
          <w:szCs w:val="20"/>
          <w:lang w:val="en-US"/>
        </w:rPr>
        <w:t>the</w:t>
      </w:r>
      <w:r w:rsidRPr="008A3740">
        <w:rPr>
          <w:rFonts w:ascii="Verdana" w:hAnsi="Verdana" w:cs="Cambria"/>
          <w:sz w:val="20"/>
          <w:szCs w:val="20"/>
          <w:lang w:val="en-US"/>
        </w:rPr>
        <w:t xml:space="preserve"> entity responsible </w:t>
      </w:r>
      <w:r w:rsidR="00135EBB" w:rsidRPr="008A3740">
        <w:rPr>
          <w:rFonts w:ascii="Verdana" w:hAnsi="Verdana" w:cs="Cambria"/>
          <w:sz w:val="20"/>
          <w:szCs w:val="20"/>
          <w:lang w:val="en-US"/>
        </w:rPr>
        <w:t>for paying Mr. Muelle Flores’ pension</w:t>
      </w:r>
      <w:r w:rsidRPr="008A3740">
        <w:rPr>
          <w:rFonts w:ascii="Verdana" w:hAnsi="Verdana" w:cs="Cambria"/>
          <w:sz w:val="20"/>
          <w:szCs w:val="20"/>
          <w:lang w:val="en-US"/>
        </w:rPr>
        <w:t xml:space="preserve">. The Court </w:t>
      </w:r>
      <w:r w:rsidR="00135EBB" w:rsidRPr="008A3740">
        <w:rPr>
          <w:rFonts w:ascii="Verdana" w:hAnsi="Verdana" w:cs="Cambria"/>
          <w:sz w:val="20"/>
          <w:szCs w:val="20"/>
          <w:lang w:val="en-US"/>
        </w:rPr>
        <w:t xml:space="preserve">emphasizes </w:t>
      </w:r>
      <w:r w:rsidR="007067F3" w:rsidRPr="008A3740">
        <w:rPr>
          <w:rFonts w:ascii="Verdana" w:hAnsi="Verdana" w:cs="Cambria"/>
          <w:sz w:val="20"/>
          <w:szCs w:val="20"/>
          <w:lang w:val="en-US"/>
        </w:rPr>
        <w:t>that</w:t>
      </w:r>
      <w:r w:rsidRPr="008A3740">
        <w:rPr>
          <w:rFonts w:ascii="Verdana" w:hAnsi="Verdana" w:cs="Cambria"/>
          <w:sz w:val="20"/>
          <w:szCs w:val="20"/>
          <w:lang w:val="en-US"/>
        </w:rPr>
        <w:t xml:space="preserve">, </w:t>
      </w:r>
      <w:r w:rsidR="0090570A" w:rsidRPr="008A3740">
        <w:rPr>
          <w:rFonts w:ascii="Verdana" w:hAnsi="Verdana" w:cs="Cambria"/>
          <w:sz w:val="20"/>
          <w:szCs w:val="20"/>
          <w:lang w:val="en-US"/>
        </w:rPr>
        <w:t xml:space="preserve">according to </w:t>
      </w:r>
      <w:r w:rsidR="007067F3" w:rsidRPr="008A3740">
        <w:rPr>
          <w:rFonts w:ascii="Verdana" w:hAnsi="Verdana" w:cs="Cambria"/>
          <w:sz w:val="20"/>
          <w:szCs w:val="20"/>
          <w:lang w:val="en-US"/>
        </w:rPr>
        <w:t xml:space="preserve">the </w:t>
      </w:r>
      <w:r w:rsidR="00135EBB" w:rsidRPr="008A3740">
        <w:rPr>
          <w:rFonts w:ascii="Verdana" w:hAnsi="Verdana" w:cs="Cambria"/>
          <w:sz w:val="20"/>
          <w:szCs w:val="20"/>
          <w:lang w:val="en-US"/>
        </w:rPr>
        <w:t xml:space="preserve">information provided by the </w:t>
      </w:r>
      <w:r w:rsidR="007067F3" w:rsidRPr="008A3740">
        <w:rPr>
          <w:rFonts w:ascii="Verdana" w:hAnsi="Verdana" w:cs="Cambria"/>
          <w:sz w:val="20"/>
          <w:szCs w:val="20"/>
          <w:lang w:val="en-US"/>
        </w:rPr>
        <w:t xml:space="preserve">State in the </w:t>
      </w:r>
      <w:r w:rsidRPr="008A3740">
        <w:rPr>
          <w:rFonts w:ascii="Verdana" w:hAnsi="Verdana" w:cs="Cambria"/>
          <w:sz w:val="20"/>
          <w:szCs w:val="20"/>
          <w:lang w:val="en-US"/>
        </w:rPr>
        <w:t>c</w:t>
      </w:r>
      <w:r w:rsidR="007067F3" w:rsidRPr="008A3740">
        <w:rPr>
          <w:rFonts w:ascii="Verdana" w:hAnsi="Verdana" w:cs="Cambria"/>
          <w:sz w:val="20"/>
          <w:szCs w:val="20"/>
          <w:lang w:val="en-US"/>
        </w:rPr>
        <w:t>ontentious-administrative proce</w:t>
      </w:r>
      <w:r w:rsidR="00135EBB" w:rsidRPr="008A3740">
        <w:rPr>
          <w:rFonts w:ascii="Verdana" w:hAnsi="Verdana" w:cs="Cambria"/>
          <w:sz w:val="20"/>
          <w:szCs w:val="20"/>
          <w:lang w:val="en-US"/>
        </w:rPr>
        <w:t>eding</w:t>
      </w:r>
      <w:r w:rsidRPr="008A3740">
        <w:rPr>
          <w:rFonts w:ascii="Verdana" w:hAnsi="Verdana" w:cs="Cambria"/>
          <w:sz w:val="20"/>
          <w:szCs w:val="20"/>
          <w:lang w:val="en-US"/>
        </w:rPr>
        <w:t xml:space="preserve">, the entity responsible for the administration and payment of pensions under Decree Law No. 20530 is the Ministry </w:t>
      </w:r>
      <w:r w:rsidR="007067F3" w:rsidRPr="008A3740">
        <w:rPr>
          <w:rFonts w:ascii="Verdana" w:hAnsi="Verdana" w:cs="Cambria"/>
          <w:sz w:val="20"/>
          <w:szCs w:val="20"/>
          <w:lang w:val="en-US"/>
        </w:rPr>
        <w:t>of Economy</w:t>
      </w:r>
      <w:r w:rsidRPr="008A3740">
        <w:rPr>
          <w:rFonts w:ascii="Verdana" w:hAnsi="Verdana" w:cs="Cambria"/>
          <w:sz w:val="20"/>
          <w:szCs w:val="20"/>
          <w:lang w:val="en-US"/>
        </w:rPr>
        <w:t xml:space="preserve"> and Finance. The amounts </w:t>
      </w:r>
      <w:r w:rsidR="00135EBB" w:rsidRPr="008A3740">
        <w:rPr>
          <w:rFonts w:ascii="Verdana" w:hAnsi="Verdana" w:cs="Cambria"/>
          <w:sz w:val="20"/>
          <w:szCs w:val="20"/>
          <w:lang w:val="en-US"/>
        </w:rPr>
        <w:t xml:space="preserve">due </w:t>
      </w:r>
      <w:r w:rsidR="00E00853" w:rsidRPr="008A3740">
        <w:rPr>
          <w:rFonts w:ascii="Verdana" w:hAnsi="Verdana" w:cs="Cambria"/>
          <w:sz w:val="20"/>
          <w:szCs w:val="20"/>
          <w:lang w:val="en-US"/>
        </w:rPr>
        <w:t xml:space="preserve">for </w:t>
      </w:r>
      <w:r w:rsidRPr="008A3740">
        <w:rPr>
          <w:rFonts w:ascii="Verdana" w:hAnsi="Verdana" w:cs="Cambria"/>
          <w:sz w:val="20"/>
          <w:szCs w:val="20"/>
          <w:lang w:val="en-US"/>
        </w:rPr>
        <w:t xml:space="preserve">the pensions </w:t>
      </w:r>
      <w:r w:rsidR="00135EBB" w:rsidRPr="008A3740">
        <w:rPr>
          <w:rFonts w:ascii="Verdana" w:hAnsi="Verdana" w:cs="Cambria"/>
          <w:sz w:val="20"/>
          <w:szCs w:val="20"/>
          <w:lang w:val="en-US"/>
        </w:rPr>
        <w:t xml:space="preserve">owed to </w:t>
      </w:r>
      <w:r w:rsidRPr="008A3740">
        <w:rPr>
          <w:rFonts w:ascii="Verdana" w:hAnsi="Verdana" w:cs="Cambria"/>
          <w:sz w:val="20"/>
          <w:szCs w:val="20"/>
          <w:lang w:val="en-US"/>
        </w:rPr>
        <w:t xml:space="preserve">Mr. Muelle Flores </w:t>
      </w:r>
      <w:r w:rsidR="00694580" w:rsidRPr="008A3740">
        <w:rPr>
          <w:rFonts w:ascii="Verdana" w:hAnsi="Verdana" w:cs="Cambria"/>
          <w:sz w:val="20"/>
          <w:szCs w:val="20"/>
          <w:lang w:val="en-US"/>
        </w:rPr>
        <w:t xml:space="preserve">from </w:t>
      </w:r>
      <w:r w:rsidRPr="008A3740">
        <w:rPr>
          <w:rFonts w:ascii="Verdana" w:hAnsi="Verdana" w:cs="Cambria"/>
          <w:sz w:val="20"/>
          <w:szCs w:val="20"/>
          <w:lang w:val="en-US"/>
        </w:rPr>
        <w:t xml:space="preserve">February 1991, </w:t>
      </w:r>
      <w:r w:rsidR="00694580" w:rsidRPr="008A3740">
        <w:rPr>
          <w:rFonts w:ascii="Verdana" w:hAnsi="Verdana" w:cs="Cambria"/>
          <w:sz w:val="20"/>
          <w:szCs w:val="20"/>
          <w:lang w:val="en-US"/>
        </w:rPr>
        <w:t xml:space="preserve">the </w:t>
      </w:r>
      <w:r w:rsidRPr="008A3740">
        <w:rPr>
          <w:rFonts w:ascii="Verdana" w:hAnsi="Verdana" w:cs="Cambria"/>
          <w:sz w:val="20"/>
          <w:szCs w:val="20"/>
          <w:lang w:val="en-US"/>
        </w:rPr>
        <w:t xml:space="preserve">date on which </w:t>
      </w:r>
      <w:r w:rsidR="00694580" w:rsidRPr="008A3740">
        <w:rPr>
          <w:rFonts w:ascii="Verdana" w:hAnsi="Verdana" w:cs="Cambria"/>
          <w:sz w:val="20"/>
          <w:szCs w:val="20"/>
          <w:lang w:val="en-US"/>
        </w:rPr>
        <w:t xml:space="preserve">his </w:t>
      </w:r>
      <w:r w:rsidRPr="008A3740">
        <w:rPr>
          <w:rFonts w:ascii="Verdana" w:hAnsi="Verdana" w:cs="Cambria"/>
          <w:sz w:val="20"/>
          <w:szCs w:val="20"/>
          <w:lang w:val="en-US"/>
        </w:rPr>
        <w:t>pension payments were suspended</w:t>
      </w:r>
      <w:r w:rsidR="00694580" w:rsidRPr="008A3740">
        <w:rPr>
          <w:rFonts w:ascii="Verdana" w:hAnsi="Verdana" w:cs="Cambria"/>
          <w:sz w:val="20"/>
          <w:szCs w:val="20"/>
          <w:lang w:val="en-US"/>
        </w:rPr>
        <w:t>,</w:t>
      </w:r>
      <w:r w:rsidRPr="008A3740">
        <w:rPr>
          <w:rFonts w:ascii="Verdana" w:hAnsi="Verdana" w:cs="Cambria"/>
          <w:sz w:val="20"/>
          <w:szCs w:val="20"/>
          <w:lang w:val="en-US"/>
        </w:rPr>
        <w:t xml:space="preserve"> </w:t>
      </w:r>
      <w:r w:rsidR="00135EBB" w:rsidRPr="008A3740">
        <w:rPr>
          <w:rFonts w:ascii="Verdana" w:hAnsi="Verdana" w:cs="Cambria"/>
          <w:sz w:val="20"/>
          <w:szCs w:val="20"/>
          <w:lang w:val="en-US"/>
        </w:rPr>
        <w:t xml:space="preserve">and </w:t>
      </w:r>
      <w:r w:rsidRPr="008A3740">
        <w:rPr>
          <w:rFonts w:ascii="Verdana" w:hAnsi="Verdana" w:cs="Cambria"/>
          <w:sz w:val="20"/>
          <w:szCs w:val="20"/>
          <w:lang w:val="en-US"/>
        </w:rPr>
        <w:t xml:space="preserve">until the notification of this </w:t>
      </w:r>
      <w:r w:rsidR="0090570A" w:rsidRPr="008A3740">
        <w:rPr>
          <w:rFonts w:ascii="Verdana" w:hAnsi="Verdana" w:cs="Cambria"/>
          <w:sz w:val="20"/>
          <w:szCs w:val="20"/>
          <w:lang w:val="en-US"/>
        </w:rPr>
        <w:t>J</w:t>
      </w:r>
      <w:r w:rsidR="00694580" w:rsidRPr="008A3740">
        <w:rPr>
          <w:rFonts w:ascii="Verdana" w:hAnsi="Verdana" w:cs="Cambria"/>
          <w:sz w:val="20"/>
          <w:szCs w:val="20"/>
          <w:lang w:val="en-US"/>
        </w:rPr>
        <w:t>udgment</w:t>
      </w:r>
      <w:r w:rsidRPr="008A3740">
        <w:rPr>
          <w:rFonts w:ascii="Verdana" w:hAnsi="Verdana" w:cs="Cambria"/>
          <w:sz w:val="20"/>
          <w:szCs w:val="20"/>
          <w:lang w:val="en-US"/>
        </w:rPr>
        <w:t>, will be analyzed in the section</w:t>
      </w:r>
      <w:r w:rsidR="00694580" w:rsidRPr="008A3740">
        <w:rPr>
          <w:rFonts w:ascii="Verdana" w:hAnsi="Verdana" w:cs="Cambria"/>
          <w:sz w:val="20"/>
          <w:szCs w:val="20"/>
          <w:lang w:val="en-US"/>
        </w:rPr>
        <w:t xml:space="preserve"> on </w:t>
      </w:r>
      <w:r w:rsidRPr="008A3740">
        <w:rPr>
          <w:rFonts w:ascii="Verdana" w:hAnsi="Verdana" w:cs="Cambria"/>
          <w:sz w:val="20"/>
          <w:szCs w:val="20"/>
          <w:lang w:val="en-US"/>
        </w:rPr>
        <w:t>pecuniary damage.</w:t>
      </w:r>
    </w:p>
    <w:p w14:paraId="46C2480D" w14:textId="77777777" w:rsidR="008E6A56" w:rsidRPr="008A3740" w:rsidRDefault="008E6A56" w:rsidP="008E6A56">
      <w:pPr>
        <w:pStyle w:val="Prrafodelista"/>
        <w:ind w:left="0"/>
        <w:rPr>
          <w:rFonts w:ascii="Verdana" w:hAnsi="Verdana" w:cs="Cambria"/>
          <w:sz w:val="20"/>
          <w:szCs w:val="20"/>
          <w:lang w:val="en-US"/>
        </w:rPr>
      </w:pPr>
    </w:p>
    <w:p w14:paraId="2652EC65" w14:textId="77777777" w:rsidR="008E6A56" w:rsidRPr="008A3740" w:rsidRDefault="00CE6D3A"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cs="Cambria"/>
          <w:sz w:val="20"/>
          <w:szCs w:val="20"/>
          <w:lang w:val="en-US"/>
        </w:rPr>
        <w:t>T</w:t>
      </w:r>
      <w:r w:rsidR="008E6A56" w:rsidRPr="008A3740">
        <w:rPr>
          <w:rFonts w:ascii="Verdana" w:hAnsi="Verdana" w:cs="Cambria"/>
          <w:sz w:val="20"/>
          <w:szCs w:val="20"/>
          <w:lang w:val="en-US"/>
        </w:rPr>
        <w:t xml:space="preserve">he Court </w:t>
      </w:r>
      <w:r w:rsidRPr="008A3740">
        <w:rPr>
          <w:rFonts w:ascii="Verdana" w:hAnsi="Verdana" w:cs="Cambria"/>
          <w:sz w:val="20"/>
          <w:szCs w:val="20"/>
          <w:lang w:val="en-US"/>
        </w:rPr>
        <w:t xml:space="preserve">also notes </w:t>
      </w:r>
      <w:r w:rsidR="008E6A56" w:rsidRPr="008A3740">
        <w:rPr>
          <w:rFonts w:ascii="Verdana" w:hAnsi="Verdana" w:cs="Cambria"/>
          <w:sz w:val="20"/>
          <w:szCs w:val="20"/>
          <w:lang w:val="en-US"/>
        </w:rPr>
        <w:t xml:space="preserve">that Mr. Oscar Muelle Flores is of an advanced age and suffers from several physical ailments </w:t>
      </w:r>
      <w:r w:rsidR="001A0484" w:rsidRPr="008A3740">
        <w:rPr>
          <w:rFonts w:ascii="Verdana" w:hAnsi="Verdana" w:cs="Cambria"/>
          <w:sz w:val="20"/>
          <w:szCs w:val="20"/>
          <w:lang w:val="en-US"/>
        </w:rPr>
        <w:t xml:space="preserve">resulting from </w:t>
      </w:r>
      <w:r w:rsidR="008E6A56" w:rsidRPr="008A3740">
        <w:rPr>
          <w:rFonts w:ascii="Verdana" w:hAnsi="Verdana" w:cs="Cambria"/>
          <w:sz w:val="20"/>
          <w:szCs w:val="20"/>
          <w:lang w:val="en-US"/>
        </w:rPr>
        <w:t>the deterioration of his health, including Alzheimer’s disease (</w:t>
      </w:r>
      <w:r w:rsidR="008E6A56" w:rsidRPr="008A3740">
        <w:rPr>
          <w:rFonts w:ascii="Verdana" w:hAnsi="Verdana" w:cs="Cambria"/>
          <w:i/>
          <w:sz w:val="20"/>
          <w:szCs w:val="20"/>
          <w:lang w:val="en-US"/>
        </w:rPr>
        <w:t xml:space="preserve">supra </w:t>
      </w:r>
      <w:r w:rsidR="008E6A56" w:rsidRPr="008A3740">
        <w:rPr>
          <w:rFonts w:ascii="Verdana" w:hAnsi="Verdana" w:cs="Cambria"/>
          <w:sz w:val="20"/>
          <w:szCs w:val="20"/>
          <w:lang w:val="en-US"/>
        </w:rPr>
        <w:t xml:space="preserve">para. 52) and has had to </w:t>
      </w:r>
      <w:r w:rsidRPr="008A3740">
        <w:rPr>
          <w:rFonts w:ascii="Verdana" w:hAnsi="Verdana" w:cs="Cambria"/>
          <w:sz w:val="20"/>
          <w:szCs w:val="20"/>
          <w:lang w:val="en-US"/>
        </w:rPr>
        <w:t xml:space="preserve">rely on </w:t>
      </w:r>
      <w:r w:rsidR="008E6A56" w:rsidRPr="008A3740">
        <w:rPr>
          <w:rFonts w:ascii="Verdana" w:hAnsi="Verdana" w:cs="Cambria"/>
          <w:sz w:val="20"/>
          <w:szCs w:val="20"/>
          <w:lang w:val="en-US"/>
        </w:rPr>
        <w:t xml:space="preserve">his family for financial support to be able to survive and pay for his health </w:t>
      </w:r>
      <w:r w:rsidR="00190DC1" w:rsidRPr="008A3740">
        <w:rPr>
          <w:rFonts w:ascii="Verdana" w:hAnsi="Verdana" w:cs="Cambria"/>
          <w:sz w:val="20"/>
          <w:szCs w:val="20"/>
          <w:lang w:val="en-US"/>
        </w:rPr>
        <w:t>treatment</w:t>
      </w:r>
      <w:r w:rsidR="008E6A56" w:rsidRPr="008A3740">
        <w:rPr>
          <w:rFonts w:ascii="Verdana" w:hAnsi="Verdana" w:cs="Cambria"/>
          <w:sz w:val="20"/>
          <w:szCs w:val="20"/>
          <w:lang w:val="en-US"/>
        </w:rPr>
        <w:t>. Although the State re</w:t>
      </w:r>
      <w:r w:rsidRPr="008A3740">
        <w:rPr>
          <w:rFonts w:ascii="Verdana" w:hAnsi="Verdana" w:cs="Cambria"/>
          <w:sz w:val="20"/>
          <w:szCs w:val="20"/>
          <w:lang w:val="en-US"/>
        </w:rPr>
        <w:t>-</w:t>
      </w:r>
      <w:r w:rsidR="008E6A56" w:rsidRPr="008A3740">
        <w:rPr>
          <w:rFonts w:ascii="Verdana" w:hAnsi="Verdana" w:cs="Cambria"/>
          <w:sz w:val="20"/>
          <w:szCs w:val="20"/>
          <w:lang w:val="en-US"/>
        </w:rPr>
        <w:t xml:space="preserve">established a provisional </w:t>
      </w:r>
      <w:r w:rsidRPr="008A3740">
        <w:rPr>
          <w:rFonts w:ascii="Verdana" w:hAnsi="Verdana" w:cs="Cambria"/>
          <w:sz w:val="20"/>
          <w:szCs w:val="20"/>
          <w:lang w:val="en-US"/>
        </w:rPr>
        <w:t xml:space="preserve">pension </w:t>
      </w:r>
      <w:r w:rsidR="008E6A56" w:rsidRPr="008A3740">
        <w:rPr>
          <w:rFonts w:ascii="Verdana" w:hAnsi="Verdana" w:cs="Cambria"/>
          <w:sz w:val="20"/>
          <w:szCs w:val="20"/>
          <w:lang w:val="en-US"/>
        </w:rPr>
        <w:t xml:space="preserve">of </w:t>
      </w:r>
      <w:r w:rsidR="00EB3554" w:rsidRPr="008A3740">
        <w:rPr>
          <w:rFonts w:ascii="Verdana" w:hAnsi="Verdana" w:cs="Cambria"/>
          <w:sz w:val="20"/>
          <w:szCs w:val="20"/>
          <w:lang w:val="en-US"/>
        </w:rPr>
        <w:t xml:space="preserve">S/800 in favor of </w:t>
      </w:r>
      <w:r w:rsidR="008E6A56" w:rsidRPr="008A3740">
        <w:rPr>
          <w:rFonts w:ascii="Verdana" w:hAnsi="Verdana" w:cs="Cambria"/>
          <w:sz w:val="20"/>
          <w:szCs w:val="20"/>
          <w:lang w:val="en-US"/>
        </w:rPr>
        <w:t xml:space="preserve">the victim, the Court </w:t>
      </w:r>
      <w:r w:rsidR="00034DFB" w:rsidRPr="008A3740">
        <w:rPr>
          <w:rFonts w:ascii="Verdana" w:hAnsi="Verdana" w:cs="Arial"/>
          <w:sz w:val="20"/>
          <w:szCs w:val="20"/>
          <w:lang w:val="en-US"/>
        </w:rPr>
        <w:t>orders, in</w:t>
      </w:r>
      <w:r w:rsidR="00190DC1" w:rsidRPr="008A3740">
        <w:rPr>
          <w:rFonts w:ascii="Verdana" w:hAnsi="Verdana" w:cs="Arial"/>
          <w:sz w:val="20"/>
          <w:szCs w:val="20"/>
          <w:lang w:val="en-US"/>
        </w:rPr>
        <w:t xml:space="preserve"> equity, that after </w:t>
      </w:r>
      <w:r w:rsidR="008E6A56" w:rsidRPr="008A3740">
        <w:rPr>
          <w:rFonts w:ascii="Verdana" w:hAnsi="Verdana" w:cs="Arial"/>
          <w:sz w:val="20"/>
          <w:szCs w:val="20"/>
          <w:lang w:val="en-US"/>
        </w:rPr>
        <w:t>notifica</w:t>
      </w:r>
      <w:r w:rsidR="007067F3" w:rsidRPr="008A3740">
        <w:rPr>
          <w:rFonts w:ascii="Verdana" w:hAnsi="Verdana" w:cs="Arial"/>
          <w:sz w:val="20"/>
          <w:szCs w:val="20"/>
          <w:lang w:val="en-US"/>
        </w:rPr>
        <w:t xml:space="preserve">tion of </w:t>
      </w:r>
      <w:r w:rsidR="008E6A56" w:rsidRPr="008A3740">
        <w:rPr>
          <w:rFonts w:ascii="Verdana" w:hAnsi="Verdana" w:cs="Arial"/>
          <w:sz w:val="20"/>
          <w:szCs w:val="20"/>
          <w:lang w:val="en-US"/>
        </w:rPr>
        <w:t>th</w:t>
      </w:r>
      <w:r w:rsidRPr="008A3740">
        <w:rPr>
          <w:rFonts w:ascii="Verdana" w:hAnsi="Verdana" w:cs="Arial"/>
          <w:sz w:val="20"/>
          <w:szCs w:val="20"/>
          <w:lang w:val="en-US"/>
        </w:rPr>
        <w:t>is J</w:t>
      </w:r>
      <w:r w:rsidR="00ED6994" w:rsidRPr="008A3740">
        <w:rPr>
          <w:rFonts w:ascii="Verdana" w:hAnsi="Verdana" w:cs="Arial"/>
          <w:sz w:val="20"/>
          <w:szCs w:val="20"/>
          <w:lang w:val="en-US"/>
        </w:rPr>
        <w:t>udgment</w:t>
      </w:r>
      <w:r w:rsidR="008E6A56" w:rsidRPr="008A3740">
        <w:rPr>
          <w:rFonts w:ascii="Verdana" w:hAnsi="Verdana" w:cs="Arial"/>
          <w:sz w:val="20"/>
          <w:szCs w:val="20"/>
          <w:lang w:val="en-US"/>
        </w:rPr>
        <w:t xml:space="preserve">, and until </w:t>
      </w:r>
      <w:r w:rsidRPr="008A3740">
        <w:rPr>
          <w:rFonts w:ascii="Verdana" w:hAnsi="Verdana" w:cs="Arial"/>
          <w:sz w:val="20"/>
          <w:szCs w:val="20"/>
          <w:lang w:val="en-US"/>
        </w:rPr>
        <w:t xml:space="preserve">such time as </w:t>
      </w:r>
      <w:r w:rsidR="008E6A56" w:rsidRPr="008A3740">
        <w:rPr>
          <w:rFonts w:ascii="Verdana" w:hAnsi="Verdana" w:cs="Arial"/>
          <w:sz w:val="20"/>
          <w:szCs w:val="20"/>
          <w:lang w:val="en-US"/>
        </w:rPr>
        <w:t>compliance</w:t>
      </w:r>
      <w:r w:rsidR="00EB3554" w:rsidRPr="008A3740">
        <w:rPr>
          <w:rFonts w:ascii="Verdana" w:hAnsi="Verdana" w:cs="Arial"/>
          <w:sz w:val="20"/>
          <w:szCs w:val="20"/>
          <w:lang w:val="en-US"/>
        </w:rPr>
        <w:t xml:space="preserve"> </w:t>
      </w:r>
      <w:r w:rsidR="007067F3" w:rsidRPr="008A3740">
        <w:rPr>
          <w:rFonts w:ascii="Verdana" w:hAnsi="Verdana" w:cs="Arial"/>
          <w:sz w:val="20"/>
          <w:szCs w:val="20"/>
          <w:lang w:val="en-US"/>
        </w:rPr>
        <w:t xml:space="preserve">is </w:t>
      </w:r>
      <w:r w:rsidRPr="008A3740">
        <w:rPr>
          <w:rFonts w:ascii="Verdana" w:hAnsi="Verdana" w:cs="Arial"/>
          <w:sz w:val="20"/>
          <w:szCs w:val="20"/>
          <w:lang w:val="en-US"/>
        </w:rPr>
        <w:t xml:space="preserve">achieved </w:t>
      </w:r>
      <w:r w:rsidR="00EB3554" w:rsidRPr="008A3740">
        <w:rPr>
          <w:rFonts w:ascii="Verdana" w:hAnsi="Verdana" w:cs="Arial"/>
          <w:sz w:val="20"/>
          <w:szCs w:val="20"/>
          <w:lang w:val="en-US"/>
        </w:rPr>
        <w:t xml:space="preserve">with </w:t>
      </w:r>
      <w:r w:rsidR="008E6A56" w:rsidRPr="008A3740">
        <w:rPr>
          <w:rFonts w:ascii="Verdana" w:hAnsi="Verdana" w:cs="Arial"/>
          <w:sz w:val="20"/>
          <w:szCs w:val="20"/>
          <w:lang w:val="en-US"/>
        </w:rPr>
        <w:t xml:space="preserve">the </w:t>
      </w:r>
      <w:r w:rsidR="00EB3554" w:rsidRPr="008A3740">
        <w:rPr>
          <w:rFonts w:ascii="Verdana" w:hAnsi="Verdana" w:cs="Arial"/>
          <w:sz w:val="20"/>
          <w:szCs w:val="20"/>
          <w:lang w:val="en-US"/>
        </w:rPr>
        <w:t xml:space="preserve">final </w:t>
      </w:r>
      <w:r w:rsidR="007067F3" w:rsidRPr="008A3740">
        <w:rPr>
          <w:rFonts w:ascii="Verdana" w:hAnsi="Verdana" w:cs="Arial"/>
          <w:sz w:val="20"/>
          <w:szCs w:val="20"/>
          <w:lang w:val="en-US"/>
        </w:rPr>
        <w:t xml:space="preserve">domestic </w:t>
      </w:r>
      <w:r w:rsidR="00EB3554" w:rsidRPr="008A3740">
        <w:rPr>
          <w:rFonts w:ascii="Verdana" w:hAnsi="Verdana" w:cs="Arial"/>
          <w:sz w:val="20"/>
          <w:szCs w:val="20"/>
          <w:lang w:val="en-US"/>
        </w:rPr>
        <w:t>judgments</w:t>
      </w:r>
      <w:r w:rsidR="008E6A56" w:rsidRPr="008A3740">
        <w:rPr>
          <w:rFonts w:ascii="Verdana" w:hAnsi="Verdana" w:cs="Arial"/>
          <w:sz w:val="20"/>
          <w:szCs w:val="20"/>
          <w:lang w:val="en-US"/>
        </w:rPr>
        <w:t xml:space="preserve">, and </w:t>
      </w:r>
      <w:r w:rsidRPr="008A3740">
        <w:rPr>
          <w:rFonts w:ascii="Verdana" w:hAnsi="Verdana" w:cs="Arial"/>
          <w:sz w:val="20"/>
          <w:szCs w:val="20"/>
          <w:lang w:val="en-US"/>
        </w:rPr>
        <w:t xml:space="preserve">the amount of the Mr. Muelle Flores’ </w:t>
      </w:r>
      <w:r w:rsidR="008E6A56" w:rsidRPr="008A3740">
        <w:rPr>
          <w:rFonts w:ascii="Verdana" w:hAnsi="Verdana" w:cs="Arial"/>
          <w:sz w:val="20"/>
          <w:szCs w:val="20"/>
          <w:lang w:val="en-US"/>
        </w:rPr>
        <w:t xml:space="preserve">pension </w:t>
      </w:r>
      <w:r w:rsidRPr="008A3740">
        <w:rPr>
          <w:rFonts w:ascii="Verdana" w:hAnsi="Verdana" w:cs="Arial"/>
          <w:sz w:val="20"/>
          <w:szCs w:val="20"/>
          <w:lang w:val="en-US"/>
        </w:rPr>
        <w:t>has been calculated</w:t>
      </w:r>
      <w:r w:rsidR="008E6A56" w:rsidRPr="008A3740">
        <w:rPr>
          <w:rFonts w:ascii="Verdana" w:hAnsi="Verdana" w:cs="Arial"/>
          <w:sz w:val="20"/>
          <w:szCs w:val="20"/>
          <w:lang w:val="en-US"/>
        </w:rPr>
        <w:t>, t</w:t>
      </w:r>
      <w:r w:rsidR="00190DC1" w:rsidRPr="008A3740">
        <w:rPr>
          <w:rFonts w:ascii="Verdana" w:hAnsi="Verdana" w:cs="Arial"/>
          <w:sz w:val="20"/>
          <w:szCs w:val="20"/>
          <w:lang w:val="en-US"/>
        </w:rPr>
        <w:t xml:space="preserve">aking into </w:t>
      </w:r>
      <w:r w:rsidR="008E6A56" w:rsidRPr="008A3740">
        <w:rPr>
          <w:rFonts w:ascii="Verdana" w:hAnsi="Verdana" w:cs="Arial"/>
          <w:sz w:val="20"/>
          <w:szCs w:val="20"/>
          <w:lang w:val="en-US"/>
        </w:rPr>
        <w:t>considerati</w:t>
      </w:r>
      <w:r w:rsidR="00190DC1" w:rsidRPr="008A3740">
        <w:rPr>
          <w:rFonts w:ascii="Verdana" w:hAnsi="Verdana" w:cs="Arial"/>
          <w:sz w:val="20"/>
          <w:szCs w:val="20"/>
          <w:lang w:val="en-US"/>
        </w:rPr>
        <w:t>on the cri</w:t>
      </w:r>
      <w:r w:rsidRPr="008A3740">
        <w:rPr>
          <w:rFonts w:ascii="Verdana" w:hAnsi="Verdana" w:cs="Arial"/>
          <w:sz w:val="20"/>
          <w:szCs w:val="20"/>
          <w:lang w:val="en-US"/>
        </w:rPr>
        <w:t>teria of</w:t>
      </w:r>
      <w:r w:rsidR="00190DC1" w:rsidRPr="008A3740">
        <w:rPr>
          <w:rFonts w:ascii="Verdana" w:hAnsi="Verdana" w:cs="Arial"/>
          <w:sz w:val="20"/>
          <w:szCs w:val="20"/>
          <w:lang w:val="en-US"/>
        </w:rPr>
        <w:t xml:space="preserve"> </w:t>
      </w:r>
      <w:r w:rsidRPr="008A3740">
        <w:rPr>
          <w:rFonts w:ascii="Verdana" w:hAnsi="Verdana" w:cs="Arial"/>
          <w:sz w:val="20"/>
          <w:szCs w:val="20"/>
          <w:lang w:val="en-US"/>
        </w:rPr>
        <w:t xml:space="preserve">adequate </w:t>
      </w:r>
      <w:r w:rsidR="00190DC1" w:rsidRPr="008A3740">
        <w:rPr>
          <w:rFonts w:ascii="Verdana" w:hAnsi="Verdana" w:cs="Arial"/>
          <w:sz w:val="20"/>
          <w:szCs w:val="20"/>
          <w:lang w:val="en-US"/>
        </w:rPr>
        <w:t xml:space="preserve">level </w:t>
      </w:r>
      <w:r w:rsidR="008E6A56" w:rsidRPr="008A3740">
        <w:rPr>
          <w:rFonts w:ascii="Verdana" w:hAnsi="Verdana" w:cs="Arial"/>
          <w:sz w:val="20"/>
          <w:szCs w:val="20"/>
          <w:lang w:val="en-US"/>
        </w:rPr>
        <w:t>established by this Court (</w:t>
      </w:r>
      <w:r w:rsidR="008E6A56" w:rsidRPr="008A3740">
        <w:rPr>
          <w:rFonts w:ascii="Verdana" w:hAnsi="Verdana" w:cs="Arial"/>
          <w:i/>
          <w:sz w:val="20"/>
          <w:szCs w:val="20"/>
          <w:lang w:val="en-US"/>
        </w:rPr>
        <w:t>supra</w:t>
      </w:r>
      <w:r w:rsidR="008E6A56" w:rsidRPr="008A3740">
        <w:rPr>
          <w:rFonts w:ascii="Verdana" w:hAnsi="Verdana" w:cs="Arial"/>
          <w:sz w:val="20"/>
          <w:szCs w:val="20"/>
          <w:lang w:val="en-US"/>
        </w:rPr>
        <w:t xml:space="preserve"> para. 187), </w:t>
      </w:r>
      <w:r w:rsidR="00ED6994" w:rsidRPr="008A3740">
        <w:rPr>
          <w:rFonts w:ascii="Verdana" w:hAnsi="Verdana" w:cs="Arial"/>
          <w:sz w:val="20"/>
          <w:szCs w:val="20"/>
          <w:lang w:val="en-US"/>
        </w:rPr>
        <w:t xml:space="preserve">together with </w:t>
      </w:r>
      <w:r w:rsidR="008E6A56" w:rsidRPr="008A3740">
        <w:rPr>
          <w:rFonts w:ascii="Verdana" w:hAnsi="Verdana" w:cs="Arial"/>
          <w:sz w:val="20"/>
          <w:szCs w:val="20"/>
          <w:lang w:val="en-US"/>
        </w:rPr>
        <w:t xml:space="preserve">the amounts </w:t>
      </w:r>
      <w:r w:rsidRPr="008A3740">
        <w:rPr>
          <w:rFonts w:ascii="Verdana" w:hAnsi="Verdana" w:cs="Arial"/>
          <w:sz w:val="20"/>
          <w:szCs w:val="20"/>
          <w:lang w:val="en-US"/>
        </w:rPr>
        <w:t xml:space="preserve">claimed </w:t>
      </w:r>
      <w:r w:rsidR="008E6A56" w:rsidRPr="008A3740">
        <w:rPr>
          <w:rFonts w:ascii="Verdana" w:hAnsi="Verdana" w:cs="Arial"/>
          <w:sz w:val="20"/>
          <w:szCs w:val="20"/>
          <w:lang w:val="en-US"/>
        </w:rPr>
        <w:t xml:space="preserve">by the representatives, the State must grant a provisional pension of no less than two </w:t>
      </w:r>
      <w:r w:rsidR="00ED6994" w:rsidRPr="008A3740">
        <w:rPr>
          <w:rFonts w:ascii="Verdana" w:hAnsi="Verdana" w:cs="Arial"/>
          <w:sz w:val="20"/>
          <w:szCs w:val="20"/>
          <w:lang w:val="en-US"/>
        </w:rPr>
        <w:t xml:space="preserve">minimum </w:t>
      </w:r>
      <w:r w:rsidR="008E6A56" w:rsidRPr="008A3740">
        <w:rPr>
          <w:rFonts w:ascii="Verdana" w:hAnsi="Verdana" w:cs="Arial"/>
          <w:sz w:val="20"/>
          <w:szCs w:val="20"/>
          <w:lang w:val="en-US"/>
        </w:rPr>
        <w:t xml:space="preserve">salaries in Peru </w:t>
      </w:r>
      <w:r w:rsidR="00B57B01" w:rsidRPr="008A3740">
        <w:rPr>
          <w:rFonts w:ascii="Verdana" w:hAnsi="Verdana" w:cs="Arial"/>
          <w:sz w:val="20"/>
          <w:szCs w:val="20"/>
          <w:lang w:val="en-US"/>
        </w:rPr>
        <w:t xml:space="preserve">to </w:t>
      </w:r>
      <w:r w:rsidR="00ED6994" w:rsidRPr="008A3740">
        <w:rPr>
          <w:rFonts w:ascii="Verdana" w:hAnsi="Verdana" w:cs="Arial"/>
          <w:sz w:val="20"/>
          <w:szCs w:val="20"/>
          <w:lang w:val="en-US"/>
        </w:rPr>
        <w:t xml:space="preserve">cover the victim’s </w:t>
      </w:r>
      <w:r w:rsidR="008E6A56" w:rsidRPr="008A3740">
        <w:rPr>
          <w:rFonts w:ascii="Verdana" w:hAnsi="Verdana" w:cs="Arial"/>
          <w:sz w:val="20"/>
          <w:szCs w:val="20"/>
          <w:lang w:val="en-US"/>
        </w:rPr>
        <w:t xml:space="preserve">basic </w:t>
      </w:r>
      <w:r w:rsidRPr="008A3740">
        <w:rPr>
          <w:rFonts w:ascii="Verdana" w:hAnsi="Verdana" w:cs="Arial"/>
          <w:sz w:val="20"/>
          <w:szCs w:val="20"/>
          <w:lang w:val="en-US"/>
        </w:rPr>
        <w:t>needs for a decent life</w:t>
      </w:r>
      <w:r w:rsidR="008E6A56" w:rsidRPr="008A3740">
        <w:rPr>
          <w:rFonts w:ascii="Verdana" w:hAnsi="Verdana" w:cs="Arial"/>
          <w:sz w:val="20"/>
          <w:szCs w:val="20"/>
          <w:lang w:val="en-US"/>
        </w:rPr>
        <w:t xml:space="preserve">. </w:t>
      </w:r>
      <w:r w:rsidR="001A0484" w:rsidRPr="008A3740">
        <w:rPr>
          <w:rFonts w:ascii="Verdana" w:hAnsi="Verdana" w:cs="Arial"/>
          <w:sz w:val="20"/>
          <w:szCs w:val="20"/>
          <w:lang w:val="en-US"/>
        </w:rPr>
        <w:t>Also</w:t>
      </w:r>
      <w:r w:rsidR="008E6A56" w:rsidRPr="008A3740">
        <w:rPr>
          <w:rFonts w:ascii="Verdana" w:hAnsi="Verdana" w:cs="Arial"/>
          <w:sz w:val="20"/>
          <w:szCs w:val="20"/>
          <w:lang w:val="en-US"/>
        </w:rPr>
        <w:t xml:space="preserve">, the Court </w:t>
      </w:r>
      <w:r w:rsidR="001A0484" w:rsidRPr="008A3740">
        <w:rPr>
          <w:rFonts w:ascii="Verdana" w:hAnsi="Verdana" w:cs="Arial"/>
          <w:sz w:val="20"/>
          <w:szCs w:val="20"/>
          <w:lang w:val="en-US"/>
        </w:rPr>
        <w:t>orders</w:t>
      </w:r>
      <w:r w:rsidRPr="008A3740">
        <w:rPr>
          <w:rFonts w:ascii="Verdana" w:hAnsi="Verdana" w:cs="Arial"/>
          <w:sz w:val="20"/>
          <w:szCs w:val="20"/>
          <w:lang w:val="en-US"/>
        </w:rPr>
        <w:t xml:space="preserve"> in </w:t>
      </w:r>
      <w:r w:rsidR="008E6A56" w:rsidRPr="008A3740">
        <w:rPr>
          <w:rFonts w:ascii="Verdana" w:hAnsi="Verdana" w:cs="Arial"/>
          <w:sz w:val="20"/>
          <w:szCs w:val="20"/>
          <w:lang w:val="en-US"/>
        </w:rPr>
        <w:t>equity</w:t>
      </w:r>
      <w:r w:rsidRPr="008A3740">
        <w:rPr>
          <w:rFonts w:ascii="Verdana" w:hAnsi="Verdana" w:cs="Arial"/>
          <w:sz w:val="20"/>
          <w:szCs w:val="20"/>
          <w:lang w:val="en-US"/>
        </w:rPr>
        <w:t xml:space="preserve"> that, al</w:t>
      </w:r>
      <w:r w:rsidR="00190DC1" w:rsidRPr="008A3740">
        <w:rPr>
          <w:rFonts w:ascii="Verdana" w:hAnsi="Verdana" w:cs="Arial"/>
          <w:sz w:val="20"/>
          <w:szCs w:val="20"/>
          <w:lang w:val="en-US"/>
        </w:rPr>
        <w:t xml:space="preserve">though the State must </w:t>
      </w:r>
      <w:r w:rsidRPr="008A3740">
        <w:rPr>
          <w:rFonts w:ascii="Verdana" w:hAnsi="Verdana" w:cs="Arial"/>
          <w:sz w:val="20"/>
          <w:szCs w:val="20"/>
          <w:lang w:val="en-US"/>
        </w:rPr>
        <w:t xml:space="preserve">calculate the amount of </w:t>
      </w:r>
      <w:r w:rsidR="008E6A56" w:rsidRPr="008A3740">
        <w:rPr>
          <w:rFonts w:ascii="Verdana" w:hAnsi="Verdana" w:cs="Arial"/>
          <w:sz w:val="20"/>
          <w:szCs w:val="20"/>
          <w:lang w:val="en-US"/>
        </w:rPr>
        <w:t xml:space="preserve">pension </w:t>
      </w:r>
      <w:r w:rsidR="00190DC1" w:rsidRPr="008A3740">
        <w:rPr>
          <w:rFonts w:ascii="Verdana" w:hAnsi="Verdana" w:cs="Arial"/>
          <w:sz w:val="20"/>
          <w:szCs w:val="20"/>
          <w:lang w:val="en-US"/>
        </w:rPr>
        <w:t xml:space="preserve">due to </w:t>
      </w:r>
      <w:r w:rsidR="008E6A56" w:rsidRPr="008A3740">
        <w:rPr>
          <w:rFonts w:ascii="Verdana" w:hAnsi="Verdana" w:cs="Arial"/>
          <w:sz w:val="20"/>
          <w:szCs w:val="20"/>
          <w:lang w:val="en-US"/>
        </w:rPr>
        <w:t xml:space="preserve">Mr. Muelle Flores, said amount </w:t>
      </w:r>
      <w:r w:rsidR="00034DFB" w:rsidRPr="008A3740">
        <w:rPr>
          <w:rFonts w:ascii="Verdana" w:hAnsi="Verdana" w:cs="Arial"/>
          <w:sz w:val="20"/>
          <w:szCs w:val="20"/>
          <w:lang w:val="en-US"/>
        </w:rPr>
        <w:t>m</w:t>
      </w:r>
      <w:r w:rsidRPr="008A3740">
        <w:rPr>
          <w:rFonts w:ascii="Verdana" w:hAnsi="Verdana" w:cs="Arial"/>
          <w:sz w:val="20"/>
          <w:szCs w:val="20"/>
          <w:lang w:val="en-US"/>
        </w:rPr>
        <w:t xml:space="preserve">ust </w:t>
      </w:r>
      <w:r w:rsidR="00034DFB" w:rsidRPr="008A3740">
        <w:rPr>
          <w:rFonts w:ascii="Verdana" w:hAnsi="Verdana" w:cs="Arial"/>
          <w:sz w:val="20"/>
          <w:szCs w:val="20"/>
          <w:lang w:val="en-US"/>
        </w:rPr>
        <w:t xml:space="preserve">not be less than </w:t>
      </w:r>
      <w:r w:rsidR="008E6A56" w:rsidRPr="008A3740">
        <w:rPr>
          <w:rFonts w:ascii="Verdana" w:hAnsi="Verdana" w:cs="Arial"/>
          <w:sz w:val="20"/>
          <w:szCs w:val="20"/>
          <w:lang w:val="en-US"/>
        </w:rPr>
        <w:t xml:space="preserve">two </w:t>
      </w:r>
      <w:r w:rsidR="00034DFB" w:rsidRPr="008A3740">
        <w:rPr>
          <w:rFonts w:ascii="Verdana" w:hAnsi="Verdana" w:cs="Arial"/>
          <w:sz w:val="20"/>
          <w:szCs w:val="20"/>
          <w:lang w:val="en-US"/>
        </w:rPr>
        <w:t xml:space="preserve">minimum </w:t>
      </w:r>
      <w:r w:rsidR="008E6A56" w:rsidRPr="008A3740">
        <w:rPr>
          <w:rFonts w:ascii="Verdana" w:hAnsi="Verdana" w:cs="Arial"/>
          <w:sz w:val="20"/>
          <w:szCs w:val="20"/>
          <w:lang w:val="en-US"/>
        </w:rPr>
        <w:t>salaries in Peru.</w:t>
      </w:r>
    </w:p>
    <w:p w14:paraId="5643B814" w14:textId="77777777" w:rsidR="008E6A56" w:rsidRPr="008A3740" w:rsidRDefault="008E6A56" w:rsidP="008E6A56">
      <w:pPr>
        <w:tabs>
          <w:tab w:val="left" w:pos="567"/>
        </w:tabs>
        <w:textAlignment w:val="auto"/>
        <w:rPr>
          <w:rFonts w:ascii="Verdana" w:hAnsi="Verdana" w:cs="Arial"/>
          <w:sz w:val="20"/>
          <w:szCs w:val="20"/>
          <w:lang w:val="en-US"/>
        </w:rPr>
      </w:pPr>
    </w:p>
    <w:p w14:paraId="7EF9CBDA" w14:textId="77777777" w:rsidR="008E6A56" w:rsidRPr="008A3740" w:rsidRDefault="00CE6D3A"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cs="Cambria"/>
          <w:sz w:val="20"/>
          <w:szCs w:val="20"/>
          <w:lang w:val="en-US"/>
        </w:rPr>
        <w:t>T</w:t>
      </w:r>
      <w:r w:rsidR="008E6A56" w:rsidRPr="008A3740">
        <w:rPr>
          <w:rFonts w:ascii="Verdana" w:hAnsi="Verdana" w:cs="Cambria"/>
          <w:sz w:val="20"/>
          <w:szCs w:val="20"/>
          <w:lang w:val="en-US"/>
        </w:rPr>
        <w:t xml:space="preserve">he Court </w:t>
      </w:r>
      <w:r w:rsidRPr="008A3740">
        <w:rPr>
          <w:rFonts w:ascii="Verdana" w:hAnsi="Verdana" w:cs="Cambria"/>
          <w:sz w:val="20"/>
          <w:szCs w:val="20"/>
          <w:lang w:val="en-US"/>
        </w:rPr>
        <w:t xml:space="preserve">further </w:t>
      </w:r>
      <w:r w:rsidR="008E6A56" w:rsidRPr="008A3740">
        <w:rPr>
          <w:rFonts w:ascii="Verdana" w:hAnsi="Verdana" w:cs="Cambria"/>
          <w:sz w:val="20"/>
          <w:szCs w:val="20"/>
          <w:lang w:val="en-US"/>
        </w:rPr>
        <w:t xml:space="preserve">notes that, with the cessation of the pension payments and the suspension of the aforementioned pension </w:t>
      </w:r>
      <w:r w:rsidR="00F15CBD" w:rsidRPr="008A3740">
        <w:rPr>
          <w:rFonts w:ascii="Verdana" w:hAnsi="Verdana" w:cs="Cambria"/>
          <w:sz w:val="20"/>
          <w:szCs w:val="20"/>
          <w:lang w:val="en-US"/>
        </w:rPr>
        <w:t>scheme</w:t>
      </w:r>
      <w:r w:rsidR="008E6A56" w:rsidRPr="008A3740">
        <w:rPr>
          <w:rFonts w:ascii="Verdana" w:hAnsi="Verdana" w:cs="Cambria"/>
          <w:sz w:val="20"/>
          <w:szCs w:val="20"/>
          <w:lang w:val="en-US"/>
        </w:rPr>
        <w:t>,</w:t>
      </w:r>
      <w:r w:rsidR="008E6A56" w:rsidRPr="008A3740">
        <w:rPr>
          <w:rFonts w:ascii="Verdana" w:hAnsi="Verdana"/>
          <w:sz w:val="20"/>
          <w:szCs w:val="20"/>
          <w:lang w:val="en-US"/>
        </w:rPr>
        <w:t xml:space="preserve"> Mr. Muelle Flores found it impossible to contribute to the corresponding social health insurance s</w:t>
      </w:r>
      <w:r w:rsidR="00F15CBD" w:rsidRPr="008A3740">
        <w:rPr>
          <w:rFonts w:ascii="Verdana" w:hAnsi="Verdana"/>
          <w:sz w:val="20"/>
          <w:szCs w:val="20"/>
          <w:lang w:val="en-US"/>
        </w:rPr>
        <w:t>ystem</w:t>
      </w:r>
      <w:r w:rsidR="008E6A56" w:rsidRPr="008A3740">
        <w:rPr>
          <w:rFonts w:ascii="Verdana" w:hAnsi="Verdana"/>
          <w:sz w:val="20"/>
          <w:szCs w:val="20"/>
          <w:lang w:val="en-US"/>
        </w:rPr>
        <w:t xml:space="preserve">, </w:t>
      </w:r>
      <w:r w:rsidRPr="008A3740">
        <w:rPr>
          <w:rFonts w:ascii="Verdana" w:hAnsi="Verdana"/>
          <w:sz w:val="20"/>
          <w:szCs w:val="20"/>
          <w:lang w:val="en-US"/>
        </w:rPr>
        <w:t xml:space="preserve">so that he could have </w:t>
      </w:r>
      <w:r w:rsidR="008E6A56" w:rsidRPr="008A3740">
        <w:rPr>
          <w:rFonts w:ascii="Verdana" w:hAnsi="Verdana"/>
          <w:sz w:val="20"/>
          <w:szCs w:val="20"/>
          <w:lang w:val="en-US"/>
        </w:rPr>
        <w:t>access</w:t>
      </w:r>
      <w:r w:rsidRPr="008A3740">
        <w:rPr>
          <w:rFonts w:ascii="Verdana" w:hAnsi="Verdana"/>
          <w:sz w:val="20"/>
          <w:szCs w:val="20"/>
          <w:lang w:val="en-US"/>
        </w:rPr>
        <w:t xml:space="preserve"> to</w:t>
      </w:r>
      <w:r w:rsidR="00ED6994" w:rsidRPr="008A3740">
        <w:rPr>
          <w:rFonts w:ascii="Verdana" w:hAnsi="Verdana"/>
          <w:sz w:val="20"/>
          <w:szCs w:val="20"/>
          <w:lang w:val="en-US"/>
        </w:rPr>
        <w:t xml:space="preserve"> </w:t>
      </w:r>
      <w:r w:rsidR="00E02362" w:rsidRPr="008A3740">
        <w:rPr>
          <w:rFonts w:ascii="Verdana" w:hAnsi="Verdana"/>
          <w:sz w:val="20"/>
          <w:szCs w:val="20"/>
          <w:lang w:val="en-US"/>
        </w:rPr>
        <w:t>the public health system o</w:t>
      </w:r>
      <w:r w:rsidR="008E6A56" w:rsidRPr="008A3740">
        <w:rPr>
          <w:rFonts w:ascii="Verdana" w:hAnsi="Verdana"/>
          <w:sz w:val="20"/>
          <w:szCs w:val="20"/>
          <w:lang w:val="en-US"/>
        </w:rPr>
        <w:t xml:space="preserve">n the same </w:t>
      </w:r>
      <w:r w:rsidR="00E02362" w:rsidRPr="008A3740">
        <w:rPr>
          <w:rFonts w:ascii="Verdana" w:hAnsi="Verdana"/>
          <w:sz w:val="20"/>
          <w:szCs w:val="20"/>
          <w:lang w:val="en-US"/>
        </w:rPr>
        <w:t xml:space="preserve">terms as the beneficiaries of </w:t>
      </w:r>
      <w:r w:rsidR="008E6A56" w:rsidRPr="008A3740">
        <w:rPr>
          <w:rFonts w:ascii="Verdana" w:hAnsi="Verdana"/>
          <w:sz w:val="20"/>
          <w:szCs w:val="20"/>
          <w:lang w:val="en-US"/>
        </w:rPr>
        <w:t xml:space="preserve">Decree Law No. 20530. The health </w:t>
      </w:r>
      <w:r w:rsidR="00F67EF7" w:rsidRPr="008A3740">
        <w:rPr>
          <w:rFonts w:ascii="Verdana" w:hAnsi="Verdana"/>
          <w:sz w:val="20"/>
          <w:szCs w:val="20"/>
          <w:lang w:val="en-US"/>
        </w:rPr>
        <w:t xml:space="preserve">scheme </w:t>
      </w:r>
      <w:r w:rsidR="008E6A56" w:rsidRPr="008A3740">
        <w:rPr>
          <w:rFonts w:ascii="Verdana" w:hAnsi="Verdana"/>
          <w:sz w:val="20"/>
          <w:szCs w:val="20"/>
          <w:lang w:val="en-US"/>
        </w:rPr>
        <w:t>t</w:t>
      </w:r>
      <w:r w:rsidR="00EB1E1E" w:rsidRPr="008A3740">
        <w:rPr>
          <w:rFonts w:ascii="Verdana" w:hAnsi="Verdana"/>
          <w:sz w:val="20"/>
          <w:szCs w:val="20"/>
          <w:lang w:val="en-US"/>
        </w:rPr>
        <w:t xml:space="preserve">o which he was entitled was the one provided </w:t>
      </w:r>
      <w:r w:rsidR="008E6A56" w:rsidRPr="008A3740">
        <w:rPr>
          <w:rFonts w:ascii="Verdana" w:hAnsi="Verdana"/>
          <w:sz w:val="20"/>
          <w:szCs w:val="20"/>
          <w:lang w:val="en-US"/>
        </w:rPr>
        <w:t xml:space="preserve">by the </w:t>
      </w:r>
      <w:r w:rsidR="00ED6994" w:rsidRPr="008A3740">
        <w:rPr>
          <w:rFonts w:ascii="Verdana" w:hAnsi="Verdana"/>
          <w:sz w:val="20"/>
          <w:szCs w:val="20"/>
          <w:lang w:val="en-US"/>
        </w:rPr>
        <w:t xml:space="preserve">social health insurance system, </w:t>
      </w:r>
      <w:r w:rsidR="00136BC1" w:rsidRPr="008A3740">
        <w:rPr>
          <w:rFonts w:ascii="Verdana" w:hAnsi="Verdana"/>
          <w:sz w:val="20"/>
          <w:szCs w:val="20"/>
          <w:lang w:val="en-US"/>
        </w:rPr>
        <w:t>EsSalud</w:t>
      </w:r>
      <w:r w:rsidR="008E6A56" w:rsidRPr="008A3740">
        <w:rPr>
          <w:rFonts w:ascii="Verdana" w:hAnsi="Verdana"/>
          <w:sz w:val="20"/>
          <w:szCs w:val="20"/>
          <w:lang w:val="en-US"/>
        </w:rPr>
        <w:t xml:space="preserve">, through </w:t>
      </w:r>
      <w:r w:rsidR="00EB1E1E" w:rsidRPr="008A3740">
        <w:rPr>
          <w:rFonts w:ascii="Verdana" w:hAnsi="Verdana"/>
          <w:sz w:val="20"/>
          <w:szCs w:val="20"/>
          <w:lang w:val="en-US"/>
        </w:rPr>
        <w:t>a</w:t>
      </w:r>
      <w:r w:rsidR="008E6A56" w:rsidRPr="008A3740">
        <w:rPr>
          <w:rFonts w:ascii="Verdana" w:hAnsi="Verdana"/>
          <w:sz w:val="20"/>
          <w:szCs w:val="20"/>
          <w:lang w:val="en-US"/>
        </w:rPr>
        <w:t xml:space="preserve"> contribut</w:t>
      </w:r>
      <w:r w:rsidR="00EB1E1E" w:rsidRPr="008A3740">
        <w:rPr>
          <w:rFonts w:ascii="Verdana" w:hAnsi="Verdana"/>
          <w:sz w:val="20"/>
          <w:szCs w:val="20"/>
          <w:lang w:val="en-US"/>
        </w:rPr>
        <w:t xml:space="preserve">ory </w:t>
      </w:r>
      <w:r w:rsidR="00190DC1" w:rsidRPr="008A3740">
        <w:rPr>
          <w:rFonts w:ascii="Verdana" w:hAnsi="Verdana"/>
          <w:sz w:val="20"/>
          <w:szCs w:val="20"/>
          <w:lang w:val="en-US"/>
        </w:rPr>
        <w:t xml:space="preserve">system that offers </w:t>
      </w:r>
      <w:r w:rsidR="008E6A56" w:rsidRPr="008A3740">
        <w:rPr>
          <w:rFonts w:ascii="Verdana" w:hAnsi="Verdana"/>
          <w:sz w:val="20"/>
          <w:szCs w:val="20"/>
          <w:lang w:val="en-US"/>
        </w:rPr>
        <w:t xml:space="preserve">a </w:t>
      </w:r>
      <w:r w:rsidR="00190DC1" w:rsidRPr="008A3740">
        <w:rPr>
          <w:rFonts w:ascii="Verdana" w:hAnsi="Verdana"/>
          <w:sz w:val="20"/>
          <w:szCs w:val="20"/>
          <w:lang w:val="en-US"/>
        </w:rPr>
        <w:t xml:space="preserve">full coverage </w:t>
      </w:r>
      <w:r w:rsidR="008E6A56" w:rsidRPr="008A3740">
        <w:rPr>
          <w:rFonts w:ascii="Verdana" w:hAnsi="Verdana"/>
          <w:sz w:val="20"/>
          <w:szCs w:val="20"/>
          <w:lang w:val="en-US"/>
        </w:rPr>
        <w:t>plan</w:t>
      </w:r>
      <w:r w:rsidR="00190DC1" w:rsidRPr="008A3740">
        <w:rPr>
          <w:rFonts w:ascii="Verdana" w:hAnsi="Verdana"/>
          <w:sz w:val="20"/>
          <w:szCs w:val="20"/>
          <w:lang w:val="en-US"/>
        </w:rPr>
        <w:t>.</w:t>
      </w:r>
      <w:r w:rsidR="008E6A56" w:rsidRPr="008A3740">
        <w:rPr>
          <w:rStyle w:val="Refdenotaalpie"/>
          <w:szCs w:val="20"/>
          <w:lang w:val="en-US"/>
        </w:rPr>
        <w:footnoteReference w:id="232"/>
      </w:r>
    </w:p>
    <w:p w14:paraId="500E5C4F" w14:textId="77777777" w:rsidR="008E6A56" w:rsidRPr="008A3740" w:rsidRDefault="008E6A56" w:rsidP="008E6A56">
      <w:pPr>
        <w:tabs>
          <w:tab w:val="left" w:pos="567"/>
        </w:tabs>
        <w:textAlignment w:val="auto"/>
        <w:rPr>
          <w:rFonts w:ascii="Verdana" w:hAnsi="Verdana" w:cs="Arial"/>
          <w:sz w:val="20"/>
          <w:szCs w:val="20"/>
          <w:lang w:val="en-US"/>
        </w:rPr>
      </w:pPr>
    </w:p>
    <w:p w14:paraId="51F8351D"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sz w:val="20"/>
          <w:szCs w:val="20"/>
          <w:lang w:val="en-US"/>
        </w:rPr>
        <w:t>In fact, Article</w:t>
      </w:r>
      <w:r w:rsidR="00242BEB" w:rsidRPr="008A3740">
        <w:rPr>
          <w:rFonts w:ascii="Verdana" w:hAnsi="Verdana" w:cs="Arial"/>
          <w:sz w:val="20"/>
          <w:szCs w:val="20"/>
          <w:lang w:val="en-US"/>
        </w:rPr>
        <w:t xml:space="preserve"> 3 of </w:t>
      </w:r>
      <w:r w:rsidRPr="008A3740">
        <w:rPr>
          <w:rFonts w:ascii="Verdana" w:hAnsi="Verdana" w:cs="Arial"/>
          <w:sz w:val="20"/>
          <w:szCs w:val="20"/>
          <w:lang w:val="en-US"/>
        </w:rPr>
        <w:t xml:space="preserve">Law Nº 26790 “Law </w:t>
      </w:r>
      <w:r w:rsidR="00242BEB" w:rsidRPr="008A3740">
        <w:rPr>
          <w:rFonts w:ascii="Verdana" w:hAnsi="Verdana" w:cs="Arial"/>
          <w:sz w:val="20"/>
          <w:szCs w:val="20"/>
          <w:lang w:val="en-US"/>
        </w:rPr>
        <w:t>for the Modernization of S</w:t>
      </w:r>
      <w:r w:rsidRPr="008A3740">
        <w:rPr>
          <w:rFonts w:ascii="Verdana" w:hAnsi="Verdana" w:cs="Arial"/>
          <w:sz w:val="20"/>
          <w:szCs w:val="20"/>
          <w:lang w:val="en-US"/>
        </w:rPr>
        <w:t xml:space="preserve">ocial </w:t>
      </w:r>
      <w:r w:rsidR="00242BEB" w:rsidRPr="008A3740">
        <w:rPr>
          <w:rFonts w:ascii="Verdana" w:hAnsi="Verdana" w:cs="Arial"/>
          <w:sz w:val="20"/>
          <w:szCs w:val="20"/>
          <w:lang w:val="en-US"/>
        </w:rPr>
        <w:t>Health Insurance</w:t>
      </w:r>
      <w:r w:rsidRPr="008A3740">
        <w:rPr>
          <w:rFonts w:ascii="Verdana" w:hAnsi="Verdana" w:cs="Arial"/>
          <w:sz w:val="20"/>
          <w:szCs w:val="20"/>
          <w:lang w:val="en-US"/>
        </w:rPr>
        <w:t xml:space="preserve">” </w:t>
      </w:r>
      <w:r w:rsidR="003B6CC9" w:rsidRPr="008A3740">
        <w:rPr>
          <w:rFonts w:ascii="Verdana" w:hAnsi="Verdana" w:cs="Arial"/>
          <w:sz w:val="20"/>
          <w:szCs w:val="20"/>
          <w:lang w:val="en-US"/>
        </w:rPr>
        <w:t xml:space="preserve">of </w:t>
      </w:r>
      <w:r w:rsidR="003B6CC9" w:rsidRPr="008A3740">
        <w:rPr>
          <w:rFonts w:ascii="Verdana" w:hAnsi="Verdana" w:cs="Arial"/>
          <w:sz w:val="20"/>
          <w:szCs w:val="20"/>
          <w:lang w:val="en-US"/>
        </w:rPr>
        <w:lastRenderedPageBreak/>
        <w:t>May</w:t>
      </w:r>
      <w:r w:rsidRPr="008A3740">
        <w:rPr>
          <w:rFonts w:ascii="Verdana" w:hAnsi="Verdana" w:cs="Arial"/>
          <w:sz w:val="20"/>
          <w:szCs w:val="20"/>
          <w:lang w:val="en-US"/>
        </w:rPr>
        <w:t xml:space="preserve"> 17, 1997, </w:t>
      </w:r>
      <w:r w:rsidR="00B57B01" w:rsidRPr="008A3740">
        <w:rPr>
          <w:rFonts w:ascii="Verdana" w:hAnsi="Verdana" w:cs="Arial"/>
          <w:sz w:val="20"/>
          <w:szCs w:val="20"/>
          <w:lang w:val="en-US"/>
        </w:rPr>
        <w:t xml:space="preserve">pursuant to </w:t>
      </w:r>
      <w:r w:rsidRPr="008A3740">
        <w:rPr>
          <w:rFonts w:ascii="Verdana" w:hAnsi="Verdana" w:cs="Arial"/>
          <w:sz w:val="20"/>
          <w:szCs w:val="20"/>
          <w:lang w:val="en-US"/>
        </w:rPr>
        <w:t xml:space="preserve">Article 30, </w:t>
      </w:r>
      <w:r w:rsidR="00EB1E1E" w:rsidRPr="008A3740">
        <w:rPr>
          <w:rFonts w:ascii="Verdana" w:hAnsi="Verdana" w:cs="Arial"/>
          <w:sz w:val="20"/>
          <w:szCs w:val="20"/>
          <w:lang w:val="en-US"/>
        </w:rPr>
        <w:t xml:space="preserve">subparagraph </w:t>
      </w:r>
      <w:r w:rsidRPr="008A3740">
        <w:rPr>
          <w:rFonts w:ascii="Verdana" w:hAnsi="Verdana" w:cs="Arial"/>
          <w:sz w:val="20"/>
          <w:szCs w:val="20"/>
          <w:lang w:val="en-US"/>
        </w:rPr>
        <w:t xml:space="preserve">b) of its Regulations, approved by Supreme Decree No. 009-97-SA of September 9, 1997, </w:t>
      </w:r>
      <w:r w:rsidR="00242BEB" w:rsidRPr="008A3740">
        <w:rPr>
          <w:rFonts w:ascii="Verdana" w:hAnsi="Verdana" w:cs="Arial"/>
          <w:sz w:val="20"/>
          <w:szCs w:val="20"/>
          <w:lang w:val="en-US"/>
        </w:rPr>
        <w:t xml:space="preserve"> establishes that </w:t>
      </w:r>
      <w:r w:rsidRPr="008A3740">
        <w:rPr>
          <w:rFonts w:ascii="Verdana" w:hAnsi="Verdana" w:cs="Arial"/>
          <w:sz w:val="20"/>
          <w:szCs w:val="20"/>
          <w:lang w:val="en-US"/>
        </w:rPr>
        <w:t xml:space="preserve">“pensioners </w:t>
      </w:r>
      <w:r w:rsidR="00034DFB" w:rsidRPr="008A3740">
        <w:rPr>
          <w:rFonts w:ascii="Verdana" w:hAnsi="Verdana" w:cs="Arial"/>
          <w:sz w:val="20"/>
          <w:szCs w:val="20"/>
          <w:lang w:val="en-US"/>
        </w:rPr>
        <w:t xml:space="preserve">who receive a </w:t>
      </w:r>
      <w:r w:rsidRPr="008A3740">
        <w:rPr>
          <w:rFonts w:ascii="Verdana" w:hAnsi="Verdana" w:cs="Arial"/>
          <w:sz w:val="20"/>
          <w:szCs w:val="20"/>
          <w:lang w:val="en-US"/>
        </w:rPr>
        <w:t xml:space="preserve">pension </w:t>
      </w:r>
      <w:r w:rsidR="00190DC1" w:rsidRPr="008A3740">
        <w:rPr>
          <w:rFonts w:ascii="Verdana" w:hAnsi="Verdana" w:cs="Arial"/>
          <w:sz w:val="20"/>
          <w:szCs w:val="20"/>
          <w:lang w:val="en-US"/>
        </w:rPr>
        <w:t>for</w:t>
      </w:r>
      <w:r w:rsidRPr="008A3740">
        <w:rPr>
          <w:rFonts w:ascii="Verdana" w:hAnsi="Verdana" w:cs="Arial"/>
          <w:sz w:val="20"/>
          <w:szCs w:val="20"/>
          <w:lang w:val="en-US"/>
        </w:rPr>
        <w:t xml:space="preserve">  </w:t>
      </w:r>
      <w:r w:rsidR="00190DC1" w:rsidRPr="008A3740">
        <w:rPr>
          <w:rFonts w:ascii="Verdana" w:hAnsi="Verdana" w:cs="Arial"/>
          <w:sz w:val="20"/>
          <w:szCs w:val="20"/>
          <w:lang w:val="en-US"/>
        </w:rPr>
        <w:t>dismissal</w:t>
      </w:r>
      <w:r w:rsidRPr="008A3740">
        <w:rPr>
          <w:rFonts w:ascii="Verdana" w:hAnsi="Verdana" w:cs="Arial"/>
          <w:sz w:val="20"/>
          <w:szCs w:val="20"/>
          <w:lang w:val="en-US"/>
        </w:rPr>
        <w:t>,</w:t>
      </w:r>
      <w:r w:rsidR="00190DC1" w:rsidRPr="008A3740">
        <w:rPr>
          <w:rFonts w:ascii="Verdana" w:hAnsi="Verdana" w:cs="Arial"/>
          <w:sz w:val="20"/>
          <w:szCs w:val="20"/>
          <w:lang w:val="en-US"/>
        </w:rPr>
        <w:t xml:space="preserve"> retirement, incapaci</w:t>
      </w:r>
      <w:r w:rsidR="00B57B01" w:rsidRPr="008A3740">
        <w:rPr>
          <w:rFonts w:ascii="Verdana" w:hAnsi="Verdana" w:cs="Arial"/>
          <w:sz w:val="20"/>
          <w:szCs w:val="20"/>
          <w:lang w:val="en-US"/>
        </w:rPr>
        <w:t xml:space="preserve">ty </w:t>
      </w:r>
      <w:r w:rsidR="00190DC1" w:rsidRPr="008A3740">
        <w:rPr>
          <w:rFonts w:ascii="Verdana" w:hAnsi="Verdana" w:cs="Arial"/>
          <w:sz w:val="20"/>
          <w:szCs w:val="20"/>
          <w:lang w:val="en-US"/>
        </w:rPr>
        <w:t xml:space="preserve">or </w:t>
      </w:r>
      <w:r w:rsidR="00B57B01" w:rsidRPr="008A3740">
        <w:rPr>
          <w:rFonts w:ascii="Verdana" w:hAnsi="Verdana" w:cs="Arial"/>
          <w:sz w:val="20"/>
          <w:szCs w:val="20"/>
          <w:lang w:val="en-US"/>
        </w:rPr>
        <w:t>survival</w:t>
      </w:r>
      <w:r w:rsidRPr="008A3740">
        <w:rPr>
          <w:rFonts w:ascii="Verdana" w:hAnsi="Verdana" w:cs="Arial"/>
          <w:sz w:val="20"/>
          <w:szCs w:val="20"/>
          <w:lang w:val="en-US"/>
        </w:rPr>
        <w:t xml:space="preserve">, </w:t>
      </w:r>
      <w:r w:rsidR="00242BEB" w:rsidRPr="008A3740">
        <w:rPr>
          <w:rFonts w:ascii="Verdana" w:hAnsi="Verdana" w:cs="Arial"/>
          <w:sz w:val="20"/>
          <w:szCs w:val="20"/>
          <w:lang w:val="en-US"/>
        </w:rPr>
        <w:t>under any</w:t>
      </w:r>
      <w:r w:rsidRPr="008A3740">
        <w:rPr>
          <w:rFonts w:ascii="Verdana" w:hAnsi="Verdana" w:cs="Arial"/>
          <w:sz w:val="20"/>
          <w:szCs w:val="20"/>
          <w:lang w:val="en-US"/>
        </w:rPr>
        <w:t xml:space="preserve"> </w:t>
      </w:r>
      <w:r w:rsidR="00242BEB" w:rsidRPr="008A3740">
        <w:rPr>
          <w:rFonts w:ascii="Verdana" w:hAnsi="Verdana" w:cs="Arial"/>
          <w:sz w:val="20"/>
          <w:szCs w:val="20"/>
          <w:lang w:val="en-US"/>
        </w:rPr>
        <w:t>lawful regime to which they are subject, are</w:t>
      </w:r>
      <w:r w:rsidR="00C30B3E" w:rsidRPr="008A3740">
        <w:rPr>
          <w:rFonts w:ascii="Verdana" w:hAnsi="Verdana" w:cs="Arial"/>
          <w:sz w:val="20"/>
          <w:szCs w:val="20"/>
          <w:lang w:val="en-US"/>
        </w:rPr>
        <w:t xml:space="preserve"> insured </w:t>
      </w:r>
      <w:r w:rsidR="00242BEB" w:rsidRPr="008A3740">
        <w:rPr>
          <w:rFonts w:ascii="Verdana" w:hAnsi="Verdana" w:cs="Arial"/>
          <w:sz w:val="20"/>
          <w:szCs w:val="20"/>
          <w:lang w:val="en-US"/>
        </w:rPr>
        <w:t xml:space="preserve">as regular members </w:t>
      </w:r>
      <w:r w:rsidR="00C30B3E" w:rsidRPr="008A3740">
        <w:rPr>
          <w:rFonts w:ascii="Verdana" w:hAnsi="Verdana" w:cs="Arial"/>
          <w:sz w:val="20"/>
          <w:szCs w:val="20"/>
          <w:lang w:val="en-US"/>
        </w:rPr>
        <w:t xml:space="preserve">under </w:t>
      </w:r>
      <w:r w:rsidR="00242BEB" w:rsidRPr="008A3740">
        <w:rPr>
          <w:rFonts w:ascii="Verdana" w:hAnsi="Verdana" w:cs="Arial"/>
          <w:sz w:val="20"/>
          <w:szCs w:val="20"/>
          <w:lang w:val="en-US"/>
        </w:rPr>
        <w:t>the contributory system of the social health insurance system</w:t>
      </w:r>
      <w:r w:rsidR="00C30B3E" w:rsidRPr="008A3740">
        <w:rPr>
          <w:rFonts w:ascii="Verdana" w:hAnsi="Verdana" w:cs="Arial"/>
          <w:sz w:val="20"/>
          <w:szCs w:val="20"/>
          <w:lang w:val="en-US"/>
        </w:rPr>
        <w:t>.</w:t>
      </w:r>
      <w:r w:rsidR="00190DC1" w:rsidRPr="008A3740">
        <w:rPr>
          <w:rFonts w:ascii="Verdana" w:hAnsi="Verdana" w:cs="Arial"/>
          <w:sz w:val="20"/>
          <w:szCs w:val="20"/>
          <w:lang w:val="en-US"/>
        </w:rPr>
        <w:t>”</w:t>
      </w:r>
      <w:r w:rsidRPr="008A3740">
        <w:rPr>
          <w:rFonts w:ascii="Verdana" w:hAnsi="Verdana" w:cs="Cambria"/>
          <w:sz w:val="20"/>
          <w:szCs w:val="20"/>
          <w:lang w:val="en-US"/>
        </w:rPr>
        <w:t xml:space="preserve"> </w:t>
      </w:r>
      <w:r w:rsidR="00ED6994" w:rsidRPr="008A3740">
        <w:rPr>
          <w:rFonts w:ascii="Verdana" w:hAnsi="Verdana" w:cs="Cambria"/>
          <w:sz w:val="20"/>
          <w:szCs w:val="20"/>
          <w:lang w:val="en-US"/>
        </w:rPr>
        <w:t>Also</w:t>
      </w:r>
      <w:r w:rsidR="00950BDA" w:rsidRPr="008A3740">
        <w:rPr>
          <w:rFonts w:ascii="Verdana" w:hAnsi="Verdana" w:cs="Cambria"/>
          <w:sz w:val="20"/>
          <w:szCs w:val="20"/>
          <w:lang w:val="en-US"/>
        </w:rPr>
        <w:t>, Article 6 of the regulations</w:t>
      </w:r>
      <w:r w:rsidRPr="008A3740">
        <w:rPr>
          <w:rFonts w:ascii="Verdana" w:hAnsi="Verdana" w:cs="Cambria"/>
          <w:sz w:val="20"/>
          <w:szCs w:val="20"/>
          <w:lang w:val="en-US"/>
        </w:rPr>
        <w:t xml:space="preserve"> </w:t>
      </w:r>
      <w:r w:rsidR="00C30B3E" w:rsidRPr="008A3740">
        <w:rPr>
          <w:rFonts w:ascii="Verdana" w:hAnsi="Verdana" w:cs="Cambria"/>
          <w:sz w:val="20"/>
          <w:szCs w:val="20"/>
          <w:lang w:val="en-US"/>
        </w:rPr>
        <w:t xml:space="preserve">establishes </w:t>
      </w:r>
      <w:r w:rsidRPr="008A3740">
        <w:rPr>
          <w:rFonts w:ascii="Verdana" w:hAnsi="Verdana" w:cs="Cambria"/>
          <w:sz w:val="20"/>
          <w:szCs w:val="20"/>
          <w:lang w:val="en-US"/>
        </w:rPr>
        <w:t xml:space="preserve">that contributions </w:t>
      </w:r>
      <w:r w:rsidR="00C30B3E" w:rsidRPr="008A3740">
        <w:rPr>
          <w:rFonts w:ascii="Verdana" w:hAnsi="Verdana" w:cs="Cambria"/>
          <w:sz w:val="20"/>
          <w:szCs w:val="20"/>
          <w:lang w:val="en-US"/>
        </w:rPr>
        <w:t xml:space="preserve">for </w:t>
      </w:r>
      <w:r w:rsidRPr="008A3740">
        <w:rPr>
          <w:rFonts w:ascii="Verdana" w:hAnsi="Verdana" w:cs="Cambria"/>
          <w:sz w:val="20"/>
          <w:szCs w:val="20"/>
          <w:lang w:val="en-US"/>
        </w:rPr>
        <w:t>af</w:t>
      </w:r>
      <w:r w:rsidR="00B57B01" w:rsidRPr="008A3740">
        <w:rPr>
          <w:rFonts w:ascii="Verdana" w:hAnsi="Verdana" w:cs="Cambria"/>
          <w:sz w:val="20"/>
          <w:szCs w:val="20"/>
          <w:lang w:val="en-US"/>
        </w:rPr>
        <w:t>f</w:t>
      </w:r>
      <w:r w:rsidRPr="008A3740">
        <w:rPr>
          <w:rFonts w:ascii="Verdana" w:hAnsi="Verdana" w:cs="Cambria"/>
          <w:sz w:val="20"/>
          <w:szCs w:val="20"/>
          <w:lang w:val="en-US"/>
        </w:rPr>
        <w:t xml:space="preserve">iliation </w:t>
      </w:r>
      <w:r w:rsidR="00B57B01" w:rsidRPr="008A3740">
        <w:rPr>
          <w:rFonts w:ascii="Verdana" w:hAnsi="Verdana" w:cs="Cambria"/>
          <w:sz w:val="20"/>
          <w:szCs w:val="20"/>
          <w:lang w:val="en-US"/>
        </w:rPr>
        <w:t xml:space="preserve">to the </w:t>
      </w:r>
      <w:r w:rsidRPr="008A3740">
        <w:rPr>
          <w:rFonts w:ascii="Verdana" w:hAnsi="Verdana" w:cs="Cambria"/>
          <w:sz w:val="20"/>
          <w:szCs w:val="20"/>
          <w:lang w:val="en-US"/>
        </w:rPr>
        <w:t xml:space="preserve">social </w:t>
      </w:r>
      <w:r w:rsidR="00ED6994" w:rsidRPr="008A3740">
        <w:rPr>
          <w:rFonts w:ascii="Verdana" w:hAnsi="Verdana" w:cs="Cambria"/>
          <w:sz w:val="20"/>
          <w:szCs w:val="20"/>
          <w:lang w:val="en-US"/>
        </w:rPr>
        <w:t>health insurance</w:t>
      </w:r>
      <w:r w:rsidR="00C30B3E" w:rsidRPr="008A3740">
        <w:rPr>
          <w:rFonts w:ascii="Verdana" w:hAnsi="Verdana" w:cs="Cambria"/>
          <w:sz w:val="20"/>
          <w:szCs w:val="20"/>
          <w:lang w:val="en-US"/>
        </w:rPr>
        <w:t xml:space="preserve"> system are paid monthly</w:t>
      </w:r>
      <w:r w:rsidR="00EB1E1E" w:rsidRPr="008A3740">
        <w:rPr>
          <w:rFonts w:ascii="Verdana" w:hAnsi="Verdana" w:cs="Cambria"/>
          <w:sz w:val="20"/>
          <w:szCs w:val="20"/>
          <w:lang w:val="en-US"/>
        </w:rPr>
        <w:t xml:space="preserve"> </w:t>
      </w:r>
      <w:r w:rsidRPr="008A3740">
        <w:rPr>
          <w:rFonts w:ascii="Verdana" w:hAnsi="Verdana" w:cs="Cambria"/>
          <w:sz w:val="20"/>
          <w:szCs w:val="20"/>
          <w:lang w:val="en-US"/>
        </w:rPr>
        <w:t xml:space="preserve">and </w:t>
      </w:r>
      <w:r w:rsidR="00EB1E1E" w:rsidRPr="008A3740">
        <w:rPr>
          <w:rFonts w:ascii="Verdana" w:hAnsi="Verdana" w:cs="Cambria"/>
          <w:sz w:val="20"/>
          <w:szCs w:val="20"/>
          <w:lang w:val="en-US"/>
        </w:rPr>
        <w:t>that</w:t>
      </w:r>
      <w:r w:rsidRPr="008A3740">
        <w:rPr>
          <w:rFonts w:ascii="Verdana" w:hAnsi="Verdana" w:cs="Cambria"/>
          <w:sz w:val="20"/>
          <w:szCs w:val="20"/>
          <w:lang w:val="en-US"/>
        </w:rPr>
        <w:t xml:space="preserve"> </w:t>
      </w:r>
      <w:r w:rsidR="006E04AA" w:rsidRPr="008A3740">
        <w:rPr>
          <w:rFonts w:ascii="Verdana" w:hAnsi="Verdana" w:cs="Cambria"/>
          <w:sz w:val="20"/>
          <w:szCs w:val="20"/>
          <w:lang w:val="en-US"/>
        </w:rPr>
        <w:t xml:space="preserve">the contribution </w:t>
      </w:r>
      <w:r w:rsidR="00C30B3E" w:rsidRPr="008A3740">
        <w:rPr>
          <w:rFonts w:ascii="Verdana" w:hAnsi="Verdana" w:cs="Cambria"/>
          <w:sz w:val="20"/>
          <w:szCs w:val="20"/>
          <w:lang w:val="en-US"/>
        </w:rPr>
        <w:t xml:space="preserve">for pensioners is </w:t>
      </w:r>
      <w:r w:rsidR="006E04AA" w:rsidRPr="008A3740">
        <w:rPr>
          <w:rFonts w:ascii="Verdana" w:hAnsi="Verdana" w:cs="Cambria"/>
          <w:sz w:val="20"/>
          <w:szCs w:val="20"/>
          <w:lang w:val="en-US"/>
        </w:rPr>
        <w:t xml:space="preserve">4% of </w:t>
      </w:r>
      <w:r w:rsidRPr="008A3740">
        <w:rPr>
          <w:rFonts w:ascii="Verdana" w:hAnsi="Verdana" w:cs="Cambria"/>
          <w:sz w:val="20"/>
          <w:szCs w:val="20"/>
          <w:lang w:val="en-US"/>
        </w:rPr>
        <w:t>the</w:t>
      </w:r>
      <w:r w:rsidR="00C30B3E" w:rsidRPr="008A3740">
        <w:rPr>
          <w:rFonts w:ascii="Verdana" w:hAnsi="Verdana" w:cs="Cambria"/>
          <w:sz w:val="20"/>
          <w:szCs w:val="20"/>
          <w:lang w:val="en-US"/>
        </w:rPr>
        <w:t>ir</w:t>
      </w:r>
      <w:r w:rsidRPr="008A3740">
        <w:rPr>
          <w:rFonts w:ascii="Verdana" w:hAnsi="Verdana" w:cs="Cambria"/>
          <w:sz w:val="20"/>
          <w:szCs w:val="20"/>
          <w:lang w:val="en-US"/>
        </w:rPr>
        <w:t xml:space="preserve"> pension, </w:t>
      </w:r>
      <w:r w:rsidR="00C30B3E" w:rsidRPr="008A3740">
        <w:rPr>
          <w:rFonts w:ascii="Verdana" w:hAnsi="Verdana" w:cs="Cambria"/>
          <w:sz w:val="20"/>
          <w:szCs w:val="20"/>
          <w:lang w:val="en-US"/>
        </w:rPr>
        <w:t xml:space="preserve">for which pensioners are </w:t>
      </w:r>
      <w:r w:rsidR="007067F3" w:rsidRPr="008A3740">
        <w:rPr>
          <w:rFonts w:ascii="Verdana" w:hAnsi="Verdana" w:cs="Cambria"/>
          <w:sz w:val="20"/>
          <w:szCs w:val="20"/>
          <w:lang w:val="en-US"/>
        </w:rPr>
        <w:t>responsible</w:t>
      </w:r>
      <w:r w:rsidR="00C30B3E" w:rsidRPr="008A3740">
        <w:rPr>
          <w:rFonts w:ascii="Verdana" w:hAnsi="Verdana" w:cs="Cambria"/>
          <w:sz w:val="20"/>
          <w:szCs w:val="20"/>
          <w:lang w:val="en-US"/>
        </w:rPr>
        <w:t>;</w:t>
      </w:r>
      <w:r w:rsidRPr="008A3740">
        <w:rPr>
          <w:rFonts w:ascii="Verdana" w:hAnsi="Verdana" w:cs="Cambria"/>
          <w:sz w:val="20"/>
          <w:szCs w:val="20"/>
          <w:lang w:val="en-US"/>
        </w:rPr>
        <w:t xml:space="preserve"> the </w:t>
      </w:r>
      <w:r w:rsidR="006E04AA" w:rsidRPr="008A3740">
        <w:rPr>
          <w:rFonts w:ascii="Verdana" w:hAnsi="Verdana" w:cs="Cambria"/>
          <w:sz w:val="20"/>
          <w:szCs w:val="20"/>
          <w:lang w:val="en-US"/>
        </w:rPr>
        <w:t>employer</w:t>
      </w:r>
      <w:r w:rsidR="00C30B3E" w:rsidRPr="008A3740">
        <w:rPr>
          <w:rFonts w:ascii="Verdana" w:hAnsi="Verdana" w:cs="Cambria"/>
          <w:sz w:val="20"/>
          <w:szCs w:val="20"/>
          <w:lang w:val="en-US"/>
        </w:rPr>
        <w:t xml:space="preserve">, </w:t>
      </w:r>
      <w:r w:rsidR="007067F3" w:rsidRPr="008A3740">
        <w:rPr>
          <w:rFonts w:ascii="Verdana" w:hAnsi="Verdana" w:cs="Cambria"/>
          <w:sz w:val="20"/>
          <w:szCs w:val="20"/>
          <w:lang w:val="en-US"/>
        </w:rPr>
        <w:t xml:space="preserve">the ONP or </w:t>
      </w:r>
      <w:r w:rsidRPr="008A3740">
        <w:rPr>
          <w:rFonts w:ascii="Verdana" w:hAnsi="Verdana" w:cs="Cambria"/>
          <w:sz w:val="20"/>
          <w:szCs w:val="20"/>
          <w:lang w:val="en-US"/>
        </w:rPr>
        <w:t>the Administrat</w:t>
      </w:r>
      <w:r w:rsidR="00C30B3E" w:rsidRPr="008A3740">
        <w:rPr>
          <w:rFonts w:ascii="Verdana" w:hAnsi="Verdana" w:cs="Cambria"/>
          <w:sz w:val="20"/>
          <w:szCs w:val="20"/>
          <w:lang w:val="en-US"/>
        </w:rPr>
        <w:t xml:space="preserve">or of </w:t>
      </w:r>
      <w:r w:rsidRPr="008A3740">
        <w:rPr>
          <w:rFonts w:ascii="Verdana" w:hAnsi="Verdana" w:cs="Cambria"/>
          <w:sz w:val="20"/>
          <w:szCs w:val="20"/>
          <w:lang w:val="en-US"/>
        </w:rPr>
        <w:t xml:space="preserve">Pension Funds AFP, </w:t>
      </w:r>
      <w:r w:rsidR="00F236D4" w:rsidRPr="008A3740">
        <w:rPr>
          <w:rFonts w:ascii="Verdana" w:hAnsi="Verdana" w:cs="Cambria"/>
          <w:sz w:val="20"/>
          <w:szCs w:val="20"/>
          <w:lang w:val="en-US"/>
        </w:rPr>
        <w:t xml:space="preserve">is responsible for </w:t>
      </w:r>
      <w:r w:rsidRPr="008A3740">
        <w:rPr>
          <w:rFonts w:ascii="Verdana" w:hAnsi="Verdana" w:cs="Cambria"/>
          <w:sz w:val="20"/>
          <w:szCs w:val="20"/>
          <w:lang w:val="en-US"/>
        </w:rPr>
        <w:t>the a</w:t>
      </w:r>
      <w:r w:rsidR="00B57B01" w:rsidRPr="008A3740">
        <w:rPr>
          <w:rFonts w:ascii="Verdana" w:hAnsi="Verdana" w:cs="Cambria"/>
          <w:sz w:val="20"/>
          <w:szCs w:val="20"/>
          <w:lang w:val="en-US"/>
        </w:rPr>
        <w:t>ffiliation, retention, d</w:t>
      </w:r>
      <w:r w:rsidRPr="008A3740">
        <w:rPr>
          <w:rFonts w:ascii="Verdana" w:hAnsi="Verdana" w:cs="Cambria"/>
          <w:sz w:val="20"/>
          <w:szCs w:val="20"/>
          <w:lang w:val="en-US"/>
        </w:rPr>
        <w:t>eclaration and payment</w:t>
      </w:r>
      <w:r w:rsidR="00950BDA" w:rsidRPr="008A3740">
        <w:rPr>
          <w:rFonts w:ascii="Verdana" w:hAnsi="Verdana" w:cs="Cambria"/>
          <w:sz w:val="20"/>
          <w:szCs w:val="20"/>
          <w:lang w:val="en-US"/>
        </w:rPr>
        <w:t xml:space="preserve"> of the contribution in the month after the relevant pension is paid or made available, </w:t>
      </w:r>
      <w:r w:rsidR="001A51F9" w:rsidRPr="008A3740">
        <w:rPr>
          <w:rFonts w:ascii="Verdana" w:hAnsi="Verdana" w:cs="Cambria"/>
          <w:sz w:val="20"/>
          <w:szCs w:val="20"/>
          <w:lang w:val="en-US"/>
        </w:rPr>
        <w:t xml:space="preserve">whether </w:t>
      </w:r>
      <w:r w:rsidRPr="008A3740">
        <w:rPr>
          <w:rFonts w:ascii="Verdana" w:hAnsi="Verdana" w:cs="Cambria"/>
          <w:sz w:val="20"/>
          <w:szCs w:val="20"/>
          <w:lang w:val="en-US"/>
        </w:rPr>
        <w:t xml:space="preserve">provisional or </w:t>
      </w:r>
      <w:r w:rsidR="00ED6994" w:rsidRPr="008A3740">
        <w:rPr>
          <w:rFonts w:ascii="Verdana" w:hAnsi="Verdana" w:cs="Cambria"/>
          <w:sz w:val="20"/>
          <w:szCs w:val="20"/>
          <w:lang w:val="en-US"/>
        </w:rPr>
        <w:t>final</w:t>
      </w:r>
      <w:r w:rsidRPr="008A3740">
        <w:rPr>
          <w:rFonts w:ascii="Verdana" w:hAnsi="Verdana" w:cs="Cambria"/>
          <w:sz w:val="20"/>
          <w:szCs w:val="20"/>
          <w:lang w:val="en-US"/>
        </w:rPr>
        <w:t xml:space="preserve">. </w:t>
      </w:r>
      <w:r w:rsidR="006E04AA" w:rsidRPr="008A3740">
        <w:rPr>
          <w:rFonts w:ascii="Verdana" w:hAnsi="Verdana" w:cs="Cambria"/>
          <w:sz w:val="20"/>
          <w:szCs w:val="20"/>
          <w:lang w:val="en-US"/>
        </w:rPr>
        <w:t>In turn</w:t>
      </w:r>
      <w:r w:rsidRPr="008A3740">
        <w:rPr>
          <w:rFonts w:ascii="Verdana" w:hAnsi="Verdana" w:cs="Cambria"/>
          <w:sz w:val="20"/>
          <w:szCs w:val="20"/>
          <w:lang w:val="en-US"/>
        </w:rPr>
        <w:t xml:space="preserve">, Article 35 of the </w:t>
      </w:r>
      <w:r w:rsidR="00950BDA" w:rsidRPr="008A3740">
        <w:rPr>
          <w:rFonts w:ascii="Verdana" w:hAnsi="Verdana" w:cs="Cambria"/>
          <w:sz w:val="20"/>
          <w:szCs w:val="20"/>
          <w:lang w:val="en-US"/>
        </w:rPr>
        <w:t xml:space="preserve">Regulations </w:t>
      </w:r>
      <w:r w:rsidRPr="008A3740">
        <w:rPr>
          <w:rFonts w:ascii="Verdana" w:hAnsi="Verdana" w:cs="Cambria"/>
          <w:sz w:val="20"/>
          <w:szCs w:val="20"/>
          <w:lang w:val="en-US"/>
        </w:rPr>
        <w:t>establ</w:t>
      </w:r>
      <w:r w:rsidR="00B57B01" w:rsidRPr="008A3740">
        <w:rPr>
          <w:rFonts w:ascii="Verdana" w:hAnsi="Verdana" w:cs="Cambria"/>
          <w:sz w:val="20"/>
          <w:szCs w:val="20"/>
          <w:lang w:val="en-US"/>
        </w:rPr>
        <w:t xml:space="preserve">ishes that </w:t>
      </w:r>
      <w:r w:rsidRPr="008A3740">
        <w:rPr>
          <w:rFonts w:ascii="Verdana" w:hAnsi="Verdana" w:cs="Cambria"/>
          <w:sz w:val="20"/>
          <w:szCs w:val="20"/>
          <w:lang w:val="en-US"/>
        </w:rPr>
        <w:t xml:space="preserve">pensioners </w:t>
      </w:r>
      <w:r w:rsidR="001A51F9" w:rsidRPr="008A3740">
        <w:rPr>
          <w:rFonts w:ascii="Verdana" w:hAnsi="Verdana" w:cs="Cambria"/>
          <w:sz w:val="20"/>
          <w:szCs w:val="20"/>
          <w:lang w:val="en-US"/>
        </w:rPr>
        <w:t>have the right to</w:t>
      </w:r>
      <w:r w:rsidR="00950BDA" w:rsidRPr="008A3740">
        <w:rPr>
          <w:rFonts w:ascii="Verdana" w:hAnsi="Verdana" w:cs="Cambria"/>
          <w:sz w:val="20"/>
          <w:szCs w:val="20"/>
          <w:lang w:val="en-US"/>
        </w:rPr>
        <w:t xml:space="preserve"> </w:t>
      </w:r>
      <w:r w:rsidRPr="008A3740">
        <w:rPr>
          <w:rFonts w:ascii="Verdana" w:hAnsi="Verdana" w:cs="Cambria"/>
          <w:sz w:val="20"/>
          <w:szCs w:val="20"/>
          <w:lang w:val="en-US"/>
        </w:rPr>
        <w:t xml:space="preserve">coverage </w:t>
      </w:r>
      <w:r w:rsidR="001A51F9" w:rsidRPr="008A3740">
        <w:rPr>
          <w:rFonts w:ascii="Verdana" w:hAnsi="Verdana" w:cs="Cambria"/>
          <w:sz w:val="20"/>
          <w:szCs w:val="20"/>
          <w:lang w:val="en-US"/>
        </w:rPr>
        <w:t xml:space="preserve">under </w:t>
      </w:r>
      <w:r w:rsidR="00136BC1" w:rsidRPr="008A3740">
        <w:rPr>
          <w:rFonts w:ascii="Verdana" w:hAnsi="Verdana" w:cs="Cambria"/>
          <w:sz w:val="20"/>
          <w:szCs w:val="20"/>
          <w:lang w:val="en-US"/>
        </w:rPr>
        <w:t>EsSalud</w:t>
      </w:r>
      <w:r w:rsidR="00950BDA" w:rsidRPr="008A3740">
        <w:rPr>
          <w:rFonts w:ascii="Verdana" w:hAnsi="Verdana" w:cs="Cambria"/>
          <w:sz w:val="20"/>
          <w:szCs w:val="20"/>
          <w:lang w:val="en-US"/>
        </w:rPr>
        <w:t>,</w:t>
      </w:r>
      <w:r w:rsidRPr="008A3740">
        <w:rPr>
          <w:rFonts w:ascii="Verdana" w:hAnsi="Verdana" w:cs="Cambria"/>
          <w:sz w:val="20"/>
          <w:szCs w:val="20"/>
          <w:lang w:val="en-US"/>
        </w:rPr>
        <w:t xml:space="preserve"> </w:t>
      </w:r>
      <w:r w:rsidR="00A450B2" w:rsidRPr="008A3740">
        <w:rPr>
          <w:rFonts w:ascii="Verdana" w:hAnsi="Verdana" w:cs="Cambria"/>
          <w:sz w:val="20"/>
          <w:szCs w:val="20"/>
          <w:lang w:val="en-US"/>
        </w:rPr>
        <w:t xml:space="preserve">without a </w:t>
      </w:r>
      <w:r w:rsidR="00950BDA" w:rsidRPr="008A3740">
        <w:rPr>
          <w:rFonts w:ascii="Verdana" w:hAnsi="Verdana" w:cs="Cambria"/>
          <w:sz w:val="20"/>
          <w:szCs w:val="20"/>
          <w:lang w:val="en-US"/>
        </w:rPr>
        <w:t>waiting period</w:t>
      </w:r>
      <w:r w:rsidRPr="008A3740">
        <w:rPr>
          <w:rFonts w:ascii="Verdana" w:hAnsi="Verdana" w:cs="Cambria"/>
          <w:sz w:val="20"/>
          <w:szCs w:val="20"/>
          <w:lang w:val="en-US"/>
        </w:rPr>
        <w:t xml:space="preserve">, </w:t>
      </w:r>
      <w:r w:rsidR="00B57B01" w:rsidRPr="008A3740">
        <w:rPr>
          <w:rFonts w:ascii="Verdana" w:hAnsi="Verdana" w:cs="Cambria"/>
          <w:sz w:val="20"/>
          <w:szCs w:val="20"/>
          <w:lang w:val="en-US"/>
        </w:rPr>
        <w:t>from the date o</w:t>
      </w:r>
      <w:r w:rsidRPr="008A3740">
        <w:rPr>
          <w:rFonts w:ascii="Verdana" w:hAnsi="Verdana" w:cs="Cambria"/>
          <w:sz w:val="20"/>
          <w:szCs w:val="20"/>
          <w:lang w:val="en-US"/>
        </w:rPr>
        <w:t xml:space="preserve">n </w:t>
      </w:r>
      <w:r w:rsidR="00B57B01" w:rsidRPr="008A3740">
        <w:rPr>
          <w:rFonts w:ascii="Verdana" w:hAnsi="Verdana" w:cs="Cambria"/>
          <w:sz w:val="20"/>
          <w:szCs w:val="20"/>
          <w:lang w:val="en-US"/>
        </w:rPr>
        <w:t xml:space="preserve">which they </w:t>
      </w:r>
      <w:r w:rsidR="00361755" w:rsidRPr="008A3740">
        <w:rPr>
          <w:rFonts w:ascii="Verdana" w:hAnsi="Verdana" w:cs="Cambria"/>
          <w:sz w:val="20"/>
          <w:szCs w:val="20"/>
          <w:lang w:val="en-US"/>
        </w:rPr>
        <w:t xml:space="preserve">become </w:t>
      </w:r>
      <w:r w:rsidR="00950BDA" w:rsidRPr="008A3740">
        <w:rPr>
          <w:rFonts w:ascii="Verdana" w:hAnsi="Verdana" w:cs="Cambria"/>
          <w:sz w:val="20"/>
          <w:szCs w:val="20"/>
          <w:lang w:val="en-US"/>
        </w:rPr>
        <w:t xml:space="preserve">pensioners, </w:t>
      </w:r>
      <w:r w:rsidR="00B57B01" w:rsidRPr="008A3740">
        <w:rPr>
          <w:rFonts w:ascii="Verdana" w:hAnsi="Verdana" w:cs="Cambria"/>
          <w:sz w:val="20"/>
          <w:szCs w:val="20"/>
          <w:lang w:val="en-US"/>
        </w:rPr>
        <w:t xml:space="preserve">provided </w:t>
      </w:r>
      <w:r w:rsidRPr="008A3740">
        <w:rPr>
          <w:rFonts w:ascii="Verdana" w:hAnsi="Verdana" w:cs="Cambria"/>
          <w:sz w:val="20"/>
          <w:szCs w:val="20"/>
          <w:lang w:val="en-US"/>
        </w:rPr>
        <w:t xml:space="preserve">that </w:t>
      </w:r>
      <w:r w:rsidR="00326E3E" w:rsidRPr="008A3740">
        <w:rPr>
          <w:rFonts w:ascii="Verdana" w:hAnsi="Verdana" w:cs="Cambria"/>
          <w:sz w:val="20"/>
          <w:szCs w:val="20"/>
          <w:lang w:val="en-US"/>
        </w:rPr>
        <w:t xml:space="preserve">they </w:t>
      </w:r>
      <w:r w:rsidR="00A450B2" w:rsidRPr="008A3740">
        <w:rPr>
          <w:rFonts w:ascii="Verdana" w:hAnsi="Verdana" w:cs="Cambria"/>
          <w:sz w:val="20"/>
          <w:szCs w:val="20"/>
          <w:lang w:val="en-US"/>
        </w:rPr>
        <w:t xml:space="preserve">are recognized </w:t>
      </w:r>
      <w:r w:rsidR="00326E3E" w:rsidRPr="008A3740">
        <w:rPr>
          <w:rFonts w:ascii="Verdana" w:hAnsi="Verdana" w:cs="Cambria"/>
          <w:sz w:val="20"/>
          <w:szCs w:val="20"/>
          <w:lang w:val="en-US"/>
        </w:rPr>
        <w:t xml:space="preserve">as such </w:t>
      </w:r>
      <w:r w:rsidRPr="008A3740">
        <w:rPr>
          <w:rFonts w:ascii="Verdana" w:hAnsi="Verdana" w:cs="Cambria"/>
          <w:sz w:val="20"/>
          <w:szCs w:val="20"/>
          <w:lang w:val="en-US"/>
        </w:rPr>
        <w:t>by the entity that pa</w:t>
      </w:r>
      <w:r w:rsidR="006E04AA" w:rsidRPr="008A3740">
        <w:rPr>
          <w:rFonts w:ascii="Verdana" w:hAnsi="Verdana" w:cs="Cambria"/>
          <w:sz w:val="20"/>
          <w:szCs w:val="20"/>
          <w:lang w:val="en-US"/>
        </w:rPr>
        <w:t xml:space="preserve">ys </w:t>
      </w:r>
      <w:r w:rsidR="00361755" w:rsidRPr="008A3740">
        <w:rPr>
          <w:rFonts w:ascii="Verdana" w:hAnsi="Verdana" w:cs="Cambria"/>
          <w:sz w:val="20"/>
          <w:szCs w:val="20"/>
          <w:lang w:val="en-US"/>
        </w:rPr>
        <w:t>the</w:t>
      </w:r>
      <w:r w:rsidR="00950BDA" w:rsidRPr="008A3740">
        <w:rPr>
          <w:rFonts w:ascii="Verdana" w:hAnsi="Verdana" w:cs="Cambria"/>
          <w:sz w:val="20"/>
          <w:szCs w:val="20"/>
          <w:lang w:val="en-US"/>
        </w:rPr>
        <w:t>ir pension</w:t>
      </w:r>
      <w:r w:rsidR="00361755" w:rsidRPr="008A3740">
        <w:rPr>
          <w:rFonts w:ascii="Verdana" w:hAnsi="Verdana" w:cs="Cambria"/>
          <w:sz w:val="20"/>
          <w:szCs w:val="20"/>
          <w:lang w:val="en-US"/>
        </w:rPr>
        <w:t xml:space="preserve">, </w:t>
      </w:r>
      <w:r w:rsidR="00950BDA" w:rsidRPr="008A3740">
        <w:rPr>
          <w:rFonts w:ascii="Verdana" w:hAnsi="Verdana" w:cs="Cambria"/>
          <w:sz w:val="20"/>
          <w:szCs w:val="20"/>
          <w:lang w:val="en-US"/>
        </w:rPr>
        <w:t xml:space="preserve">and </w:t>
      </w:r>
      <w:r w:rsidR="00361755" w:rsidRPr="008A3740">
        <w:rPr>
          <w:rFonts w:ascii="Verdana" w:hAnsi="Verdana" w:cs="Cambria"/>
          <w:sz w:val="20"/>
          <w:szCs w:val="20"/>
          <w:lang w:val="en-US"/>
        </w:rPr>
        <w:t>maintain</w:t>
      </w:r>
      <w:r w:rsidR="00A9149D" w:rsidRPr="008A3740">
        <w:rPr>
          <w:rFonts w:ascii="Verdana" w:hAnsi="Verdana" w:cs="Cambria"/>
          <w:sz w:val="20"/>
          <w:szCs w:val="20"/>
          <w:lang w:val="en-US"/>
        </w:rPr>
        <w:t xml:space="preserve"> that status</w:t>
      </w:r>
      <w:r w:rsidRPr="008A3740">
        <w:rPr>
          <w:rFonts w:ascii="Verdana" w:hAnsi="Verdana" w:cs="Cambria"/>
          <w:sz w:val="20"/>
          <w:szCs w:val="20"/>
          <w:lang w:val="en-US"/>
        </w:rPr>
        <w:t xml:space="preserve"> if </w:t>
      </w:r>
      <w:r w:rsidR="00A450B2" w:rsidRPr="008A3740">
        <w:rPr>
          <w:rFonts w:ascii="Verdana" w:hAnsi="Verdana" w:cs="Cambria"/>
          <w:sz w:val="20"/>
          <w:szCs w:val="20"/>
          <w:lang w:val="en-US"/>
        </w:rPr>
        <w:t xml:space="preserve">they have complied with </w:t>
      </w:r>
      <w:r w:rsidRPr="008A3740">
        <w:rPr>
          <w:rFonts w:ascii="Verdana" w:hAnsi="Verdana" w:cs="Cambria"/>
          <w:sz w:val="20"/>
          <w:szCs w:val="20"/>
          <w:lang w:val="en-US"/>
        </w:rPr>
        <w:t>the corresponding contributions.</w:t>
      </w:r>
      <w:r w:rsidRPr="008A3740">
        <w:rPr>
          <w:rStyle w:val="Refdenotaalpie"/>
          <w:rFonts w:cs="Cambria"/>
          <w:szCs w:val="20"/>
          <w:lang w:val="en-US"/>
        </w:rPr>
        <w:footnoteReference w:id="233"/>
      </w:r>
    </w:p>
    <w:p w14:paraId="3A1A8163" w14:textId="77777777" w:rsidR="008E6A56" w:rsidRPr="008A3740" w:rsidRDefault="008E6A56" w:rsidP="008E6A56">
      <w:pPr>
        <w:tabs>
          <w:tab w:val="left" w:pos="567"/>
        </w:tabs>
        <w:textAlignment w:val="auto"/>
        <w:rPr>
          <w:rFonts w:ascii="Verdana" w:hAnsi="Verdana" w:cs="Arial"/>
          <w:sz w:val="20"/>
          <w:szCs w:val="20"/>
          <w:lang w:val="en-US"/>
        </w:rPr>
      </w:pPr>
    </w:p>
    <w:p w14:paraId="25E2835D"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cs="Cambria"/>
          <w:sz w:val="20"/>
          <w:szCs w:val="20"/>
          <w:lang w:val="en-US"/>
        </w:rPr>
        <w:t>Consequently, taking into account the victim’s</w:t>
      </w:r>
      <w:r w:rsidR="00950BDA" w:rsidRPr="008A3740">
        <w:rPr>
          <w:rFonts w:ascii="Verdana" w:hAnsi="Verdana" w:cs="Cambria"/>
          <w:sz w:val="20"/>
          <w:szCs w:val="20"/>
          <w:lang w:val="en-US"/>
        </w:rPr>
        <w:t xml:space="preserve"> current state of vulnerability</w:t>
      </w:r>
      <w:r w:rsidR="005A1791" w:rsidRPr="008A3740">
        <w:rPr>
          <w:rFonts w:ascii="Verdana" w:hAnsi="Verdana" w:cs="Cambria"/>
          <w:sz w:val="20"/>
          <w:szCs w:val="20"/>
          <w:lang w:val="en-US"/>
        </w:rPr>
        <w:t>,</w:t>
      </w:r>
      <w:r w:rsidRPr="008A3740">
        <w:rPr>
          <w:rFonts w:ascii="Verdana" w:hAnsi="Verdana" w:cs="Cambria"/>
          <w:sz w:val="20"/>
          <w:szCs w:val="20"/>
          <w:lang w:val="en-US"/>
        </w:rPr>
        <w:t xml:space="preserve"> and </w:t>
      </w:r>
      <w:r w:rsidR="005A1791" w:rsidRPr="008A3740">
        <w:rPr>
          <w:rFonts w:ascii="Verdana" w:hAnsi="Verdana" w:cs="Cambria"/>
          <w:sz w:val="20"/>
          <w:szCs w:val="20"/>
          <w:lang w:val="en-US"/>
        </w:rPr>
        <w:t xml:space="preserve">based on </w:t>
      </w:r>
      <w:r w:rsidRPr="008A3740">
        <w:rPr>
          <w:rFonts w:ascii="Verdana" w:hAnsi="Verdana" w:cs="Cambria"/>
          <w:sz w:val="20"/>
          <w:szCs w:val="20"/>
          <w:lang w:val="en-US"/>
        </w:rPr>
        <w:t xml:space="preserve">the information </w:t>
      </w:r>
      <w:r w:rsidR="00950BDA" w:rsidRPr="008A3740">
        <w:rPr>
          <w:rFonts w:ascii="Verdana" w:hAnsi="Verdana" w:cs="Cambria"/>
          <w:sz w:val="20"/>
          <w:szCs w:val="20"/>
          <w:lang w:val="en-US"/>
        </w:rPr>
        <w:t xml:space="preserve">provided by the </w:t>
      </w:r>
      <w:r w:rsidRPr="008A3740">
        <w:rPr>
          <w:rFonts w:ascii="Verdana" w:hAnsi="Verdana" w:cs="Cambria"/>
          <w:sz w:val="20"/>
          <w:szCs w:val="20"/>
          <w:lang w:val="en-US"/>
        </w:rPr>
        <w:t>State to this Court on the re</w:t>
      </w:r>
      <w:r w:rsidR="00326E3E" w:rsidRPr="008A3740">
        <w:rPr>
          <w:rFonts w:ascii="Verdana" w:hAnsi="Verdana" w:cs="Cambria"/>
          <w:sz w:val="20"/>
          <w:szCs w:val="20"/>
          <w:lang w:val="en-US"/>
        </w:rPr>
        <w:t>-e</w:t>
      </w:r>
      <w:r w:rsidR="005A1791" w:rsidRPr="008A3740">
        <w:rPr>
          <w:rFonts w:ascii="Verdana" w:hAnsi="Verdana" w:cs="Cambria"/>
          <w:sz w:val="20"/>
          <w:szCs w:val="20"/>
          <w:lang w:val="en-US"/>
        </w:rPr>
        <w:t>st</w:t>
      </w:r>
      <w:r w:rsidR="00326E3E" w:rsidRPr="008A3740">
        <w:rPr>
          <w:rFonts w:ascii="Verdana" w:hAnsi="Verdana" w:cs="Cambria"/>
          <w:sz w:val="20"/>
          <w:szCs w:val="20"/>
          <w:lang w:val="en-US"/>
        </w:rPr>
        <w:t xml:space="preserve">ablishment </w:t>
      </w:r>
      <w:r w:rsidR="00526BEF" w:rsidRPr="008A3740">
        <w:rPr>
          <w:rFonts w:ascii="Verdana" w:hAnsi="Verdana" w:cs="Cambria"/>
          <w:sz w:val="20"/>
          <w:szCs w:val="20"/>
          <w:lang w:val="en-US"/>
        </w:rPr>
        <w:t xml:space="preserve">of </w:t>
      </w:r>
      <w:r w:rsidR="005A1791" w:rsidRPr="008A3740">
        <w:rPr>
          <w:rFonts w:ascii="Verdana" w:hAnsi="Verdana" w:cs="Cambria"/>
          <w:sz w:val="20"/>
          <w:szCs w:val="20"/>
          <w:lang w:val="en-US"/>
        </w:rPr>
        <w:t xml:space="preserve">his </w:t>
      </w:r>
      <w:r w:rsidRPr="008A3740">
        <w:rPr>
          <w:rFonts w:ascii="Verdana" w:hAnsi="Verdana" w:cs="Cambria"/>
          <w:sz w:val="20"/>
          <w:szCs w:val="20"/>
          <w:lang w:val="en-US"/>
        </w:rPr>
        <w:t xml:space="preserve">health care </w:t>
      </w:r>
      <w:r w:rsidR="00326E3E" w:rsidRPr="008A3740">
        <w:rPr>
          <w:rFonts w:ascii="Verdana" w:hAnsi="Verdana" w:cs="Cambria"/>
          <w:sz w:val="20"/>
          <w:szCs w:val="20"/>
          <w:lang w:val="en-US"/>
        </w:rPr>
        <w:t xml:space="preserve">coverage </w:t>
      </w:r>
      <w:r w:rsidRPr="008A3740">
        <w:rPr>
          <w:rFonts w:ascii="Verdana" w:hAnsi="Verdana" w:cs="Cambria"/>
          <w:sz w:val="20"/>
          <w:szCs w:val="20"/>
          <w:lang w:val="en-US"/>
        </w:rPr>
        <w:t xml:space="preserve">through the </w:t>
      </w:r>
      <w:r w:rsidR="00136BC1" w:rsidRPr="008A3740">
        <w:rPr>
          <w:rFonts w:ascii="Verdana" w:hAnsi="Verdana" w:cs="Cambria"/>
          <w:sz w:val="20"/>
          <w:szCs w:val="20"/>
          <w:lang w:val="en-US"/>
        </w:rPr>
        <w:t>EsSalud</w:t>
      </w:r>
      <w:r w:rsidR="00500F8B" w:rsidRPr="008A3740">
        <w:rPr>
          <w:rFonts w:ascii="Verdana" w:hAnsi="Verdana" w:cs="Cambria"/>
          <w:sz w:val="20"/>
          <w:szCs w:val="20"/>
          <w:lang w:val="en-US"/>
        </w:rPr>
        <w:t xml:space="preserve"> social insurance system</w:t>
      </w:r>
      <w:r w:rsidRPr="008A3740">
        <w:rPr>
          <w:rFonts w:ascii="Verdana" w:hAnsi="Verdana" w:cs="Cambria"/>
          <w:sz w:val="20"/>
          <w:szCs w:val="20"/>
          <w:lang w:val="en-US"/>
        </w:rPr>
        <w:t xml:space="preserve">, the State </w:t>
      </w:r>
      <w:r w:rsidR="00526BEF" w:rsidRPr="008A3740">
        <w:rPr>
          <w:rFonts w:ascii="Verdana" w:hAnsi="Verdana" w:cs="Cambria"/>
          <w:sz w:val="20"/>
          <w:szCs w:val="20"/>
          <w:lang w:val="en-US"/>
        </w:rPr>
        <w:t xml:space="preserve">must maintain </w:t>
      </w:r>
      <w:r w:rsidR="006E04AA" w:rsidRPr="008A3740">
        <w:rPr>
          <w:rFonts w:ascii="Verdana" w:hAnsi="Verdana" w:cs="Cambria"/>
          <w:sz w:val="20"/>
          <w:szCs w:val="20"/>
          <w:lang w:val="en-US"/>
        </w:rPr>
        <w:t>that coverage without interruption</w:t>
      </w:r>
      <w:r w:rsidRPr="008A3740">
        <w:rPr>
          <w:rFonts w:ascii="Verdana" w:hAnsi="Verdana" w:cs="Cambria"/>
          <w:sz w:val="20"/>
          <w:szCs w:val="20"/>
          <w:lang w:val="en-US"/>
        </w:rPr>
        <w:t xml:space="preserve">, </w:t>
      </w:r>
      <w:r w:rsidR="00B97210" w:rsidRPr="008A3740">
        <w:rPr>
          <w:rFonts w:ascii="Verdana" w:hAnsi="Verdana" w:cs="Cambria"/>
          <w:sz w:val="20"/>
          <w:szCs w:val="20"/>
          <w:lang w:val="en-US"/>
        </w:rPr>
        <w:t xml:space="preserve">as </w:t>
      </w:r>
      <w:r w:rsidRPr="008A3740">
        <w:rPr>
          <w:rFonts w:ascii="Verdana" w:hAnsi="Verdana" w:cs="Cambria"/>
          <w:sz w:val="20"/>
          <w:szCs w:val="20"/>
          <w:lang w:val="en-US"/>
        </w:rPr>
        <w:t xml:space="preserve">established in the </w:t>
      </w:r>
      <w:r w:rsidR="00B97210" w:rsidRPr="008A3740">
        <w:rPr>
          <w:rFonts w:ascii="Verdana" w:hAnsi="Verdana" w:cs="Cambria"/>
          <w:sz w:val="20"/>
          <w:szCs w:val="20"/>
          <w:lang w:val="en-US"/>
        </w:rPr>
        <w:t xml:space="preserve">relevant domestic </w:t>
      </w:r>
      <w:r w:rsidRPr="008A3740">
        <w:rPr>
          <w:rFonts w:ascii="Verdana" w:hAnsi="Verdana" w:cs="Arial"/>
          <w:sz w:val="20"/>
          <w:szCs w:val="20"/>
          <w:lang w:val="en-US"/>
        </w:rPr>
        <w:t>legislation</w:t>
      </w:r>
      <w:r w:rsidRPr="008A3740">
        <w:rPr>
          <w:rFonts w:ascii="Verdana" w:hAnsi="Verdana" w:cs="Cambria"/>
          <w:sz w:val="20"/>
          <w:szCs w:val="20"/>
          <w:lang w:val="en-US"/>
        </w:rPr>
        <w:t xml:space="preserve">. The Court considers it pertinent to emphasize that said affiliation </w:t>
      </w:r>
      <w:r w:rsidR="00526BEF" w:rsidRPr="008A3740">
        <w:rPr>
          <w:rFonts w:ascii="Verdana" w:hAnsi="Verdana" w:cs="Cambria"/>
          <w:sz w:val="20"/>
          <w:szCs w:val="20"/>
          <w:lang w:val="en-US"/>
        </w:rPr>
        <w:t xml:space="preserve">may not be limited </w:t>
      </w:r>
      <w:r w:rsidR="005A1791" w:rsidRPr="008A3740">
        <w:rPr>
          <w:rFonts w:ascii="Verdana" w:hAnsi="Verdana" w:cs="Cambria"/>
          <w:sz w:val="20"/>
          <w:szCs w:val="20"/>
          <w:lang w:val="en-US"/>
        </w:rPr>
        <w:t xml:space="preserve">with regard </w:t>
      </w:r>
      <w:r w:rsidR="00526BEF" w:rsidRPr="008A3740">
        <w:rPr>
          <w:rFonts w:ascii="Verdana" w:hAnsi="Verdana" w:cs="Cambria"/>
          <w:sz w:val="20"/>
          <w:szCs w:val="20"/>
          <w:lang w:val="en-US"/>
        </w:rPr>
        <w:t xml:space="preserve">to any pre-existing </w:t>
      </w:r>
      <w:r w:rsidRPr="008A3740">
        <w:rPr>
          <w:rFonts w:ascii="Verdana" w:hAnsi="Verdana" w:cs="Cambria"/>
          <w:sz w:val="20"/>
          <w:szCs w:val="20"/>
          <w:lang w:val="en-US"/>
        </w:rPr>
        <w:t xml:space="preserve">conditions </w:t>
      </w:r>
      <w:r w:rsidR="00526BEF" w:rsidRPr="008A3740">
        <w:rPr>
          <w:rFonts w:ascii="Verdana" w:hAnsi="Verdana" w:cs="Cambria"/>
          <w:sz w:val="20"/>
          <w:szCs w:val="20"/>
          <w:lang w:val="en-US"/>
        </w:rPr>
        <w:t xml:space="preserve">affecting </w:t>
      </w:r>
      <w:r w:rsidRPr="008A3740">
        <w:rPr>
          <w:rFonts w:ascii="Verdana" w:hAnsi="Verdana" w:cs="Cambria"/>
          <w:sz w:val="20"/>
          <w:szCs w:val="20"/>
          <w:lang w:val="en-US"/>
        </w:rPr>
        <w:t>Mr. Muelle Flores</w:t>
      </w:r>
      <w:r w:rsidRPr="008A3740">
        <w:rPr>
          <w:rFonts w:ascii="Verdana" w:hAnsi="Verdana" w:cs="Arial"/>
          <w:sz w:val="20"/>
          <w:szCs w:val="20"/>
          <w:lang w:val="en-US"/>
        </w:rPr>
        <w:t xml:space="preserve">. The State </w:t>
      </w:r>
      <w:r w:rsidR="006E04AA" w:rsidRPr="008A3740">
        <w:rPr>
          <w:rFonts w:ascii="Verdana" w:hAnsi="Verdana" w:cs="Arial"/>
          <w:sz w:val="20"/>
          <w:szCs w:val="20"/>
          <w:lang w:val="en-US"/>
        </w:rPr>
        <w:t xml:space="preserve">must pay Mr. Muelle Flores’ social security </w:t>
      </w:r>
      <w:r w:rsidRPr="008A3740">
        <w:rPr>
          <w:rFonts w:ascii="Verdana" w:hAnsi="Verdana" w:cs="Arial"/>
          <w:sz w:val="20"/>
          <w:szCs w:val="20"/>
          <w:lang w:val="en-US"/>
        </w:rPr>
        <w:t xml:space="preserve">contributions </w:t>
      </w:r>
      <w:r w:rsidR="006E04AA" w:rsidRPr="008A3740">
        <w:rPr>
          <w:rFonts w:ascii="Verdana" w:hAnsi="Verdana" w:cs="Arial"/>
          <w:sz w:val="20"/>
          <w:szCs w:val="20"/>
          <w:lang w:val="en-US"/>
        </w:rPr>
        <w:t xml:space="preserve">and may deduct </w:t>
      </w:r>
      <w:r w:rsidRPr="008A3740">
        <w:rPr>
          <w:rFonts w:ascii="Verdana" w:hAnsi="Verdana" w:cs="Arial"/>
          <w:sz w:val="20"/>
          <w:szCs w:val="20"/>
          <w:lang w:val="en-US"/>
        </w:rPr>
        <w:t xml:space="preserve">the legal </w:t>
      </w:r>
      <w:r w:rsidR="00B97210" w:rsidRPr="008A3740">
        <w:rPr>
          <w:rFonts w:ascii="Verdana" w:hAnsi="Verdana" w:cs="Arial"/>
          <w:sz w:val="20"/>
          <w:szCs w:val="20"/>
          <w:lang w:val="en-US"/>
        </w:rPr>
        <w:t xml:space="preserve">amount corresponding to </w:t>
      </w:r>
      <w:r w:rsidR="00B57B01" w:rsidRPr="008A3740">
        <w:rPr>
          <w:rFonts w:ascii="Verdana" w:hAnsi="Verdana" w:cs="Arial"/>
          <w:sz w:val="20"/>
          <w:szCs w:val="20"/>
          <w:lang w:val="en-US"/>
        </w:rPr>
        <w:t xml:space="preserve">the </w:t>
      </w:r>
      <w:r w:rsidRPr="008A3740">
        <w:rPr>
          <w:rFonts w:ascii="Verdana" w:hAnsi="Verdana" w:cs="Arial"/>
          <w:sz w:val="20"/>
          <w:szCs w:val="20"/>
          <w:lang w:val="en-US"/>
        </w:rPr>
        <w:t xml:space="preserve">provisional </w:t>
      </w:r>
      <w:r w:rsidR="00B57B01" w:rsidRPr="008A3740">
        <w:rPr>
          <w:rFonts w:ascii="Verdana" w:hAnsi="Verdana" w:cs="Arial"/>
          <w:sz w:val="20"/>
          <w:szCs w:val="20"/>
          <w:lang w:val="en-US"/>
        </w:rPr>
        <w:t xml:space="preserve">payment </w:t>
      </w:r>
      <w:r w:rsidRPr="008A3740">
        <w:rPr>
          <w:rFonts w:ascii="Verdana" w:hAnsi="Verdana" w:cs="Arial"/>
          <w:sz w:val="20"/>
          <w:szCs w:val="20"/>
          <w:lang w:val="en-US"/>
        </w:rPr>
        <w:t>orde</w:t>
      </w:r>
      <w:r w:rsidR="00B57B01" w:rsidRPr="008A3740">
        <w:rPr>
          <w:rFonts w:ascii="Verdana" w:hAnsi="Verdana" w:cs="Arial"/>
          <w:sz w:val="20"/>
          <w:szCs w:val="20"/>
          <w:lang w:val="en-US"/>
        </w:rPr>
        <w:t xml:space="preserve">red </w:t>
      </w:r>
      <w:r w:rsidRPr="008A3740">
        <w:rPr>
          <w:rFonts w:ascii="Verdana" w:hAnsi="Verdana" w:cs="Arial"/>
          <w:sz w:val="20"/>
          <w:szCs w:val="20"/>
          <w:lang w:val="en-US"/>
        </w:rPr>
        <w:t>(</w:t>
      </w:r>
      <w:r w:rsidRPr="008A3740">
        <w:rPr>
          <w:rFonts w:ascii="Verdana" w:hAnsi="Verdana" w:cs="Arial"/>
          <w:i/>
          <w:sz w:val="20"/>
          <w:szCs w:val="20"/>
          <w:lang w:val="en-US"/>
        </w:rPr>
        <w:t>supra</w:t>
      </w:r>
      <w:r w:rsidRPr="008A3740">
        <w:rPr>
          <w:rFonts w:ascii="Verdana" w:hAnsi="Verdana" w:cs="Arial"/>
          <w:sz w:val="20"/>
          <w:szCs w:val="20"/>
          <w:lang w:val="en-US"/>
        </w:rPr>
        <w:t xml:space="preserve"> para. 233). </w:t>
      </w:r>
    </w:p>
    <w:p w14:paraId="7DD65CCD" w14:textId="77777777" w:rsidR="008E6A56" w:rsidRPr="008A3740" w:rsidRDefault="008E6A56" w:rsidP="008E6A56">
      <w:pPr>
        <w:autoSpaceDE w:val="0"/>
        <w:autoSpaceDN w:val="0"/>
        <w:rPr>
          <w:rFonts w:ascii="Verdana" w:hAnsi="Verdana" w:cs="Verdana"/>
          <w:b/>
          <w:bCs/>
          <w:i/>
          <w:iCs/>
          <w:sz w:val="20"/>
          <w:szCs w:val="20"/>
          <w:lang w:val="en-US"/>
        </w:rPr>
      </w:pPr>
    </w:p>
    <w:p w14:paraId="23B31265" w14:textId="77777777" w:rsidR="008E6A56" w:rsidRPr="008A3740" w:rsidRDefault="00190DC1" w:rsidP="008E6A56">
      <w:pPr>
        <w:pStyle w:val="Ttulo2"/>
        <w:tabs>
          <w:tab w:val="clear" w:pos="360"/>
        </w:tabs>
        <w:ind w:hanging="360"/>
        <w:rPr>
          <w:lang w:val="en-US"/>
        </w:rPr>
      </w:pPr>
      <w:bookmarkStart w:id="121" w:name="_Toc476390740"/>
      <w:bookmarkStart w:id="122" w:name="_Toc495658696"/>
      <w:bookmarkStart w:id="123" w:name="_Toc514172664"/>
      <w:bookmarkStart w:id="124" w:name="_Toc5009898"/>
      <w:r w:rsidRPr="008A3740">
        <w:rPr>
          <w:lang w:val="en-US"/>
        </w:rPr>
        <w:t xml:space="preserve">Measures of </w:t>
      </w:r>
      <w:r w:rsidR="008E6A56" w:rsidRPr="008A3740">
        <w:rPr>
          <w:lang w:val="en-US"/>
        </w:rPr>
        <w:t>satisfaction</w:t>
      </w:r>
      <w:bookmarkEnd w:id="121"/>
      <w:bookmarkEnd w:id="122"/>
      <w:bookmarkEnd w:id="123"/>
      <w:bookmarkEnd w:id="124"/>
    </w:p>
    <w:p w14:paraId="27D57227" w14:textId="77777777" w:rsidR="008E6A56" w:rsidRPr="008A3740" w:rsidRDefault="00C46AD9" w:rsidP="008E6A56">
      <w:pPr>
        <w:pStyle w:val="Ttulo3"/>
        <w:rPr>
          <w:lang w:val="en-US"/>
        </w:rPr>
      </w:pPr>
      <w:bookmarkStart w:id="125" w:name="_Toc5009899"/>
      <w:r w:rsidRPr="008A3740">
        <w:rPr>
          <w:lang w:val="en-US"/>
        </w:rPr>
        <w:t xml:space="preserve">a) Publication of </w:t>
      </w:r>
      <w:r w:rsidR="008E6A56" w:rsidRPr="008A3740">
        <w:rPr>
          <w:lang w:val="en-US"/>
        </w:rPr>
        <w:t>the Judgment</w:t>
      </w:r>
      <w:bookmarkEnd w:id="125"/>
    </w:p>
    <w:p w14:paraId="42890441" w14:textId="77777777" w:rsidR="008E6A56" w:rsidRPr="008A3740" w:rsidRDefault="008E6A56" w:rsidP="008E6A56">
      <w:pPr>
        <w:tabs>
          <w:tab w:val="left" w:pos="567"/>
        </w:tabs>
        <w:textAlignment w:val="auto"/>
        <w:rPr>
          <w:rFonts w:ascii="Verdana" w:eastAsia="MS Mincho" w:hAnsi="Verdana"/>
          <w:b/>
          <w:sz w:val="20"/>
          <w:szCs w:val="20"/>
          <w:lang w:val="en-US" w:bidi="en-US"/>
        </w:rPr>
      </w:pPr>
    </w:p>
    <w:p w14:paraId="1D751366" w14:textId="77777777" w:rsidR="008E6A56" w:rsidRPr="008A3740" w:rsidRDefault="008E6A56" w:rsidP="00D17A65">
      <w:pPr>
        <w:pStyle w:val="Prrafodelista"/>
        <w:numPr>
          <w:ilvl w:val="0"/>
          <w:numId w:val="3"/>
        </w:numPr>
        <w:tabs>
          <w:tab w:val="left" w:pos="567"/>
        </w:tabs>
        <w:ind w:left="0" w:firstLine="0"/>
        <w:textAlignment w:val="auto"/>
        <w:rPr>
          <w:rFonts w:ascii="Verdana" w:eastAsia="MS Mincho" w:hAnsi="Verdana"/>
          <w:b/>
          <w:sz w:val="20"/>
          <w:szCs w:val="20"/>
          <w:lang w:val="en-US" w:bidi="en-US"/>
        </w:rPr>
      </w:pPr>
      <w:r w:rsidRPr="008A3740">
        <w:rPr>
          <w:rFonts w:ascii="Verdana" w:hAnsi="Verdana"/>
          <w:sz w:val="20"/>
          <w:szCs w:val="20"/>
          <w:lang w:val="en-US"/>
        </w:rPr>
        <w:t xml:space="preserve">The </w:t>
      </w:r>
      <w:r w:rsidRPr="008A3740">
        <w:rPr>
          <w:rFonts w:ascii="Verdana" w:hAnsi="Verdana"/>
          <w:b/>
          <w:i/>
          <w:sz w:val="20"/>
          <w:szCs w:val="20"/>
          <w:lang w:val="en-US"/>
        </w:rPr>
        <w:t>representatives</w:t>
      </w:r>
      <w:r w:rsidRPr="008A3740">
        <w:rPr>
          <w:rFonts w:ascii="Verdana" w:hAnsi="Verdana"/>
          <w:sz w:val="20"/>
          <w:szCs w:val="20"/>
          <w:lang w:val="en-US"/>
        </w:rPr>
        <w:t xml:space="preserve"> asked the Court to order to the State t</w:t>
      </w:r>
      <w:r w:rsidR="00C46AD9" w:rsidRPr="008A3740">
        <w:rPr>
          <w:rFonts w:ascii="Verdana" w:hAnsi="Verdana"/>
          <w:sz w:val="20"/>
          <w:szCs w:val="20"/>
          <w:lang w:val="en-US"/>
        </w:rPr>
        <w:t xml:space="preserve">o publish an “executive summary” of </w:t>
      </w:r>
      <w:r w:rsidRPr="008A3740">
        <w:rPr>
          <w:rFonts w:ascii="Verdana" w:hAnsi="Verdana"/>
          <w:sz w:val="20"/>
          <w:szCs w:val="20"/>
          <w:lang w:val="en-US"/>
        </w:rPr>
        <w:t xml:space="preserve">the </w:t>
      </w:r>
      <w:r w:rsidR="00C46AD9" w:rsidRPr="008A3740">
        <w:rPr>
          <w:rFonts w:ascii="Verdana" w:hAnsi="Verdana"/>
          <w:sz w:val="20"/>
          <w:szCs w:val="20"/>
          <w:lang w:val="en-US"/>
        </w:rPr>
        <w:t>J</w:t>
      </w:r>
      <w:r w:rsidRPr="008A3740">
        <w:rPr>
          <w:rFonts w:ascii="Verdana" w:hAnsi="Verdana"/>
          <w:sz w:val="20"/>
          <w:szCs w:val="20"/>
          <w:lang w:val="en-US"/>
        </w:rPr>
        <w:t xml:space="preserve">udgment in the </w:t>
      </w:r>
      <w:r w:rsidR="00C46AD9" w:rsidRPr="008A3740">
        <w:rPr>
          <w:rFonts w:ascii="Verdana" w:hAnsi="Verdana"/>
          <w:sz w:val="20"/>
          <w:szCs w:val="20"/>
          <w:lang w:val="en-US"/>
        </w:rPr>
        <w:t>Official Gazette</w:t>
      </w:r>
      <w:r w:rsidRPr="008A3740">
        <w:rPr>
          <w:rFonts w:ascii="Verdana" w:hAnsi="Verdana"/>
          <w:sz w:val="20"/>
          <w:szCs w:val="20"/>
          <w:lang w:val="en-US"/>
        </w:rPr>
        <w:t xml:space="preserve">, </w:t>
      </w:r>
      <w:r w:rsidR="00C46AD9" w:rsidRPr="008A3740">
        <w:rPr>
          <w:rFonts w:ascii="Verdana" w:hAnsi="Verdana"/>
          <w:sz w:val="20"/>
          <w:szCs w:val="20"/>
          <w:lang w:val="en-US"/>
        </w:rPr>
        <w:t xml:space="preserve">and in a major newspaper with wide national </w:t>
      </w:r>
      <w:r w:rsidRPr="008A3740">
        <w:rPr>
          <w:rFonts w:ascii="Verdana" w:hAnsi="Verdana"/>
          <w:sz w:val="20"/>
          <w:szCs w:val="20"/>
          <w:lang w:val="en-US"/>
        </w:rPr>
        <w:t xml:space="preserve">circulation, </w:t>
      </w:r>
      <w:r w:rsidR="005A1791" w:rsidRPr="008A3740">
        <w:rPr>
          <w:rFonts w:ascii="Verdana" w:hAnsi="Verdana"/>
          <w:sz w:val="20"/>
          <w:szCs w:val="20"/>
          <w:lang w:val="en-US"/>
        </w:rPr>
        <w:t>together with the full text of the J</w:t>
      </w:r>
      <w:r w:rsidRPr="008A3740">
        <w:rPr>
          <w:rFonts w:ascii="Verdana" w:hAnsi="Verdana"/>
          <w:sz w:val="20"/>
          <w:szCs w:val="20"/>
          <w:lang w:val="en-US"/>
        </w:rPr>
        <w:t xml:space="preserve">udgment </w:t>
      </w:r>
      <w:r w:rsidR="00326E3E" w:rsidRPr="008A3740">
        <w:rPr>
          <w:rFonts w:ascii="Verdana" w:hAnsi="Verdana"/>
          <w:sz w:val="20"/>
          <w:szCs w:val="20"/>
          <w:lang w:val="en-US"/>
        </w:rPr>
        <w:t>on an official government web</w:t>
      </w:r>
      <w:r w:rsidR="00C46AD9" w:rsidRPr="008A3740">
        <w:rPr>
          <w:rFonts w:ascii="Verdana" w:hAnsi="Verdana"/>
          <w:sz w:val="20"/>
          <w:szCs w:val="20"/>
          <w:lang w:val="en-US"/>
        </w:rPr>
        <w:t>site</w:t>
      </w:r>
      <w:r w:rsidRPr="008A3740">
        <w:rPr>
          <w:rFonts w:ascii="Verdana" w:hAnsi="Verdana"/>
          <w:sz w:val="20"/>
          <w:szCs w:val="20"/>
          <w:lang w:val="en-US"/>
        </w:rPr>
        <w:t xml:space="preserve">, </w:t>
      </w:r>
      <w:r w:rsidR="00C46AD9" w:rsidRPr="008A3740">
        <w:rPr>
          <w:rFonts w:ascii="Verdana" w:hAnsi="Verdana"/>
          <w:sz w:val="20"/>
          <w:szCs w:val="20"/>
          <w:lang w:val="en-US"/>
        </w:rPr>
        <w:t xml:space="preserve">in a manner </w:t>
      </w:r>
      <w:r w:rsidRPr="008A3740">
        <w:rPr>
          <w:rFonts w:ascii="Verdana" w:hAnsi="Verdana"/>
          <w:sz w:val="20"/>
          <w:szCs w:val="20"/>
          <w:lang w:val="en-US"/>
        </w:rPr>
        <w:t>acce</w:t>
      </w:r>
      <w:r w:rsidR="00C46AD9" w:rsidRPr="008A3740">
        <w:rPr>
          <w:rFonts w:ascii="Verdana" w:hAnsi="Verdana"/>
          <w:sz w:val="20"/>
          <w:szCs w:val="20"/>
          <w:lang w:val="en-US"/>
        </w:rPr>
        <w:t>ssible to the</w:t>
      </w:r>
      <w:r w:rsidR="005A1791" w:rsidRPr="008A3740">
        <w:rPr>
          <w:rFonts w:ascii="Verdana" w:hAnsi="Verdana"/>
          <w:sz w:val="20"/>
          <w:szCs w:val="20"/>
          <w:lang w:val="en-US"/>
        </w:rPr>
        <w:t xml:space="preserve"> public </w:t>
      </w:r>
      <w:r w:rsidR="006E04AA" w:rsidRPr="008A3740">
        <w:rPr>
          <w:rFonts w:ascii="Verdana" w:hAnsi="Verdana"/>
          <w:sz w:val="20"/>
          <w:szCs w:val="20"/>
          <w:lang w:val="en-US"/>
        </w:rPr>
        <w:t xml:space="preserve">from the </w:t>
      </w:r>
      <w:r w:rsidR="00C51D66" w:rsidRPr="008A3740">
        <w:rPr>
          <w:rFonts w:ascii="Verdana" w:hAnsi="Verdana"/>
          <w:sz w:val="20"/>
          <w:szCs w:val="20"/>
          <w:lang w:val="en-US"/>
        </w:rPr>
        <w:t xml:space="preserve">homepage </w:t>
      </w:r>
      <w:r w:rsidRPr="008A3740">
        <w:rPr>
          <w:rFonts w:ascii="Verdana" w:hAnsi="Verdana"/>
          <w:sz w:val="20"/>
          <w:szCs w:val="20"/>
          <w:lang w:val="en-US"/>
        </w:rPr>
        <w:t xml:space="preserve">of the </w:t>
      </w:r>
      <w:r w:rsidR="005A1791" w:rsidRPr="008A3740">
        <w:rPr>
          <w:rFonts w:ascii="Verdana" w:hAnsi="Verdana"/>
          <w:sz w:val="20"/>
          <w:szCs w:val="20"/>
          <w:lang w:val="en-US"/>
        </w:rPr>
        <w:t>w</w:t>
      </w:r>
      <w:r w:rsidR="00326E3E" w:rsidRPr="008A3740">
        <w:rPr>
          <w:rFonts w:ascii="Verdana" w:hAnsi="Verdana"/>
          <w:sz w:val="20"/>
          <w:szCs w:val="20"/>
          <w:lang w:val="en-US"/>
        </w:rPr>
        <w:t>eb</w:t>
      </w:r>
      <w:r w:rsidR="00C46AD9" w:rsidRPr="008A3740">
        <w:rPr>
          <w:rFonts w:ascii="Verdana" w:hAnsi="Verdana"/>
          <w:sz w:val="20"/>
          <w:szCs w:val="20"/>
          <w:lang w:val="en-US"/>
        </w:rPr>
        <w:t>site</w:t>
      </w:r>
      <w:r w:rsidRPr="008A3740">
        <w:rPr>
          <w:rFonts w:ascii="Verdana" w:hAnsi="Verdana"/>
          <w:sz w:val="20"/>
          <w:szCs w:val="20"/>
          <w:lang w:val="en-US"/>
        </w:rPr>
        <w:t xml:space="preserve">. The </w:t>
      </w:r>
      <w:r w:rsidRPr="008A3740">
        <w:rPr>
          <w:rFonts w:ascii="Verdana" w:hAnsi="Verdana"/>
          <w:b/>
          <w:i/>
          <w:sz w:val="20"/>
          <w:szCs w:val="20"/>
          <w:lang w:val="en-US"/>
        </w:rPr>
        <w:t xml:space="preserve">State </w:t>
      </w:r>
      <w:r w:rsidRPr="008A3740">
        <w:rPr>
          <w:rFonts w:ascii="Verdana" w:hAnsi="Verdana"/>
          <w:sz w:val="20"/>
          <w:szCs w:val="20"/>
          <w:lang w:val="en-US"/>
        </w:rPr>
        <w:t>indicated</w:t>
      </w:r>
      <w:r w:rsidR="00C46AD9" w:rsidRPr="008A3740">
        <w:rPr>
          <w:rFonts w:ascii="Verdana" w:hAnsi="Verdana"/>
          <w:sz w:val="20"/>
          <w:szCs w:val="20"/>
          <w:lang w:val="en-US"/>
        </w:rPr>
        <w:t xml:space="preserve"> that it would make the respective</w:t>
      </w:r>
      <w:r w:rsidRPr="008A3740">
        <w:rPr>
          <w:rFonts w:ascii="Verdana" w:hAnsi="Verdana"/>
          <w:sz w:val="20"/>
          <w:szCs w:val="20"/>
          <w:lang w:val="en-US"/>
        </w:rPr>
        <w:t xml:space="preserve"> publication</w:t>
      </w:r>
      <w:r w:rsidR="005A1791" w:rsidRPr="008A3740">
        <w:rPr>
          <w:rFonts w:ascii="Verdana" w:hAnsi="Verdana"/>
          <w:sz w:val="20"/>
          <w:szCs w:val="20"/>
          <w:lang w:val="en-US"/>
        </w:rPr>
        <w:t>s</w:t>
      </w:r>
      <w:r w:rsidRPr="008A3740">
        <w:rPr>
          <w:rFonts w:ascii="Verdana" w:hAnsi="Verdana"/>
          <w:sz w:val="20"/>
          <w:szCs w:val="20"/>
          <w:lang w:val="en-US"/>
        </w:rPr>
        <w:t xml:space="preserve"> i</w:t>
      </w:r>
      <w:r w:rsidR="00C46AD9" w:rsidRPr="008A3740">
        <w:rPr>
          <w:rFonts w:ascii="Verdana" w:hAnsi="Verdana"/>
          <w:sz w:val="20"/>
          <w:szCs w:val="20"/>
          <w:lang w:val="en-US"/>
        </w:rPr>
        <w:t xml:space="preserve">f the </w:t>
      </w:r>
      <w:r w:rsidRPr="008A3740">
        <w:rPr>
          <w:rFonts w:ascii="Verdana" w:hAnsi="Verdana"/>
          <w:sz w:val="20"/>
          <w:szCs w:val="20"/>
          <w:lang w:val="en-US"/>
        </w:rPr>
        <w:t xml:space="preserve">Court </w:t>
      </w:r>
      <w:r w:rsidR="00C46AD9" w:rsidRPr="008A3740">
        <w:rPr>
          <w:rFonts w:ascii="Verdana" w:hAnsi="Verdana"/>
          <w:sz w:val="20"/>
          <w:szCs w:val="20"/>
          <w:lang w:val="en-US"/>
        </w:rPr>
        <w:t xml:space="preserve">so required </w:t>
      </w:r>
      <w:r w:rsidR="00326E3E" w:rsidRPr="008A3740">
        <w:rPr>
          <w:rFonts w:ascii="Verdana" w:hAnsi="Verdana"/>
          <w:sz w:val="20"/>
          <w:szCs w:val="20"/>
          <w:lang w:val="en-US"/>
        </w:rPr>
        <w:t xml:space="preserve">this </w:t>
      </w:r>
      <w:r w:rsidR="00C46AD9" w:rsidRPr="008A3740">
        <w:rPr>
          <w:rFonts w:ascii="Verdana" w:hAnsi="Verdana"/>
          <w:sz w:val="20"/>
          <w:szCs w:val="20"/>
          <w:lang w:val="en-US"/>
        </w:rPr>
        <w:t>in its J</w:t>
      </w:r>
      <w:r w:rsidRPr="008A3740">
        <w:rPr>
          <w:rFonts w:ascii="Verdana" w:hAnsi="Verdana"/>
          <w:sz w:val="20"/>
          <w:szCs w:val="20"/>
          <w:lang w:val="en-US"/>
        </w:rPr>
        <w:t xml:space="preserve">udgment. </w:t>
      </w:r>
    </w:p>
    <w:p w14:paraId="2F75E51B" w14:textId="77777777" w:rsidR="008E6A56" w:rsidRPr="008A3740" w:rsidRDefault="008E6A56" w:rsidP="008E6A56">
      <w:pPr>
        <w:tabs>
          <w:tab w:val="left" w:pos="567"/>
        </w:tabs>
        <w:textAlignment w:val="auto"/>
        <w:rPr>
          <w:rFonts w:ascii="Verdana" w:eastAsia="MS Mincho" w:hAnsi="Verdana"/>
          <w:b/>
          <w:sz w:val="20"/>
          <w:szCs w:val="20"/>
          <w:lang w:val="en-US" w:bidi="en-US"/>
        </w:rPr>
      </w:pPr>
    </w:p>
    <w:p w14:paraId="58E3075C"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b/>
          <w:sz w:val="20"/>
          <w:szCs w:val="20"/>
          <w:lang w:val="en-US" w:bidi="en-US"/>
        </w:rPr>
      </w:pPr>
      <w:r w:rsidRPr="008A3740">
        <w:rPr>
          <w:rFonts w:ascii="Verdana" w:eastAsia="MS Mincho" w:hAnsi="Verdana"/>
          <w:sz w:val="20"/>
          <w:szCs w:val="20"/>
          <w:lang w:val="en-US" w:bidi="en-US"/>
        </w:rPr>
        <w:t xml:space="preserve">The </w:t>
      </w:r>
      <w:r w:rsidRPr="008A3740">
        <w:rPr>
          <w:rFonts w:ascii="Verdana" w:eastAsia="MS Mincho" w:hAnsi="Verdana"/>
          <w:b/>
          <w:i/>
          <w:sz w:val="20"/>
          <w:szCs w:val="20"/>
          <w:lang w:val="en-US" w:bidi="en-US"/>
        </w:rPr>
        <w:t xml:space="preserve">Commission </w:t>
      </w:r>
      <w:r w:rsidR="00C46AD9" w:rsidRPr="008A3740">
        <w:rPr>
          <w:rFonts w:ascii="Verdana" w:eastAsia="MS Mincho" w:hAnsi="Verdana"/>
          <w:sz w:val="20"/>
          <w:szCs w:val="20"/>
          <w:lang w:val="en-US" w:bidi="en-US"/>
        </w:rPr>
        <w:t xml:space="preserve">did not submit any specific </w:t>
      </w:r>
      <w:r w:rsidRPr="008A3740">
        <w:rPr>
          <w:rFonts w:ascii="Verdana" w:eastAsia="MS Mincho" w:hAnsi="Verdana"/>
          <w:sz w:val="20"/>
          <w:szCs w:val="20"/>
          <w:lang w:val="en-US" w:bidi="en-US"/>
        </w:rPr>
        <w:t xml:space="preserve">arguments </w:t>
      </w:r>
      <w:r w:rsidR="00C46AD9" w:rsidRPr="008A3740">
        <w:rPr>
          <w:rFonts w:ascii="Verdana" w:eastAsia="MS Mincho" w:hAnsi="Verdana"/>
          <w:sz w:val="20"/>
          <w:szCs w:val="20"/>
          <w:lang w:val="en-US" w:bidi="en-US"/>
        </w:rPr>
        <w:t>on this point</w:t>
      </w:r>
      <w:r w:rsidRPr="008A3740">
        <w:rPr>
          <w:rFonts w:ascii="Verdana" w:eastAsia="MS Mincho" w:hAnsi="Verdana"/>
          <w:sz w:val="20"/>
          <w:szCs w:val="20"/>
          <w:lang w:val="en-US" w:bidi="en-US"/>
        </w:rPr>
        <w:t>.</w:t>
      </w:r>
    </w:p>
    <w:p w14:paraId="189E4A5D" w14:textId="77777777" w:rsidR="008E6A56" w:rsidRPr="008A3740" w:rsidRDefault="008E6A56" w:rsidP="008E6A56">
      <w:pPr>
        <w:tabs>
          <w:tab w:val="left" w:pos="567"/>
        </w:tabs>
        <w:textAlignment w:val="auto"/>
        <w:rPr>
          <w:rFonts w:ascii="Verdana" w:eastAsia="MS Mincho" w:hAnsi="Verdana"/>
          <w:b/>
          <w:sz w:val="20"/>
          <w:szCs w:val="20"/>
          <w:lang w:val="en-US" w:bidi="en-US"/>
        </w:rPr>
      </w:pPr>
    </w:p>
    <w:p w14:paraId="0B978185" w14:textId="77777777" w:rsidR="008E6A56" w:rsidRPr="008A3740" w:rsidRDefault="00500F8B" w:rsidP="00D17A65">
      <w:pPr>
        <w:numPr>
          <w:ilvl w:val="0"/>
          <w:numId w:val="3"/>
        </w:numPr>
        <w:tabs>
          <w:tab w:val="left" w:pos="567"/>
          <w:tab w:val="num" w:pos="5057"/>
        </w:tabs>
        <w:ind w:left="0" w:firstLine="0"/>
        <w:textAlignment w:val="auto"/>
        <w:rPr>
          <w:rFonts w:ascii="Verdana" w:eastAsia="MS Mincho" w:hAnsi="Verdana"/>
          <w:b/>
          <w:sz w:val="20"/>
          <w:szCs w:val="20"/>
          <w:lang w:val="en-US" w:bidi="en-US"/>
        </w:rPr>
      </w:pPr>
      <w:r w:rsidRPr="008A3740">
        <w:rPr>
          <w:rFonts w:ascii="Verdana" w:eastAsia="MS Mincho" w:hAnsi="Verdana" w:cs="Verdana"/>
          <w:sz w:val="20"/>
          <w:szCs w:val="20"/>
          <w:lang w:val="en-US" w:bidi="en-US"/>
        </w:rPr>
        <w:t>A</w:t>
      </w:r>
      <w:r w:rsidR="00C51D66" w:rsidRPr="008A3740">
        <w:rPr>
          <w:rFonts w:ascii="Verdana" w:eastAsia="MS Mincho" w:hAnsi="Verdana" w:cs="Verdana"/>
          <w:sz w:val="20"/>
          <w:szCs w:val="20"/>
          <w:lang w:val="en-US" w:bidi="en-US"/>
        </w:rPr>
        <w:t xml:space="preserve">s it has </w:t>
      </w:r>
      <w:r w:rsidRPr="008A3740">
        <w:rPr>
          <w:rFonts w:ascii="Verdana" w:eastAsia="MS Mincho" w:hAnsi="Verdana" w:cs="Verdana"/>
          <w:sz w:val="20"/>
          <w:szCs w:val="20"/>
          <w:lang w:val="en-US" w:bidi="en-US"/>
        </w:rPr>
        <w:t xml:space="preserve">done </w:t>
      </w:r>
      <w:r w:rsidR="00C51D66" w:rsidRPr="008A3740">
        <w:rPr>
          <w:rFonts w:ascii="Verdana" w:eastAsia="MS Mincho" w:hAnsi="Verdana" w:cs="Verdana"/>
          <w:sz w:val="20"/>
          <w:szCs w:val="20"/>
          <w:lang w:val="en-US" w:bidi="en-US"/>
        </w:rPr>
        <w:t xml:space="preserve">in other </w:t>
      </w:r>
      <w:r w:rsidR="008E6A56" w:rsidRPr="008A3740">
        <w:rPr>
          <w:rFonts w:ascii="Verdana" w:eastAsia="MS Mincho" w:hAnsi="Verdana" w:cs="Verdana"/>
          <w:sz w:val="20"/>
          <w:szCs w:val="20"/>
          <w:lang w:val="en-US" w:bidi="en-US"/>
        </w:rPr>
        <w:t>cases</w:t>
      </w:r>
      <w:r w:rsidR="006E04AA" w:rsidRPr="008A3740">
        <w:rPr>
          <w:rFonts w:ascii="Verdana" w:eastAsia="MS Mincho" w:hAnsi="Verdana" w:cs="Verdana"/>
          <w:sz w:val="20"/>
          <w:szCs w:val="20"/>
          <w:lang w:val="en-US" w:bidi="en-US"/>
        </w:rPr>
        <w:t>,</w:t>
      </w:r>
      <w:r w:rsidR="008E6A56" w:rsidRPr="008A3740">
        <w:rPr>
          <w:rFonts w:ascii="Verdana" w:eastAsia="MS Mincho" w:hAnsi="Verdana"/>
          <w:sz w:val="20"/>
          <w:szCs w:val="20"/>
          <w:vertAlign w:val="superscript"/>
          <w:lang w:val="en-US" w:bidi="en-US"/>
        </w:rPr>
        <w:footnoteReference w:id="234"/>
      </w:r>
      <w:r w:rsidR="008E6A56" w:rsidRPr="008A3740">
        <w:rPr>
          <w:rFonts w:ascii="Verdana" w:eastAsia="MS Mincho" w:hAnsi="Verdana" w:cs="Verdana"/>
          <w:sz w:val="20"/>
          <w:szCs w:val="20"/>
          <w:lang w:val="en-US" w:bidi="en-US"/>
        </w:rPr>
        <w:t xml:space="preserve"> </w:t>
      </w:r>
      <w:r w:rsidRPr="008A3740">
        <w:rPr>
          <w:rFonts w:ascii="Verdana" w:eastAsia="MS Mincho" w:hAnsi="Verdana" w:cs="Verdana"/>
          <w:sz w:val="20"/>
          <w:szCs w:val="20"/>
          <w:lang w:val="en-US" w:bidi="en-US"/>
        </w:rPr>
        <w:t>the Cour</w:t>
      </w:r>
      <w:r w:rsidR="005A1791" w:rsidRPr="008A3740">
        <w:rPr>
          <w:rFonts w:ascii="Verdana" w:eastAsia="MS Mincho" w:hAnsi="Verdana" w:cs="Verdana"/>
          <w:sz w:val="20"/>
          <w:szCs w:val="20"/>
          <w:lang w:val="en-US" w:bidi="en-US"/>
        </w:rPr>
        <w:t>t orders</w:t>
      </w:r>
      <w:r w:rsidRPr="008A3740">
        <w:rPr>
          <w:rFonts w:ascii="Verdana" w:eastAsia="MS Mincho" w:hAnsi="Verdana" w:cs="Verdana"/>
          <w:sz w:val="20"/>
          <w:szCs w:val="20"/>
          <w:lang w:val="en-US" w:bidi="en-US"/>
        </w:rPr>
        <w:t xml:space="preserve"> </w:t>
      </w:r>
      <w:r w:rsidR="008E6A56" w:rsidRPr="008A3740">
        <w:rPr>
          <w:rFonts w:ascii="Verdana" w:eastAsia="MS Mincho" w:hAnsi="Verdana" w:cs="Verdana"/>
          <w:sz w:val="20"/>
          <w:szCs w:val="20"/>
          <w:lang w:val="en-US" w:bidi="en-US"/>
        </w:rPr>
        <w:t xml:space="preserve">the State </w:t>
      </w:r>
      <w:r w:rsidRPr="008A3740">
        <w:rPr>
          <w:rFonts w:ascii="Verdana" w:eastAsia="MS Mincho" w:hAnsi="Verdana" w:cs="Verdana"/>
          <w:sz w:val="20"/>
          <w:szCs w:val="20"/>
          <w:lang w:val="en-US" w:bidi="en-US"/>
        </w:rPr>
        <w:t xml:space="preserve">to </w:t>
      </w:r>
      <w:r w:rsidR="00C51D66" w:rsidRPr="008A3740">
        <w:rPr>
          <w:rFonts w:ascii="Verdana" w:eastAsia="MS Mincho" w:hAnsi="Verdana" w:cs="Verdana"/>
          <w:sz w:val="20"/>
          <w:szCs w:val="20"/>
          <w:lang w:val="en-US" w:bidi="en-US"/>
        </w:rPr>
        <w:t>publish</w:t>
      </w:r>
      <w:r w:rsidR="008E6A56" w:rsidRPr="008A3740">
        <w:rPr>
          <w:rFonts w:ascii="Verdana" w:hAnsi="Verdana"/>
          <w:sz w:val="20"/>
          <w:szCs w:val="20"/>
          <w:lang w:val="en-US"/>
        </w:rPr>
        <w:t xml:space="preserve">, </w:t>
      </w:r>
      <w:r w:rsidR="00C46AD9" w:rsidRPr="008A3740">
        <w:rPr>
          <w:rFonts w:ascii="Verdana" w:hAnsi="Verdana"/>
          <w:sz w:val="20"/>
          <w:szCs w:val="20"/>
          <w:lang w:val="en-US"/>
        </w:rPr>
        <w:t xml:space="preserve">within six months </w:t>
      </w:r>
      <w:r w:rsidR="009B6B47" w:rsidRPr="008A3740">
        <w:rPr>
          <w:rFonts w:ascii="Verdana" w:hAnsi="Verdana"/>
          <w:sz w:val="20"/>
          <w:szCs w:val="20"/>
          <w:lang w:val="en-US"/>
        </w:rPr>
        <w:t xml:space="preserve">of </w:t>
      </w:r>
      <w:r w:rsidR="008E6A56" w:rsidRPr="008A3740">
        <w:rPr>
          <w:rFonts w:ascii="Verdana" w:eastAsia="MS Mincho" w:hAnsi="Verdana" w:cs="Verdana"/>
          <w:sz w:val="20"/>
          <w:szCs w:val="20"/>
          <w:lang w:val="en-US" w:bidi="en-US"/>
        </w:rPr>
        <w:t xml:space="preserve">notification of </w:t>
      </w:r>
      <w:r w:rsidR="00C46AD9" w:rsidRPr="008A3740">
        <w:rPr>
          <w:rFonts w:ascii="Verdana" w:eastAsia="MS Mincho" w:hAnsi="Verdana" w:cs="Verdana"/>
          <w:sz w:val="20"/>
          <w:szCs w:val="20"/>
          <w:lang w:val="en-US" w:bidi="en-US"/>
        </w:rPr>
        <w:t xml:space="preserve">this Judgment: a) the official summary of this </w:t>
      </w:r>
      <w:r w:rsidR="008E6A56" w:rsidRPr="008A3740">
        <w:rPr>
          <w:rFonts w:ascii="Verdana" w:eastAsia="MS Mincho" w:hAnsi="Verdana" w:cs="Verdana"/>
          <w:sz w:val="20"/>
          <w:szCs w:val="20"/>
          <w:lang w:val="en-US" w:bidi="en-US"/>
        </w:rPr>
        <w:t xml:space="preserve">Judgment </w:t>
      </w:r>
      <w:r w:rsidR="00C46AD9" w:rsidRPr="008A3740">
        <w:rPr>
          <w:rFonts w:ascii="Verdana" w:eastAsia="MS Mincho" w:hAnsi="Verdana" w:cs="Verdana"/>
          <w:sz w:val="20"/>
          <w:szCs w:val="20"/>
          <w:lang w:val="en-US" w:bidi="en-US"/>
        </w:rPr>
        <w:t xml:space="preserve">prepared by </w:t>
      </w:r>
      <w:r w:rsidR="008E6A56" w:rsidRPr="008A3740">
        <w:rPr>
          <w:rFonts w:ascii="Verdana" w:eastAsia="MS Mincho" w:hAnsi="Verdana" w:cs="Verdana"/>
          <w:sz w:val="20"/>
          <w:szCs w:val="20"/>
          <w:lang w:val="en-US" w:bidi="en-US"/>
        </w:rPr>
        <w:t xml:space="preserve">the Court, </w:t>
      </w:r>
      <w:r w:rsidR="00C46AD9" w:rsidRPr="008A3740">
        <w:rPr>
          <w:rFonts w:ascii="Verdana" w:eastAsia="MS Mincho" w:hAnsi="Verdana" w:cs="Verdana"/>
          <w:sz w:val="20"/>
          <w:szCs w:val="20"/>
          <w:lang w:val="en-US" w:bidi="en-US"/>
        </w:rPr>
        <w:t xml:space="preserve">once, </w:t>
      </w:r>
      <w:r w:rsidR="008E6A56" w:rsidRPr="008A3740">
        <w:rPr>
          <w:rFonts w:ascii="Verdana" w:eastAsia="MS Mincho" w:hAnsi="Verdana" w:cs="Verdana"/>
          <w:sz w:val="20"/>
          <w:szCs w:val="20"/>
          <w:lang w:val="en-US" w:bidi="en-US"/>
        </w:rPr>
        <w:t xml:space="preserve">in the </w:t>
      </w:r>
      <w:r w:rsidR="00C46AD9" w:rsidRPr="008A3740">
        <w:rPr>
          <w:rFonts w:ascii="Verdana" w:eastAsia="MS Mincho" w:hAnsi="Verdana" w:cs="Verdana"/>
          <w:sz w:val="20"/>
          <w:szCs w:val="20"/>
          <w:lang w:val="en-US" w:bidi="en-US"/>
        </w:rPr>
        <w:t xml:space="preserve">Official Gazette </w:t>
      </w:r>
      <w:r w:rsidR="008E6A56" w:rsidRPr="008A3740">
        <w:rPr>
          <w:rFonts w:ascii="Verdana" w:hAnsi="Verdana"/>
          <w:sz w:val="20"/>
          <w:szCs w:val="20"/>
          <w:lang w:val="en-US"/>
        </w:rPr>
        <w:t>in a legible and adequate</w:t>
      </w:r>
      <w:r w:rsidRPr="008A3740">
        <w:rPr>
          <w:rFonts w:ascii="Verdana" w:hAnsi="Verdana"/>
          <w:sz w:val="20"/>
          <w:szCs w:val="20"/>
          <w:lang w:val="en-US"/>
        </w:rPr>
        <w:t xml:space="preserve"> font size</w:t>
      </w:r>
      <w:r w:rsidR="008E6A56" w:rsidRPr="008A3740">
        <w:rPr>
          <w:rFonts w:ascii="Verdana" w:eastAsia="MS Mincho" w:hAnsi="Verdana" w:cs="Verdana"/>
          <w:sz w:val="20"/>
          <w:szCs w:val="20"/>
          <w:lang w:val="en-US" w:bidi="en-US"/>
        </w:rPr>
        <w:t xml:space="preserve">; b) the </w:t>
      </w:r>
      <w:r w:rsidR="00C46AD9" w:rsidRPr="008A3740">
        <w:rPr>
          <w:rFonts w:ascii="Verdana" w:eastAsia="MS Mincho" w:hAnsi="Verdana" w:cs="Verdana"/>
          <w:sz w:val="20"/>
          <w:szCs w:val="20"/>
          <w:lang w:val="en-US" w:bidi="en-US"/>
        </w:rPr>
        <w:t xml:space="preserve">official summary of this </w:t>
      </w:r>
      <w:r w:rsidR="008E6A56" w:rsidRPr="008A3740">
        <w:rPr>
          <w:rFonts w:ascii="Verdana" w:eastAsia="MS Mincho" w:hAnsi="Verdana" w:cs="Verdana"/>
          <w:sz w:val="20"/>
          <w:szCs w:val="20"/>
          <w:lang w:val="en-US" w:bidi="en-US"/>
        </w:rPr>
        <w:t xml:space="preserve">Judgment </w:t>
      </w:r>
      <w:r w:rsidR="00C46AD9" w:rsidRPr="008A3740">
        <w:rPr>
          <w:rFonts w:ascii="Verdana" w:eastAsia="MS Mincho" w:hAnsi="Verdana" w:cs="Verdana"/>
          <w:sz w:val="20"/>
          <w:szCs w:val="20"/>
          <w:lang w:val="en-US" w:bidi="en-US"/>
        </w:rPr>
        <w:t xml:space="preserve">prepared by </w:t>
      </w:r>
      <w:r w:rsidR="008E6A56" w:rsidRPr="008A3740">
        <w:rPr>
          <w:rFonts w:ascii="Verdana" w:eastAsia="MS Mincho" w:hAnsi="Verdana" w:cs="Verdana"/>
          <w:sz w:val="20"/>
          <w:szCs w:val="20"/>
          <w:lang w:val="en-US" w:bidi="en-US"/>
        </w:rPr>
        <w:t xml:space="preserve">the Court, </w:t>
      </w:r>
      <w:r w:rsidR="00C46AD9" w:rsidRPr="008A3740">
        <w:rPr>
          <w:rFonts w:ascii="Verdana" w:eastAsia="MS Mincho" w:hAnsi="Verdana" w:cs="Verdana"/>
          <w:sz w:val="20"/>
          <w:szCs w:val="20"/>
          <w:lang w:val="en-US" w:bidi="en-US"/>
        </w:rPr>
        <w:t xml:space="preserve">once, </w:t>
      </w:r>
      <w:r w:rsidR="008E6A56" w:rsidRPr="008A3740">
        <w:rPr>
          <w:rFonts w:ascii="Verdana" w:eastAsia="MS Mincho" w:hAnsi="Verdana" w:cs="Verdana"/>
          <w:sz w:val="20"/>
          <w:szCs w:val="20"/>
          <w:lang w:val="en-US" w:bidi="en-US"/>
        </w:rPr>
        <w:t xml:space="preserve">in a </w:t>
      </w:r>
      <w:r w:rsidR="00C51D66" w:rsidRPr="008A3740">
        <w:rPr>
          <w:rFonts w:ascii="Verdana" w:eastAsia="MS Mincho" w:hAnsi="Verdana" w:cs="Verdana"/>
          <w:sz w:val="20"/>
          <w:szCs w:val="20"/>
          <w:lang w:val="en-US" w:bidi="en-US"/>
        </w:rPr>
        <w:t xml:space="preserve">newspaper with wide national </w:t>
      </w:r>
      <w:r w:rsidR="008E6A56" w:rsidRPr="008A3740">
        <w:rPr>
          <w:rFonts w:ascii="Verdana" w:eastAsia="MS Mincho" w:hAnsi="Verdana" w:cs="Verdana"/>
          <w:sz w:val="20"/>
          <w:szCs w:val="20"/>
          <w:lang w:val="en-US" w:bidi="en-US"/>
        </w:rPr>
        <w:t xml:space="preserve">circulation </w:t>
      </w:r>
      <w:r w:rsidR="008E6A56" w:rsidRPr="008A3740">
        <w:rPr>
          <w:rFonts w:ascii="Verdana" w:hAnsi="Verdana"/>
          <w:sz w:val="20"/>
          <w:szCs w:val="20"/>
          <w:lang w:val="en-US"/>
        </w:rPr>
        <w:t>in a legible and adequate</w:t>
      </w:r>
      <w:r w:rsidR="00C51D66" w:rsidRPr="008A3740">
        <w:rPr>
          <w:rFonts w:ascii="Verdana" w:hAnsi="Verdana"/>
          <w:sz w:val="20"/>
          <w:szCs w:val="20"/>
          <w:lang w:val="en-US"/>
        </w:rPr>
        <w:t xml:space="preserve"> font size</w:t>
      </w:r>
      <w:r w:rsidR="008E6A56" w:rsidRPr="008A3740">
        <w:rPr>
          <w:rFonts w:ascii="Verdana" w:eastAsia="MS Mincho" w:hAnsi="Verdana" w:cs="Verdana"/>
          <w:sz w:val="20"/>
          <w:szCs w:val="20"/>
          <w:lang w:val="en-US" w:bidi="en-US"/>
        </w:rPr>
        <w:t>, and c) th</w:t>
      </w:r>
      <w:r w:rsidR="00A671E6" w:rsidRPr="008A3740">
        <w:rPr>
          <w:rFonts w:ascii="Verdana" w:eastAsia="MS Mincho" w:hAnsi="Verdana" w:cs="Verdana"/>
          <w:sz w:val="20"/>
          <w:szCs w:val="20"/>
          <w:lang w:val="en-US" w:bidi="en-US"/>
        </w:rPr>
        <w:t xml:space="preserve">is </w:t>
      </w:r>
      <w:r w:rsidR="008E6A56" w:rsidRPr="008A3740">
        <w:rPr>
          <w:rFonts w:ascii="Verdana" w:eastAsia="MS Mincho" w:hAnsi="Verdana" w:cs="Verdana"/>
          <w:sz w:val="20"/>
          <w:szCs w:val="20"/>
          <w:lang w:val="en-US" w:bidi="en-US"/>
        </w:rPr>
        <w:t>Judgment</w:t>
      </w:r>
      <w:r w:rsidR="006E04AA" w:rsidRPr="008A3740">
        <w:rPr>
          <w:rFonts w:ascii="Verdana" w:eastAsia="MS Mincho" w:hAnsi="Verdana" w:cs="Verdana"/>
          <w:sz w:val="20"/>
          <w:szCs w:val="20"/>
          <w:lang w:val="en-US" w:bidi="en-US"/>
        </w:rPr>
        <w:t>, in full,</w:t>
      </w:r>
      <w:r w:rsidR="008E6A56" w:rsidRPr="008A3740">
        <w:rPr>
          <w:rFonts w:ascii="Verdana" w:eastAsia="MS Mincho" w:hAnsi="Verdana" w:cs="Verdana"/>
          <w:sz w:val="20"/>
          <w:szCs w:val="20"/>
          <w:lang w:val="en-US" w:bidi="en-US"/>
        </w:rPr>
        <w:t xml:space="preserve"> available </w:t>
      </w:r>
      <w:r w:rsidR="00C51D66" w:rsidRPr="008A3740">
        <w:rPr>
          <w:rFonts w:ascii="Verdana" w:eastAsia="MS Mincho" w:hAnsi="Verdana" w:cs="Verdana"/>
          <w:sz w:val="20"/>
          <w:szCs w:val="20"/>
          <w:lang w:val="en-US" w:bidi="en-US"/>
        </w:rPr>
        <w:t>for one year, o</w:t>
      </w:r>
      <w:r w:rsidR="008E6A56" w:rsidRPr="008A3740">
        <w:rPr>
          <w:rFonts w:ascii="Verdana" w:eastAsia="MS Mincho" w:hAnsi="Verdana" w:cs="Verdana"/>
          <w:sz w:val="20"/>
          <w:szCs w:val="20"/>
          <w:lang w:val="en-US" w:bidi="en-US"/>
        </w:rPr>
        <w:t>n a</w:t>
      </w:r>
      <w:r w:rsidR="00C51D66" w:rsidRPr="008A3740">
        <w:rPr>
          <w:rFonts w:ascii="Verdana" w:eastAsia="MS Mincho" w:hAnsi="Verdana" w:cs="Verdana"/>
          <w:sz w:val="20"/>
          <w:szCs w:val="20"/>
          <w:lang w:val="en-US" w:bidi="en-US"/>
        </w:rPr>
        <w:t xml:space="preserve">n official </w:t>
      </w:r>
      <w:r w:rsidR="00326E3E" w:rsidRPr="008A3740">
        <w:rPr>
          <w:rFonts w:ascii="Verdana" w:eastAsia="MS Mincho" w:hAnsi="Verdana" w:cs="Verdana"/>
          <w:sz w:val="20"/>
          <w:szCs w:val="20"/>
          <w:lang w:val="en-US" w:bidi="en-US"/>
        </w:rPr>
        <w:t>web</w:t>
      </w:r>
      <w:r w:rsidR="00C51D66" w:rsidRPr="008A3740">
        <w:rPr>
          <w:rFonts w:ascii="Verdana" w:eastAsia="MS Mincho" w:hAnsi="Verdana" w:cs="Verdana"/>
          <w:sz w:val="20"/>
          <w:szCs w:val="20"/>
          <w:lang w:val="en-US" w:bidi="en-US"/>
        </w:rPr>
        <w:t xml:space="preserve">site of the </w:t>
      </w:r>
      <w:r w:rsidR="008E6A56" w:rsidRPr="008A3740">
        <w:rPr>
          <w:rFonts w:ascii="Verdana" w:hAnsi="Verdana"/>
          <w:sz w:val="20"/>
          <w:szCs w:val="20"/>
          <w:lang w:val="en-US"/>
        </w:rPr>
        <w:t xml:space="preserve">State, </w:t>
      </w:r>
      <w:r w:rsidR="006E04AA" w:rsidRPr="008A3740">
        <w:rPr>
          <w:rFonts w:ascii="Verdana" w:hAnsi="Verdana"/>
          <w:sz w:val="20"/>
          <w:szCs w:val="20"/>
          <w:lang w:val="en-US"/>
        </w:rPr>
        <w:t xml:space="preserve">in a manner </w:t>
      </w:r>
      <w:r w:rsidRPr="008A3740">
        <w:rPr>
          <w:rFonts w:ascii="Verdana" w:hAnsi="Verdana"/>
          <w:sz w:val="20"/>
          <w:szCs w:val="20"/>
          <w:lang w:val="en-US"/>
        </w:rPr>
        <w:t xml:space="preserve">easily </w:t>
      </w:r>
      <w:r w:rsidR="008E6A56" w:rsidRPr="008A3740">
        <w:rPr>
          <w:rFonts w:ascii="Verdana" w:hAnsi="Verdana"/>
          <w:sz w:val="20"/>
          <w:szCs w:val="20"/>
          <w:lang w:val="en-US"/>
        </w:rPr>
        <w:t>acces</w:t>
      </w:r>
      <w:r w:rsidR="006E04AA" w:rsidRPr="008A3740">
        <w:rPr>
          <w:rFonts w:ascii="Verdana" w:hAnsi="Verdana"/>
          <w:sz w:val="20"/>
          <w:szCs w:val="20"/>
          <w:lang w:val="en-US"/>
        </w:rPr>
        <w:t>s</w:t>
      </w:r>
      <w:r w:rsidR="008E6A56" w:rsidRPr="008A3740">
        <w:rPr>
          <w:rFonts w:ascii="Verdana" w:hAnsi="Verdana"/>
          <w:sz w:val="20"/>
          <w:szCs w:val="20"/>
          <w:lang w:val="en-US"/>
        </w:rPr>
        <w:t xml:space="preserve">ible </w:t>
      </w:r>
      <w:r w:rsidRPr="008A3740">
        <w:rPr>
          <w:rFonts w:ascii="Verdana" w:hAnsi="Verdana"/>
          <w:sz w:val="20"/>
          <w:szCs w:val="20"/>
          <w:lang w:val="en-US"/>
        </w:rPr>
        <w:t xml:space="preserve">to the </w:t>
      </w:r>
      <w:r w:rsidR="008E6A56" w:rsidRPr="008A3740">
        <w:rPr>
          <w:rFonts w:ascii="Verdana" w:hAnsi="Verdana"/>
          <w:sz w:val="20"/>
          <w:szCs w:val="20"/>
          <w:lang w:val="en-US"/>
        </w:rPr>
        <w:t xml:space="preserve">public </w:t>
      </w:r>
      <w:r w:rsidR="00C51D66" w:rsidRPr="008A3740">
        <w:rPr>
          <w:rFonts w:ascii="Verdana" w:hAnsi="Verdana"/>
          <w:sz w:val="20"/>
          <w:szCs w:val="20"/>
          <w:lang w:val="en-US"/>
        </w:rPr>
        <w:t>from its homepage</w:t>
      </w:r>
      <w:r w:rsidR="008E6A56" w:rsidRPr="008A3740">
        <w:rPr>
          <w:rFonts w:ascii="Verdana" w:hAnsi="Verdana"/>
          <w:sz w:val="20"/>
          <w:szCs w:val="20"/>
          <w:lang w:val="en-US"/>
        </w:rPr>
        <w:t>.</w:t>
      </w:r>
    </w:p>
    <w:p w14:paraId="4E50737A" w14:textId="77777777" w:rsidR="008E6A56" w:rsidRPr="008A3740" w:rsidRDefault="008E6A56" w:rsidP="008E6A56">
      <w:pPr>
        <w:tabs>
          <w:tab w:val="left" w:pos="567"/>
        </w:tabs>
        <w:textAlignment w:val="auto"/>
        <w:rPr>
          <w:rFonts w:ascii="Verdana" w:eastAsia="MS Mincho" w:hAnsi="Verdana"/>
          <w:b/>
          <w:sz w:val="20"/>
          <w:szCs w:val="20"/>
          <w:lang w:val="en-US" w:bidi="en-US"/>
        </w:rPr>
      </w:pPr>
    </w:p>
    <w:p w14:paraId="7F6AF6F1"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b/>
          <w:sz w:val="20"/>
          <w:szCs w:val="20"/>
          <w:lang w:val="en-US" w:bidi="en-US"/>
        </w:rPr>
      </w:pPr>
      <w:r w:rsidRPr="008A3740">
        <w:rPr>
          <w:rFonts w:ascii="Verdana" w:hAnsi="Verdana"/>
          <w:sz w:val="20"/>
          <w:szCs w:val="20"/>
          <w:lang w:val="en-US"/>
        </w:rPr>
        <w:t xml:space="preserve">The State </w:t>
      </w:r>
      <w:r w:rsidR="006E04AA" w:rsidRPr="008A3740">
        <w:rPr>
          <w:rFonts w:ascii="Verdana" w:hAnsi="Verdana"/>
          <w:sz w:val="20"/>
          <w:szCs w:val="20"/>
          <w:lang w:val="en-US"/>
        </w:rPr>
        <w:t xml:space="preserve">must </w:t>
      </w:r>
      <w:r w:rsidRPr="008A3740">
        <w:rPr>
          <w:rFonts w:ascii="Verdana" w:hAnsi="Verdana"/>
          <w:sz w:val="20"/>
          <w:szCs w:val="20"/>
          <w:lang w:val="en-US"/>
        </w:rPr>
        <w:t xml:space="preserve">immediately </w:t>
      </w:r>
      <w:r w:rsidR="006E04AA" w:rsidRPr="008A3740">
        <w:rPr>
          <w:rFonts w:ascii="Verdana" w:hAnsi="Verdana"/>
          <w:sz w:val="20"/>
          <w:szCs w:val="20"/>
          <w:lang w:val="en-US"/>
        </w:rPr>
        <w:t xml:space="preserve">notify </w:t>
      </w:r>
      <w:r w:rsidRPr="008A3740">
        <w:rPr>
          <w:rFonts w:ascii="Verdana" w:hAnsi="Verdana"/>
          <w:sz w:val="20"/>
          <w:szCs w:val="20"/>
          <w:lang w:val="en-US"/>
        </w:rPr>
        <w:t xml:space="preserve">this Court </w:t>
      </w:r>
      <w:r w:rsidR="00526BEF" w:rsidRPr="008A3740">
        <w:rPr>
          <w:rFonts w:ascii="Verdana" w:hAnsi="Verdana"/>
          <w:sz w:val="20"/>
          <w:szCs w:val="20"/>
          <w:lang w:val="en-US"/>
        </w:rPr>
        <w:t xml:space="preserve">once it </w:t>
      </w:r>
      <w:r w:rsidRPr="008A3740">
        <w:rPr>
          <w:rFonts w:ascii="Verdana" w:hAnsi="Verdana"/>
          <w:sz w:val="20"/>
          <w:szCs w:val="20"/>
          <w:lang w:val="en-US"/>
        </w:rPr>
        <w:t>proce</w:t>
      </w:r>
      <w:r w:rsidR="00526BEF" w:rsidRPr="008A3740">
        <w:rPr>
          <w:rFonts w:ascii="Verdana" w:hAnsi="Verdana"/>
          <w:sz w:val="20"/>
          <w:szCs w:val="20"/>
          <w:lang w:val="en-US"/>
        </w:rPr>
        <w:t>eds</w:t>
      </w:r>
      <w:r w:rsidRPr="008A3740">
        <w:rPr>
          <w:rFonts w:ascii="Verdana" w:hAnsi="Verdana"/>
          <w:sz w:val="20"/>
          <w:szCs w:val="20"/>
          <w:lang w:val="en-US"/>
        </w:rPr>
        <w:t xml:space="preserve"> </w:t>
      </w:r>
      <w:r w:rsidR="00526BEF" w:rsidRPr="008A3740">
        <w:rPr>
          <w:rFonts w:ascii="Verdana" w:hAnsi="Verdana"/>
          <w:sz w:val="20"/>
          <w:szCs w:val="20"/>
          <w:lang w:val="en-US"/>
        </w:rPr>
        <w:t xml:space="preserve">to make </w:t>
      </w:r>
      <w:r w:rsidR="00C46AD9" w:rsidRPr="008A3740">
        <w:rPr>
          <w:rFonts w:ascii="Verdana" w:hAnsi="Verdana"/>
          <w:sz w:val="20"/>
          <w:szCs w:val="20"/>
          <w:lang w:val="en-US"/>
        </w:rPr>
        <w:t xml:space="preserve">each of the </w:t>
      </w:r>
      <w:r w:rsidRPr="008A3740">
        <w:rPr>
          <w:rFonts w:ascii="Verdana" w:hAnsi="Verdana"/>
          <w:sz w:val="20"/>
          <w:szCs w:val="20"/>
          <w:lang w:val="en-US"/>
        </w:rPr>
        <w:t xml:space="preserve">publications </w:t>
      </w:r>
      <w:r w:rsidR="00C46AD9" w:rsidRPr="008A3740">
        <w:rPr>
          <w:rFonts w:ascii="Verdana" w:hAnsi="Verdana"/>
          <w:sz w:val="20"/>
          <w:szCs w:val="20"/>
          <w:lang w:val="en-US"/>
        </w:rPr>
        <w:t>ordered</w:t>
      </w:r>
      <w:r w:rsidRPr="008A3740">
        <w:rPr>
          <w:rFonts w:ascii="Verdana" w:hAnsi="Verdana"/>
          <w:sz w:val="20"/>
          <w:szCs w:val="20"/>
          <w:lang w:val="en-US"/>
        </w:rPr>
        <w:t xml:space="preserve">, </w:t>
      </w:r>
      <w:r w:rsidR="009B6B47" w:rsidRPr="008A3740">
        <w:rPr>
          <w:rFonts w:ascii="Verdana" w:hAnsi="Verdana"/>
          <w:sz w:val="20"/>
          <w:szCs w:val="20"/>
          <w:lang w:val="en-US"/>
        </w:rPr>
        <w:t xml:space="preserve">notwithstanding </w:t>
      </w:r>
      <w:r w:rsidRPr="008A3740">
        <w:rPr>
          <w:rFonts w:ascii="Verdana" w:hAnsi="Verdana"/>
          <w:sz w:val="20"/>
          <w:szCs w:val="20"/>
          <w:lang w:val="en-US"/>
        </w:rPr>
        <w:t xml:space="preserve">the </w:t>
      </w:r>
      <w:r w:rsidR="006509BA" w:rsidRPr="008A3740">
        <w:rPr>
          <w:rFonts w:ascii="Verdana" w:hAnsi="Verdana"/>
          <w:sz w:val="20"/>
          <w:szCs w:val="20"/>
          <w:lang w:val="en-US"/>
        </w:rPr>
        <w:t>one-</w:t>
      </w:r>
      <w:r w:rsidR="009B6B47" w:rsidRPr="008A3740">
        <w:rPr>
          <w:rFonts w:ascii="Verdana" w:hAnsi="Verdana"/>
          <w:sz w:val="20"/>
          <w:szCs w:val="20"/>
          <w:lang w:val="en-US"/>
        </w:rPr>
        <w:t xml:space="preserve">year period </w:t>
      </w:r>
      <w:r w:rsidR="006509BA" w:rsidRPr="008A3740">
        <w:rPr>
          <w:rFonts w:ascii="Verdana" w:hAnsi="Verdana"/>
          <w:sz w:val="20"/>
          <w:szCs w:val="20"/>
          <w:lang w:val="en-US"/>
        </w:rPr>
        <w:t xml:space="preserve">allowed for the submission of </w:t>
      </w:r>
      <w:r w:rsidR="006E04AA" w:rsidRPr="008A3740">
        <w:rPr>
          <w:rFonts w:ascii="Verdana" w:hAnsi="Verdana"/>
          <w:sz w:val="20"/>
          <w:szCs w:val="20"/>
          <w:lang w:val="en-US"/>
        </w:rPr>
        <w:t xml:space="preserve">its first </w:t>
      </w:r>
      <w:r w:rsidRPr="008A3740">
        <w:rPr>
          <w:rFonts w:ascii="Verdana" w:hAnsi="Verdana"/>
          <w:sz w:val="20"/>
          <w:szCs w:val="20"/>
          <w:lang w:val="en-US"/>
        </w:rPr>
        <w:t xml:space="preserve">report </w:t>
      </w:r>
      <w:r w:rsidR="006509BA" w:rsidRPr="008A3740">
        <w:rPr>
          <w:rFonts w:ascii="Verdana" w:hAnsi="Verdana"/>
          <w:sz w:val="20"/>
          <w:szCs w:val="20"/>
          <w:lang w:val="en-US"/>
        </w:rPr>
        <w:t xml:space="preserve">as </w:t>
      </w:r>
      <w:r w:rsidR="00C51D66" w:rsidRPr="008A3740">
        <w:rPr>
          <w:rFonts w:ascii="Verdana" w:hAnsi="Verdana"/>
          <w:sz w:val="20"/>
          <w:szCs w:val="20"/>
          <w:lang w:val="en-US"/>
        </w:rPr>
        <w:t xml:space="preserve">ordered </w:t>
      </w:r>
      <w:r w:rsidRPr="008A3740">
        <w:rPr>
          <w:rFonts w:ascii="Verdana" w:hAnsi="Verdana"/>
          <w:sz w:val="20"/>
          <w:szCs w:val="20"/>
          <w:lang w:val="en-US"/>
        </w:rPr>
        <w:t xml:space="preserve">in </w:t>
      </w:r>
      <w:r w:rsidR="00C46AD9" w:rsidRPr="008A3740">
        <w:rPr>
          <w:rFonts w:ascii="Verdana" w:hAnsi="Verdana"/>
          <w:sz w:val="20"/>
          <w:szCs w:val="20"/>
          <w:lang w:val="en-US"/>
        </w:rPr>
        <w:t xml:space="preserve">operative paragraph twelve of </w:t>
      </w:r>
      <w:r w:rsidRPr="008A3740">
        <w:rPr>
          <w:rFonts w:ascii="Verdana" w:hAnsi="Verdana"/>
          <w:sz w:val="20"/>
          <w:szCs w:val="20"/>
          <w:lang w:val="en-US"/>
        </w:rPr>
        <w:t>the Judgment.</w:t>
      </w:r>
    </w:p>
    <w:p w14:paraId="459083C5" w14:textId="77777777" w:rsidR="008E6A56" w:rsidRPr="008A3740" w:rsidRDefault="008E6A56" w:rsidP="008E6A56">
      <w:pPr>
        <w:tabs>
          <w:tab w:val="left" w:pos="567"/>
        </w:tabs>
        <w:textAlignment w:val="auto"/>
        <w:rPr>
          <w:rFonts w:ascii="Verdana" w:eastAsia="MS Mincho" w:hAnsi="Verdana"/>
          <w:b/>
          <w:sz w:val="20"/>
          <w:szCs w:val="20"/>
          <w:lang w:val="en-US" w:bidi="en-US"/>
        </w:rPr>
      </w:pPr>
    </w:p>
    <w:p w14:paraId="541BFF19" w14:textId="77777777" w:rsidR="008E6A56" w:rsidRPr="008A3740" w:rsidRDefault="008E6A56" w:rsidP="008E6A56">
      <w:pPr>
        <w:pStyle w:val="Ttulo2"/>
        <w:tabs>
          <w:tab w:val="clear" w:pos="360"/>
        </w:tabs>
        <w:ind w:hanging="360"/>
        <w:rPr>
          <w:lang w:val="en-US"/>
        </w:rPr>
      </w:pPr>
      <w:bookmarkStart w:id="126" w:name="_Toc514172668"/>
      <w:bookmarkStart w:id="127" w:name="_Toc5009900"/>
      <w:r w:rsidRPr="008A3740">
        <w:rPr>
          <w:lang w:val="en-US"/>
        </w:rPr>
        <w:t>Other measures requested</w:t>
      </w:r>
      <w:bookmarkEnd w:id="126"/>
      <w:bookmarkEnd w:id="127"/>
    </w:p>
    <w:p w14:paraId="51163673" w14:textId="77777777" w:rsidR="008E6A56" w:rsidRPr="008A3740" w:rsidRDefault="008E6A56" w:rsidP="008E6A56">
      <w:pPr>
        <w:rPr>
          <w:lang w:val="en-US"/>
        </w:rPr>
      </w:pPr>
    </w:p>
    <w:p w14:paraId="5C33C7D8"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eastAsia="en-US"/>
        </w:rPr>
      </w:pPr>
      <w:r w:rsidRPr="008A3740">
        <w:rPr>
          <w:rFonts w:ascii="Verdana" w:hAnsi="Verdana"/>
          <w:sz w:val="20"/>
          <w:szCs w:val="20"/>
          <w:lang w:val="en-US"/>
        </w:rPr>
        <w:t xml:space="preserve">The </w:t>
      </w:r>
      <w:r w:rsidRPr="008A3740">
        <w:rPr>
          <w:rFonts w:ascii="Verdana" w:hAnsi="Verdana"/>
          <w:b/>
          <w:i/>
          <w:sz w:val="20"/>
          <w:szCs w:val="20"/>
          <w:lang w:val="en-US"/>
        </w:rPr>
        <w:t>Commission</w:t>
      </w:r>
      <w:r w:rsidRPr="008A3740">
        <w:rPr>
          <w:rFonts w:ascii="Verdana" w:hAnsi="Verdana"/>
          <w:i/>
          <w:sz w:val="20"/>
          <w:szCs w:val="20"/>
          <w:lang w:val="en-US"/>
        </w:rPr>
        <w:t xml:space="preserve"> </w:t>
      </w:r>
      <w:r w:rsidRPr="008A3740">
        <w:rPr>
          <w:rFonts w:ascii="Verdana" w:hAnsi="Verdana"/>
          <w:sz w:val="20"/>
          <w:szCs w:val="20"/>
          <w:lang w:val="en-US"/>
        </w:rPr>
        <w:t>asked the Court t</w:t>
      </w:r>
      <w:r w:rsidR="00C51D66" w:rsidRPr="008A3740">
        <w:rPr>
          <w:rFonts w:ascii="Verdana" w:hAnsi="Verdana"/>
          <w:sz w:val="20"/>
          <w:szCs w:val="20"/>
          <w:lang w:val="en-US"/>
        </w:rPr>
        <w:t xml:space="preserve">o order </w:t>
      </w:r>
      <w:r w:rsidRPr="008A3740">
        <w:rPr>
          <w:rFonts w:ascii="Verdana" w:hAnsi="Verdana"/>
          <w:sz w:val="20"/>
          <w:szCs w:val="20"/>
          <w:lang w:val="en-US"/>
        </w:rPr>
        <w:t xml:space="preserve">the State </w:t>
      </w:r>
      <w:r w:rsidR="00500F8B" w:rsidRPr="008A3740">
        <w:rPr>
          <w:rFonts w:ascii="Verdana" w:hAnsi="Verdana"/>
          <w:sz w:val="20"/>
          <w:szCs w:val="20"/>
          <w:lang w:val="en-US"/>
        </w:rPr>
        <w:t xml:space="preserve">to </w:t>
      </w:r>
      <w:r w:rsidRPr="008A3740">
        <w:rPr>
          <w:rFonts w:ascii="Verdana" w:hAnsi="Verdana"/>
          <w:sz w:val="20"/>
          <w:szCs w:val="20"/>
          <w:lang w:val="en-US"/>
        </w:rPr>
        <w:t>adopt legislati</w:t>
      </w:r>
      <w:r w:rsidR="00500F8B" w:rsidRPr="008A3740">
        <w:rPr>
          <w:rFonts w:ascii="Verdana" w:hAnsi="Verdana"/>
          <w:sz w:val="20"/>
          <w:szCs w:val="20"/>
          <w:lang w:val="en-US"/>
        </w:rPr>
        <w:t xml:space="preserve">on </w:t>
      </w:r>
      <w:r w:rsidRPr="008A3740">
        <w:rPr>
          <w:rFonts w:ascii="Verdana" w:hAnsi="Verdana"/>
          <w:sz w:val="20"/>
          <w:szCs w:val="20"/>
          <w:lang w:val="en-US"/>
        </w:rPr>
        <w:t xml:space="preserve">or </w:t>
      </w:r>
      <w:r w:rsidR="00C51D66" w:rsidRPr="008A3740">
        <w:rPr>
          <w:rFonts w:ascii="Verdana" w:hAnsi="Verdana"/>
          <w:sz w:val="20"/>
          <w:szCs w:val="20"/>
          <w:lang w:val="en-US"/>
        </w:rPr>
        <w:t>other measures</w:t>
      </w:r>
      <w:r w:rsidRPr="008A3740">
        <w:rPr>
          <w:rFonts w:ascii="Verdana" w:hAnsi="Verdana"/>
          <w:sz w:val="20"/>
          <w:szCs w:val="20"/>
          <w:lang w:val="en-US"/>
        </w:rPr>
        <w:t xml:space="preserve"> necessary </w:t>
      </w:r>
      <w:r w:rsidR="00C51D66" w:rsidRPr="008A3740">
        <w:rPr>
          <w:rFonts w:ascii="Verdana" w:hAnsi="Verdana"/>
          <w:sz w:val="20"/>
          <w:szCs w:val="20"/>
          <w:lang w:val="en-US"/>
        </w:rPr>
        <w:t xml:space="preserve">to prevent the repetition of </w:t>
      </w:r>
      <w:r w:rsidRPr="008A3740">
        <w:rPr>
          <w:rFonts w:ascii="Verdana" w:hAnsi="Verdana"/>
          <w:sz w:val="20"/>
          <w:szCs w:val="20"/>
          <w:lang w:val="en-US"/>
        </w:rPr>
        <w:t xml:space="preserve">the violations declared in </w:t>
      </w:r>
      <w:r w:rsidR="00C51D66" w:rsidRPr="008A3740">
        <w:rPr>
          <w:rFonts w:ascii="Verdana" w:hAnsi="Verdana"/>
          <w:sz w:val="20"/>
          <w:szCs w:val="20"/>
          <w:lang w:val="en-US"/>
        </w:rPr>
        <w:t>its merits report</w:t>
      </w:r>
      <w:r w:rsidR="006509BA" w:rsidRPr="008A3740">
        <w:rPr>
          <w:rFonts w:ascii="Verdana" w:hAnsi="Verdana"/>
          <w:sz w:val="20"/>
          <w:szCs w:val="20"/>
          <w:lang w:val="en-US"/>
        </w:rPr>
        <w:t>. I</w:t>
      </w:r>
      <w:r w:rsidRPr="008A3740">
        <w:rPr>
          <w:rFonts w:ascii="Verdana" w:hAnsi="Verdana"/>
          <w:sz w:val="20"/>
          <w:szCs w:val="20"/>
          <w:lang w:val="en-US"/>
        </w:rPr>
        <w:t xml:space="preserve">n this </w:t>
      </w:r>
      <w:r w:rsidR="006509BA" w:rsidRPr="008A3740">
        <w:rPr>
          <w:rFonts w:ascii="Verdana" w:hAnsi="Verdana"/>
          <w:sz w:val="20"/>
          <w:szCs w:val="20"/>
          <w:lang w:val="en-US"/>
        </w:rPr>
        <w:t>regard</w:t>
      </w:r>
      <w:r w:rsidRPr="008A3740">
        <w:rPr>
          <w:rFonts w:ascii="Verdana" w:hAnsi="Verdana"/>
          <w:sz w:val="20"/>
          <w:szCs w:val="20"/>
          <w:lang w:val="en-US"/>
        </w:rPr>
        <w:t xml:space="preserve">, </w:t>
      </w:r>
      <w:r w:rsidR="006509BA" w:rsidRPr="008A3740">
        <w:rPr>
          <w:rFonts w:ascii="Verdana" w:hAnsi="Verdana"/>
          <w:sz w:val="20"/>
          <w:szCs w:val="20"/>
          <w:lang w:val="en-US"/>
        </w:rPr>
        <w:t xml:space="preserve">it </w:t>
      </w:r>
      <w:r w:rsidRPr="008A3740">
        <w:rPr>
          <w:rFonts w:ascii="Verdana" w:hAnsi="Verdana"/>
          <w:sz w:val="20"/>
          <w:szCs w:val="20"/>
          <w:lang w:val="en-US"/>
        </w:rPr>
        <w:lastRenderedPageBreak/>
        <w:t xml:space="preserve">considered that the State </w:t>
      </w:r>
      <w:r w:rsidR="0041644A" w:rsidRPr="008A3740">
        <w:rPr>
          <w:rFonts w:ascii="Verdana" w:hAnsi="Verdana"/>
          <w:sz w:val="20"/>
          <w:szCs w:val="20"/>
          <w:lang w:val="en-US"/>
        </w:rPr>
        <w:t xml:space="preserve">should order </w:t>
      </w:r>
      <w:r w:rsidRPr="008A3740">
        <w:rPr>
          <w:rFonts w:ascii="Verdana" w:hAnsi="Verdana" w:cs="Arial"/>
          <w:sz w:val="20"/>
          <w:szCs w:val="20"/>
          <w:lang w:val="en-US" w:eastAsia="en-US"/>
        </w:rPr>
        <w:t xml:space="preserve">the measures necessary </w:t>
      </w:r>
      <w:r w:rsidR="0041644A" w:rsidRPr="008A3740">
        <w:rPr>
          <w:rFonts w:ascii="Verdana" w:hAnsi="Verdana" w:cs="Arial"/>
          <w:sz w:val="20"/>
          <w:szCs w:val="20"/>
          <w:lang w:val="en-US" w:eastAsia="en-US"/>
        </w:rPr>
        <w:t>to</w:t>
      </w:r>
      <w:r w:rsidRPr="008A3740">
        <w:rPr>
          <w:rFonts w:ascii="Verdana" w:hAnsi="Verdana" w:cs="Arial"/>
          <w:sz w:val="20"/>
          <w:szCs w:val="20"/>
          <w:lang w:val="en-US" w:eastAsia="en-US"/>
        </w:rPr>
        <w:t xml:space="preserve">: i) </w:t>
      </w:r>
      <w:r w:rsidR="00C51D66" w:rsidRPr="008A3740">
        <w:rPr>
          <w:rFonts w:ascii="Verdana" w:hAnsi="Verdana" w:cs="Arial"/>
          <w:sz w:val="20"/>
          <w:szCs w:val="20"/>
          <w:lang w:val="en-US" w:eastAsia="en-US"/>
        </w:rPr>
        <w:t>ensure</w:t>
      </w:r>
      <w:r w:rsidRPr="008A3740">
        <w:rPr>
          <w:rFonts w:ascii="Verdana" w:hAnsi="Verdana" w:cs="Arial"/>
          <w:sz w:val="20"/>
          <w:szCs w:val="20"/>
          <w:lang w:val="en-US" w:eastAsia="en-US"/>
        </w:rPr>
        <w:t xml:space="preserve"> that </w:t>
      </w:r>
      <w:r w:rsidR="00C51D66" w:rsidRPr="008A3740">
        <w:rPr>
          <w:rFonts w:ascii="Verdana" w:hAnsi="Verdana" w:cs="Arial"/>
          <w:sz w:val="20"/>
          <w:szCs w:val="20"/>
          <w:lang w:val="en-US" w:eastAsia="en-US"/>
        </w:rPr>
        <w:t>State</w:t>
      </w:r>
      <w:r w:rsidR="006509BA" w:rsidRPr="008A3740">
        <w:rPr>
          <w:rFonts w:ascii="Verdana" w:hAnsi="Verdana" w:cs="Arial"/>
          <w:sz w:val="20"/>
          <w:szCs w:val="20"/>
          <w:lang w:val="en-US" w:eastAsia="en-US"/>
        </w:rPr>
        <w:t>-owned</w:t>
      </w:r>
      <w:r w:rsidR="00C51D66" w:rsidRPr="008A3740">
        <w:rPr>
          <w:rFonts w:ascii="Verdana" w:hAnsi="Verdana" w:cs="Arial"/>
          <w:sz w:val="20"/>
          <w:szCs w:val="20"/>
          <w:lang w:val="en-US" w:eastAsia="en-US"/>
        </w:rPr>
        <w:t xml:space="preserve"> </w:t>
      </w:r>
      <w:r w:rsidR="006509BA" w:rsidRPr="008A3740">
        <w:rPr>
          <w:rFonts w:ascii="Verdana" w:hAnsi="Verdana" w:cs="Arial"/>
          <w:sz w:val="20"/>
          <w:szCs w:val="20"/>
          <w:lang w:val="en-US" w:eastAsia="en-US"/>
        </w:rPr>
        <w:t xml:space="preserve">companies </w:t>
      </w:r>
      <w:r w:rsidRPr="008A3740">
        <w:rPr>
          <w:rFonts w:ascii="Verdana" w:hAnsi="Verdana" w:cs="Arial"/>
          <w:sz w:val="20"/>
          <w:szCs w:val="20"/>
          <w:lang w:val="en-US" w:eastAsia="en-US"/>
        </w:rPr>
        <w:t>c</w:t>
      </w:r>
      <w:r w:rsidR="00C51D66" w:rsidRPr="008A3740">
        <w:rPr>
          <w:rFonts w:ascii="Verdana" w:hAnsi="Verdana" w:cs="Arial"/>
          <w:sz w:val="20"/>
          <w:szCs w:val="20"/>
          <w:lang w:val="en-US" w:eastAsia="en-US"/>
        </w:rPr>
        <w:t xml:space="preserve">omply </w:t>
      </w:r>
      <w:r w:rsidRPr="008A3740">
        <w:rPr>
          <w:rFonts w:ascii="Verdana" w:hAnsi="Verdana" w:cs="Arial"/>
          <w:sz w:val="20"/>
          <w:szCs w:val="20"/>
          <w:lang w:val="en-US" w:eastAsia="en-US"/>
        </w:rPr>
        <w:t xml:space="preserve">with </w:t>
      </w:r>
      <w:r w:rsidR="007E053B" w:rsidRPr="008A3740">
        <w:rPr>
          <w:rFonts w:ascii="Verdana" w:hAnsi="Verdana" w:cs="Arial"/>
          <w:sz w:val="20"/>
          <w:szCs w:val="20"/>
          <w:lang w:val="en-US" w:eastAsia="en-US"/>
        </w:rPr>
        <w:t>judicial rulings</w:t>
      </w:r>
      <w:r w:rsidRPr="008A3740">
        <w:rPr>
          <w:rFonts w:ascii="Verdana" w:hAnsi="Verdana" w:cs="Arial"/>
          <w:sz w:val="20"/>
          <w:szCs w:val="20"/>
          <w:lang w:val="en-US" w:eastAsia="en-US"/>
        </w:rPr>
        <w:t xml:space="preserve"> that reco</w:t>
      </w:r>
      <w:r w:rsidR="0041644A" w:rsidRPr="008A3740">
        <w:rPr>
          <w:rFonts w:ascii="Verdana" w:hAnsi="Verdana" w:cs="Arial"/>
          <w:sz w:val="20"/>
          <w:szCs w:val="20"/>
          <w:lang w:val="en-US" w:eastAsia="en-US"/>
        </w:rPr>
        <w:t>gnize the pension rights of</w:t>
      </w:r>
      <w:r w:rsidRPr="008A3740">
        <w:rPr>
          <w:rFonts w:ascii="Verdana" w:hAnsi="Verdana" w:cs="Arial"/>
          <w:sz w:val="20"/>
          <w:szCs w:val="20"/>
          <w:lang w:val="en-US" w:eastAsia="en-US"/>
        </w:rPr>
        <w:t xml:space="preserve"> </w:t>
      </w:r>
      <w:r w:rsidR="0041644A" w:rsidRPr="008A3740">
        <w:rPr>
          <w:rFonts w:ascii="Verdana" w:hAnsi="Verdana" w:cs="Arial"/>
          <w:sz w:val="20"/>
          <w:szCs w:val="20"/>
          <w:lang w:val="en-US" w:eastAsia="en-US"/>
        </w:rPr>
        <w:t>former employees</w:t>
      </w:r>
      <w:r w:rsidRPr="008A3740">
        <w:rPr>
          <w:rFonts w:ascii="Verdana" w:hAnsi="Verdana" w:cs="Arial"/>
          <w:sz w:val="20"/>
          <w:szCs w:val="20"/>
          <w:lang w:val="en-US" w:eastAsia="en-US"/>
        </w:rPr>
        <w:t xml:space="preserve">; ii) </w:t>
      </w:r>
      <w:r w:rsidR="006509BA" w:rsidRPr="008A3740">
        <w:rPr>
          <w:rFonts w:ascii="Verdana" w:hAnsi="Verdana" w:cs="Arial"/>
          <w:sz w:val="20"/>
          <w:szCs w:val="20"/>
          <w:lang w:val="en-US" w:eastAsia="en-US"/>
        </w:rPr>
        <w:t xml:space="preserve">ensure that </w:t>
      </w:r>
      <w:r w:rsidR="00C46AD9" w:rsidRPr="008A3740">
        <w:rPr>
          <w:rFonts w:ascii="Verdana" w:hAnsi="Verdana" w:cs="Arial"/>
          <w:sz w:val="20"/>
          <w:szCs w:val="20"/>
          <w:lang w:val="en-US" w:eastAsia="en-US"/>
        </w:rPr>
        <w:t xml:space="preserve">proper </w:t>
      </w:r>
      <w:r w:rsidRPr="008A3740">
        <w:rPr>
          <w:rFonts w:ascii="Verdana" w:hAnsi="Verdana" w:cs="Arial"/>
          <w:sz w:val="20"/>
          <w:szCs w:val="20"/>
          <w:lang w:val="en-US" w:eastAsia="en-US"/>
        </w:rPr>
        <w:t xml:space="preserve">safeguards </w:t>
      </w:r>
      <w:r w:rsidR="00C46AD9" w:rsidRPr="008A3740">
        <w:rPr>
          <w:rFonts w:ascii="Verdana" w:hAnsi="Verdana" w:cs="Arial"/>
          <w:sz w:val="20"/>
          <w:szCs w:val="20"/>
          <w:lang w:val="en-US" w:eastAsia="en-US"/>
        </w:rPr>
        <w:t xml:space="preserve">are established </w:t>
      </w:r>
      <w:r w:rsidR="006509BA" w:rsidRPr="008A3740">
        <w:rPr>
          <w:rFonts w:ascii="Verdana" w:hAnsi="Verdana" w:cs="Arial"/>
          <w:sz w:val="20"/>
          <w:szCs w:val="20"/>
          <w:lang w:val="en-US" w:eastAsia="en-US"/>
        </w:rPr>
        <w:t xml:space="preserve">in privatization processes </w:t>
      </w:r>
      <w:r w:rsidR="007E053B" w:rsidRPr="008A3740">
        <w:rPr>
          <w:rFonts w:ascii="Verdana" w:hAnsi="Verdana" w:cs="Arial"/>
          <w:sz w:val="20"/>
          <w:szCs w:val="20"/>
          <w:lang w:val="en-US" w:eastAsia="en-US"/>
        </w:rPr>
        <w:t xml:space="preserve">so that this action does not impede compliance with judicial rulings in </w:t>
      </w:r>
      <w:r w:rsidRPr="008A3740">
        <w:rPr>
          <w:rFonts w:ascii="Verdana" w:hAnsi="Verdana" w:cs="Arial"/>
          <w:sz w:val="20"/>
          <w:szCs w:val="20"/>
          <w:lang w:val="en-US" w:eastAsia="en-US"/>
        </w:rPr>
        <w:t xml:space="preserve">favor of </w:t>
      </w:r>
      <w:r w:rsidR="007E053B" w:rsidRPr="008A3740">
        <w:rPr>
          <w:rFonts w:ascii="Verdana" w:hAnsi="Verdana" w:cs="Arial"/>
          <w:sz w:val="20"/>
          <w:szCs w:val="20"/>
          <w:lang w:val="en-US" w:eastAsia="en-US"/>
        </w:rPr>
        <w:t>retire</w:t>
      </w:r>
      <w:r w:rsidR="006509BA" w:rsidRPr="008A3740">
        <w:rPr>
          <w:rFonts w:ascii="Verdana" w:hAnsi="Verdana" w:cs="Arial"/>
          <w:sz w:val="20"/>
          <w:szCs w:val="20"/>
          <w:lang w:val="en-US" w:eastAsia="en-US"/>
        </w:rPr>
        <w:t>es</w:t>
      </w:r>
      <w:r w:rsidRPr="008A3740">
        <w:rPr>
          <w:rFonts w:ascii="Verdana" w:hAnsi="Verdana" w:cs="Arial"/>
          <w:sz w:val="20"/>
          <w:szCs w:val="20"/>
          <w:lang w:val="en-US" w:eastAsia="en-US"/>
        </w:rPr>
        <w:t xml:space="preserve">; iii) </w:t>
      </w:r>
      <w:r w:rsidR="007E053B" w:rsidRPr="008A3740">
        <w:rPr>
          <w:rFonts w:ascii="Verdana" w:hAnsi="Verdana" w:cs="Arial"/>
          <w:sz w:val="20"/>
          <w:szCs w:val="20"/>
          <w:lang w:val="en-US" w:eastAsia="en-US"/>
        </w:rPr>
        <w:t xml:space="preserve">ensure </w:t>
      </w:r>
      <w:r w:rsidRPr="008A3740">
        <w:rPr>
          <w:rFonts w:ascii="Verdana" w:hAnsi="Verdana" w:cs="Arial"/>
          <w:sz w:val="20"/>
          <w:szCs w:val="20"/>
          <w:lang w:val="en-US" w:eastAsia="en-US"/>
        </w:rPr>
        <w:t xml:space="preserve">that judgment </w:t>
      </w:r>
      <w:r w:rsidR="006263A0" w:rsidRPr="008A3740">
        <w:rPr>
          <w:rFonts w:ascii="Verdana" w:hAnsi="Verdana" w:cs="Arial"/>
          <w:sz w:val="20"/>
          <w:szCs w:val="20"/>
          <w:lang w:val="en-US" w:eastAsia="en-US"/>
        </w:rPr>
        <w:t xml:space="preserve">execution </w:t>
      </w:r>
      <w:r w:rsidR="006509BA" w:rsidRPr="008A3740">
        <w:rPr>
          <w:rFonts w:ascii="Verdana" w:hAnsi="Verdana" w:cs="Arial"/>
          <w:sz w:val="20"/>
          <w:szCs w:val="20"/>
          <w:lang w:val="en-US" w:eastAsia="en-US"/>
        </w:rPr>
        <w:t xml:space="preserve">proceedings comply with </w:t>
      </w:r>
      <w:r w:rsidRPr="008A3740">
        <w:rPr>
          <w:rFonts w:ascii="Verdana" w:hAnsi="Verdana" w:cs="Arial"/>
          <w:sz w:val="20"/>
          <w:szCs w:val="20"/>
          <w:lang w:val="en-US" w:eastAsia="en-US"/>
        </w:rPr>
        <w:t xml:space="preserve">conventional </w:t>
      </w:r>
      <w:r w:rsidR="007E053B" w:rsidRPr="008A3740">
        <w:rPr>
          <w:rFonts w:ascii="Verdana" w:hAnsi="Verdana" w:cs="Arial"/>
          <w:sz w:val="20"/>
          <w:szCs w:val="20"/>
          <w:lang w:val="en-US" w:eastAsia="en-US"/>
        </w:rPr>
        <w:t>standard</w:t>
      </w:r>
      <w:r w:rsidR="006509BA" w:rsidRPr="008A3740">
        <w:rPr>
          <w:rFonts w:ascii="Verdana" w:hAnsi="Verdana" w:cs="Arial"/>
          <w:sz w:val="20"/>
          <w:szCs w:val="20"/>
          <w:lang w:val="en-US" w:eastAsia="en-US"/>
        </w:rPr>
        <w:t>s</w:t>
      </w:r>
      <w:r w:rsidR="007E053B" w:rsidRPr="008A3740">
        <w:rPr>
          <w:rFonts w:ascii="Verdana" w:hAnsi="Verdana" w:cs="Arial"/>
          <w:sz w:val="20"/>
          <w:szCs w:val="20"/>
          <w:lang w:val="en-US" w:eastAsia="en-US"/>
        </w:rPr>
        <w:t xml:space="preserve"> of simplicity and promptness</w:t>
      </w:r>
      <w:r w:rsidRPr="008A3740">
        <w:rPr>
          <w:rFonts w:ascii="Verdana" w:hAnsi="Verdana" w:cs="Arial"/>
          <w:sz w:val="20"/>
          <w:szCs w:val="20"/>
          <w:lang w:val="en-US" w:eastAsia="en-US"/>
        </w:rPr>
        <w:t xml:space="preserve">; and iv) </w:t>
      </w:r>
      <w:r w:rsidR="00C46AD9" w:rsidRPr="008A3740">
        <w:rPr>
          <w:rFonts w:ascii="Verdana" w:hAnsi="Verdana" w:cs="Arial"/>
          <w:sz w:val="20"/>
          <w:szCs w:val="20"/>
          <w:lang w:val="en-US" w:eastAsia="en-US"/>
        </w:rPr>
        <w:t xml:space="preserve">ensure </w:t>
      </w:r>
      <w:r w:rsidRPr="008A3740">
        <w:rPr>
          <w:rFonts w:ascii="Verdana" w:hAnsi="Verdana" w:cs="Arial"/>
          <w:sz w:val="20"/>
          <w:szCs w:val="20"/>
          <w:lang w:val="en-US" w:eastAsia="en-US"/>
        </w:rPr>
        <w:t xml:space="preserve">that the judicial authorities </w:t>
      </w:r>
      <w:r w:rsidR="003D1070" w:rsidRPr="008A3740">
        <w:rPr>
          <w:rFonts w:ascii="Verdana" w:hAnsi="Verdana" w:cs="Arial"/>
          <w:sz w:val="20"/>
          <w:szCs w:val="20"/>
          <w:lang w:val="en-US" w:eastAsia="en-US"/>
        </w:rPr>
        <w:t>hear</w:t>
      </w:r>
      <w:r w:rsidR="006509BA" w:rsidRPr="008A3740">
        <w:rPr>
          <w:rFonts w:ascii="Verdana" w:hAnsi="Verdana" w:cs="Arial"/>
          <w:sz w:val="20"/>
          <w:szCs w:val="20"/>
          <w:lang w:val="en-US" w:eastAsia="en-US"/>
        </w:rPr>
        <w:t>ing</w:t>
      </w:r>
      <w:r w:rsidR="003D1070" w:rsidRPr="008A3740">
        <w:rPr>
          <w:rFonts w:ascii="Verdana" w:hAnsi="Verdana" w:cs="Arial"/>
          <w:sz w:val="20"/>
          <w:szCs w:val="20"/>
          <w:lang w:val="en-US" w:eastAsia="en-US"/>
        </w:rPr>
        <w:t xml:space="preserve"> </w:t>
      </w:r>
      <w:r w:rsidR="00C46AD9" w:rsidRPr="008A3740">
        <w:rPr>
          <w:rFonts w:ascii="Verdana" w:hAnsi="Verdana" w:cs="Arial"/>
          <w:sz w:val="20"/>
          <w:szCs w:val="20"/>
          <w:lang w:val="en-US" w:eastAsia="en-US"/>
        </w:rPr>
        <w:t xml:space="preserve">such proceedings </w:t>
      </w:r>
      <w:r w:rsidR="007E053B" w:rsidRPr="008A3740">
        <w:rPr>
          <w:rFonts w:ascii="Verdana" w:hAnsi="Verdana" w:cs="Arial"/>
          <w:sz w:val="20"/>
          <w:szCs w:val="20"/>
          <w:lang w:val="en-US" w:eastAsia="en-US"/>
        </w:rPr>
        <w:t xml:space="preserve">are </w:t>
      </w:r>
      <w:r w:rsidRPr="008A3740">
        <w:rPr>
          <w:rFonts w:ascii="Verdana" w:hAnsi="Verdana" w:cs="Arial"/>
          <w:sz w:val="20"/>
          <w:szCs w:val="20"/>
          <w:lang w:val="en-US" w:eastAsia="en-US"/>
        </w:rPr>
        <w:t xml:space="preserve">legally </w:t>
      </w:r>
      <w:r w:rsidR="007E053B" w:rsidRPr="008A3740">
        <w:rPr>
          <w:rFonts w:ascii="Verdana" w:hAnsi="Verdana" w:cs="Arial"/>
          <w:sz w:val="20"/>
          <w:szCs w:val="20"/>
          <w:lang w:val="en-US" w:eastAsia="en-US"/>
        </w:rPr>
        <w:t xml:space="preserve">empowered </w:t>
      </w:r>
      <w:r w:rsidR="006509BA" w:rsidRPr="008A3740">
        <w:rPr>
          <w:rFonts w:ascii="Verdana" w:hAnsi="Verdana" w:cs="Arial"/>
          <w:sz w:val="20"/>
          <w:szCs w:val="20"/>
          <w:lang w:val="en-US" w:eastAsia="en-US"/>
        </w:rPr>
        <w:t xml:space="preserve">to apply, </w:t>
      </w:r>
      <w:r w:rsidRPr="008A3740">
        <w:rPr>
          <w:rFonts w:ascii="Verdana" w:hAnsi="Verdana" w:cs="Arial"/>
          <w:sz w:val="20"/>
          <w:szCs w:val="20"/>
          <w:lang w:val="en-US" w:eastAsia="en-US"/>
        </w:rPr>
        <w:t xml:space="preserve">and </w:t>
      </w:r>
      <w:r w:rsidR="006509BA" w:rsidRPr="008A3740">
        <w:rPr>
          <w:rFonts w:ascii="Verdana" w:hAnsi="Verdana" w:cs="Arial"/>
          <w:sz w:val="20"/>
          <w:szCs w:val="20"/>
          <w:lang w:val="en-US" w:eastAsia="en-US"/>
        </w:rPr>
        <w:t xml:space="preserve">do in practice apply, </w:t>
      </w:r>
      <w:r w:rsidRPr="008A3740">
        <w:rPr>
          <w:rFonts w:ascii="Verdana" w:hAnsi="Verdana" w:cs="Arial"/>
          <w:sz w:val="20"/>
          <w:szCs w:val="20"/>
          <w:lang w:val="en-US" w:eastAsia="en-US"/>
        </w:rPr>
        <w:t>coercive mechanisms ne</w:t>
      </w:r>
      <w:r w:rsidR="006509BA" w:rsidRPr="008A3740">
        <w:rPr>
          <w:rFonts w:ascii="Verdana" w:hAnsi="Verdana" w:cs="Arial"/>
          <w:sz w:val="20"/>
          <w:szCs w:val="20"/>
          <w:lang w:val="en-US" w:eastAsia="en-US"/>
        </w:rPr>
        <w:t xml:space="preserve">eded to guarantee </w:t>
      </w:r>
      <w:r w:rsidRPr="008A3740">
        <w:rPr>
          <w:rFonts w:ascii="Verdana" w:hAnsi="Verdana" w:cs="Arial"/>
          <w:sz w:val="20"/>
          <w:szCs w:val="20"/>
          <w:lang w:val="en-US" w:eastAsia="en-US"/>
        </w:rPr>
        <w:t xml:space="preserve">compliance with </w:t>
      </w:r>
      <w:r w:rsidR="007E053B" w:rsidRPr="008A3740">
        <w:rPr>
          <w:rFonts w:ascii="Verdana" w:hAnsi="Verdana" w:cs="Arial"/>
          <w:sz w:val="20"/>
          <w:szCs w:val="20"/>
          <w:lang w:val="en-US" w:eastAsia="en-US"/>
        </w:rPr>
        <w:t>judicial rulings</w:t>
      </w:r>
      <w:r w:rsidRPr="008A3740">
        <w:rPr>
          <w:rFonts w:ascii="Verdana" w:hAnsi="Verdana" w:cs="Arial"/>
          <w:sz w:val="20"/>
          <w:szCs w:val="20"/>
          <w:lang w:val="en-US" w:eastAsia="en-US"/>
        </w:rPr>
        <w:t>.</w:t>
      </w:r>
      <w:r w:rsidRPr="008A3740">
        <w:rPr>
          <w:rFonts w:ascii="Verdana" w:hAnsi="Verdana"/>
          <w:sz w:val="20"/>
          <w:szCs w:val="20"/>
          <w:lang w:val="en-US"/>
        </w:rPr>
        <w:t xml:space="preserve"> </w:t>
      </w:r>
    </w:p>
    <w:p w14:paraId="4986A327" w14:textId="77777777" w:rsidR="008E6A56" w:rsidRPr="008A3740" w:rsidRDefault="008E6A56" w:rsidP="008E6A56">
      <w:pPr>
        <w:tabs>
          <w:tab w:val="left" w:pos="567"/>
        </w:tabs>
        <w:textAlignment w:val="auto"/>
        <w:rPr>
          <w:rFonts w:ascii="Verdana" w:hAnsi="Verdana" w:cs="Arial"/>
          <w:color w:val="2D2D2D"/>
          <w:sz w:val="20"/>
          <w:szCs w:val="20"/>
          <w:lang w:val="en-US" w:eastAsia="en-US"/>
        </w:rPr>
      </w:pPr>
    </w:p>
    <w:p w14:paraId="4D2DE868"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hAnsi="Verdana"/>
          <w:sz w:val="20"/>
          <w:szCs w:val="20"/>
          <w:lang w:val="en-US"/>
        </w:rPr>
        <w:t xml:space="preserve">The </w:t>
      </w:r>
      <w:r w:rsidRPr="008A3740">
        <w:rPr>
          <w:rFonts w:ascii="Verdana" w:hAnsi="Verdana"/>
          <w:b/>
          <w:i/>
          <w:sz w:val="20"/>
          <w:szCs w:val="20"/>
          <w:lang w:val="en-US"/>
        </w:rPr>
        <w:t>representatives</w:t>
      </w:r>
      <w:r w:rsidRPr="008A3740">
        <w:rPr>
          <w:rFonts w:ascii="Verdana" w:hAnsi="Verdana"/>
          <w:sz w:val="20"/>
          <w:szCs w:val="20"/>
          <w:lang w:val="en-US"/>
        </w:rPr>
        <w:t xml:space="preserve"> agreed with the </w:t>
      </w:r>
      <w:r w:rsidR="006509BA" w:rsidRPr="008A3740">
        <w:rPr>
          <w:rFonts w:ascii="Verdana" w:hAnsi="Verdana"/>
          <w:sz w:val="20"/>
          <w:szCs w:val="20"/>
          <w:lang w:val="en-US"/>
        </w:rPr>
        <w:t xml:space="preserve">requests made </w:t>
      </w:r>
      <w:r w:rsidRPr="008A3740">
        <w:rPr>
          <w:rFonts w:ascii="Verdana" w:hAnsi="Verdana"/>
          <w:sz w:val="20"/>
          <w:szCs w:val="20"/>
          <w:lang w:val="en-US"/>
        </w:rPr>
        <w:t>by the Commission</w:t>
      </w:r>
      <w:r w:rsidR="007E053B" w:rsidRPr="008A3740">
        <w:rPr>
          <w:rFonts w:ascii="Verdana" w:hAnsi="Verdana"/>
          <w:sz w:val="20"/>
          <w:szCs w:val="20"/>
          <w:lang w:val="en-US"/>
        </w:rPr>
        <w:t xml:space="preserve"> and, in addition, asked the Court to </w:t>
      </w:r>
      <w:r w:rsidR="006509BA" w:rsidRPr="008A3740">
        <w:rPr>
          <w:rFonts w:ascii="Verdana" w:hAnsi="Verdana"/>
          <w:sz w:val="20"/>
          <w:szCs w:val="20"/>
          <w:lang w:val="en-US"/>
        </w:rPr>
        <w:t xml:space="preserve">require </w:t>
      </w:r>
      <w:r w:rsidRPr="008A3740">
        <w:rPr>
          <w:rFonts w:ascii="Verdana" w:hAnsi="Verdana"/>
          <w:sz w:val="20"/>
          <w:szCs w:val="20"/>
          <w:lang w:val="en-US"/>
        </w:rPr>
        <w:t xml:space="preserve">the State </w:t>
      </w:r>
      <w:r w:rsidR="006509BA" w:rsidRPr="008A3740">
        <w:rPr>
          <w:rFonts w:ascii="Verdana" w:hAnsi="Verdana"/>
          <w:sz w:val="20"/>
          <w:szCs w:val="20"/>
          <w:lang w:val="en-US"/>
        </w:rPr>
        <w:t xml:space="preserve">to provide human rights training for </w:t>
      </w:r>
      <w:r w:rsidR="007E053B" w:rsidRPr="008A3740">
        <w:rPr>
          <w:rFonts w:ascii="Verdana" w:hAnsi="Verdana"/>
          <w:sz w:val="20"/>
          <w:szCs w:val="20"/>
          <w:lang w:val="en-US"/>
        </w:rPr>
        <w:t>its agents</w:t>
      </w:r>
      <w:r w:rsidRPr="008A3740">
        <w:rPr>
          <w:rFonts w:ascii="Verdana" w:hAnsi="Verdana"/>
          <w:sz w:val="20"/>
          <w:szCs w:val="20"/>
          <w:lang w:val="en-US"/>
        </w:rPr>
        <w:t xml:space="preserve">, </w:t>
      </w:r>
      <w:r w:rsidR="00C46AD9" w:rsidRPr="008A3740">
        <w:rPr>
          <w:rFonts w:ascii="Verdana" w:hAnsi="Verdana"/>
          <w:sz w:val="20"/>
          <w:szCs w:val="20"/>
          <w:lang w:val="en-US"/>
        </w:rPr>
        <w:t>by organizing courses for “j</w:t>
      </w:r>
      <w:r w:rsidRPr="008A3740">
        <w:rPr>
          <w:rFonts w:ascii="Verdana" w:hAnsi="Verdana"/>
          <w:sz w:val="20"/>
          <w:szCs w:val="20"/>
          <w:lang w:val="en-US"/>
        </w:rPr>
        <w:t xml:space="preserve">udges, </w:t>
      </w:r>
      <w:r w:rsidR="00C46AD9" w:rsidRPr="008A3740">
        <w:rPr>
          <w:rFonts w:ascii="Verdana" w:hAnsi="Verdana"/>
          <w:sz w:val="20"/>
          <w:szCs w:val="20"/>
          <w:lang w:val="en-US"/>
        </w:rPr>
        <w:t>prosecutors, personnel of the Ombudsman’s Office</w:t>
      </w:r>
      <w:r w:rsidR="00115D9A" w:rsidRPr="008A3740">
        <w:rPr>
          <w:rFonts w:ascii="Verdana" w:hAnsi="Verdana"/>
          <w:sz w:val="20"/>
          <w:szCs w:val="20"/>
          <w:lang w:val="en-US"/>
        </w:rPr>
        <w:t>,</w:t>
      </w:r>
      <w:r w:rsidR="00C46AD9" w:rsidRPr="008A3740">
        <w:rPr>
          <w:rFonts w:ascii="Verdana" w:hAnsi="Verdana"/>
          <w:sz w:val="20"/>
          <w:szCs w:val="20"/>
          <w:lang w:val="en-US"/>
        </w:rPr>
        <w:t xml:space="preserve"> </w:t>
      </w:r>
      <w:r w:rsidR="007E053B" w:rsidRPr="008A3740">
        <w:rPr>
          <w:rFonts w:ascii="Verdana" w:hAnsi="Verdana"/>
          <w:sz w:val="20"/>
          <w:szCs w:val="20"/>
          <w:lang w:val="en-US"/>
        </w:rPr>
        <w:t>agent</w:t>
      </w:r>
      <w:r w:rsidR="00C46AD9" w:rsidRPr="008A3740">
        <w:rPr>
          <w:rFonts w:ascii="Verdana" w:hAnsi="Verdana"/>
          <w:sz w:val="20"/>
          <w:szCs w:val="20"/>
          <w:lang w:val="en-US"/>
        </w:rPr>
        <w:t xml:space="preserve">s of </w:t>
      </w:r>
      <w:r w:rsidRPr="008A3740">
        <w:rPr>
          <w:rFonts w:ascii="Verdana" w:hAnsi="Verdana"/>
          <w:sz w:val="20"/>
          <w:szCs w:val="20"/>
          <w:lang w:val="en-US"/>
        </w:rPr>
        <w:t>the ONP or th</w:t>
      </w:r>
      <w:r w:rsidR="00C51D66" w:rsidRPr="008A3740">
        <w:rPr>
          <w:rFonts w:ascii="Verdana" w:hAnsi="Verdana"/>
          <w:sz w:val="20"/>
          <w:szCs w:val="20"/>
          <w:lang w:val="en-US"/>
        </w:rPr>
        <w:t xml:space="preserve">ose responsible for pension </w:t>
      </w:r>
      <w:r w:rsidR="00115D9A" w:rsidRPr="008A3740">
        <w:rPr>
          <w:rFonts w:ascii="Verdana" w:hAnsi="Verdana"/>
          <w:sz w:val="20"/>
          <w:szCs w:val="20"/>
          <w:lang w:val="en-US"/>
        </w:rPr>
        <w:t xml:space="preserve">issues </w:t>
      </w:r>
      <w:r w:rsidR="00A671E6" w:rsidRPr="008A3740">
        <w:rPr>
          <w:rFonts w:ascii="Verdana" w:hAnsi="Verdana"/>
          <w:sz w:val="20"/>
          <w:szCs w:val="20"/>
          <w:lang w:val="en-US"/>
        </w:rPr>
        <w:t>with</w:t>
      </w:r>
      <w:r w:rsidR="00C46AD9" w:rsidRPr="008A3740">
        <w:rPr>
          <w:rFonts w:ascii="Verdana" w:hAnsi="Verdana"/>
          <w:sz w:val="20"/>
          <w:szCs w:val="20"/>
          <w:lang w:val="en-US"/>
        </w:rPr>
        <w:t>in the p</w:t>
      </w:r>
      <w:r w:rsidRPr="008A3740">
        <w:rPr>
          <w:rFonts w:ascii="Verdana" w:hAnsi="Verdana"/>
          <w:sz w:val="20"/>
          <w:szCs w:val="20"/>
          <w:lang w:val="en-US"/>
        </w:rPr>
        <w:t xml:space="preserve">ublic administration, </w:t>
      </w:r>
      <w:r w:rsidR="007E053B" w:rsidRPr="008A3740">
        <w:rPr>
          <w:rFonts w:ascii="Verdana" w:hAnsi="Verdana"/>
          <w:sz w:val="20"/>
          <w:szCs w:val="20"/>
          <w:lang w:val="en-US"/>
        </w:rPr>
        <w:t xml:space="preserve">and </w:t>
      </w:r>
      <w:r w:rsidRPr="008A3740">
        <w:rPr>
          <w:rFonts w:ascii="Verdana" w:hAnsi="Verdana"/>
          <w:sz w:val="20"/>
          <w:szCs w:val="20"/>
          <w:lang w:val="en-US"/>
        </w:rPr>
        <w:t xml:space="preserve">the Ministry </w:t>
      </w:r>
      <w:r w:rsidR="00761210" w:rsidRPr="008A3740">
        <w:rPr>
          <w:rFonts w:ascii="Verdana" w:hAnsi="Verdana"/>
          <w:sz w:val="20"/>
          <w:szCs w:val="20"/>
          <w:lang w:val="en-US"/>
        </w:rPr>
        <w:t>of Economy</w:t>
      </w:r>
      <w:r w:rsidRPr="008A3740">
        <w:rPr>
          <w:rFonts w:ascii="Verdana" w:hAnsi="Verdana"/>
          <w:sz w:val="20"/>
          <w:szCs w:val="20"/>
          <w:lang w:val="en-US"/>
        </w:rPr>
        <w:t xml:space="preserve"> and Finance</w:t>
      </w:r>
      <w:r w:rsidR="00C46AD9" w:rsidRPr="008A3740">
        <w:rPr>
          <w:rFonts w:ascii="Verdana" w:hAnsi="Verdana"/>
          <w:sz w:val="20"/>
          <w:szCs w:val="20"/>
          <w:lang w:val="en-US"/>
        </w:rPr>
        <w:t>.”</w:t>
      </w:r>
      <w:r w:rsidRPr="008A3740">
        <w:rPr>
          <w:rFonts w:ascii="Verdana" w:hAnsi="Verdana"/>
          <w:b/>
          <w:sz w:val="20"/>
          <w:szCs w:val="20"/>
          <w:lang w:val="en-US"/>
        </w:rPr>
        <w:t xml:space="preserve"> </w:t>
      </w:r>
      <w:r w:rsidR="00C46AD9" w:rsidRPr="008A3740">
        <w:rPr>
          <w:rFonts w:ascii="Verdana" w:hAnsi="Verdana"/>
          <w:sz w:val="20"/>
          <w:szCs w:val="20"/>
          <w:lang w:val="en-US"/>
        </w:rPr>
        <w:t xml:space="preserve">They also </w:t>
      </w:r>
      <w:r w:rsidR="00C51D66" w:rsidRPr="008A3740">
        <w:rPr>
          <w:rFonts w:ascii="Verdana" w:hAnsi="Verdana"/>
          <w:sz w:val="20"/>
          <w:szCs w:val="20"/>
          <w:lang w:val="en-US"/>
        </w:rPr>
        <w:t xml:space="preserve">asked the </w:t>
      </w:r>
      <w:r w:rsidRPr="008A3740">
        <w:rPr>
          <w:rFonts w:ascii="Verdana" w:hAnsi="Verdana"/>
          <w:sz w:val="20"/>
          <w:szCs w:val="20"/>
          <w:lang w:val="en-US"/>
        </w:rPr>
        <w:t>Court t</w:t>
      </w:r>
      <w:r w:rsidR="00C51D66" w:rsidRPr="008A3740">
        <w:rPr>
          <w:rFonts w:ascii="Verdana" w:hAnsi="Verdana"/>
          <w:sz w:val="20"/>
          <w:szCs w:val="20"/>
          <w:lang w:val="en-US"/>
        </w:rPr>
        <w:t xml:space="preserve">o order the </w:t>
      </w:r>
      <w:r w:rsidRPr="008A3740">
        <w:rPr>
          <w:rFonts w:ascii="Verdana" w:hAnsi="Verdana"/>
          <w:sz w:val="20"/>
          <w:szCs w:val="20"/>
          <w:lang w:val="en-US"/>
        </w:rPr>
        <w:t xml:space="preserve">State </w:t>
      </w:r>
      <w:r w:rsidR="00C51D66" w:rsidRPr="008A3740">
        <w:rPr>
          <w:rFonts w:ascii="Verdana" w:hAnsi="Verdana"/>
          <w:sz w:val="20"/>
          <w:szCs w:val="20"/>
          <w:lang w:val="en-US"/>
        </w:rPr>
        <w:t xml:space="preserve">to </w:t>
      </w:r>
      <w:r w:rsidRPr="008A3740">
        <w:rPr>
          <w:rFonts w:ascii="Verdana" w:hAnsi="Verdana"/>
          <w:sz w:val="20"/>
          <w:szCs w:val="20"/>
          <w:lang w:val="en-US"/>
        </w:rPr>
        <w:t>d</w:t>
      </w:r>
      <w:r w:rsidR="007E053B" w:rsidRPr="008A3740">
        <w:rPr>
          <w:rFonts w:ascii="Verdana" w:hAnsi="Verdana"/>
          <w:sz w:val="20"/>
          <w:szCs w:val="20"/>
          <w:lang w:val="en-US"/>
        </w:rPr>
        <w:t xml:space="preserve">esign </w:t>
      </w:r>
      <w:r w:rsidRPr="008A3740">
        <w:rPr>
          <w:rFonts w:ascii="Verdana" w:hAnsi="Verdana"/>
          <w:sz w:val="20"/>
          <w:szCs w:val="20"/>
          <w:lang w:val="en-US"/>
        </w:rPr>
        <w:t xml:space="preserve">a publication or </w:t>
      </w:r>
      <w:r w:rsidR="0080732B" w:rsidRPr="008A3740">
        <w:rPr>
          <w:rFonts w:ascii="Verdana" w:hAnsi="Verdana"/>
          <w:sz w:val="20"/>
          <w:szCs w:val="20"/>
          <w:lang w:val="en-US"/>
        </w:rPr>
        <w:t>primer describing in a</w:t>
      </w:r>
      <w:r w:rsidRPr="008A3740">
        <w:rPr>
          <w:rFonts w:ascii="Verdana" w:hAnsi="Verdana"/>
          <w:sz w:val="20"/>
          <w:szCs w:val="20"/>
          <w:lang w:val="en-US"/>
        </w:rPr>
        <w:t xml:space="preserve"> clear</w:t>
      </w:r>
      <w:r w:rsidR="0080732B" w:rsidRPr="008A3740">
        <w:rPr>
          <w:rFonts w:ascii="Verdana" w:hAnsi="Verdana"/>
          <w:sz w:val="20"/>
          <w:szCs w:val="20"/>
          <w:lang w:val="en-US"/>
        </w:rPr>
        <w:t>, concise</w:t>
      </w:r>
      <w:r w:rsidRPr="008A3740">
        <w:rPr>
          <w:rFonts w:ascii="Verdana" w:hAnsi="Verdana"/>
          <w:sz w:val="20"/>
          <w:szCs w:val="20"/>
          <w:lang w:val="en-US"/>
        </w:rPr>
        <w:t xml:space="preserve"> and acce</w:t>
      </w:r>
      <w:r w:rsidR="007E053B" w:rsidRPr="008A3740">
        <w:rPr>
          <w:rFonts w:ascii="Verdana" w:hAnsi="Verdana"/>
          <w:sz w:val="20"/>
          <w:szCs w:val="20"/>
          <w:lang w:val="en-US"/>
        </w:rPr>
        <w:t>s</w:t>
      </w:r>
      <w:r w:rsidRPr="008A3740">
        <w:rPr>
          <w:rFonts w:ascii="Verdana" w:hAnsi="Verdana"/>
          <w:sz w:val="20"/>
          <w:szCs w:val="20"/>
          <w:lang w:val="en-US"/>
        </w:rPr>
        <w:t xml:space="preserve">sible </w:t>
      </w:r>
      <w:r w:rsidR="0080732B" w:rsidRPr="008A3740">
        <w:rPr>
          <w:rFonts w:ascii="Verdana" w:hAnsi="Verdana"/>
          <w:sz w:val="20"/>
          <w:szCs w:val="20"/>
          <w:lang w:val="en-US"/>
        </w:rPr>
        <w:t xml:space="preserve">manner </w:t>
      </w:r>
      <w:r w:rsidRPr="008A3740">
        <w:rPr>
          <w:rFonts w:ascii="Verdana" w:hAnsi="Verdana"/>
          <w:sz w:val="20"/>
          <w:szCs w:val="20"/>
          <w:lang w:val="en-US"/>
        </w:rPr>
        <w:t xml:space="preserve">the rights </w:t>
      </w:r>
      <w:r w:rsidR="00B57B01" w:rsidRPr="008A3740">
        <w:rPr>
          <w:rFonts w:ascii="Verdana" w:hAnsi="Verdana"/>
          <w:sz w:val="20"/>
          <w:szCs w:val="20"/>
          <w:lang w:val="en-US"/>
        </w:rPr>
        <w:t xml:space="preserve">of </w:t>
      </w:r>
      <w:r w:rsidR="007959CD" w:rsidRPr="008A3740">
        <w:rPr>
          <w:rFonts w:ascii="Verdana" w:hAnsi="Verdana"/>
          <w:sz w:val="20"/>
          <w:szCs w:val="20"/>
          <w:lang w:val="en-US"/>
        </w:rPr>
        <w:t>older persons</w:t>
      </w:r>
      <w:r w:rsidRPr="008A3740">
        <w:rPr>
          <w:rFonts w:ascii="Verdana" w:hAnsi="Verdana"/>
          <w:sz w:val="20"/>
          <w:szCs w:val="20"/>
          <w:lang w:val="en-US"/>
        </w:rPr>
        <w:t xml:space="preserve"> </w:t>
      </w:r>
      <w:r w:rsidR="00115D9A" w:rsidRPr="008A3740">
        <w:rPr>
          <w:rFonts w:ascii="Verdana" w:hAnsi="Verdana"/>
          <w:sz w:val="20"/>
          <w:szCs w:val="20"/>
          <w:lang w:val="en-US"/>
        </w:rPr>
        <w:t xml:space="preserve">in relation to </w:t>
      </w:r>
      <w:r w:rsidRPr="008A3740">
        <w:rPr>
          <w:rFonts w:ascii="Verdana" w:hAnsi="Verdana"/>
          <w:sz w:val="20"/>
          <w:szCs w:val="20"/>
          <w:lang w:val="en-US"/>
        </w:rPr>
        <w:t xml:space="preserve">social security, </w:t>
      </w:r>
      <w:r w:rsidR="0080732B" w:rsidRPr="008A3740">
        <w:rPr>
          <w:rFonts w:ascii="Verdana" w:hAnsi="Verdana"/>
          <w:sz w:val="20"/>
          <w:szCs w:val="20"/>
          <w:lang w:val="en-US"/>
        </w:rPr>
        <w:t xml:space="preserve">as envisaged </w:t>
      </w:r>
      <w:r w:rsidRPr="008A3740">
        <w:rPr>
          <w:rFonts w:ascii="Verdana" w:hAnsi="Verdana"/>
          <w:sz w:val="20"/>
          <w:szCs w:val="20"/>
          <w:lang w:val="en-US"/>
        </w:rPr>
        <w:t xml:space="preserve">in the standards </w:t>
      </w:r>
      <w:r w:rsidR="00115D9A" w:rsidRPr="008A3740">
        <w:rPr>
          <w:rFonts w:ascii="Verdana" w:hAnsi="Verdana"/>
          <w:sz w:val="20"/>
          <w:szCs w:val="20"/>
          <w:lang w:val="en-US"/>
        </w:rPr>
        <w:t xml:space="preserve">established </w:t>
      </w:r>
      <w:r w:rsidRPr="008A3740">
        <w:rPr>
          <w:rFonts w:ascii="Verdana" w:hAnsi="Verdana"/>
          <w:sz w:val="20"/>
          <w:szCs w:val="20"/>
          <w:lang w:val="en-US"/>
        </w:rPr>
        <w:t xml:space="preserve">in this case, </w:t>
      </w:r>
      <w:r w:rsidR="007E053B" w:rsidRPr="008A3740">
        <w:rPr>
          <w:rFonts w:ascii="Verdana" w:hAnsi="Verdana"/>
          <w:sz w:val="20"/>
          <w:szCs w:val="20"/>
          <w:lang w:val="en-US"/>
        </w:rPr>
        <w:t>a</w:t>
      </w:r>
      <w:r w:rsidR="0080732B" w:rsidRPr="008A3740">
        <w:rPr>
          <w:rFonts w:ascii="Verdana" w:hAnsi="Verdana"/>
          <w:sz w:val="20"/>
          <w:szCs w:val="20"/>
          <w:lang w:val="en-US"/>
        </w:rPr>
        <w:t xml:space="preserve">nd in the </w:t>
      </w:r>
      <w:r w:rsidRPr="008A3740">
        <w:rPr>
          <w:rFonts w:ascii="Verdana" w:hAnsi="Verdana"/>
          <w:sz w:val="20"/>
          <w:szCs w:val="20"/>
          <w:lang w:val="en-US"/>
        </w:rPr>
        <w:t>precedents</w:t>
      </w:r>
      <w:r w:rsidR="007E053B" w:rsidRPr="008A3740">
        <w:rPr>
          <w:rFonts w:ascii="Verdana" w:hAnsi="Verdana"/>
          <w:sz w:val="20"/>
          <w:szCs w:val="20"/>
          <w:lang w:val="en-US"/>
        </w:rPr>
        <w:t xml:space="preserve"> of</w:t>
      </w:r>
      <w:r w:rsidRPr="008A3740">
        <w:rPr>
          <w:rFonts w:ascii="Verdana" w:hAnsi="Verdana"/>
          <w:sz w:val="20"/>
          <w:szCs w:val="20"/>
          <w:lang w:val="en-US"/>
        </w:rPr>
        <w:t xml:space="preserve"> “</w:t>
      </w:r>
      <w:r w:rsidRPr="008A3740">
        <w:rPr>
          <w:rFonts w:ascii="Verdana" w:hAnsi="Verdana"/>
          <w:i/>
          <w:sz w:val="20"/>
          <w:szCs w:val="20"/>
          <w:lang w:val="en-US"/>
        </w:rPr>
        <w:t>Five Pensioners</w:t>
      </w:r>
      <w:r w:rsidRPr="008A3740">
        <w:rPr>
          <w:rFonts w:ascii="Verdana" w:hAnsi="Verdana"/>
          <w:sz w:val="20"/>
          <w:szCs w:val="20"/>
          <w:lang w:val="en-US"/>
        </w:rPr>
        <w:t>” and “</w:t>
      </w:r>
      <w:r w:rsidRPr="008A3740">
        <w:rPr>
          <w:rFonts w:ascii="Verdana" w:hAnsi="Verdana"/>
          <w:i/>
          <w:sz w:val="20"/>
          <w:szCs w:val="20"/>
          <w:lang w:val="en-US"/>
        </w:rPr>
        <w:t>Acevedo Buendía</w:t>
      </w:r>
      <w:r w:rsidR="007E053B" w:rsidRPr="008A3740">
        <w:rPr>
          <w:rFonts w:ascii="Verdana" w:hAnsi="Verdana"/>
          <w:i/>
          <w:sz w:val="20"/>
          <w:szCs w:val="20"/>
          <w:lang w:val="en-US"/>
        </w:rPr>
        <w:t>.</w:t>
      </w:r>
      <w:r w:rsidR="007E053B" w:rsidRPr="008A3740">
        <w:rPr>
          <w:rFonts w:ascii="Verdana" w:hAnsi="Verdana"/>
          <w:sz w:val="20"/>
          <w:szCs w:val="20"/>
          <w:lang w:val="en-US"/>
        </w:rPr>
        <w:t>”</w:t>
      </w:r>
      <w:r w:rsidRPr="008A3740">
        <w:rPr>
          <w:rFonts w:ascii="Verdana" w:hAnsi="Verdana"/>
          <w:sz w:val="20"/>
          <w:szCs w:val="20"/>
          <w:lang w:val="en-US"/>
        </w:rPr>
        <w:t xml:space="preserve"> </w:t>
      </w:r>
      <w:r w:rsidR="00A671E6" w:rsidRPr="008A3740">
        <w:rPr>
          <w:rFonts w:ascii="Verdana" w:hAnsi="Verdana"/>
          <w:sz w:val="20"/>
          <w:szCs w:val="20"/>
          <w:lang w:val="en-US"/>
        </w:rPr>
        <w:t>The</w:t>
      </w:r>
      <w:r w:rsidR="006263A0" w:rsidRPr="008A3740">
        <w:rPr>
          <w:rFonts w:ascii="Verdana" w:hAnsi="Verdana"/>
          <w:sz w:val="20"/>
          <w:szCs w:val="20"/>
          <w:lang w:val="en-US"/>
        </w:rPr>
        <w:t xml:space="preserve"> </w:t>
      </w:r>
      <w:r w:rsidR="0080732B" w:rsidRPr="008A3740">
        <w:rPr>
          <w:rFonts w:ascii="Verdana" w:hAnsi="Verdana"/>
          <w:sz w:val="20"/>
          <w:szCs w:val="20"/>
          <w:lang w:val="en-US"/>
        </w:rPr>
        <w:t xml:space="preserve">representatives requested </w:t>
      </w:r>
      <w:r w:rsidR="006263A0" w:rsidRPr="008A3740">
        <w:rPr>
          <w:rFonts w:ascii="Verdana" w:hAnsi="Verdana"/>
          <w:sz w:val="20"/>
          <w:szCs w:val="20"/>
          <w:lang w:val="en-US"/>
        </w:rPr>
        <w:t xml:space="preserve">that </w:t>
      </w:r>
      <w:r w:rsidR="0080732B" w:rsidRPr="008A3740">
        <w:rPr>
          <w:rFonts w:ascii="Verdana" w:hAnsi="Verdana"/>
          <w:sz w:val="20"/>
          <w:szCs w:val="20"/>
          <w:lang w:val="en-US"/>
        </w:rPr>
        <w:t xml:space="preserve">this </w:t>
      </w:r>
      <w:r w:rsidRPr="008A3740">
        <w:rPr>
          <w:rFonts w:ascii="Verdana" w:hAnsi="Verdana"/>
          <w:sz w:val="20"/>
          <w:szCs w:val="20"/>
          <w:lang w:val="en-US"/>
        </w:rPr>
        <w:t>publication (</w:t>
      </w:r>
      <w:r w:rsidR="0080732B" w:rsidRPr="008A3740">
        <w:rPr>
          <w:rFonts w:ascii="Verdana" w:hAnsi="Verdana"/>
          <w:sz w:val="20"/>
          <w:szCs w:val="20"/>
          <w:lang w:val="en-US"/>
        </w:rPr>
        <w:t xml:space="preserve">in print </w:t>
      </w:r>
      <w:r w:rsidRPr="008A3740">
        <w:rPr>
          <w:rFonts w:ascii="Verdana" w:hAnsi="Verdana"/>
          <w:sz w:val="20"/>
          <w:szCs w:val="20"/>
          <w:lang w:val="en-US"/>
        </w:rPr>
        <w:t>and/or digital</w:t>
      </w:r>
      <w:r w:rsidR="00115D9A" w:rsidRPr="008A3740">
        <w:rPr>
          <w:rFonts w:ascii="Verdana" w:hAnsi="Verdana"/>
          <w:sz w:val="20"/>
          <w:szCs w:val="20"/>
          <w:lang w:val="en-US"/>
        </w:rPr>
        <w:t xml:space="preserve"> format</w:t>
      </w:r>
      <w:r w:rsidRPr="008A3740">
        <w:rPr>
          <w:rFonts w:ascii="Verdana" w:hAnsi="Verdana"/>
          <w:sz w:val="20"/>
          <w:szCs w:val="20"/>
          <w:lang w:val="en-US"/>
        </w:rPr>
        <w:t xml:space="preserve">) </w:t>
      </w:r>
      <w:r w:rsidR="006263A0" w:rsidRPr="008A3740">
        <w:rPr>
          <w:rFonts w:ascii="Verdana" w:hAnsi="Verdana"/>
          <w:sz w:val="20"/>
          <w:szCs w:val="20"/>
          <w:lang w:val="en-US"/>
        </w:rPr>
        <w:t xml:space="preserve">be made available </w:t>
      </w:r>
      <w:r w:rsidR="00115D9A" w:rsidRPr="008A3740">
        <w:rPr>
          <w:rFonts w:ascii="Verdana" w:hAnsi="Verdana"/>
          <w:sz w:val="20"/>
          <w:szCs w:val="20"/>
          <w:lang w:val="en-US"/>
        </w:rPr>
        <w:t>to</w:t>
      </w:r>
      <w:r w:rsidR="00B57B01" w:rsidRPr="008A3740">
        <w:rPr>
          <w:rFonts w:ascii="Verdana" w:hAnsi="Verdana"/>
          <w:sz w:val="20"/>
          <w:szCs w:val="20"/>
          <w:lang w:val="en-US"/>
        </w:rPr>
        <w:t xml:space="preserve"> </w:t>
      </w:r>
      <w:r w:rsidR="00115D9A" w:rsidRPr="008A3740">
        <w:rPr>
          <w:rFonts w:ascii="Verdana" w:hAnsi="Verdana"/>
          <w:sz w:val="20"/>
          <w:szCs w:val="20"/>
          <w:lang w:val="en-US"/>
        </w:rPr>
        <w:t xml:space="preserve">government </w:t>
      </w:r>
      <w:r w:rsidR="00361755" w:rsidRPr="008A3740">
        <w:rPr>
          <w:rFonts w:ascii="Verdana" w:hAnsi="Verdana"/>
          <w:sz w:val="20"/>
          <w:szCs w:val="20"/>
          <w:lang w:val="en-US"/>
        </w:rPr>
        <w:t xml:space="preserve">departments responsible for </w:t>
      </w:r>
      <w:r w:rsidR="006263A0" w:rsidRPr="008A3740">
        <w:rPr>
          <w:rFonts w:ascii="Verdana" w:hAnsi="Verdana"/>
          <w:sz w:val="20"/>
          <w:szCs w:val="20"/>
          <w:lang w:val="en-US"/>
        </w:rPr>
        <w:t xml:space="preserve">pension </w:t>
      </w:r>
      <w:r w:rsidR="00361755" w:rsidRPr="008A3740">
        <w:rPr>
          <w:rFonts w:ascii="Verdana" w:hAnsi="Verdana"/>
          <w:sz w:val="20"/>
          <w:szCs w:val="20"/>
          <w:lang w:val="en-US"/>
        </w:rPr>
        <w:t xml:space="preserve">matters </w:t>
      </w:r>
      <w:r w:rsidRPr="008A3740">
        <w:rPr>
          <w:rFonts w:ascii="Verdana" w:hAnsi="Verdana"/>
          <w:sz w:val="20"/>
          <w:szCs w:val="20"/>
          <w:lang w:val="en-US"/>
        </w:rPr>
        <w:t xml:space="preserve">and </w:t>
      </w:r>
      <w:r w:rsidR="00115D9A" w:rsidRPr="008A3740">
        <w:rPr>
          <w:rFonts w:ascii="Verdana" w:hAnsi="Verdana"/>
          <w:sz w:val="20"/>
          <w:szCs w:val="20"/>
          <w:lang w:val="en-US"/>
        </w:rPr>
        <w:t xml:space="preserve">posted on </w:t>
      </w:r>
      <w:r w:rsidRPr="008A3740">
        <w:rPr>
          <w:rFonts w:ascii="Verdana" w:hAnsi="Verdana"/>
          <w:sz w:val="20"/>
          <w:szCs w:val="20"/>
          <w:lang w:val="en-US"/>
        </w:rPr>
        <w:t xml:space="preserve">the </w:t>
      </w:r>
      <w:r w:rsidR="006263A0" w:rsidRPr="008A3740">
        <w:rPr>
          <w:rFonts w:ascii="Verdana" w:hAnsi="Verdana"/>
          <w:sz w:val="20"/>
          <w:szCs w:val="20"/>
          <w:lang w:val="en-US"/>
        </w:rPr>
        <w:t xml:space="preserve">web site </w:t>
      </w:r>
      <w:r w:rsidRPr="008A3740">
        <w:rPr>
          <w:rFonts w:ascii="Verdana" w:hAnsi="Verdana"/>
          <w:sz w:val="20"/>
          <w:szCs w:val="20"/>
          <w:lang w:val="en-US"/>
        </w:rPr>
        <w:t xml:space="preserve">of the MEF and ONP. </w:t>
      </w:r>
      <w:r w:rsidR="00C24C40" w:rsidRPr="008A3740">
        <w:rPr>
          <w:rFonts w:ascii="Verdana" w:hAnsi="Verdana"/>
          <w:sz w:val="20"/>
          <w:szCs w:val="20"/>
          <w:lang w:val="en-US"/>
        </w:rPr>
        <w:t>T</w:t>
      </w:r>
      <w:r w:rsidR="006263A0" w:rsidRPr="008A3740">
        <w:rPr>
          <w:rFonts w:ascii="Verdana" w:hAnsi="Verdana"/>
          <w:sz w:val="20"/>
          <w:szCs w:val="20"/>
          <w:lang w:val="en-US"/>
        </w:rPr>
        <w:t xml:space="preserve">hey </w:t>
      </w:r>
      <w:r w:rsidR="00C24C40" w:rsidRPr="008A3740">
        <w:rPr>
          <w:rFonts w:ascii="Verdana" w:hAnsi="Verdana"/>
          <w:sz w:val="20"/>
          <w:szCs w:val="20"/>
          <w:lang w:val="en-US"/>
        </w:rPr>
        <w:t xml:space="preserve">also </w:t>
      </w:r>
      <w:r w:rsidR="006263A0" w:rsidRPr="008A3740">
        <w:rPr>
          <w:rFonts w:ascii="Verdana" w:hAnsi="Verdana"/>
          <w:sz w:val="20"/>
          <w:szCs w:val="20"/>
          <w:lang w:val="en-US"/>
        </w:rPr>
        <w:t xml:space="preserve">asked the Court to order </w:t>
      </w:r>
      <w:r w:rsidRPr="008A3740">
        <w:rPr>
          <w:rFonts w:ascii="Verdana" w:hAnsi="Verdana"/>
          <w:sz w:val="20"/>
          <w:szCs w:val="20"/>
          <w:lang w:val="en-US"/>
        </w:rPr>
        <w:t xml:space="preserve">the State </w:t>
      </w:r>
      <w:r w:rsidR="006263A0" w:rsidRPr="008A3740">
        <w:rPr>
          <w:rFonts w:ascii="Verdana" w:hAnsi="Verdana"/>
          <w:sz w:val="20"/>
          <w:szCs w:val="20"/>
          <w:lang w:val="en-US"/>
        </w:rPr>
        <w:t xml:space="preserve">to </w:t>
      </w:r>
      <w:r w:rsidRPr="008A3740">
        <w:rPr>
          <w:rFonts w:ascii="Verdana" w:hAnsi="Verdana"/>
          <w:sz w:val="20"/>
          <w:szCs w:val="20"/>
          <w:lang w:val="en-US"/>
        </w:rPr>
        <w:t xml:space="preserve">implement </w:t>
      </w:r>
      <w:r w:rsidR="006263A0" w:rsidRPr="008A3740">
        <w:rPr>
          <w:rFonts w:ascii="Verdana" w:hAnsi="Verdana"/>
          <w:sz w:val="20"/>
          <w:szCs w:val="20"/>
          <w:lang w:val="en-US"/>
        </w:rPr>
        <w:t xml:space="preserve">for a period of </w:t>
      </w:r>
      <w:r w:rsidR="00131BC2" w:rsidRPr="008A3740">
        <w:rPr>
          <w:rFonts w:ascii="Verdana" w:hAnsi="Verdana"/>
          <w:sz w:val="20"/>
          <w:szCs w:val="20"/>
          <w:lang w:val="en-US"/>
        </w:rPr>
        <w:t xml:space="preserve">three </w:t>
      </w:r>
      <w:r w:rsidRPr="008A3740">
        <w:rPr>
          <w:rFonts w:ascii="Verdana" w:hAnsi="Verdana"/>
          <w:sz w:val="20"/>
          <w:szCs w:val="20"/>
          <w:lang w:val="en-US"/>
        </w:rPr>
        <w:t xml:space="preserve">years, </w:t>
      </w:r>
      <w:r w:rsidR="007E053B" w:rsidRPr="008A3740">
        <w:rPr>
          <w:rFonts w:ascii="Verdana" w:hAnsi="Verdana"/>
          <w:sz w:val="20"/>
          <w:szCs w:val="20"/>
          <w:lang w:val="en-US"/>
        </w:rPr>
        <w:t xml:space="preserve">from </w:t>
      </w:r>
      <w:r w:rsidRPr="008A3740">
        <w:rPr>
          <w:rFonts w:ascii="Verdana" w:hAnsi="Verdana"/>
          <w:sz w:val="20"/>
          <w:szCs w:val="20"/>
          <w:lang w:val="en-US"/>
        </w:rPr>
        <w:t>notificatio</w:t>
      </w:r>
      <w:r w:rsidR="006263A0" w:rsidRPr="008A3740">
        <w:rPr>
          <w:rFonts w:ascii="Verdana" w:hAnsi="Verdana"/>
          <w:sz w:val="20"/>
          <w:szCs w:val="20"/>
          <w:lang w:val="en-US"/>
        </w:rPr>
        <w:t xml:space="preserve">n of </w:t>
      </w:r>
      <w:r w:rsidR="00E66B2B" w:rsidRPr="008A3740">
        <w:rPr>
          <w:rFonts w:ascii="Verdana" w:hAnsi="Verdana"/>
          <w:sz w:val="20"/>
          <w:szCs w:val="20"/>
          <w:lang w:val="en-US"/>
        </w:rPr>
        <w:t>this J</w:t>
      </w:r>
      <w:r w:rsidR="003D1070" w:rsidRPr="008A3740">
        <w:rPr>
          <w:rFonts w:ascii="Verdana" w:hAnsi="Verdana"/>
          <w:sz w:val="20"/>
          <w:szCs w:val="20"/>
          <w:lang w:val="en-US"/>
        </w:rPr>
        <w:t>udgment, a “</w:t>
      </w:r>
      <w:r w:rsidRPr="008A3740">
        <w:rPr>
          <w:rFonts w:ascii="Verdana" w:hAnsi="Verdana"/>
          <w:sz w:val="20"/>
          <w:szCs w:val="20"/>
          <w:lang w:val="en-US"/>
        </w:rPr>
        <w:t xml:space="preserve">general </w:t>
      </w:r>
      <w:r w:rsidR="003D1070" w:rsidRPr="008A3740">
        <w:rPr>
          <w:rFonts w:ascii="Verdana" w:hAnsi="Verdana"/>
          <w:sz w:val="20"/>
          <w:szCs w:val="20"/>
          <w:lang w:val="en-US"/>
        </w:rPr>
        <w:t xml:space="preserve">policy </w:t>
      </w:r>
      <w:r w:rsidR="00131BC2" w:rsidRPr="008A3740">
        <w:rPr>
          <w:rFonts w:ascii="Verdana" w:hAnsi="Verdana"/>
          <w:sz w:val="20"/>
          <w:szCs w:val="20"/>
          <w:lang w:val="en-US"/>
        </w:rPr>
        <w:t xml:space="preserve">of </w:t>
      </w:r>
      <w:r w:rsidR="00361755" w:rsidRPr="008A3740">
        <w:rPr>
          <w:rFonts w:ascii="Verdana" w:hAnsi="Verdana"/>
          <w:sz w:val="20"/>
          <w:szCs w:val="20"/>
          <w:lang w:val="en-US"/>
        </w:rPr>
        <w:t xml:space="preserve">comprehensive </w:t>
      </w:r>
      <w:r w:rsidRPr="008A3740">
        <w:rPr>
          <w:rFonts w:ascii="Verdana" w:hAnsi="Verdana"/>
          <w:sz w:val="20"/>
          <w:szCs w:val="20"/>
          <w:lang w:val="en-US"/>
        </w:rPr>
        <w:t xml:space="preserve">protection </w:t>
      </w:r>
      <w:r w:rsidR="00131BC2" w:rsidRPr="008A3740">
        <w:rPr>
          <w:rFonts w:ascii="Verdana" w:hAnsi="Verdana"/>
          <w:sz w:val="20"/>
          <w:szCs w:val="20"/>
          <w:lang w:val="en-US"/>
        </w:rPr>
        <w:t xml:space="preserve">for </w:t>
      </w:r>
      <w:r w:rsidR="007959CD" w:rsidRPr="008A3740">
        <w:rPr>
          <w:rFonts w:ascii="Verdana" w:hAnsi="Verdana"/>
          <w:sz w:val="20"/>
          <w:szCs w:val="20"/>
          <w:lang w:val="en-US"/>
        </w:rPr>
        <w:t>older persons</w:t>
      </w:r>
      <w:r w:rsidR="00361755" w:rsidRPr="008A3740">
        <w:rPr>
          <w:rFonts w:ascii="Verdana" w:hAnsi="Verdana"/>
          <w:sz w:val="20"/>
          <w:szCs w:val="20"/>
          <w:lang w:val="en-US"/>
        </w:rPr>
        <w:t xml:space="preserve"> </w:t>
      </w:r>
      <w:r w:rsidR="00115D9A" w:rsidRPr="008A3740">
        <w:rPr>
          <w:rFonts w:ascii="Verdana" w:hAnsi="Verdana"/>
          <w:sz w:val="20"/>
          <w:szCs w:val="20"/>
          <w:lang w:val="en-US"/>
        </w:rPr>
        <w:t xml:space="preserve">in line with </w:t>
      </w:r>
      <w:r w:rsidR="00361755" w:rsidRPr="008A3740">
        <w:rPr>
          <w:rFonts w:ascii="Verdana" w:hAnsi="Verdana"/>
          <w:sz w:val="20"/>
          <w:szCs w:val="20"/>
          <w:lang w:val="en-US"/>
        </w:rPr>
        <w:t>accepted</w:t>
      </w:r>
      <w:r w:rsidRPr="008A3740">
        <w:rPr>
          <w:rFonts w:ascii="Verdana" w:hAnsi="Verdana"/>
          <w:sz w:val="20"/>
          <w:szCs w:val="20"/>
          <w:lang w:val="en-US"/>
        </w:rPr>
        <w:t xml:space="preserve"> standards </w:t>
      </w:r>
      <w:r w:rsidR="00115D9A" w:rsidRPr="008A3740">
        <w:rPr>
          <w:rFonts w:ascii="Verdana" w:hAnsi="Verdana"/>
          <w:sz w:val="20"/>
          <w:szCs w:val="20"/>
          <w:lang w:val="en-US"/>
        </w:rPr>
        <w:t>o</w:t>
      </w:r>
      <w:r w:rsidR="00CF529D" w:rsidRPr="008A3740">
        <w:rPr>
          <w:rFonts w:ascii="Verdana" w:hAnsi="Verdana"/>
          <w:sz w:val="20"/>
          <w:szCs w:val="20"/>
          <w:lang w:val="en-US"/>
        </w:rPr>
        <w:t>n this matter</w:t>
      </w:r>
      <w:r w:rsidR="00131BC2" w:rsidRPr="008A3740">
        <w:rPr>
          <w:rFonts w:ascii="Verdana" w:hAnsi="Verdana"/>
          <w:sz w:val="20"/>
          <w:szCs w:val="20"/>
          <w:lang w:val="en-US"/>
        </w:rPr>
        <w:t>.”</w:t>
      </w:r>
      <w:r w:rsidRPr="008A3740">
        <w:rPr>
          <w:rFonts w:ascii="Verdana" w:hAnsi="Verdana"/>
          <w:b/>
          <w:sz w:val="20"/>
          <w:szCs w:val="20"/>
          <w:lang w:val="en-US"/>
        </w:rPr>
        <w:t xml:space="preserve"> </w:t>
      </w:r>
      <w:r w:rsidR="00C24C40" w:rsidRPr="008A3740">
        <w:rPr>
          <w:rFonts w:ascii="Verdana" w:hAnsi="Verdana"/>
          <w:sz w:val="20"/>
          <w:szCs w:val="20"/>
          <w:lang w:val="en-US"/>
        </w:rPr>
        <w:t>Finally</w:t>
      </w:r>
      <w:r w:rsidRPr="008A3740">
        <w:rPr>
          <w:rFonts w:ascii="Verdana" w:eastAsia="MS Mincho" w:hAnsi="Verdana"/>
          <w:sz w:val="20"/>
          <w:szCs w:val="20"/>
          <w:lang w:val="en-US" w:bidi="en-US"/>
        </w:rPr>
        <w:t xml:space="preserve">, </w:t>
      </w:r>
      <w:r w:rsidRPr="008A3740">
        <w:rPr>
          <w:rFonts w:ascii="Verdana" w:hAnsi="Verdana"/>
          <w:sz w:val="20"/>
          <w:szCs w:val="20"/>
          <w:lang w:val="en-US"/>
        </w:rPr>
        <w:t>the representatives</w:t>
      </w:r>
      <w:r w:rsidRPr="008A3740">
        <w:rPr>
          <w:rFonts w:ascii="Verdana" w:hAnsi="Verdana"/>
          <w:i/>
          <w:sz w:val="20"/>
          <w:szCs w:val="20"/>
          <w:lang w:val="en-US"/>
        </w:rPr>
        <w:t xml:space="preserve"> </w:t>
      </w:r>
      <w:r w:rsidRPr="008A3740">
        <w:rPr>
          <w:rFonts w:ascii="Verdana" w:hAnsi="Verdana"/>
          <w:sz w:val="20"/>
          <w:szCs w:val="20"/>
          <w:lang w:val="en-US"/>
        </w:rPr>
        <w:t xml:space="preserve">requested the </w:t>
      </w:r>
      <w:r w:rsidR="00115D9A" w:rsidRPr="008A3740">
        <w:rPr>
          <w:rFonts w:ascii="Verdana" w:hAnsi="Verdana"/>
          <w:sz w:val="20"/>
          <w:szCs w:val="20"/>
          <w:lang w:val="en-US"/>
        </w:rPr>
        <w:t xml:space="preserve">implementation </w:t>
      </w:r>
      <w:r w:rsidR="007E053B" w:rsidRPr="008A3740">
        <w:rPr>
          <w:rFonts w:ascii="Verdana" w:hAnsi="Verdana"/>
          <w:sz w:val="20"/>
          <w:szCs w:val="20"/>
          <w:lang w:val="en-US"/>
        </w:rPr>
        <w:t>of a</w:t>
      </w:r>
      <w:r w:rsidRPr="008A3740">
        <w:rPr>
          <w:rFonts w:ascii="Verdana" w:hAnsi="Verdana"/>
          <w:sz w:val="20"/>
          <w:szCs w:val="20"/>
          <w:lang w:val="en-US"/>
        </w:rPr>
        <w:t xml:space="preserve"> public </w:t>
      </w:r>
      <w:r w:rsidR="007E053B" w:rsidRPr="008A3740">
        <w:rPr>
          <w:rFonts w:ascii="Verdana" w:hAnsi="Verdana"/>
          <w:sz w:val="20"/>
          <w:szCs w:val="20"/>
          <w:lang w:val="en-US"/>
        </w:rPr>
        <w:t xml:space="preserve">act of apology by </w:t>
      </w:r>
      <w:r w:rsidR="00115D9A" w:rsidRPr="008A3740">
        <w:rPr>
          <w:rFonts w:ascii="Verdana" w:hAnsi="Verdana"/>
          <w:sz w:val="20"/>
          <w:szCs w:val="20"/>
          <w:lang w:val="en-US"/>
        </w:rPr>
        <w:t>senior</w:t>
      </w:r>
      <w:r w:rsidR="00E66B2B" w:rsidRPr="008A3740">
        <w:rPr>
          <w:rFonts w:ascii="Verdana" w:hAnsi="Verdana"/>
          <w:sz w:val="20"/>
          <w:szCs w:val="20"/>
          <w:lang w:val="en-US"/>
        </w:rPr>
        <w:t xml:space="preserve"> State </w:t>
      </w:r>
      <w:r w:rsidR="007E053B" w:rsidRPr="008A3740">
        <w:rPr>
          <w:rFonts w:ascii="Verdana" w:hAnsi="Verdana"/>
          <w:sz w:val="20"/>
          <w:szCs w:val="20"/>
          <w:lang w:val="en-US"/>
        </w:rPr>
        <w:t>authorities</w:t>
      </w:r>
      <w:r w:rsidRPr="008A3740">
        <w:rPr>
          <w:rFonts w:ascii="Verdana" w:hAnsi="Verdana"/>
          <w:sz w:val="20"/>
          <w:szCs w:val="20"/>
          <w:lang w:val="en-US"/>
        </w:rPr>
        <w:t>.</w:t>
      </w:r>
    </w:p>
    <w:p w14:paraId="7539C46E" w14:textId="77777777" w:rsidR="008E6A56" w:rsidRPr="008A3740" w:rsidRDefault="008E6A56" w:rsidP="008E6A56">
      <w:pPr>
        <w:tabs>
          <w:tab w:val="left" w:pos="567"/>
        </w:tabs>
        <w:textAlignment w:val="auto"/>
        <w:rPr>
          <w:rFonts w:ascii="Verdana" w:eastAsia="MS Mincho" w:hAnsi="Verdana"/>
          <w:sz w:val="20"/>
          <w:szCs w:val="20"/>
          <w:lang w:val="en-US" w:bidi="en-US"/>
        </w:rPr>
      </w:pPr>
    </w:p>
    <w:p w14:paraId="4431AA52"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hAnsi="Verdana"/>
          <w:sz w:val="20"/>
          <w:szCs w:val="20"/>
          <w:lang w:val="en-US"/>
        </w:rPr>
        <w:t xml:space="preserve">The </w:t>
      </w:r>
      <w:r w:rsidRPr="008A3740">
        <w:rPr>
          <w:rFonts w:ascii="Verdana" w:hAnsi="Verdana"/>
          <w:b/>
          <w:i/>
          <w:sz w:val="20"/>
          <w:szCs w:val="20"/>
          <w:lang w:val="en-US"/>
        </w:rPr>
        <w:t>State</w:t>
      </w:r>
      <w:r w:rsidR="00C24C40" w:rsidRPr="008A3740">
        <w:rPr>
          <w:rFonts w:ascii="Verdana" w:hAnsi="Verdana"/>
          <w:sz w:val="20"/>
          <w:szCs w:val="20"/>
          <w:lang w:val="en-US"/>
        </w:rPr>
        <w:t xml:space="preserve"> argued </w:t>
      </w:r>
      <w:r w:rsidRPr="008A3740">
        <w:rPr>
          <w:rFonts w:ascii="Verdana" w:hAnsi="Verdana"/>
          <w:sz w:val="20"/>
          <w:szCs w:val="20"/>
          <w:lang w:val="en-US"/>
        </w:rPr>
        <w:t xml:space="preserve">that the measure </w:t>
      </w:r>
      <w:r w:rsidR="00C24C40" w:rsidRPr="008A3740">
        <w:rPr>
          <w:rFonts w:ascii="Verdana" w:hAnsi="Verdana"/>
          <w:sz w:val="20"/>
          <w:szCs w:val="20"/>
          <w:lang w:val="en-US"/>
        </w:rPr>
        <w:t xml:space="preserve">requested </w:t>
      </w:r>
      <w:r w:rsidR="006263A0" w:rsidRPr="008A3740">
        <w:rPr>
          <w:rFonts w:ascii="Verdana" w:hAnsi="Verdana"/>
          <w:sz w:val="20"/>
          <w:szCs w:val="20"/>
          <w:lang w:val="en-US"/>
        </w:rPr>
        <w:t xml:space="preserve">to ensure that </w:t>
      </w:r>
      <w:r w:rsidR="00C46AD9" w:rsidRPr="008A3740">
        <w:rPr>
          <w:rFonts w:ascii="Verdana" w:hAnsi="Verdana"/>
          <w:sz w:val="20"/>
          <w:szCs w:val="20"/>
          <w:lang w:val="en-US"/>
        </w:rPr>
        <w:t>State</w:t>
      </w:r>
      <w:r w:rsidR="00C24C40" w:rsidRPr="008A3740">
        <w:rPr>
          <w:rFonts w:ascii="Verdana" w:hAnsi="Verdana"/>
          <w:sz w:val="20"/>
          <w:szCs w:val="20"/>
          <w:lang w:val="en-US"/>
        </w:rPr>
        <w:t>-owned</w:t>
      </w:r>
      <w:r w:rsidR="00C46AD9" w:rsidRPr="008A3740">
        <w:rPr>
          <w:rFonts w:ascii="Verdana" w:hAnsi="Verdana"/>
          <w:sz w:val="20"/>
          <w:szCs w:val="20"/>
          <w:lang w:val="en-US"/>
        </w:rPr>
        <w:t xml:space="preserve"> </w:t>
      </w:r>
      <w:r w:rsidRPr="008A3740">
        <w:rPr>
          <w:rFonts w:ascii="Verdana" w:hAnsi="Verdana"/>
          <w:sz w:val="20"/>
          <w:szCs w:val="20"/>
          <w:lang w:val="en-US"/>
        </w:rPr>
        <w:t>companies c</w:t>
      </w:r>
      <w:r w:rsidR="00C24C40" w:rsidRPr="008A3740">
        <w:rPr>
          <w:rFonts w:ascii="Verdana" w:hAnsi="Verdana"/>
          <w:sz w:val="20"/>
          <w:szCs w:val="20"/>
          <w:lang w:val="en-US"/>
        </w:rPr>
        <w:t>omply</w:t>
      </w:r>
      <w:r w:rsidR="006263A0" w:rsidRPr="008A3740">
        <w:rPr>
          <w:rFonts w:ascii="Verdana" w:hAnsi="Verdana"/>
          <w:sz w:val="20"/>
          <w:szCs w:val="20"/>
          <w:lang w:val="en-US"/>
        </w:rPr>
        <w:t xml:space="preserve"> </w:t>
      </w:r>
      <w:r w:rsidR="00C24C40" w:rsidRPr="008A3740">
        <w:rPr>
          <w:rFonts w:ascii="Verdana" w:hAnsi="Verdana"/>
          <w:sz w:val="20"/>
          <w:szCs w:val="20"/>
          <w:lang w:val="en-US"/>
        </w:rPr>
        <w:t xml:space="preserve">with </w:t>
      </w:r>
      <w:r w:rsidR="007E053B" w:rsidRPr="008A3740">
        <w:rPr>
          <w:rFonts w:ascii="Verdana" w:hAnsi="Verdana"/>
          <w:sz w:val="20"/>
          <w:szCs w:val="20"/>
          <w:lang w:val="en-US"/>
        </w:rPr>
        <w:t>judicial rulings</w:t>
      </w:r>
      <w:r w:rsidR="00C24C40" w:rsidRPr="008A3740">
        <w:rPr>
          <w:rFonts w:ascii="Verdana" w:hAnsi="Verdana"/>
          <w:sz w:val="20"/>
          <w:szCs w:val="20"/>
          <w:lang w:val="en-US"/>
        </w:rPr>
        <w:t xml:space="preserve"> </w:t>
      </w:r>
      <w:r w:rsidRPr="008A3740">
        <w:rPr>
          <w:rFonts w:ascii="Verdana" w:hAnsi="Verdana"/>
          <w:sz w:val="20"/>
          <w:szCs w:val="20"/>
          <w:lang w:val="en-US"/>
        </w:rPr>
        <w:t>reco</w:t>
      </w:r>
      <w:r w:rsidR="00C24C40" w:rsidRPr="008A3740">
        <w:rPr>
          <w:rFonts w:ascii="Verdana" w:hAnsi="Verdana"/>
          <w:sz w:val="20"/>
          <w:szCs w:val="20"/>
          <w:lang w:val="en-US"/>
        </w:rPr>
        <w:t>gnizing</w:t>
      </w:r>
      <w:r w:rsidR="006263A0" w:rsidRPr="008A3740">
        <w:rPr>
          <w:rFonts w:ascii="Verdana" w:hAnsi="Verdana"/>
          <w:sz w:val="20"/>
          <w:szCs w:val="20"/>
          <w:lang w:val="en-US"/>
        </w:rPr>
        <w:t xml:space="preserve"> the </w:t>
      </w:r>
      <w:r w:rsidRPr="008A3740">
        <w:rPr>
          <w:rFonts w:ascii="Verdana" w:hAnsi="Verdana"/>
          <w:sz w:val="20"/>
          <w:szCs w:val="20"/>
          <w:lang w:val="en-US"/>
        </w:rPr>
        <w:t>pension rig</w:t>
      </w:r>
      <w:r w:rsidR="00C46AD9" w:rsidRPr="008A3740">
        <w:rPr>
          <w:rFonts w:ascii="Verdana" w:hAnsi="Verdana"/>
          <w:sz w:val="20"/>
          <w:szCs w:val="20"/>
          <w:lang w:val="en-US"/>
        </w:rPr>
        <w:t>hts of</w:t>
      </w:r>
      <w:r w:rsidR="007206D9" w:rsidRPr="008A3740">
        <w:rPr>
          <w:rFonts w:ascii="Verdana" w:hAnsi="Verdana"/>
          <w:sz w:val="20"/>
          <w:szCs w:val="20"/>
          <w:lang w:val="en-US"/>
        </w:rPr>
        <w:t xml:space="preserve"> former</w:t>
      </w:r>
      <w:r w:rsidRPr="008A3740">
        <w:rPr>
          <w:rFonts w:ascii="Verdana" w:hAnsi="Verdana"/>
          <w:sz w:val="20"/>
          <w:szCs w:val="20"/>
          <w:lang w:val="en-US"/>
        </w:rPr>
        <w:t xml:space="preserve"> workers, </w:t>
      </w:r>
      <w:r w:rsidR="00C46AD9" w:rsidRPr="008A3740">
        <w:rPr>
          <w:rFonts w:ascii="Verdana" w:hAnsi="Verdana"/>
          <w:sz w:val="20"/>
          <w:szCs w:val="20"/>
          <w:lang w:val="en-US"/>
        </w:rPr>
        <w:t xml:space="preserve">is not related to </w:t>
      </w:r>
      <w:r w:rsidRPr="008A3740">
        <w:rPr>
          <w:rFonts w:ascii="Verdana" w:hAnsi="Verdana"/>
          <w:sz w:val="20"/>
          <w:szCs w:val="20"/>
          <w:lang w:val="en-US"/>
        </w:rPr>
        <w:t xml:space="preserve">the </w:t>
      </w:r>
      <w:r w:rsidR="00C24C40" w:rsidRPr="008A3740">
        <w:rPr>
          <w:rFonts w:ascii="Verdana" w:hAnsi="Verdana"/>
          <w:sz w:val="20"/>
          <w:szCs w:val="20"/>
          <w:lang w:val="en-US"/>
        </w:rPr>
        <w:t xml:space="preserve">instant </w:t>
      </w:r>
      <w:r w:rsidRPr="008A3740">
        <w:rPr>
          <w:rFonts w:ascii="Verdana" w:hAnsi="Verdana"/>
          <w:sz w:val="20"/>
          <w:szCs w:val="20"/>
          <w:lang w:val="en-US"/>
        </w:rPr>
        <w:t xml:space="preserve">case, </w:t>
      </w:r>
      <w:r w:rsidR="00C24C40" w:rsidRPr="008A3740">
        <w:rPr>
          <w:rFonts w:ascii="Verdana" w:hAnsi="Verdana"/>
          <w:sz w:val="20"/>
          <w:szCs w:val="20"/>
          <w:lang w:val="en-US"/>
        </w:rPr>
        <w:t xml:space="preserve">since </w:t>
      </w:r>
      <w:r w:rsidRPr="008A3740">
        <w:rPr>
          <w:rFonts w:ascii="Verdana" w:hAnsi="Verdana"/>
          <w:sz w:val="20"/>
          <w:szCs w:val="20"/>
          <w:lang w:val="en-US"/>
        </w:rPr>
        <w:t>the compa</w:t>
      </w:r>
      <w:r w:rsidR="00C51D66" w:rsidRPr="008A3740">
        <w:rPr>
          <w:rFonts w:ascii="Verdana" w:hAnsi="Verdana"/>
          <w:sz w:val="20"/>
          <w:szCs w:val="20"/>
          <w:lang w:val="en-US"/>
        </w:rPr>
        <w:t xml:space="preserve">ny </w:t>
      </w:r>
      <w:r w:rsidR="006263A0" w:rsidRPr="008A3740">
        <w:rPr>
          <w:rFonts w:ascii="Verdana" w:hAnsi="Verdana"/>
          <w:sz w:val="20"/>
          <w:szCs w:val="20"/>
          <w:lang w:val="en-US"/>
        </w:rPr>
        <w:t xml:space="preserve">required to </w:t>
      </w:r>
      <w:r w:rsidR="00C24C40" w:rsidRPr="008A3740">
        <w:rPr>
          <w:rFonts w:ascii="Verdana" w:hAnsi="Verdana"/>
          <w:sz w:val="20"/>
          <w:szCs w:val="20"/>
          <w:lang w:val="en-US"/>
        </w:rPr>
        <w:t xml:space="preserve">comply with </w:t>
      </w:r>
      <w:r w:rsidR="00C51D66" w:rsidRPr="008A3740">
        <w:rPr>
          <w:rFonts w:ascii="Verdana" w:hAnsi="Verdana"/>
          <w:sz w:val="20"/>
          <w:szCs w:val="20"/>
          <w:lang w:val="en-US"/>
        </w:rPr>
        <w:t xml:space="preserve">the </w:t>
      </w:r>
      <w:r w:rsidRPr="008A3740">
        <w:rPr>
          <w:rFonts w:ascii="Verdana" w:hAnsi="Verdana"/>
          <w:sz w:val="20"/>
          <w:szCs w:val="20"/>
          <w:lang w:val="en-US"/>
        </w:rPr>
        <w:t xml:space="preserve">judicial </w:t>
      </w:r>
      <w:r w:rsidR="00C51D66" w:rsidRPr="008A3740">
        <w:rPr>
          <w:rFonts w:ascii="Verdana" w:hAnsi="Verdana"/>
          <w:sz w:val="20"/>
          <w:szCs w:val="20"/>
          <w:lang w:val="en-US"/>
        </w:rPr>
        <w:t xml:space="preserve">ruling </w:t>
      </w:r>
      <w:r w:rsidR="007206D9" w:rsidRPr="008A3740">
        <w:rPr>
          <w:rFonts w:ascii="Verdana" w:hAnsi="Verdana"/>
          <w:sz w:val="20"/>
          <w:szCs w:val="20"/>
          <w:lang w:val="en-US"/>
        </w:rPr>
        <w:t xml:space="preserve">had </w:t>
      </w:r>
      <w:r w:rsidR="006263A0" w:rsidRPr="008A3740">
        <w:rPr>
          <w:rFonts w:ascii="Verdana" w:hAnsi="Verdana"/>
          <w:sz w:val="20"/>
          <w:szCs w:val="20"/>
          <w:lang w:val="en-US"/>
        </w:rPr>
        <w:t>ceased to be</w:t>
      </w:r>
      <w:r w:rsidR="00C24C40" w:rsidRPr="008A3740">
        <w:rPr>
          <w:rFonts w:ascii="Verdana" w:hAnsi="Verdana"/>
          <w:sz w:val="20"/>
          <w:szCs w:val="20"/>
          <w:lang w:val="en-US"/>
        </w:rPr>
        <w:t>long to</w:t>
      </w:r>
      <w:r w:rsidR="006263A0" w:rsidRPr="008A3740">
        <w:rPr>
          <w:rFonts w:ascii="Verdana" w:hAnsi="Verdana"/>
          <w:sz w:val="20"/>
          <w:szCs w:val="20"/>
          <w:lang w:val="en-US"/>
        </w:rPr>
        <w:t xml:space="preserve"> </w:t>
      </w:r>
      <w:r w:rsidR="00C24C40" w:rsidRPr="008A3740">
        <w:rPr>
          <w:rFonts w:ascii="Verdana" w:hAnsi="Verdana"/>
          <w:sz w:val="20"/>
          <w:szCs w:val="20"/>
          <w:lang w:val="en-US"/>
        </w:rPr>
        <w:t xml:space="preserve">the </w:t>
      </w:r>
      <w:r w:rsidR="006263A0" w:rsidRPr="008A3740">
        <w:rPr>
          <w:rFonts w:ascii="Verdana" w:hAnsi="Verdana"/>
          <w:sz w:val="20"/>
          <w:szCs w:val="20"/>
          <w:lang w:val="en-US"/>
        </w:rPr>
        <w:t xml:space="preserve">State, </w:t>
      </w:r>
      <w:r w:rsidR="00C24C40" w:rsidRPr="008A3740">
        <w:rPr>
          <w:rFonts w:ascii="Verdana" w:hAnsi="Verdana"/>
          <w:sz w:val="20"/>
          <w:szCs w:val="20"/>
          <w:lang w:val="en-US"/>
        </w:rPr>
        <w:t xml:space="preserve">having been </w:t>
      </w:r>
      <w:r w:rsidR="006263A0" w:rsidRPr="008A3740">
        <w:rPr>
          <w:rFonts w:ascii="Verdana" w:hAnsi="Verdana"/>
          <w:sz w:val="20"/>
          <w:szCs w:val="20"/>
          <w:lang w:val="en-US"/>
        </w:rPr>
        <w:t>privatized</w:t>
      </w:r>
      <w:r w:rsidRPr="008A3740">
        <w:rPr>
          <w:rFonts w:ascii="Verdana" w:hAnsi="Verdana"/>
          <w:sz w:val="20"/>
          <w:szCs w:val="20"/>
          <w:lang w:val="en-US"/>
        </w:rPr>
        <w:t xml:space="preserve"> </w:t>
      </w:r>
      <w:r w:rsidR="006263A0" w:rsidRPr="008A3740">
        <w:rPr>
          <w:rFonts w:ascii="Verdana" w:hAnsi="Verdana"/>
          <w:sz w:val="20"/>
          <w:szCs w:val="20"/>
          <w:lang w:val="en-US"/>
        </w:rPr>
        <w:t xml:space="preserve">after the </w:t>
      </w:r>
      <w:r w:rsidRPr="008A3740">
        <w:rPr>
          <w:rFonts w:ascii="Verdana" w:hAnsi="Verdana"/>
          <w:sz w:val="20"/>
          <w:szCs w:val="20"/>
          <w:lang w:val="en-US"/>
        </w:rPr>
        <w:t xml:space="preserve">first </w:t>
      </w:r>
      <w:r w:rsidRPr="008A3740">
        <w:rPr>
          <w:rFonts w:ascii="Verdana" w:hAnsi="Verdana"/>
          <w:i/>
          <w:sz w:val="20"/>
          <w:szCs w:val="20"/>
          <w:lang w:val="en-US"/>
        </w:rPr>
        <w:t>amparo</w:t>
      </w:r>
      <w:r w:rsidR="006263A0" w:rsidRPr="008A3740">
        <w:rPr>
          <w:rFonts w:ascii="Verdana" w:hAnsi="Verdana"/>
          <w:sz w:val="20"/>
          <w:szCs w:val="20"/>
          <w:lang w:val="en-US"/>
        </w:rPr>
        <w:t xml:space="preserve"> proceeding</w:t>
      </w:r>
      <w:r w:rsidRPr="008A3740">
        <w:rPr>
          <w:rFonts w:ascii="Verdana" w:hAnsi="Verdana"/>
          <w:sz w:val="20"/>
          <w:szCs w:val="20"/>
          <w:lang w:val="en-US"/>
        </w:rPr>
        <w:t xml:space="preserve">. Likewise, </w:t>
      </w:r>
      <w:r w:rsidR="007206D9" w:rsidRPr="008A3740">
        <w:rPr>
          <w:rFonts w:ascii="Verdana" w:hAnsi="Verdana"/>
          <w:sz w:val="20"/>
          <w:szCs w:val="20"/>
          <w:lang w:val="en-US"/>
        </w:rPr>
        <w:t xml:space="preserve">it </w:t>
      </w:r>
      <w:r w:rsidRPr="008A3740">
        <w:rPr>
          <w:rFonts w:ascii="Verdana" w:hAnsi="Verdana"/>
          <w:sz w:val="20"/>
          <w:szCs w:val="20"/>
          <w:lang w:val="en-US"/>
        </w:rPr>
        <w:t>indicated that</w:t>
      </w:r>
      <w:r w:rsidR="007206D9" w:rsidRPr="008A3740">
        <w:rPr>
          <w:rFonts w:ascii="Verdana" w:hAnsi="Verdana"/>
          <w:sz w:val="20"/>
          <w:szCs w:val="20"/>
          <w:lang w:val="en-US"/>
        </w:rPr>
        <w:t>,</w:t>
      </w:r>
      <w:r w:rsidRPr="008A3740">
        <w:rPr>
          <w:rFonts w:ascii="Verdana" w:hAnsi="Verdana"/>
          <w:sz w:val="20"/>
          <w:szCs w:val="20"/>
          <w:lang w:val="en-US"/>
        </w:rPr>
        <w:t xml:space="preserve"> pursuant to Law N° 30137</w:t>
      </w:r>
      <w:r w:rsidR="007206D9" w:rsidRPr="008A3740">
        <w:rPr>
          <w:rFonts w:ascii="Verdana" w:hAnsi="Verdana"/>
          <w:sz w:val="20"/>
          <w:szCs w:val="20"/>
          <w:lang w:val="en-US"/>
        </w:rPr>
        <w:t>,</w:t>
      </w:r>
      <w:r w:rsidRPr="008A3740">
        <w:rPr>
          <w:rFonts w:ascii="Verdana" w:hAnsi="Verdana"/>
          <w:sz w:val="20"/>
          <w:szCs w:val="20"/>
          <w:lang w:val="en-US"/>
        </w:rPr>
        <w:t xml:space="preserve"> the State </w:t>
      </w:r>
      <w:r w:rsidR="007206D9" w:rsidRPr="008A3740">
        <w:rPr>
          <w:rFonts w:ascii="Verdana" w:hAnsi="Verdana"/>
          <w:sz w:val="20"/>
          <w:szCs w:val="20"/>
          <w:lang w:val="en-US"/>
        </w:rPr>
        <w:t xml:space="preserve">must </w:t>
      </w:r>
      <w:r w:rsidR="006263A0" w:rsidRPr="008A3740">
        <w:rPr>
          <w:rFonts w:ascii="Verdana" w:hAnsi="Verdana"/>
          <w:sz w:val="20"/>
          <w:szCs w:val="20"/>
          <w:lang w:val="en-US"/>
        </w:rPr>
        <w:t xml:space="preserve">give </w:t>
      </w:r>
      <w:r w:rsidRPr="008A3740">
        <w:rPr>
          <w:rFonts w:ascii="Verdana" w:hAnsi="Verdana"/>
          <w:sz w:val="20"/>
          <w:szCs w:val="20"/>
          <w:lang w:val="en-US"/>
        </w:rPr>
        <w:t>priori</w:t>
      </w:r>
      <w:r w:rsidR="00C51D66" w:rsidRPr="008A3740">
        <w:rPr>
          <w:rFonts w:ascii="Verdana" w:hAnsi="Verdana"/>
          <w:sz w:val="20"/>
          <w:szCs w:val="20"/>
          <w:lang w:val="en-US"/>
        </w:rPr>
        <w:t xml:space="preserve">ty to </w:t>
      </w:r>
      <w:r w:rsidRPr="008A3740">
        <w:rPr>
          <w:rFonts w:ascii="Verdana" w:hAnsi="Verdana"/>
          <w:sz w:val="20"/>
          <w:szCs w:val="20"/>
          <w:lang w:val="en-US"/>
        </w:rPr>
        <w:t xml:space="preserve">judgments </w:t>
      </w:r>
      <w:r w:rsidR="006263A0" w:rsidRPr="008A3740">
        <w:rPr>
          <w:rFonts w:ascii="Verdana" w:hAnsi="Verdana"/>
          <w:sz w:val="20"/>
          <w:szCs w:val="20"/>
          <w:lang w:val="en-US"/>
        </w:rPr>
        <w:t xml:space="preserve">ordering </w:t>
      </w:r>
      <w:r w:rsidRPr="008A3740">
        <w:rPr>
          <w:rFonts w:ascii="Verdana" w:hAnsi="Verdana"/>
          <w:sz w:val="20"/>
          <w:szCs w:val="20"/>
          <w:lang w:val="en-US"/>
        </w:rPr>
        <w:t xml:space="preserve">the payment of </w:t>
      </w:r>
      <w:r w:rsidR="006263A0" w:rsidRPr="008A3740">
        <w:rPr>
          <w:rFonts w:ascii="Verdana" w:hAnsi="Verdana"/>
          <w:sz w:val="20"/>
          <w:szCs w:val="20"/>
          <w:lang w:val="en-US"/>
        </w:rPr>
        <w:t>pension debts</w:t>
      </w:r>
      <w:r w:rsidRPr="008A3740">
        <w:rPr>
          <w:rFonts w:ascii="Verdana" w:hAnsi="Verdana"/>
          <w:b/>
          <w:sz w:val="20"/>
          <w:szCs w:val="20"/>
          <w:lang w:val="en-US"/>
        </w:rPr>
        <w:t xml:space="preserve"> </w:t>
      </w:r>
      <w:r w:rsidRPr="008A3740">
        <w:rPr>
          <w:rFonts w:ascii="Verdana" w:hAnsi="Verdana"/>
          <w:sz w:val="20"/>
          <w:szCs w:val="20"/>
          <w:lang w:val="en-US"/>
        </w:rPr>
        <w:t xml:space="preserve">and </w:t>
      </w:r>
      <w:r w:rsidR="006263A0" w:rsidRPr="008A3740">
        <w:rPr>
          <w:rFonts w:ascii="Verdana" w:hAnsi="Verdana"/>
          <w:sz w:val="20"/>
          <w:szCs w:val="20"/>
          <w:lang w:val="en-US"/>
        </w:rPr>
        <w:t>emphasized the recent</w:t>
      </w:r>
      <w:r w:rsidRPr="008A3740">
        <w:rPr>
          <w:rFonts w:ascii="Verdana" w:hAnsi="Verdana"/>
          <w:sz w:val="20"/>
          <w:szCs w:val="20"/>
          <w:lang w:val="en-US"/>
        </w:rPr>
        <w:t xml:space="preserve"> implementatio</w:t>
      </w:r>
      <w:r w:rsidR="00131BC2" w:rsidRPr="008A3740">
        <w:rPr>
          <w:rFonts w:ascii="Verdana" w:hAnsi="Verdana"/>
          <w:sz w:val="20"/>
          <w:szCs w:val="20"/>
          <w:lang w:val="en-US"/>
        </w:rPr>
        <w:t xml:space="preserve">n of </w:t>
      </w:r>
      <w:r w:rsidR="007206D9" w:rsidRPr="008A3740">
        <w:rPr>
          <w:rFonts w:ascii="Verdana" w:hAnsi="Verdana"/>
          <w:sz w:val="20"/>
          <w:szCs w:val="20"/>
          <w:lang w:val="en-US"/>
        </w:rPr>
        <w:t>a mechanism to determine</w:t>
      </w:r>
      <w:r w:rsidRPr="008A3740">
        <w:rPr>
          <w:rFonts w:ascii="Verdana" w:hAnsi="Verdana"/>
          <w:sz w:val="20"/>
          <w:szCs w:val="20"/>
          <w:lang w:val="en-US"/>
        </w:rPr>
        <w:t xml:space="preserve"> </w:t>
      </w:r>
      <w:r w:rsidR="006263A0" w:rsidRPr="008A3740">
        <w:rPr>
          <w:rFonts w:ascii="Verdana" w:hAnsi="Verdana"/>
          <w:sz w:val="20"/>
          <w:szCs w:val="20"/>
          <w:lang w:val="en-US"/>
        </w:rPr>
        <w:t xml:space="preserve">more precisely </w:t>
      </w:r>
      <w:r w:rsidR="007206D9" w:rsidRPr="008A3740">
        <w:rPr>
          <w:rFonts w:ascii="Verdana" w:hAnsi="Verdana"/>
          <w:sz w:val="20"/>
          <w:szCs w:val="20"/>
          <w:lang w:val="en-US"/>
        </w:rPr>
        <w:t>th</w:t>
      </w:r>
      <w:r w:rsidRPr="008A3740">
        <w:rPr>
          <w:rFonts w:ascii="Verdana" w:hAnsi="Verdana"/>
          <w:sz w:val="20"/>
          <w:szCs w:val="20"/>
          <w:lang w:val="en-US"/>
        </w:rPr>
        <w:t xml:space="preserve">e judgments </w:t>
      </w:r>
      <w:r w:rsidR="00131BC2" w:rsidRPr="008A3740">
        <w:rPr>
          <w:rFonts w:ascii="Verdana" w:hAnsi="Verdana"/>
          <w:sz w:val="20"/>
          <w:szCs w:val="20"/>
          <w:lang w:val="en-US"/>
        </w:rPr>
        <w:t xml:space="preserve">in which </w:t>
      </w:r>
      <w:r w:rsidRPr="008A3740">
        <w:rPr>
          <w:rFonts w:ascii="Verdana" w:hAnsi="Verdana"/>
          <w:sz w:val="20"/>
          <w:szCs w:val="20"/>
          <w:lang w:val="en-US"/>
        </w:rPr>
        <w:t xml:space="preserve">payments </w:t>
      </w:r>
      <w:r w:rsidR="006263A0" w:rsidRPr="008A3740">
        <w:rPr>
          <w:rFonts w:ascii="Verdana" w:hAnsi="Verdana"/>
          <w:sz w:val="20"/>
          <w:szCs w:val="20"/>
          <w:lang w:val="en-US"/>
        </w:rPr>
        <w:t>are pending</w:t>
      </w:r>
      <w:r w:rsidRPr="008A3740">
        <w:rPr>
          <w:rFonts w:ascii="Verdana" w:hAnsi="Verdana"/>
          <w:sz w:val="20"/>
          <w:szCs w:val="20"/>
          <w:lang w:val="en-US"/>
        </w:rPr>
        <w:t xml:space="preserve">, </w:t>
      </w:r>
      <w:r w:rsidR="006263A0" w:rsidRPr="008A3740">
        <w:rPr>
          <w:rFonts w:ascii="Verdana" w:hAnsi="Verdana"/>
          <w:sz w:val="20"/>
          <w:szCs w:val="20"/>
          <w:lang w:val="en-US"/>
        </w:rPr>
        <w:t xml:space="preserve">including </w:t>
      </w:r>
      <w:r w:rsidRPr="008A3740">
        <w:rPr>
          <w:rFonts w:ascii="Verdana" w:hAnsi="Verdana"/>
          <w:sz w:val="20"/>
          <w:szCs w:val="20"/>
          <w:lang w:val="en-US"/>
        </w:rPr>
        <w:t>“pension payments.”</w:t>
      </w:r>
    </w:p>
    <w:p w14:paraId="405FD718" w14:textId="77777777" w:rsidR="008E6A56" w:rsidRPr="008A3740" w:rsidRDefault="008E6A56" w:rsidP="008E6A56">
      <w:pPr>
        <w:pStyle w:val="Prrafodelista"/>
        <w:rPr>
          <w:rFonts w:ascii="Verdana" w:eastAsia="MS Mincho" w:hAnsi="Verdana"/>
          <w:sz w:val="20"/>
          <w:szCs w:val="20"/>
          <w:lang w:val="en-US" w:bidi="en-US"/>
        </w:rPr>
      </w:pPr>
    </w:p>
    <w:p w14:paraId="37CB7C40" w14:textId="77777777" w:rsidR="008E6A56" w:rsidRPr="008A3740" w:rsidRDefault="007206D9"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hAnsi="Verdana"/>
          <w:sz w:val="20"/>
          <w:szCs w:val="20"/>
          <w:lang w:val="en-US"/>
        </w:rPr>
        <w:t xml:space="preserve">As to </w:t>
      </w:r>
      <w:r w:rsidR="008E6A56" w:rsidRPr="008A3740">
        <w:rPr>
          <w:rFonts w:ascii="Verdana" w:hAnsi="Verdana"/>
          <w:sz w:val="20"/>
          <w:szCs w:val="20"/>
          <w:lang w:val="en-US"/>
        </w:rPr>
        <w:t xml:space="preserve">the </w:t>
      </w:r>
      <w:r w:rsidRPr="008A3740">
        <w:rPr>
          <w:rFonts w:ascii="Verdana" w:hAnsi="Verdana"/>
          <w:sz w:val="20"/>
          <w:szCs w:val="20"/>
          <w:lang w:val="en-US"/>
        </w:rPr>
        <w:t xml:space="preserve">request to adopt </w:t>
      </w:r>
      <w:r w:rsidR="007E053B" w:rsidRPr="008A3740">
        <w:rPr>
          <w:rFonts w:ascii="Verdana" w:hAnsi="Verdana" w:cs="Arial"/>
          <w:sz w:val="20"/>
          <w:szCs w:val="20"/>
          <w:lang w:val="en-US"/>
        </w:rPr>
        <w:t xml:space="preserve">legal or other </w:t>
      </w:r>
      <w:r w:rsidR="008E6A56" w:rsidRPr="008A3740">
        <w:rPr>
          <w:rFonts w:ascii="Verdana" w:hAnsi="Verdana" w:cs="Arial"/>
          <w:sz w:val="20"/>
          <w:szCs w:val="20"/>
          <w:lang w:val="en-US"/>
        </w:rPr>
        <w:t xml:space="preserve">measures </w:t>
      </w:r>
      <w:r w:rsidR="006B4FB0" w:rsidRPr="008A3740">
        <w:rPr>
          <w:rFonts w:ascii="Verdana" w:hAnsi="Verdana" w:cs="Arial"/>
          <w:sz w:val="20"/>
          <w:szCs w:val="20"/>
          <w:lang w:val="en-US"/>
        </w:rPr>
        <w:t xml:space="preserve">required </w:t>
      </w:r>
      <w:r w:rsidR="007E053B" w:rsidRPr="008A3740">
        <w:rPr>
          <w:rFonts w:ascii="Verdana" w:hAnsi="Verdana" w:cs="Arial"/>
          <w:sz w:val="20"/>
          <w:szCs w:val="20"/>
          <w:lang w:val="en-US"/>
        </w:rPr>
        <w:t xml:space="preserve">to ensure </w:t>
      </w:r>
      <w:r w:rsidR="008E6A56" w:rsidRPr="008A3740">
        <w:rPr>
          <w:rFonts w:ascii="Verdana" w:hAnsi="Verdana" w:cs="Arial"/>
          <w:sz w:val="20"/>
          <w:szCs w:val="20"/>
          <w:lang w:val="en-US"/>
        </w:rPr>
        <w:t xml:space="preserve">that </w:t>
      </w:r>
      <w:r w:rsidR="007E053B" w:rsidRPr="008A3740">
        <w:rPr>
          <w:rFonts w:ascii="Verdana" w:hAnsi="Verdana" w:cs="Arial"/>
          <w:sz w:val="20"/>
          <w:szCs w:val="20"/>
          <w:lang w:val="en-US"/>
        </w:rPr>
        <w:t xml:space="preserve">State-owned </w:t>
      </w:r>
      <w:r w:rsidR="008E6A56" w:rsidRPr="008A3740">
        <w:rPr>
          <w:rFonts w:ascii="Verdana" w:hAnsi="Verdana" w:cs="Arial"/>
          <w:sz w:val="20"/>
          <w:szCs w:val="20"/>
          <w:lang w:val="en-US"/>
        </w:rPr>
        <w:t xml:space="preserve">companies </w:t>
      </w:r>
      <w:r w:rsidR="007E053B" w:rsidRPr="008A3740">
        <w:rPr>
          <w:rFonts w:ascii="Verdana" w:hAnsi="Verdana" w:cs="Arial"/>
          <w:sz w:val="20"/>
          <w:szCs w:val="20"/>
          <w:lang w:val="en-US"/>
        </w:rPr>
        <w:t>comply with judicial rulings</w:t>
      </w:r>
      <w:r w:rsidR="008E6A56" w:rsidRPr="008A3740">
        <w:rPr>
          <w:rFonts w:ascii="Verdana" w:hAnsi="Verdana" w:cs="Arial"/>
          <w:sz w:val="20"/>
          <w:szCs w:val="20"/>
          <w:lang w:val="en-US"/>
        </w:rPr>
        <w:t xml:space="preserve"> reco</w:t>
      </w:r>
      <w:r w:rsidR="00006FCC" w:rsidRPr="008A3740">
        <w:rPr>
          <w:rFonts w:ascii="Verdana" w:hAnsi="Verdana" w:cs="Arial"/>
          <w:sz w:val="20"/>
          <w:szCs w:val="20"/>
          <w:lang w:val="en-US"/>
        </w:rPr>
        <w:t>gnizing</w:t>
      </w:r>
      <w:r w:rsidR="007E053B" w:rsidRPr="008A3740">
        <w:rPr>
          <w:rFonts w:ascii="Verdana" w:hAnsi="Verdana" w:cs="Arial"/>
          <w:sz w:val="20"/>
          <w:szCs w:val="20"/>
          <w:lang w:val="en-US"/>
        </w:rPr>
        <w:t xml:space="preserve"> the </w:t>
      </w:r>
      <w:r w:rsidR="008E6A56" w:rsidRPr="008A3740">
        <w:rPr>
          <w:rFonts w:ascii="Verdana" w:hAnsi="Verdana" w:cs="Arial"/>
          <w:sz w:val="20"/>
          <w:szCs w:val="20"/>
          <w:lang w:val="en-US"/>
        </w:rPr>
        <w:t xml:space="preserve">pension rights </w:t>
      </w:r>
      <w:r w:rsidR="007E053B" w:rsidRPr="008A3740">
        <w:rPr>
          <w:rFonts w:ascii="Verdana" w:hAnsi="Verdana" w:cs="Arial"/>
          <w:sz w:val="20"/>
          <w:szCs w:val="20"/>
          <w:lang w:val="en-US"/>
        </w:rPr>
        <w:t>of former employees</w:t>
      </w:r>
      <w:r w:rsidR="008E6A56" w:rsidRPr="008A3740">
        <w:rPr>
          <w:rFonts w:ascii="Verdana" w:hAnsi="Verdana" w:cs="Arial"/>
          <w:sz w:val="20"/>
          <w:szCs w:val="20"/>
          <w:lang w:val="en-US"/>
        </w:rPr>
        <w:t>, a</w:t>
      </w:r>
      <w:r w:rsidR="007E053B" w:rsidRPr="008A3740">
        <w:rPr>
          <w:rFonts w:ascii="Verdana" w:hAnsi="Verdana" w:cs="Arial"/>
          <w:sz w:val="20"/>
          <w:szCs w:val="20"/>
          <w:lang w:val="en-US"/>
        </w:rPr>
        <w:t xml:space="preserve">nd </w:t>
      </w:r>
      <w:r w:rsidRPr="008A3740">
        <w:rPr>
          <w:rFonts w:ascii="Verdana" w:hAnsi="Verdana" w:cs="Arial"/>
          <w:sz w:val="20"/>
          <w:szCs w:val="20"/>
          <w:lang w:val="en-US"/>
        </w:rPr>
        <w:t xml:space="preserve">regarding the adoption of </w:t>
      </w:r>
      <w:r w:rsidR="008E6A56" w:rsidRPr="008A3740">
        <w:rPr>
          <w:rFonts w:ascii="Verdana" w:hAnsi="Verdana" w:cs="Arial"/>
          <w:sz w:val="20"/>
          <w:szCs w:val="20"/>
          <w:lang w:val="en-US"/>
        </w:rPr>
        <w:t>sa</w:t>
      </w:r>
      <w:r w:rsidR="007E053B" w:rsidRPr="008A3740">
        <w:rPr>
          <w:rFonts w:ascii="Verdana" w:hAnsi="Verdana" w:cs="Arial"/>
          <w:sz w:val="20"/>
          <w:szCs w:val="20"/>
          <w:lang w:val="en-US"/>
        </w:rPr>
        <w:t>feguards to protect</w:t>
      </w:r>
      <w:r w:rsidR="008E6A56" w:rsidRPr="008A3740">
        <w:rPr>
          <w:rFonts w:ascii="Verdana" w:hAnsi="Verdana" w:cs="Arial"/>
          <w:sz w:val="20"/>
          <w:szCs w:val="20"/>
          <w:lang w:val="en-US"/>
        </w:rPr>
        <w:t xml:space="preserve"> the rights of pensioners in </w:t>
      </w:r>
      <w:r w:rsidR="007E053B" w:rsidRPr="008A3740">
        <w:rPr>
          <w:rFonts w:ascii="Verdana" w:hAnsi="Verdana" w:cs="Arial"/>
          <w:sz w:val="20"/>
          <w:szCs w:val="20"/>
          <w:lang w:val="en-US"/>
        </w:rPr>
        <w:t>the context</w:t>
      </w:r>
      <w:r w:rsidR="008E6A56" w:rsidRPr="008A3740">
        <w:rPr>
          <w:rFonts w:ascii="Verdana" w:hAnsi="Verdana" w:cs="Arial"/>
          <w:sz w:val="20"/>
          <w:szCs w:val="20"/>
          <w:lang w:val="en-US"/>
        </w:rPr>
        <w:t xml:space="preserve"> of  privatization</w:t>
      </w:r>
      <w:r w:rsidR="007E053B" w:rsidRPr="008A3740">
        <w:rPr>
          <w:rFonts w:ascii="Verdana" w:hAnsi="Verdana" w:cs="Arial"/>
          <w:sz w:val="20"/>
          <w:szCs w:val="20"/>
          <w:lang w:val="en-US"/>
        </w:rPr>
        <w:t xml:space="preserve"> processe</w:t>
      </w:r>
      <w:r w:rsidR="008E6A56" w:rsidRPr="008A3740">
        <w:rPr>
          <w:rFonts w:ascii="Verdana" w:hAnsi="Verdana" w:cs="Arial"/>
          <w:sz w:val="20"/>
          <w:szCs w:val="20"/>
          <w:lang w:val="en-US"/>
        </w:rPr>
        <w:t>s,</w:t>
      </w:r>
      <w:r w:rsidR="007E053B" w:rsidRPr="008A3740">
        <w:rPr>
          <w:rFonts w:ascii="Verdana" w:hAnsi="Verdana"/>
          <w:sz w:val="20"/>
          <w:szCs w:val="20"/>
          <w:lang w:val="en-US"/>
        </w:rPr>
        <w:t xml:space="preserve"> the Court observes</w:t>
      </w:r>
      <w:r w:rsidR="008E6A56" w:rsidRPr="008A3740">
        <w:rPr>
          <w:rFonts w:ascii="Verdana" w:hAnsi="Verdana"/>
          <w:sz w:val="20"/>
          <w:szCs w:val="20"/>
          <w:lang w:val="en-US"/>
        </w:rPr>
        <w:t xml:space="preserve"> </w:t>
      </w:r>
      <w:r w:rsidR="007E053B" w:rsidRPr="008A3740">
        <w:rPr>
          <w:rFonts w:ascii="Verdana" w:hAnsi="Verdana"/>
          <w:sz w:val="20"/>
          <w:szCs w:val="20"/>
          <w:lang w:val="en-US"/>
        </w:rPr>
        <w:t>that</w:t>
      </w:r>
      <w:r w:rsidR="008E6A56" w:rsidRPr="008A3740">
        <w:rPr>
          <w:rFonts w:ascii="Verdana" w:hAnsi="Verdana"/>
          <w:sz w:val="20"/>
          <w:szCs w:val="20"/>
          <w:lang w:val="en-US"/>
        </w:rPr>
        <w:t xml:space="preserve"> </w:t>
      </w:r>
      <w:r w:rsidR="007E053B" w:rsidRPr="008A3740">
        <w:rPr>
          <w:rFonts w:ascii="Verdana" w:hAnsi="Verdana"/>
          <w:sz w:val="20"/>
          <w:szCs w:val="20"/>
          <w:lang w:val="en-US"/>
        </w:rPr>
        <w:t>Peru’s legal system</w:t>
      </w:r>
      <w:r w:rsidR="00131BC2" w:rsidRPr="008A3740">
        <w:rPr>
          <w:rFonts w:ascii="Verdana" w:hAnsi="Verdana"/>
          <w:sz w:val="20"/>
          <w:szCs w:val="20"/>
          <w:lang w:val="en-US"/>
        </w:rPr>
        <w:t xml:space="preserve"> </w:t>
      </w:r>
      <w:r w:rsidR="00006FCC" w:rsidRPr="008A3740">
        <w:rPr>
          <w:rFonts w:ascii="Verdana" w:hAnsi="Verdana"/>
          <w:sz w:val="20"/>
          <w:szCs w:val="20"/>
          <w:lang w:val="en-US"/>
        </w:rPr>
        <w:t xml:space="preserve">includes </w:t>
      </w:r>
      <w:r w:rsidR="00131BC2" w:rsidRPr="008A3740">
        <w:rPr>
          <w:rFonts w:ascii="Verdana" w:hAnsi="Verdana"/>
          <w:sz w:val="20"/>
          <w:szCs w:val="20"/>
          <w:lang w:val="en-US"/>
        </w:rPr>
        <w:t xml:space="preserve">provisions </w:t>
      </w:r>
      <w:r w:rsidR="00006FCC" w:rsidRPr="008A3740">
        <w:rPr>
          <w:rFonts w:ascii="Verdana" w:hAnsi="Verdana"/>
          <w:sz w:val="20"/>
          <w:szCs w:val="20"/>
          <w:lang w:val="en-US"/>
        </w:rPr>
        <w:t xml:space="preserve">enabling </w:t>
      </w:r>
      <w:r w:rsidR="00C51D66" w:rsidRPr="008A3740">
        <w:rPr>
          <w:rFonts w:ascii="Verdana" w:hAnsi="Verdana"/>
          <w:sz w:val="20"/>
          <w:szCs w:val="20"/>
          <w:lang w:val="en-US"/>
        </w:rPr>
        <w:t xml:space="preserve">the </w:t>
      </w:r>
      <w:r w:rsidR="008E6A56" w:rsidRPr="008A3740">
        <w:rPr>
          <w:rFonts w:ascii="Verdana" w:hAnsi="Verdana"/>
          <w:sz w:val="20"/>
          <w:szCs w:val="20"/>
          <w:lang w:val="en-US"/>
        </w:rPr>
        <w:t xml:space="preserve">judicial authorities </w:t>
      </w:r>
      <w:r w:rsidR="00C51D66" w:rsidRPr="008A3740">
        <w:rPr>
          <w:rFonts w:ascii="Verdana" w:hAnsi="Verdana"/>
          <w:sz w:val="20"/>
          <w:szCs w:val="20"/>
          <w:lang w:val="en-US"/>
        </w:rPr>
        <w:t xml:space="preserve">to </w:t>
      </w:r>
      <w:r w:rsidR="008E6A56" w:rsidRPr="008A3740">
        <w:rPr>
          <w:rFonts w:ascii="Verdana" w:hAnsi="Verdana"/>
          <w:sz w:val="20"/>
          <w:szCs w:val="20"/>
          <w:lang w:val="en-US"/>
        </w:rPr>
        <w:t>impo</w:t>
      </w:r>
      <w:r w:rsidR="007E053B" w:rsidRPr="008A3740">
        <w:rPr>
          <w:rFonts w:ascii="Verdana" w:hAnsi="Verdana"/>
          <w:sz w:val="20"/>
          <w:szCs w:val="20"/>
          <w:lang w:val="en-US"/>
        </w:rPr>
        <w:t xml:space="preserve">se </w:t>
      </w:r>
      <w:r w:rsidR="008E6A56" w:rsidRPr="008A3740">
        <w:rPr>
          <w:rFonts w:ascii="Verdana" w:hAnsi="Verdana"/>
          <w:sz w:val="20"/>
          <w:szCs w:val="20"/>
          <w:lang w:val="en-US"/>
        </w:rPr>
        <w:t xml:space="preserve">coercive measures </w:t>
      </w:r>
      <w:r w:rsidR="00C51D66" w:rsidRPr="008A3740">
        <w:rPr>
          <w:rFonts w:ascii="Verdana" w:hAnsi="Verdana"/>
          <w:sz w:val="20"/>
          <w:szCs w:val="20"/>
          <w:lang w:val="en-US"/>
        </w:rPr>
        <w:t xml:space="preserve">to enforce </w:t>
      </w:r>
      <w:r w:rsidR="008E6A56" w:rsidRPr="008A3740">
        <w:rPr>
          <w:rFonts w:ascii="Verdana" w:hAnsi="Verdana"/>
          <w:sz w:val="20"/>
          <w:szCs w:val="20"/>
          <w:lang w:val="en-US"/>
        </w:rPr>
        <w:t>compliance with  judicial decisions in general, a</w:t>
      </w:r>
      <w:r w:rsidR="00006FCC" w:rsidRPr="008A3740">
        <w:rPr>
          <w:rFonts w:ascii="Verdana" w:hAnsi="Verdana"/>
          <w:sz w:val="20"/>
          <w:szCs w:val="20"/>
          <w:lang w:val="en-US"/>
        </w:rPr>
        <w:t>nd that the l</w:t>
      </w:r>
      <w:r w:rsidR="00131BC2" w:rsidRPr="008A3740">
        <w:rPr>
          <w:rFonts w:ascii="Verdana" w:hAnsi="Verdana"/>
          <w:sz w:val="20"/>
          <w:szCs w:val="20"/>
          <w:lang w:val="en-US"/>
        </w:rPr>
        <w:t xml:space="preserve">aws </w:t>
      </w:r>
      <w:r w:rsidR="00006FCC" w:rsidRPr="008A3740">
        <w:rPr>
          <w:rFonts w:ascii="Verdana" w:hAnsi="Verdana"/>
          <w:sz w:val="20"/>
          <w:szCs w:val="20"/>
          <w:lang w:val="en-US"/>
        </w:rPr>
        <w:t xml:space="preserve">introduced in 2002 </w:t>
      </w:r>
      <w:r w:rsidR="008E6A56" w:rsidRPr="008A3740">
        <w:rPr>
          <w:rFonts w:ascii="Verdana" w:hAnsi="Verdana"/>
          <w:sz w:val="20"/>
          <w:szCs w:val="20"/>
          <w:lang w:val="en-US"/>
        </w:rPr>
        <w:t xml:space="preserve">establish that the MEF is the entity </w:t>
      </w:r>
      <w:r w:rsidR="00131BC2" w:rsidRPr="008A3740">
        <w:rPr>
          <w:rFonts w:ascii="Verdana" w:hAnsi="Verdana"/>
          <w:sz w:val="20"/>
          <w:szCs w:val="20"/>
          <w:lang w:val="en-US"/>
        </w:rPr>
        <w:t xml:space="preserve">responsible for paying the pensions of </w:t>
      </w:r>
      <w:r w:rsidR="007E053B" w:rsidRPr="008A3740">
        <w:rPr>
          <w:rFonts w:ascii="Verdana" w:hAnsi="Verdana"/>
          <w:sz w:val="20"/>
          <w:szCs w:val="20"/>
          <w:lang w:val="en-US"/>
        </w:rPr>
        <w:t>former employees</w:t>
      </w:r>
      <w:r w:rsidR="00006FCC" w:rsidRPr="008A3740">
        <w:rPr>
          <w:rFonts w:ascii="Verdana" w:hAnsi="Verdana"/>
          <w:sz w:val="20"/>
          <w:szCs w:val="20"/>
          <w:lang w:val="en-US"/>
        </w:rPr>
        <w:t xml:space="preserve"> of </w:t>
      </w:r>
      <w:r w:rsidR="008E6A56" w:rsidRPr="008A3740">
        <w:rPr>
          <w:rFonts w:ascii="Verdana" w:hAnsi="Verdana"/>
          <w:sz w:val="20"/>
          <w:szCs w:val="20"/>
          <w:lang w:val="en-US"/>
        </w:rPr>
        <w:t>privatized companies (</w:t>
      </w:r>
      <w:r w:rsidR="008E6A56" w:rsidRPr="008A3740">
        <w:rPr>
          <w:rFonts w:ascii="Verdana" w:hAnsi="Verdana"/>
          <w:i/>
          <w:sz w:val="20"/>
          <w:szCs w:val="20"/>
          <w:lang w:val="en-US"/>
        </w:rPr>
        <w:t>supra</w:t>
      </w:r>
      <w:r w:rsidR="00131BC2" w:rsidRPr="008A3740">
        <w:rPr>
          <w:rFonts w:ascii="Verdana" w:hAnsi="Verdana"/>
          <w:sz w:val="20"/>
          <w:szCs w:val="20"/>
          <w:lang w:val="en-US"/>
        </w:rPr>
        <w:t xml:space="preserve"> paras. 141 and 142). That said</w:t>
      </w:r>
      <w:r w:rsidR="008E6A56" w:rsidRPr="008A3740">
        <w:rPr>
          <w:rFonts w:ascii="Verdana" w:hAnsi="Verdana"/>
          <w:sz w:val="20"/>
          <w:szCs w:val="20"/>
          <w:lang w:val="en-US"/>
        </w:rPr>
        <w:t xml:space="preserve">, </w:t>
      </w:r>
      <w:r w:rsidR="00131BC2" w:rsidRPr="008A3740">
        <w:rPr>
          <w:rFonts w:ascii="Verdana" w:hAnsi="Verdana"/>
          <w:sz w:val="20"/>
          <w:szCs w:val="20"/>
          <w:lang w:val="en-US"/>
        </w:rPr>
        <w:t xml:space="preserve">although that legislation </w:t>
      </w:r>
      <w:r w:rsidR="008E6A56" w:rsidRPr="008A3740">
        <w:rPr>
          <w:rFonts w:ascii="Verdana" w:hAnsi="Verdana"/>
          <w:sz w:val="20"/>
          <w:szCs w:val="20"/>
          <w:lang w:val="en-US"/>
        </w:rPr>
        <w:t xml:space="preserve">was not </w:t>
      </w:r>
      <w:r w:rsidR="007E053B" w:rsidRPr="008A3740">
        <w:rPr>
          <w:rFonts w:ascii="Verdana" w:hAnsi="Verdana"/>
          <w:sz w:val="20"/>
          <w:szCs w:val="20"/>
          <w:lang w:val="en-US"/>
        </w:rPr>
        <w:t xml:space="preserve">applied to this specific </w:t>
      </w:r>
      <w:r w:rsidR="008E6A56" w:rsidRPr="008A3740">
        <w:rPr>
          <w:rFonts w:ascii="Verdana" w:hAnsi="Verdana"/>
          <w:sz w:val="20"/>
          <w:szCs w:val="20"/>
          <w:lang w:val="en-US"/>
        </w:rPr>
        <w:t xml:space="preserve">case, the Court does not </w:t>
      </w:r>
      <w:r w:rsidR="00006FCC" w:rsidRPr="008A3740">
        <w:rPr>
          <w:rFonts w:ascii="Verdana" w:hAnsi="Verdana"/>
          <w:sz w:val="20"/>
          <w:szCs w:val="20"/>
          <w:lang w:val="en-US"/>
        </w:rPr>
        <w:t xml:space="preserve">deem it necessary </w:t>
      </w:r>
      <w:r w:rsidR="007E053B" w:rsidRPr="008A3740">
        <w:rPr>
          <w:rFonts w:ascii="Verdana" w:hAnsi="Verdana"/>
          <w:sz w:val="20"/>
          <w:szCs w:val="20"/>
          <w:lang w:val="en-US"/>
        </w:rPr>
        <w:t xml:space="preserve">to order </w:t>
      </w:r>
      <w:r w:rsidR="008E6A56" w:rsidRPr="008A3740">
        <w:rPr>
          <w:rFonts w:ascii="Verdana" w:hAnsi="Verdana"/>
          <w:sz w:val="20"/>
          <w:szCs w:val="20"/>
          <w:lang w:val="en-US"/>
        </w:rPr>
        <w:t>guarantees of non-repetit</w:t>
      </w:r>
      <w:r w:rsidR="007E053B" w:rsidRPr="008A3740">
        <w:rPr>
          <w:rFonts w:ascii="Verdana" w:hAnsi="Verdana"/>
          <w:sz w:val="20"/>
          <w:szCs w:val="20"/>
          <w:lang w:val="en-US"/>
        </w:rPr>
        <w:t>ion as requested. Nor does it consider it</w:t>
      </w:r>
      <w:r w:rsidR="008E6A56" w:rsidRPr="008A3740">
        <w:rPr>
          <w:rFonts w:ascii="Verdana" w:hAnsi="Verdana"/>
          <w:sz w:val="20"/>
          <w:szCs w:val="20"/>
          <w:lang w:val="en-US"/>
        </w:rPr>
        <w:t xml:space="preserve"> pertinent </w:t>
      </w:r>
      <w:r w:rsidR="007E053B" w:rsidRPr="008A3740">
        <w:rPr>
          <w:rFonts w:ascii="Verdana" w:hAnsi="Verdana"/>
          <w:sz w:val="20"/>
          <w:szCs w:val="20"/>
          <w:lang w:val="en-US"/>
        </w:rPr>
        <w:t xml:space="preserve">to </w:t>
      </w:r>
      <w:r w:rsidR="008E6A56" w:rsidRPr="008A3740">
        <w:rPr>
          <w:rFonts w:ascii="Verdana" w:hAnsi="Verdana"/>
          <w:sz w:val="20"/>
          <w:szCs w:val="20"/>
          <w:lang w:val="en-US"/>
        </w:rPr>
        <w:t>order a public act of acknowl</w:t>
      </w:r>
      <w:r w:rsidR="007E053B" w:rsidRPr="008A3740">
        <w:rPr>
          <w:rFonts w:ascii="Verdana" w:hAnsi="Verdana"/>
          <w:sz w:val="20"/>
          <w:szCs w:val="20"/>
          <w:lang w:val="en-US"/>
        </w:rPr>
        <w:t>e</w:t>
      </w:r>
      <w:r w:rsidR="00131BC2" w:rsidRPr="008A3740">
        <w:rPr>
          <w:rFonts w:ascii="Verdana" w:hAnsi="Verdana"/>
          <w:sz w:val="20"/>
          <w:szCs w:val="20"/>
          <w:lang w:val="en-US"/>
        </w:rPr>
        <w:t xml:space="preserve">dgement of </w:t>
      </w:r>
      <w:r w:rsidR="008E6A56" w:rsidRPr="008A3740">
        <w:rPr>
          <w:rFonts w:ascii="Verdana" w:hAnsi="Verdana"/>
          <w:sz w:val="20"/>
          <w:szCs w:val="20"/>
          <w:lang w:val="en-US"/>
        </w:rPr>
        <w:t>international responsibility, training</w:t>
      </w:r>
      <w:r w:rsidR="00006FCC" w:rsidRPr="008A3740">
        <w:rPr>
          <w:rFonts w:ascii="Verdana" w:hAnsi="Verdana"/>
          <w:sz w:val="20"/>
          <w:szCs w:val="20"/>
          <w:lang w:val="en-US"/>
        </w:rPr>
        <w:t xml:space="preserve"> courses</w:t>
      </w:r>
      <w:r w:rsidR="008E6A56" w:rsidRPr="008A3740">
        <w:rPr>
          <w:rFonts w:ascii="Verdana" w:hAnsi="Verdana"/>
          <w:sz w:val="20"/>
          <w:szCs w:val="20"/>
          <w:lang w:val="en-US"/>
        </w:rPr>
        <w:t xml:space="preserve">, </w:t>
      </w:r>
      <w:r w:rsidR="007E053B" w:rsidRPr="008A3740">
        <w:rPr>
          <w:rFonts w:ascii="Verdana" w:hAnsi="Verdana"/>
          <w:sz w:val="20"/>
          <w:szCs w:val="20"/>
          <w:lang w:val="en-US"/>
        </w:rPr>
        <w:t xml:space="preserve">or other </w:t>
      </w:r>
      <w:r w:rsidR="008E6A56" w:rsidRPr="008A3740">
        <w:rPr>
          <w:rFonts w:ascii="Verdana" w:hAnsi="Verdana"/>
          <w:sz w:val="20"/>
          <w:szCs w:val="20"/>
          <w:lang w:val="en-US"/>
        </w:rPr>
        <w:t>guarantees of non-repetition requested by the representatives.</w:t>
      </w:r>
    </w:p>
    <w:p w14:paraId="146A7680" w14:textId="77777777" w:rsidR="008E6A56" w:rsidRPr="008A3740" w:rsidRDefault="008E6A56" w:rsidP="008E6A56">
      <w:pPr>
        <w:tabs>
          <w:tab w:val="left" w:pos="567"/>
        </w:tabs>
        <w:textAlignment w:val="auto"/>
        <w:rPr>
          <w:rFonts w:ascii="Verdana" w:eastAsia="MS Mincho" w:hAnsi="Verdana"/>
          <w:sz w:val="20"/>
          <w:szCs w:val="20"/>
          <w:lang w:val="en-US" w:bidi="en-US"/>
        </w:rPr>
      </w:pPr>
    </w:p>
    <w:p w14:paraId="5350B868" w14:textId="77777777" w:rsidR="008E6A56" w:rsidRPr="008A3740" w:rsidRDefault="008E6A56" w:rsidP="008E6A56">
      <w:pPr>
        <w:pStyle w:val="Ttulo2"/>
        <w:tabs>
          <w:tab w:val="clear" w:pos="360"/>
        </w:tabs>
        <w:ind w:hanging="360"/>
        <w:rPr>
          <w:lang w:val="en-US"/>
        </w:rPr>
      </w:pPr>
      <w:bookmarkStart w:id="128" w:name="_Toc495658701"/>
      <w:bookmarkStart w:id="129" w:name="_Toc476390741"/>
      <w:bookmarkStart w:id="130" w:name="_Toc514172669"/>
      <w:bookmarkStart w:id="131" w:name="_Toc5009901"/>
      <w:r w:rsidRPr="008A3740">
        <w:rPr>
          <w:lang w:val="en-US"/>
        </w:rPr>
        <w:t>Compensation</w:t>
      </w:r>
      <w:bookmarkEnd w:id="128"/>
      <w:bookmarkEnd w:id="129"/>
      <w:bookmarkEnd w:id="130"/>
      <w:bookmarkEnd w:id="131"/>
    </w:p>
    <w:p w14:paraId="5ABF588E" w14:textId="77777777" w:rsidR="008E6A56" w:rsidRPr="008A3740" w:rsidRDefault="008E6A56" w:rsidP="008E6A56">
      <w:pPr>
        <w:ind w:left="142"/>
        <w:rPr>
          <w:rFonts w:ascii="Verdana" w:hAnsi="Verdana"/>
          <w:sz w:val="20"/>
          <w:szCs w:val="20"/>
          <w:lang w:val="en-US"/>
        </w:rPr>
      </w:pPr>
    </w:p>
    <w:p w14:paraId="79B51334"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Commission</w:t>
      </w:r>
      <w:r w:rsidRPr="008A3740">
        <w:rPr>
          <w:rFonts w:ascii="Verdana" w:hAnsi="Verdana"/>
          <w:sz w:val="20"/>
          <w:szCs w:val="20"/>
          <w:lang w:val="en-US"/>
        </w:rPr>
        <w:t xml:space="preserve"> asked the Court</w:t>
      </w:r>
      <w:r w:rsidR="00006FCC" w:rsidRPr="008A3740">
        <w:rPr>
          <w:rFonts w:ascii="Verdana" w:hAnsi="Verdana"/>
          <w:sz w:val="20"/>
          <w:szCs w:val="20"/>
          <w:lang w:val="en-US"/>
        </w:rPr>
        <w:t xml:space="preserve"> </w:t>
      </w:r>
      <w:r w:rsidRPr="008A3740">
        <w:rPr>
          <w:rFonts w:ascii="Verdana" w:hAnsi="Verdana"/>
          <w:sz w:val="20"/>
          <w:szCs w:val="20"/>
          <w:lang w:val="en-US"/>
        </w:rPr>
        <w:t xml:space="preserve">to order the State </w:t>
      </w:r>
      <w:r w:rsidR="007E053B" w:rsidRPr="008A3740">
        <w:rPr>
          <w:rFonts w:ascii="Verdana" w:hAnsi="Verdana"/>
          <w:sz w:val="20"/>
          <w:szCs w:val="20"/>
          <w:lang w:val="en-US"/>
        </w:rPr>
        <w:t xml:space="preserve">to </w:t>
      </w:r>
      <w:r w:rsidR="00131BC2" w:rsidRPr="008A3740">
        <w:rPr>
          <w:rFonts w:ascii="Verdana" w:hAnsi="Verdana"/>
          <w:sz w:val="20"/>
          <w:szCs w:val="20"/>
          <w:lang w:val="en-US"/>
        </w:rPr>
        <w:t xml:space="preserve">provide comprehensive reparation for </w:t>
      </w:r>
      <w:r w:rsidRPr="008A3740">
        <w:rPr>
          <w:rFonts w:ascii="Verdana" w:hAnsi="Verdana"/>
          <w:sz w:val="20"/>
          <w:szCs w:val="20"/>
          <w:lang w:val="en-US"/>
        </w:rPr>
        <w:t xml:space="preserve">the human rights violations declared in </w:t>
      </w:r>
      <w:r w:rsidR="006B4FB0" w:rsidRPr="008A3740">
        <w:rPr>
          <w:rFonts w:ascii="Verdana" w:hAnsi="Verdana"/>
          <w:sz w:val="20"/>
          <w:szCs w:val="20"/>
          <w:lang w:val="en-US"/>
        </w:rPr>
        <w:t>its m</w:t>
      </w:r>
      <w:r w:rsidRPr="008A3740">
        <w:rPr>
          <w:rFonts w:ascii="Verdana" w:hAnsi="Verdana"/>
          <w:sz w:val="20"/>
          <w:szCs w:val="20"/>
          <w:lang w:val="en-US"/>
        </w:rPr>
        <w:t>er</w:t>
      </w:r>
      <w:r w:rsidR="00075B54" w:rsidRPr="008A3740">
        <w:rPr>
          <w:rFonts w:ascii="Verdana" w:hAnsi="Verdana"/>
          <w:sz w:val="20"/>
          <w:szCs w:val="20"/>
          <w:lang w:val="en-US"/>
        </w:rPr>
        <w:t>it</w:t>
      </w:r>
      <w:r w:rsidRPr="008A3740">
        <w:rPr>
          <w:rFonts w:ascii="Verdana" w:hAnsi="Verdana"/>
          <w:sz w:val="20"/>
          <w:szCs w:val="20"/>
          <w:lang w:val="en-US"/>
        </w:rPr>
        <w:t xml:space="preserve">s report, both in the material </w:t>
      </w:r>
      <w:r w:rsidR="00075B54" w:rsidRPr="008A3740">
        <w:rPr>
          <w:rFonts w:ascii="Verdana" w:hAnsi="Verdana"/>
          <w:sz w:val="20"/>
          <w:szCs w:val="20"/>
          <w:lang w:val="en-US"/>
        </w:rPr>
        <w:t xml:space="preserve">and </w:t>
      </w:r>
      <w:r w:rsidRPr="008A3740">
        <w:rPr>
          <w:rFonts w:ascii="Verdana" w:hAnsi="Verdana"/>
          <w:sz w:val="20"/>
          <w:szCs w:val="20"/>
          <w:lang w:val="en-US"/>
        </w:rPr>
        <w:t>the moral</w:t>
      </w:r>
      <w:r w:rsidR="00075B54" w:rsidRPr="008A3740">
        <w:rPr>
          <w:rFonts w:ascii="Verdana" w:hAnsi="Verdana"/>
          <w:sz w:val="20"/>
          <w:szCs w:val="20"/>
          <w:lang w:val="en-US"/>
        </w:rPr>
        <w:t xml:space="preserve"> aspects</w:t>
      </w:r>
      <w:r w:rsidRPr="008A3740">
        <w:rPr>
          <w:rFonts w:ascii="Verdana" w:hAnsi="Verdana"/>
          <w:sz w:val="20"/>
          <w:szCs w:val="20"/>
          <w:lang w:val="en-US"/>
        </w:rPr>
        <w:t>.</w:t>
      </w:r>
    </w:p>
    <w:p w14:paraId="32AEA701" w14:textId="77777777" w:rsidR="008E6A56" w:rsidRPr="008A3740" w:rsidRDefault="008E6A56" w:rsidP="008E6A56">
      <w:pPr>
        <w:pStyle w:val="Ttulo3"/>
        <w:rPr>
          <w:sz w:val="18"/>
          <w:lang w:val="en-US"/>
        </w:rPr>
      </w:pPr>
      <w:bookmarkStart w:id="132" w:name="_Toc495658702"/>
      <w:bookmarkStart w:id="133" w:name="_Toc476390742"/>
      <w:bookmarkStart w:id="134" w:name="_Toc514172670"/>
      <w:bookmarkStart w:id="135" w:name="_Toc5009902"/>
      <w:r w:rsidRPr="008A3740">
        <w:rPr>
          <w:lang w:val="en-US"/>
        </w:rPr>
        <w:t>D.1 Pecu</w:t>
      </w:r>
      <w:r w:rsidR="00075B54" w:rsidRPr="008A3740">
        <w:rPr>
          <w:lang w:val="en-US"/>
        </w:rPr>
        <w:t>n</w:t>
      </w:r>
      <w:r w:rsidRPr="008A3740">
        <w:rPr>
          <w:lang w:val="en-US"/>
        </w:rPr>
        <w:t xml:space="preserve">iary damage </w:t>
      </w:r>
      <w:bookmarkEnd w:id="132"/>
      <w:bookmarkEnd w:id="133"/>
      <w:bookmarkEnd w:id="134"/>
      <w:bookmarkEnd w:id="135"/>
    </w:p>
    <w:p w14:paraId="7149A79A" w14:textId="77777777" w:rsidR="008E6A56" w:rsidRPr="008A3740" w:rsidRDefault="008E6A56" w:rsidP="008E6A56">
      <w:pPr>
        <w:tabs>
          <w:tab w:val="left" w:pos="2330"/>
        </w:tabs>
        <w:autoSpaceDE w:val="0"/>
        <w:autoSpaceDN w:val="0"/>
        <w:outlineLvl w:val="2"/>
        <w:rPr>
          <w:rFonts w:ascii="Verdana" w:hAnsi="Verdana"/>
          <w:b/>
          <w:i/>
          <w:sz w:val="20"/>
          <w:szCs w:val="20"/>
          <w:lang w:val="en-US"/>
        </w:rPr>
      </w:pPr>
      <w:r w:rsidRPr="008A3740">
        <w:rPr>
          <w:rFonts w:ascii="Verdana" w:hAnsi="Verdana"/>
          <w:b/>
          <w:i/>
          <w:sz w:val="18"/>
          <w:szCs w:val="20"/>
          <w:lang w:val="en-US"/>
        </w:rPr>
        <w:tab/>
      </w:r>
    </w:p>
    <w:p w14:paraId="31AFC1C5" w14:textId="77777777" w:rsidR="008E6A56" w:rsidRPr="008A3740" w:rsidRDefault="007E749A" w:rsidP="00D17A65">
      <w:pPr>
        <w:numPr>
          <w:ilvl w:val="0"/>
          <w:numId w:val="3"/>
        </w:numPr>
        <w:tabs>
          <w:tab w:val="left" w:pos="567"/>
          <w:tab w:val="num" w:pos="5057"/>
        </w:tabs>
        <w:ind w:left="0" w:firstLine="0"/>
        <w:textAlignment w:val="auto"/>
        <w:rPr>
          <w:rFonts w:ascii="Verdana" w:eastAsia="MS Mincho" w:hAnsi="Verdana"/>
          <w:bCs/>
          <w:sz w:val="20"/>
          <w:szCs w:val="20"/>
          <w:lang w:val="en-US" w:bidi="en-US"/>
        </w:rPr>
      </w:pPr>
      <w:r w:rsidRPr="008A3740">
        <w:rPr>
          <w:rFonts w:ascii="Verdana" w:hAnsi="Verdana" w:cs="Verdana"/>
          <w:bCs/>
          <w:iCs/>
          <w:sz w:val="20"/>
          <w:szCs w:val="20"/>
          <w:lang w:val="en-US"/>
        </w:rPr>
        <w:t>I</w:t>
      </w:r>
      <w:r w:rsidR="008E6A56" w:rsidRPr="008A3740">
        <w:rPr>
          <w:rFonts w:ascii="Verdana" w:hAnsi="Verdana" w:cs="Verdana"/>
          <w:bCs/>
          <w:iCs/>
          <w:sz w:val="20"/>
          <w:szCs w:val="20"/>
          <w:lang w:val="en-US"/>
        </w:rPr>
        <w:t xml:space="preserve">n </w:t>
      </w:r>
      <w:r w:rsidR="00075B54" w:rsidRPr="008A3740">
        <w:rPr>
          <w:rFonts w:ascii="Verdana" w:hAnsi="Verdana" w:cs="Verdana"/>
          <w:bCs/>
          <w:iCs/>
          <w:sz w:val="20"/>
          <w:szCs w:val="20"/>
          <w:lang w:val="en-US"/>
        </w:rPr>
        <w:t xml:space="preserve">its case law </w:t>
      </w:r>
      <w:r w:rsidRPr="008A3740">
        <w:rPr>
          <w:rFonts w:ascii="Verdana" w:hAnsi="Verdana" w:cs="Verdana"/>
          <w:bCs/>
          <w:iCs/>
          <w:sz w:val="20"/>
          <w:szCs w:val="20"/>
          <w:lang w:val="en-US"/>
        </w:rPr>
        <w:t>the Court</w:t>
      </w:r>
      <w:r w:rsidRPr="008A3740">
        <w:rPr>
          <w:rFonts w:ascii="Verdana" w:hAnsi="Verdana" w:cs="Verdana"/>
          <w:bCs/>
          <w:i/>
          <w:iCs/>
          <w:sz w:val="20"/>
          <w:szCs w:val="20"/>
          <w:lang w:val="en-US"/>
        </w:rPr>
        <w:t xml:space="preserve"> </w:t>
      </w:r>
      <w:r w:rsidRPr="008A3740">
        <w:rPr>
          <w:rFonts w:ascii="Verdana" w:hAnsi="Verdana" w:cs="Verdana"/>
          <w:bCs/>
          <w:iCs/>
          <w:sz w:val="20"/>
          <w:szCs w:val="20"/>
          <w:lang w:val="en-US"/>
        </w:rPr>
        <w:t xml:space="preserve">has developed </w:t>
      </w:r>
      <w:r w:rsidR="008E6A56" w:rsidRPr="008A3740">
        <w:rPr>
          <w:rFonts w:ascii="Verdana" w:hAnsi="Verdana" w:cs="Verdana"/>
          <w:bCs/>
          <w:iCs/>
          <w:sz w:val="20"/>
          <w:szCs w:val="20"/>
          <w:lang w:val="en-US"/>
        </w:rPr>
        <w:t xml:space="preserve">the concept of pecuniary damage and has established that </w:t>
      </w:r>
      <w:r w:rsidR="00075B54" w:rsidRPr="008A3740">
        <w:rPr>
          <w:rFonts w:ascii="Verdana" w:hAnsi="Verdana" w:cs="Verdana"/>
          <w:bCs/>
          <w:iCs/>
          <w:sz w:val="20"/>
          <w:szCs w:val="20"/>
          <w:lang w:val="en-US"/>
        </w:rPr>
        <w:t xml:space="preserve">this </w:t>
      </w:r>
      <w:r w:rsidRPr="008A3740">
        <w:rPr>
          <w:rFonts w:ascii="Verdana" w:hAnsi="Verdana" w:cs="Verdana"/>
          <w:bCs/>
          <w:iCs/>
          <w:sz w:val="20"/>
          <w:szCs w:val="20"/>
          <w:lang w:val="en-US"/>
        </w:rPr>
        <w:t xml:space="preserve">encompasses </w:t>
      </w:r>
      <w:r w:rsidRPr="008A3740">
        <w:rPr>
          <w:rFonts w:ascii="Verdana" w:hAnsi="Verdana"/>
          <w:sz w:val="20"/>
          <w:szCs w:val="20"/>
          <w:lang w:val="en-US"/>
        </w:rPr>
        <w:t xml:space="preserve">the loss of or detriment to the victims’ income, the expenses incurred as a result of the facts, and the monetary consequences that have a causal nexus with the facts of the </w:t>
      </w:r>
      <w:r w:rsidRPr="008A3740">
        <w:rPr>
          <w:rFonts w:ascii="Verdana" w:hAnsi="Verdana"/>
          <w:sz w:val="20"/>
          <w:szCs w:val="20"/>
          <w:lang w:val="en-US"/>
        </w:rPr>
        <w:lastRenderedPageBreak/>
        <w:t>case</w:t>
      </w:r>
      <w:r w:rsidR="00075B54" w:rsidRPr="008A3740">
        <w:rPr>
          <w:rFonts w:ascii="Verdana" w:hAnsi="Verdana" w:cs="Verdana"/>
          <w:bCs/>
          <w:iCs/>
          <w:sz w:val="20"/>
          <w:szCs w:val="20"/>
          <w:lang w:val="en-US"/>
        </w:rPr>
        <w:t>.</w:t>
      </w:r>
      <w:r w:rsidR="008E6A56" w:rsidRPr="008A3740">
        <w:rPr>
          <w:rFonts w:ascii="Verdana" w:eastAsia="MS Mincho" w:hAnsi="Verdana"/>
          <w:bCs/>
          <w:sz w:val="20"/>
          <w:szCs w:val="20"/>
          <w:vertAlign w:val="superscript"/>
          <w:lang w:val="en-US" w:bidi="en-US"/>
        </w:rPr>
        <w:footnoteReference w:id="235"/>
      </w:r>
    </w:p>
    <w:p w14:paraId="3EA9821A" w14:textId="77777777" w:rsidR="008E6A56" w:rsidRPr="008A3740" w:rsidRDefault="008E6A56" w:rsidP="008E6A56">
      <w:pPr>
        <w:pStyle w:val="Ttulo4"/>
        <w:rPr>
          <w:b w:val="0"/>
          <w:lang w:val="en-US"/>
        </w:rPr>
      </w:pPr>
      <w:r w:rsidRPr="008A3740">
        <w:rPr>
          <w:b w:val="0"/>
          <w:lang w:val="en-US"/>
        </w:rPr>
        <w:t>a) Consequential damages</w:t>
      </w:r>
    </w:p>
    <w:p w14:paraId="07F0E9A1" w14:textId="77777777" w:rsidR="008E6A56" w:rsidRPr="008A3740" w:rsidRDefault="008E6A56" w:rsidP="008E6A56">
      <w:pPr>
        <w:rPr>
          <w:rFonts w:ascii="Verdana" w:hAnsi="Verdana"/>
          <w:i/>
          <w:iCs/>
          <w:sz w:val="20"/>
          <w:szCs w:val="20"/>
          <w:lang w:val="en-US"/>
        </w:rPr>
      </w:pPr>
    </w:p>
    <w:p w14:paraId="403F7239"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hAnsi="Verdana"/>
          <w:sz w:val="20"/>
          <w:szCs w:val="20"/>
          <w:lang w:val="en-US"/>
        </w:rPr>
        <w:t xml:space="preserve">The </w:t>
      </w:r>
      <w:r w:rsidRPr="008A3740">
        <w:rPr>
          <w:rFonts w:ascii="Verdana" w:hAnsi="Verdana"/>
          <w:b/>
          <w:i/>
          <w:sz w:val="20"/>
          <w:szCs w:val="20"/>
          <w:lang w:val="en-US"/>
        </w:rPr>
        <w:t>representatives</w:t>
      </w:r>
      <w:r w:rsidRPr="008A3740">
        <w:rPr>
          <w:rFonts w:ascii="Verdana" w:hAnsi="Verdana"/>
          <w:sz w:val="20"/>
          <w:szCs w:val="20"/>
          <w:lang w:val="en-US"/>
        </w:rPr>
        <w:t xml:space="preserve"> a</w:t>
      </w:r>
      <w:r w:rsidR="00075B54" w:rsidRPr="008A3740">
        <w:rPr>
          <w:rFonts w:ascii="Verdana" w:hAnsi="Verdana"/>
          <w:sz w:val="20"/>
          <w:szCs w:val="20"/>
          <w:lang w:val="en-US"/>
        </w:rPr>
        <w:t xml:space="preserve">rgued that the State should pay compensation for </w:t>
      </w:r>
      <w:r w:rsidRPr="008A3740">
        <w:rPr>
          <w:rFonts w:ascii="Verdana" w:hAnsi="Verdana"/>
          <w:sz w:val="20"/>
          <w:szCs w:val="20"/>
          <w:lang w:val="en-US"/>
        </w:rPr>
        <w:t xml:space="preserve">the expenses incurred </w:t>
      </w:r>
      <w:r w:rsidR="00075B54" w:rsidRPr="008A3740">
        <w:rPr>
          <w:rFonts w:ascii="Verdana" w:hAnsi="Verdana"/>
          <w:sz w:val="20"/>
          <w:szCs w:val="20"/>
          <w:lang w:val="en-US"/>
        </w:rPr>
        <w:t xml:space="preserve">in the course of the domestic judicial proceedings </w:t>
      </w:r>
      <w:r w:rsidR="000607A6" w:rsidRPr="008A3740">
        <w:rPr>
          <w:rFonts w:ascii="Verdana" w:hAnsi="Verdana"/>
          <w:sz w:val="20"/>
          <w:szCs w:val="20"/>
          <w:lang w:val="en-US"/>
        </w:rPr>
        <w:t xml:space="preserve">during </w:t>
      </w:r>
      <w:r w:rsidR="00075B54" w:rsidRPr="008A3740">
        <w:rPr>
          <w:rFonts w:ascii="Verdana" w:hAnsi="Verdana"/>
          <w:sz w:val="20"/>
          <w:szCs w:val="20"/>
          <w:lang w:val="en-US"/>
        </w:rPr>
        <w:t>nearly 27 years, as well as</w:t>
      </w:r>
      <w:r w:rsidRPr="008A3740">
        <w:rPr>
          <w:rFonts w:ascii="Verdana" w:hAnsi="Verdana"/>
          <w:sz w:val="20"/>
          <w:szCs w:val="20"/>
          <w:lang w:val="en-US"/>
        </w:rPr>
        <w:t xml:space="preserve"> the </w:t>
      </w:r>
      <w:r w:rsidR="00075B54" w:rsidRPr="008A3740">
        <w:rPr>
          <w:rFonts w:ascii="Verdana" w:hAnsi="Verdana"/>
          <w:sz w:val="20"/>
          <w:szCs w:val="20"/>
          <w:lang w:val="en-US"/>
        </w:rPr>
        <w:t xml:space="preserve">lawyers’ </w:t>
      </w:r>
      <w:r w:rsidRPr="008A3740">
        <w:rPr>
          <w:rFonts w:ascii="Verdana" w:hAnsi="Verdana"/>
          <w:sz w:val="20"/>
          <w:szCs w:val="20"/>
          <w:lang w:val="en-US"/>
        </w:rPr>
        <w:t xml:space="preserve">fees. </w:t>
      </w:r>
      <w:r w:rsidR="00075B54" w:rsidRPr="008A3740">
        <w:rPr>
          <w:rFonts w:ascii="Verdana" w:hAnsi="Verdana"/>
          <w:sz w:val="20"/>
          <w:szCs w:val="20"/>
          <w:lang w:val="en-US"/>
        </w:rPr>
        <w:t>They also requested</w:t>
      </w:r>
      <w:r w:rsidRPr="008A3740">
        <w:rPr>
          <w:rFonts w:ascii="Verdana" w:hAnsi="Verdana"/>
          <w:sz w:val="20"/>
          <w:szCs w:val="20"/>
          <w:lang w:val="en-US"/>
        </w:rPr>
        <w:t xml:space="preserve"> </w:t>
      </w:r>
      <w:r w:rsidR="00075B54" w:rsidRPr="008A3740">
        <w:rPr>
          <w:rFonts w:ascii="Verdana" w:hAnsi="Verdana"/>
          <w:sz w:val="20"/>
          <w:szCs w:val="20"/>
          <w:lang w:val="en-US"/>
        </w:rPr>
        <w:t xml:space="preserve">reimbursement of </w:t>
      </w:r>
      <w:r w:rsidR="000607A6" w:rsidRPr="008A3740">
        <w:rPr>
          <w:rFonts w:ascii="Verdana" w:hAnsi="Verdana"/>
          <w:sz w:val="20"/>
          <w:szCs w:val="20"/>
          <w:lang w:val="en-US"/>
        </w:rPr>
        <w:t>Mr. Muelle Flores</w:t>
      </w:r>
      <w:r w:rsidR="000607A6" w:rsidRPr="008A3740">
        <w:rPr>
          <w:rFonts w:ascii="Verdana" w:hAnsi="Verdana"/>
          <w:sz w:val="20"/>
          <w:szCs w:val="20"/>
          <w:lang w:val="en-GB"/>
        </w:rPr>
        <w:t>’</w:t>
      </w:r>
      <w:r w:rsidR="000607A6" w:rsidRPr="008A3740">
        <w:rPr>
          <w:rFonts w:ascii="Verdana" w:hAnsi="Verdana"/>
          <w:sz w:val="20"/>
          <w:szCs w:val="20"/>
          <w:lang w:val="en-US"/>
        </w:rPr>
        <w:t xml:space="preserve"> </w:t>
      </w:r>
      <w:r w:rsidRPr="008A3740">
        <w:rPr>
          <w:rFonts w:ascii="Verdana" w:hAnsi="Verdana"/>
          <w:sz w:val="20"/>
          <w:szCs w:val="20"/>
          <w:lang w:val="en-US"/>
        </w:rPr>
        <w:t>medica</w:t>
      </w:r>
      <w:r w:rsidR="00075B54" w:rsidRPr="008A3740">
        <w:rPr>
          <w:rFonts w:ascii="Verdana" w:hAnsi="Verdana"/>
          <w:sz w:val="20"/>
          <w:szCs w:val="20"/>
          <w:lang w:val="en-US"/>
        </w:rPr>
        <w:t>l expenses</w:t>
      </w:r>
      <w:r w:rsidR="000607A6" w:rsidRPr="008A3740">
        <w:rPr>
          <w:rFonts w:ascii="Verdana" w:hAnsi="Verdana"/>
          <w:sz w:val="20"/>
          <w:szCs w:val="20"/>
          <w:lang w:val="en-US"/>
        </w:rPr>
        <w:t xml:space="preserve">, </w:t>
      </w:r>
      <w:r w:rsidR="006B4FB0" w:rsidRPr="008A3740">
        <w:rPr>
          <w:rFonts w:ascii="Verdana" w:hAnsi="Verdana"/>
          <w:sz w:val="20"/>
          <w:szCs w:val="20"/>
          <w:lang w:val="en-US"/>
        </w:rPr>
        <w:t xml:space="preserve">including </w:t>
      </w:r>
      <w:r w:rsidR="000607A6" w:rsidRPr="008A3740">
        <w:rPr>
          <w:rFonts w:ascii="Verdana" w:hAnsi="Verdana"/>
          <w:sz w:val="20"/>
          <w:szCs w:val="20"/>
          <w:lang w:val="en-US"/>
        </w:rPr>
        <w:t>those already</w:t>
      </w:r>
      <w:r w:rsidR="00075B54" w:rsidRPr="008A3740">
        <w:rPr>
          <w:rFonts w:ascii="Verdana" w:hAnsi="Verdana"/>
          <w:sz w:val="20"/>
          <w:szCs w:val="20"/>
          <w:lang w:val="en-US"/>
        </w:rPr>
        <w:t xml:space="preserve"> incurred and “future” </w:t>
      </w:r>
      <w:r w:rsidR="000607A6" w:rsidRPr="008A3740">
        <w:rPr>
          <w:rFonts w:ascii="Verdana" w:hAnsi="Verdana"/>
          <w:sz w:val="20"/>
          <w:szCs w:val="20"/>
          <w:lang w:val="en-US"/>
        </w:rPr>
        <w:t xml:space="preserve">expenses, as a consequence of </w:t>
      </w:r>
      <w:r w:rsidRPr="008A3740">
        <w:rPr>
          <w:rFonts w:ascii="Verdana" w:hAnsi="Verdana"/>
          <w:sz w:val="20"/>
          <w:szCs w:val="20"/>
          <w:lang w:val="en-US"/>
        </w:rPr>
        <w:t>having</w:t>
      </w:r>
      <w:r w:rsidR="00075B54" w:rsidRPr="008A3740">
        <w:rPr>
          <w:rFonts w:ascii="Verdana" w:hAnsi="Verdana"/>
          <w:sz w:val="20"/>
          <w:szCs w:val="20"/>
          <w:lang w:val="en-US"/>
        </w:rPr>
        <w:t xml:space="preserve"> </w:t>
      </w:r>
      <w:r w:rsidR="008A3740" w:rsidRPr="008A3740">
        <w:rPr>
          <w:rFonts w:ascii="Verdana" w:hAnsi="Verdana"/>
          <w:sz w:val="20"/>
          <w:szCs w:val="20"/>
          <w:lang w:val="en-US"/>
        </w:rPr>
        <w:t>developed “</w:t>
      </w:r>
      <w:r w:rsidR="00075B54" w:rsidRPr="008A3740">
        <w:rPr>
          <w:rFonts w:ascii="Verdana" w:hAnsi="Verdana"/>
          <w:sz w:val="20"/>
          <w:szCs w:val="20"/>
          <w:lang w:val="en-US"/>
        </w:rPr>
        <w:t>severe hy</w:t>
      </w:r>
      <w:r w:rsidRPr="008A3740">
        <w:rPr>
          <w:rFonts w:ascii="Verdana" w:hAnsi="Verdana"/>
          <w:sz w:val="20"/>
          <w:szCs w:val="20"/>
          <w:lang w:val="en-US"/>
        </w:rPr>
        <w:t xml:space="preserve">poacusia with loss total of </w:t>
      </w:r>
      <w:r w:rsidR="00075B54" w:rsidRPr="008A3740">
        <w:rPr>
          <w:rFonts w:ascii="Verdana" w:hAnsi="Verdana"/>
          <w:sz w:val="20"/>
          <w:szCs w:val="20"/>
          <w:lang w:val="en-US"/>
        </w:rPr>
        <w:t>hearing in one ear and</w:t>
      </w:r>
      <w:r w:rsidRPr="008A3740">
        <w:rPr>
          <w:rFonts w:ascii="Verdana" w:hAnsi="Verdana"/>
          <w:sz w:val="20"/>
          <w:szCs w:val="20"/>
          <w:lang w:val="en-US"/>
        </w:rPr>
        <w:t xml:space="preserve"> </w:t>
      </w:r>
      <w:r w:rsidR="00AD7D4D" w:rsidRPr="008A3740">
        <w:rPr>
          <w:rFonts w:ascii="Verdana" w:hAnsi="Verdana"/>
          <w:sz w:val="20"/>
          <w:szCs w:val="20"/>
          <w:lang w:val="en-US"/>
        </w:rPr>
        <w:t xml:space="preserve">significant decrease in </w:t>
      </w:r>
      <w:r w:rsidR="00075B54" w:rsidRPr="008A3740">
        <w:rPr>
          <w:rFonts w:ascii="Verdana" w:hAnsi="Verdana"/>
          <w:sz w:val="20"/>
          <w:szCs w:val="20"/>
          <w:lang w:val="en-US"/>
        </w:rPr>
        <w:t xml:space="preserve">hearing </w:t>
      </w:r>
      <w:r w:rsidRPr="008A3740">
        <w:rPr>
          <w:rFonts w:ascii="Verdana" w:hAnsi="Verdana"/>
          <w:sz w:val="20"/>
          <w:szCs w:val="20"/>
          <w:lang w:val="en-US"/>
        </w:rPr>
        <w:t>in the ot</w:t>
      </w:r>
      <w:r w:rsidR="00075B54" w:rsidRPr="008A3740">
        <w:rPr>
          <w:rFonts w:ascii="Verdana" w:hAnsi="Verdana"/>
          <w:sz w:val="20"/>
          <w:szCs w:val="20"/>
          <w:lang w:val="en-US"/>
        </w:rPr>
        <w:t>her,</w:t>
      </w:r>
      <w:r w:rsidRPr="008A3740">
        <w:rPr>
          <w:rFonts w:ascii="Verdana" w:hAnsi="Verdana"/>
          <w:sz w:val="20"/>
          <w:szCs w:val="20"/>
          <w:lang w:val="en-US"/>
        </w:rPr>
        <w:t>”</w:t>
      </w:r>
      <w:r w:rsidRPr="008A3740">
        <w:rPr>
          <w:rStyle w:val="Refdenotaalpie"/>
          <w:szCs w:val="20"/>
          <w:lang w:val="en-US"/>
        </w:rPr>
        <w:footnoteReference w:id="236"/>
      </w:r>
      <w:r w:rsidRPr="008A3740">
        <w:rPr>
          <w:rFonts w:ascii="Verdana" w:hAnsi="Verdana"/>
          <w:sz w:val="20"/>
          <w:szCs w:val="20"/>
          <w:lang w:val="en-US"/>
        </w:rPr>
        <w:t xml:space="preserve"> </w:t>
      </w:r>
      <w:r w:rsidR="000607A6" w:rsidRPr="008A3740">
        <w:rPr>
          <w:rFonts w:ascii="Verdana" w:hAnsi="Verdana"/>
          <w:sz w:val="20"/>
          <w:szCs w:val="20"/>
          <w:lang w:val="en-US"/>
        </w:rPr>
        <w:t xml:space="preserve">and the </w:t>
      </w:r>
      <w:r w:rsidR="00AD7D4D" w:rsidRPr="008A3740">
        <w:rPr>
          <w:rFonts w:ascii="Verdana" w:hAnsi="Verdana"/>
          <w:sz w:val="20"/>
          <w:szCs w:val="20"/>
          <w:lang w:val="en-US"/>
        </w:rPr>
        <w:t xml:space="preserve">aggravation of </w:t>
      </w:r>
      <w:r w:rsidRPr="008A3740">
        <w:rPr>
          <w:rFonts w:ascii="Verdana" w:hAnsi="Verdana"/>
          <w:sz w:val="20"/>
          <w:szCs w:val="20"/>
          <w:lang w:val="en-US"/>
        </w:rPr>
        <w:t xml:space="preserve">his </w:t>
      </w:r>
      <w:r w:rsidR="000607A6" w:rsidRPr="008A3740">
        <w:rPr>
          <w:rFonts w:ascii="Verdana" w:hAnsi="Verdana"/>
          <w:sz w:val="20"/>
          <w:szCs w:val="20"/>
          <w:lang w:val="en-US"/>
        </w:rPr>
        <w:t xml:space="preserve">general </w:t>
      </w:r>
      <w:r w:rsidRPr="008A3740">
        <w:rPr>
          <w:rFonts w:ascii="Verdana" w:hAnsi="Verdana"/>
          <w:sz w:val="20"/>
          <w:szCs w:val="20"/>
          <w:lang w:val="en-US"/>
        </w:rPr>
        <w:t xml:space="preserve">health </w:t>
      </w:r>
      <w:r w:rsidR="000607A6" w:rsidRPr="008A3740">
        <w:rPr>
          <w:rFonts w:ascii="Verdana" w:hAnsi="Verdana"/>
          <w:sz w:val="20"/>
          <w:szCs w:val="20"/>
          <w:lang w:val="en-US"/>
        </w:rPr>
        <w:t xml:space="preserve">owing to </w:t>
      </w:r>
      <w:r w:rsidRPr="008A3740">
        <w:rPr>
          <w:rFonts w:ascii="Verdana" w:hAnsi="Verdana"/>
          <w:sz w:val="20"/>
          <w:szCs w:val="20"/>
          <w:lang w:val="en-US"/>
        </w:rPr>
        <w:t>Alzheimer</w:t>
      </w:r>
      <w:r w:rsidR="000607A6" w:rsidRPr="008A3740">
        <w:rPr>
          <w:rFonts w:ascii="Verdana" w:hAnsi="Verdana"/>
          <w:sz w:val="20"/>
          <w:szCs w:val="20"/>
          <w:lang w:val="en-US"/>
        </w:rPr>
        <w:t>’s disease</w:t>
      </w:r>
      <w:r w:rsidRPr="008A3740">
        <w:rPr>
          <w:rFonts w:ascii="Verdana" w:hAnsi="Verdana"/>
          <w:sz w:val="20"/>
          <w:szCs w:val="20"/>
          <w:lang w:val="en-US"/>
        </w:rPr>
        <w:t xml:space="preserve"> and </w:t>
      </w:r>
      <w:r w:rsidR="000607A6" w:rsidRPr="008A3740">
        <w:rPr>
          <w:rFonts w:ascii="Verdana" w:hAnsi="Verdana"/>
          <w:sz w:val="20"/>
          <w:szCs w:val="20"/>
          <w:lang w:val="en-US"/>
        </w:rPr>
        <w:t xml:space="preserve">the femoral </w:t>
      </w:r>
      <w:r w:rsidRPr="008A3740">
        <w:rPr>
          <w:rFonts w:ascii="Verdana" w:hAnsi="Verdana"/>
          <w:sz w:val="20"/>
          <w:szCs w:val="20"/>
          <w:lang w:val="en-US"/>
        </w:rPr>
        <w:t xml:space="preserve">fracture. The representatives </w:t>
      </w:r>
      <w:r w:rsidR="00AD7D4D" w:rsidRPr="008A3740">
        <w:rPr>
          <w:rFonts w:ascii="Verdana" w:hAnsi="Verdana"/>
          <w:sz w:val="20"/>
          <w:szCs w:val="20"/>
          <w:lang w:val="en-US"/>
        </w:rPr>
        <w:t xml:space="preserve">stressed that those </w:t>
      </w:r>
      <w:r w:rsidRPr="008A3740">
        <w:rPr>
          <w:rFonts w:ascii="Verdana" w:hAnsi="Verdana"/>
          <w:sz w:val="20"/>
          <w:szCs w:val="20"/>
          <w:lang w:val="en-US"/>
        </w:rPr>
        <w:t xml:space="preserve">expenses </w:t>
      </w:r>
      <w:r w:rsidR="00075B54" w:rsidRPr="008A3740">
        <w:rPr>
          <w:rFonts w:ascii="Verdana" w:hAnsi="Verdana"/>
          <w:sz w:val="20"/>
          <w:szCs w:val="20"/>
          <w:lang w:val="en-US"/>
        </w:rPr>
        <w:t xml:space="preserve">resulted from the fact </w:t>
      </w:r>
      <w:r w:rsidRPr="008A3740">
        <w:rPr>
          <w:rFonts w:ascii="Verdana" w:hAnsi="Verdana"/>
          <w:sz w:val="20"/>
          <w:szCs w:val="20"/>
          <w:lang w:val="en-US"/>
        </w:rPr>
        <w:t>that Mr. Muelle Flores could not acce</w:t>
      </w:r>
      <w:r w:rsidR="00075B54" w:rsidRPr="008A3740">
        <w:rPr>
          <w:rFonts w:ascii="Verdana" w:hAnsi="Verdana"/>
          <w:sz w:val="20"/>
          <w:szCs w:val="20"/>
          <w:lang w:val="en-US"/>
        </w:rPr>
        <w:t xml:space="preserve">ss </w:t>
      </w:r>
      <w:r w:rsidR="000607A6" w:rsidRPr="008A3740">
        <w:rPr>
          <w:rFonts w:ascii="Verdana" w:hAnsi="Verdana"/>
          <w:sz w:val="20"/>
          <w:szCs w:val="20"/>
          <w:lang w:val="en-US"/>
        </w:rPr>
        <w:t xml:space="preserve">social health </w:t>
      </w:r>
      <w:r w:rsidRPr="008A3740">
        <w:rPr>
          <w:rFonts w:ascii="Verdana" w:hAnsi="Verdana"/>
          <w:sz w:val="20"/>
          <w:szCs w:val="20"/>
          <w:lang w:val="en-US"/>
        </w:rPr>
        <w:t xml:space="preserve">insurance </w:t>
      </w:r>
      <w:r w:rsidR="000607A6" w:rsidRPr="008A3740">
        <w:rPr>
          <w:rFonts w:ascii="Verdana" w:hAnsi="Verdana"/>
          <w:sz w:val="20"/>
          <w:szCs w:val="20"/>
          <w:lang w:val="en-US"/>
        </w:rPr>
        <w:t>o</w:t>
      </w:r>
      <w:r w:rsidR="00075B54" w:rsidRPr="008A3740">
        <w:rPr>
          <w:rFonts w:ascii="Verdana" w:hAnsi="Verdana"/>
          <w:sz w:val="20"/>
          <w:szCs w:val="20"/>
          <w:lang w:val="en-US"/>
        </w:rPr>
        <w:t xml:space="preserve">n the </w:t>
      </w:r>
      <w:r w:rsidRPr="008A3740">
        <w:rPr>
          <w:rFonts w:ascii="Verdana" w:hAnsi="Verdana"/>
          <w:sz w:val="20"/>
          <w:szCs w:val="20"/>
          <w:lang w:val="en-US"/>
        </w:rPr>
        <w:t xml:space="preserve">same </w:t>
      </w:r>
      <w:r w:rsidR="000607A6" w:rsidRPr="008A3740">
        <w:rPr>
          <w:rFonts w:ascii="Verdana" w:hAnsi="Verdana"/>
          <w:sz w:val="20"/>
          <w:szCs w:val="20"/>
          <w:lang w:val="en-US"/>
        </w:rPr>
        <w:t xml:space="preserve">terms </w:t>
      </w:r>
      <w:r w:rsidRPr="008A3740">
        <w:rPr>
          <w:rFonts w:ascii="Verdana" w:hAnsi="Verdana"/>
          <w:sz w:val="20"/>
          <w:szCs w:val="20"/>
          <w:lang w:val="en-US"/>
        </w:rPr>
        <w:t xml:space="preserve">as other pensioners, </w:t>
      </w:r>
      <w:r w:rsidR="00075B54" w:rsidRPr="008A3740">
        <w:rPr>
          <w:rFonts w:ascii="Verdana" w:hAnsi="Verdana"/>
          <w:sz w:val="20"/>
          <w:szCs w:val="20"/>
          <w:lang w:val="en-US"/>
        </w:rPr>
        <w:t xml:space="preserve">because his pension </w:t>
      </w:r>
      <w:r w:rsidR="000607A6" w:rsidRPr="008A3740">
        <w:rPr>
          <w:rFonts w:ascii="Verdana" w:hAnsi="Verdana"/>
          <w:sz w:val="20"/>
          <w:szCs w:val="20"/>
          <w:lang w:val="en-US"/>
        </w:rPr>
        <w:t>had not been paid</w:t>
      </w:r>
      <w:r w:rsidRPr="008A3740">
        <w:rPr>
          <w:rFonts w:ascii="Verdana" w:hAnsi="Verdana"/>
          <w:sz w:val="20"/>
          <w:szCs w:val="20"/>
          <w:lang w:val="en-US"/>
        </w:rPr>
        <w:t xml:space="preserve">. </w:t>
      </w:r>
      <w:r w:rsidR="00075B54" w:rsidRPr="008A3740">
        <w:rPr>
          <w:rFonts w:ascii="Verdana" w:hAnsi="Verdana"/>
          <w:sz w:val="20"/>
          <w:szCs w:val="20"/>
          <w:lang w:val="en-US"/>
        </w:rPr>
        <w:t xml:space="preserve">Therefore, they requested </w:t>
      </w:r>
      <w:r w:rsidR="006B4FB0" w:rsidRPr="008A3740">
        <w:rPr>
          <w:rFonts w:ascii="Verdana" w:hAnsi="Verdana"/>
          <w:sz w:val="20"/>
          <w:szCs w:val="20"/>
          <w:lang w:val="en-US"/>
        </w:rPr>
        <w:t xml:space="preserve">the </w:t>
      </w:r>
      <w:r w:rsidR="00075B54" w:rsidRPr="008A3740">
        <w:rPr>
          <w:rFonts w:ascii="Verdana" w:hAnsi="Verdana"/>
          <w:sz w:val="20"/>
          <w:szCs w:val="20"/>
          <w:lang w:val="en-US"/>
        </w:rPr>
        <w:t>payment</w:t>
      </w:r>
      <w:r w:rsidR="006B4FB0" w:rsidRPr="008A3740">
        <w:rPr>
          <w:rFonts w:ascii="Verdana" w:hAnsi="Verdana"/>
          <w:sz w:val="20"/>
          <w:szCs w:val="20"/>
          <w:lang w:val="en-US"/>
        </w:rPr>
        <w:t>,</w:t>
      </w:r>
      <w:r w:rsidR="00075B54" w:rsidRPr="008A3740">
        <w:rPr>
          <w:rFonts w:ascii="Verdana" w:hAnsi="Verdana"/>
          <w:sz w:val="20"/>
          <w:szCs w:val="20"/>
          <w:lang w:val="en-US"/>
        </w:rPr>
        <w:t xml:space="preserve"> in equity, </w:t>
      </w:r>
      <w:r w:rsidR="006B4FB0" w:rsidRPr="008A3740">
        <w:rPr>
          <w:rFonts w:ascii="Verdana" w:hAnsi="Verdana"/>
          <w:sz w:val="20"/>
          <w:szCs w:val="20"/>
          <w:lang w:val="en-US"/>
        </w:rPr>
        <w:t xml:space="preserve">of a sum </w:t>
      </w:r>
      <w:r w:rsidR="00075B54" w:rsidRPr="008A3740">
        <w:rPr>
          <w:rFonts w:ascii="Verdana" w:hAnsi="Verdana"/>
          <w:sz w:val="20"/>
          <w:szCs w:val="20"/>
          <w:lang w:val="en-US"/>
        </w:rPr>
        <w:t>no less than US$52,000.</w:t>
      </w:r>
      <w:r w:rsidRPr="008A3740">
        <w:rPr>
          <w:rFonts w:ascii="Verdana" w:hAnsi="Verdana"/>
          <w:sz w:val="20"/>
          <w:szCs w:val="20"/>
          <w:lang w:val="en-US"/>
        </w:rPr>
        <w:t>00 (fifty two thousand US dollars) “based</w:t>
      </w:r>
      <w:r w:rsidR="004A2ED2" w:rsidRPr="008A3740">
        <w:rPr>
          <w:rFonts w:ascii="Verdana" w:hAnsi="Verdana"/>
          <w:sz w:val="20"/>
          <w:szCs w:val="20"/>
          <w:lang w:val="en-US"/>
        </w:rPr>
        <w:t xml:space="preserve"> on an estimated value of </w:t>
      </w:r>
      <w:r w:rsidR="00075B54" w:rsidRPr="008A3740">
        <w:rPr>
          <w:rFonts w:ascii="Verdana" w:hAnsi="Verdana"/>
          <w:sz w:val="20"/>
          <w:szCs w:val="20"/>
          <w:lang w:val="en-US"/>
        </w:rPr>
        <w:t>US</w:t>
      </w:r>
      <w:r w:rsidR="004A2ED2" w:rsidRPr="008A3740">
        <w:rPr>
          <w:rFonts w:ascii="Verdana" w:hAnsi="Verdana"/>
          <w:sz w:val="20"/>
          <w:szCs w:val="20"/>
          <w:lang w:val="en-US"/>
        </w:rPr>
        <w:t xml:space="preserve"> </w:t>
      </w:r>
      <w:r w:rsidR="00075B54" w:rsidRPr="008A3740">
        <w:rPr>
          <w:rFonts w:ascii="Verdana" w:hAnsi="Verdana"/>
          <w:sz w:val="20"/>
          <w:szCs w:val="20"/>
          <w:lang w:val="en-US"/>
        </w:rPr>
        <w:t>$2,000.</w:t>
      </w:r>
      <w:r w:rsidRPr="008A3740">
        <w:rPr>
          <w:rFonts w:ascii="Verdana" w:hAnsi="Verdana"/>
          <w:sz w:val="20"/>
          <w:szCs w:val="20"/>
          <w:lang w:val="en-US"/>
        </w:rPr>
        <w:t xml:space="preserve">00 </w:t>
      </w:r>
      <w:r w:rsidR="004A2ED2" w:rsidRPr="008A3740">
        <w:rPr>
          <w:rFonts w:ascii="Verdana" w:hAnsi="Verdana"/>
          <w:sz w:val="20"/>
          <w:szCs w:val="20"/>
          <w:lang w:val="en-US"/>
        </w:rPr>
        <w:t>(</w:t>
      </w:r>
      <w:r w:rsidRPr="008A3740">
        <w:rPr>
          <w:rFonts w:ascii="Verdana" w:hAnsi="Verdana"/>
          <w:sz w:val="20"/>
          <w:szCs w:val="20"/>
          <w:lang w:val="en-US"/>
        </w:rPr>
        <w:t>two thousand US dollars</w:t>
      </w:r>
      <w:r w:rsidR="004A2ED2" w:rsidRPr="008A3740">
        <w:rPr>
          <w:rFonts w:ascii="Verdana" w:hAnsi="Verdana"/>
          <w:sz w:val="20"/>
          <w:szCs w:val="20"/>
          <w:lang w:val="en-US"/>
        </w:rPr>
        <w:t>)</w:t>
      </w:r>
      <w:r w:rsidRPr="008A3740">
        <w:rPr>
          <w:rFonts w:ascii="Verdana" w:hAnsi="Verdana"/>
          <w:sz w:val="20"/>
          <w:szCs w:val="20"/>
          <w:lang w:val="en-US"/>
        </w:rPr>
        <w:t xml:space="preserve"> per year.”</w:t>
      </w:r>
    </w:p>
    <w:p w14:paraId="5D0DB90A" w14:textId="77777777" w:rsidR="008E6A56" w:rsidRPr="008A3740" w:rsidRDefault="008E6A56" w:rsidP="008E6A56">
      <w:pPr>
        <w:tabs>
          <w:tab w:val="left" w:pos="567"/>
        </w:tabs>
        <w:textAlignment w:val="auto"/>
        <w:rPr>
          <w:rFonts w:ascii="Verdana" w:eastAsia="MS Mincho" w:hAnsi="Verdana"/>
          <w:sz w:val="20"/>
          <w:szCs w:val="20"/>
          <w:lang w:val="en-US" w:bidi="en-US"/>
        </w:rPr>
      </w:pPr>
    </w:p>
    <w:p w14:paraId="7280A7A5"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hAnsi="Verdana"/>
          <w:sz w:val="20"/>
          <w:szCs w:val="20"/>
          <w:lang w:val="en-US"/>
        </w:rPr>
        <w:t xml:space="preserve">The </w:t>
      </w:r>
      <w:r w:rsidRPr="008A3740">
        <w:rPr>
          <w:rFonts w:ascii="Verdana" w:hAnsi="Verdana"/>
          <w:b/>
          <w:i/>
          <w:sz w:val="20"/>
          <w:szCs w:val="20"/>
          <w:lang w:val="en-US"/>
        </w:rPr>
        <w:t>State</w:t>
      </w:r>
      <w:r w:rsidRPr="008A3740">
        <w:rPr>
          <w:rFonts w:ascii="Verdana" w:hAnsi="Verdana"/>
          <w:sz w:val="20"/>
          <w:szCs w:val="20"/>
          <w:lang w:val="en-US"/>
        </w:rPr>
        <w:t xml:space="preserve"> </w:t>
      </w:r>
      <w:r w:rsidR="0088402C" w:rsidRPr="008A3740">
        <w:rPr>
          <w:rFonts w:ascii="Verdana" w:hAnsi="Verdana"/>
          <w:sz w:val="20"/>
          <w:szCs w:val="20"/>
          <w:lang w:val="en-US"/>
        </w:rPr>
        <w:t xml:space="preserve">opposed the request of the representatives and </w:t>
      </w:r>
      <w:r w:rsidRPr="008A3740">
        <w:rPr>
          <w:rFonts w:ascii="Verdana" w:hAnsi="Verdana"/>
          <w:sz w:val="20"/>
          <w:szCs w:val="20"/>
          <w:lang w:val="en-US"/>
        </w:rPr>
        <w:t xml:space="preserve">held </w:t>
      </w:r>
      <w:r w:rsidR="00075B54" w:rsidRPr="008A3740">
        <w:rPr>
          <w:rFonts w:ascii="Verdana" w:hAnsi="Verdana"/>
          <w:sz w:val="20"/>
          <w:szCs w:val="20"/>
          <w:lang w:val="en-US"/>
        </w:rPr>
        <w:t>that</w:t>
      </w:r>
      <w:r w:rsidR="0088402C" w:rsidRPr="008A3740">
        <w:rPr>
          <w:rFonts w:ascii="Verdana" w:hAnsi="Verdana"/>
          <w:sz w:val="20"/>
          <w:szCs w:val="20"/>
          <w:lang w:val="en-US"/>
        </w:rPr>
        <w:t xml:space="preserve"> </w:t>
      </w:r>
      <w:r w:rsidRPr="008A3740">
        <w:rPr>
          <w:rFonts w:ascii="Verdana" w:hAnsi="Verdana"/>
          <w:sz w:val="20"/>
          <w:szCs w:val="20"/>
          <w:lang w:val="en-US"/>
        </w:rPr>
        <w:t xml:space="preserve">the expenses </w:t>
      </w:r>
      <w:r w:rsidR="00AD7D4D" w:rsidRPr="008A3740">
        <w:rPr>
          <w:rFonts w:ascii="Verdana" w:hAnsi="Verdana"/>
          <w:sz w:val="20"/>
          <w:szCs w:val="20"/>
          <w:lang w:val="en-US"/>
        </w:rPr>
        <w:t>arising</w:t>
      </w:r>
      <w:r w:rsidR="00075B54" w:rsidRPr="008A3740">
        <w:rPr>
          <w:rFonts w:ascii="Verdana" w:hAnsi="Verdana"/>
          <w:sz w:val="20"/>
          <w:szCs w:val="20"/>
          <w:lang w:val="en-US"/>
        </w:rPr>
        <w:t xml:space="preserve"> from the domestic judicial proceedings could not be considered pecuniary damage</w:t>
      </w:r>
      <w:r w:rsidRPr="008A3740">
        <w:rPr>
          <w:rFonts w:ascii="Verdana" w:hAnsi="Verdana"/>
          <w:sz w:val="20"/>
          <w:szCs w:val="20"/>
          <w:lang w:val="en-US"/>
        </w:rPr>
        <w:t xml:space="preserve">, </w:t>
      </w:r>
      <w:r w:rsidR="00AD7D4D" w:rsidRPr="008A3740">
        <w:rPr>
          <w:rFonts w:ascii="Verdana" w:hAnsi="Verdana"/>
          <w:sz w:val="20"/>
          <w:szCs w:val="20"/>
          <w:lang w:val="en-US"/>
        </w:rPr>
        <w:t>and should have been requested as costs and expenses. It</w:t>
      </w:r>
      <w:r w:rsidRPr="008A3740">
        <w:rPr>
          <w:rFonts w:ascii="Verdana" w:hAnsi="Verdana"/>
          <w:sz w:val="20"/>
          <w:szCs w:val="20"/>
          <w:lang w:val="en-US"/>
        </w:rPr>
        <w:t xml:space="preserve"> </w:t>
      </w:r>
      <w:r w:rsidR="00075B54" w:rsidRPr="008A3740">
        <w:rPr>
          <w:rFonts w:ascii="Verdana" w:hAnsi="Verdana"/>
          <w:sz w:val="20"/>
          <w:szCs w:val="20"/>
          <w:lang w:val="en-US"/>
        </w:rPr>
        <w:t xml:space="preserve">asked the </w:t>
      </w:r>
      <w:r w:rsidRPr="008A3740">
        <w:rPr>
          <w:rFonts w:ascii="Verdana" w:hAnsi="Verdana"/>
          <w:sz w:val="20"/>
          <w:szCs w:val="20"/>
          <w:lang w:val="en-US"/>
        </w:rPr>
        <w:t xml:space="preserve">Court </w:t>
      </w:r>
      <w:r w:rsidR="00AD7D4D" w:rsidRPr="008A3740">
        <w:rPr>
          <w:rFonts w:ascii="Verdana" w:hAnsi="Verdana"/>
          <w:sz w:val="20"/>
          <w:szCs w:val="20"/>
          <w:lang w:val="en-US"/>
        </w:rPr>
        <w:t xml:space="preserve">to reject this </w:t>
      </w:r>
      <w:r w:rsidR="007157CA" w:rsidRPr="008A3740">
        <w:rPr>
          <w:rFonts w:ascii="Verdana" w:hAnsi="Verdana"/>
          <w:sz w:val="20"/>
          <w:szCs w:val="20"/>
          <w:lang w:val="en-US"/>
        </w:rPr>
        <w:t xml:space="preserve">demand </w:t>
      </w:r>
      <w:r w:rsidRPr="008A3740">
        <w:rPr>
          <w:rFonts w:ascii="Verdana" w:hAnsi="Verdana"/>
          <w:sz w:val="20"/>
          <w:szCs w:val="20"/>
          <w:lang w:val="en-US"/>
        </w:rPr>
        <w:t>“</w:t>
      </w:r>
      <w:r w:rsidR="00F236D4" w:rsidRPr="008A3740">
        <w:rPr>
          <w:rFonts w:ascii="Verdana" w:hAnsi="Verdana"/>
          <w:sz w:val="20"/>
          <w:szCs w:val="20"/>
          <w:lang w:val="en-US"/>
        </w:rPr>
        <w:t xml:space="preserve">because it </w:t>
      </w:r>
      <w:r w:rsidR="0088402C" w:rsidRPr="008A3740">
        <w:rPr>
          <w:rFonts w:ascii="Verdana" w:hAnsi="Verdana"/>
          <w:sz w:val="20"/>
          <w:szCs w:val="20"/>
          <w:lang w:val="en-US"/>
        </w:rPr>
        <w:t xml:space="preserve">was not consistent </w:t>
      </w:r>
      <w:r w:rsidRPr="008A3740">
        <w:rPr>
          <w:rFonts w:ascii="Verdana" w:hAnsi="Verdana"/>
          <w:sz w:val="20"/>
          <w:szCs w:val="20"/>
          <w:lang w:val="en-US"/>
        </w:rPr>
        <w:t xml:space="preserve">with the </w:t>
      </w:r>
      <w:r w:rsidR="0088402C" w:rsidRPr="008A3740">
        <w:rPr>
          <w:rFonts w:ascii="Verdana" w:hAnsi="Verdana"/>
          <w:sz w:val="20"/>
          <w:szCs w:val="20"/>
          <w:lang w:val="en-US"/>
        </w:rPr>
        <w:t xml:space="preserve">nature </w:t>
      </w:r>
      <w:r w:rsidRPr="008A3740">
        <w:rPr>
          <w:rFonts w:ascii="Verdana" w:hAnsi="Verdana"/>
          <w:sz w:val="20"/>
          <w:szCs w:val="20"/>
          <w:lang w:val="en-US"/>
        </w:rPr>
        <w:t>of the measure requested</w:t>
      </w:r>
      <w:r w:rsidR="00075B54" w:rsidRPr="008A3740">
        <w:rPr>
          <w:rFonts w:ascii="Verdana" w:hAnsi="Verdana"/>
          <w:sz w:val="20"/>
          <w:szCs w:val="20"/>
          <w:lang w:val="en-US"/>
        </w:rPr>
        <w:t>.”</w:t>
      </w:r>
      <w:r w:rsidRPr="008A3740">
        <w:rPr>
          <w:rFonts w:ascii="Verdana" w:hAnsi="Verdana"/>
          <w:sz w:val="20"/>
          <w:szCs w:val="20"/>
          <w:lang w:val="en-US"/>
        </w:rPr>
        <w:t xml:space="preserve"> Likewise, </w:t>
      </w:r>
      <w:r w:rsidR="007157CA" w:rsidRPr="008A3740">
        <w:rPr>
          <w:rFonts w:ascii="Verdana" w:hAnsi="Verdana"/>
          <w:sz w:val="20"/>
          <w:szCs w:val="20"/>
          <w:lang w:val="en-US"/>
        </w:rPr>
        <w:t xml:space="preserve">it </w:t>
      </w:r>
      <w:r w:rsidRPr="008A3740">
        <w:rPr>
          <w:rFonts w:ascii="Verdana" w:hAnsi="Verdana"/>
          <w:sz w:val="20"/>
          <w:szCs w:val="20"/>
          <w:lang w:val="en-US"/>
        </w:rPr>
        <w:t xml:space="preserve">indicated that the representatives did not attach documentation </w:t>
      </w:r>
      <w:r w:rsidR="00AD7D4D" w:rsidRPr="008A3740">
        <w:rPr>
          <w:rFonts w:ascii="Verdana" w:hAnsi="Verdana"/>
          <w:sz w:val="20"/>
          <w:szCs w:val="20"/>
          <w:lang w:val="en-US"/>
        </w:rPr>
        <w:t>accrediting</w:t>
      </w:r>
      <w:r w:rsidRPr="008A3740">
        <w:rPr>
          <w:rFonts w:ascii="Verdana" w:hAnsi="Verdana"/>
          <w:sz w:val="20"/>
          <w:szCs w:val="20"/>
          <w:lang w:val="en-US"/>
        </w:rPr>
        <w:t xml:space="preserve"> the costs </w:t>
      </w:r>
      <w:r w:rsidR="00075B54" w:rsidRPr="008A3740">
        <w:rPr>
          <w:rFonts w:ascii="Verdana" w:hAnsi="Verdana"/>
          <w:sz w:val="20"/>
          <w:szCs w:val="20"/>
          <w:lang w:val="en-US"/>
        </w:rPr>
        <w:t xml:space="preserve">incurred in </w:t>
      </w:r>
      <w:r w:rsidRPr="008A3740">
        <w:rPr>
          <w:rFonts w:ascii="Verdana" w:hAnsi="Verdana"/>
          <w:sz w:val="20"/>
          <w:szCs w:val="20"/>
          <w:lang w:val="en-US"/>
        </w:rPr>
        <w:t xml:space="preserve">the </w:t>
      </w:r>
      <w:r w:rsidR="00075B54" w:rsidRPr="008A3740">
        <w:rPr>
          <w:rFonts w:ascii="Verdana" w:hAnsi="Verdana"/>
          <w:sz w:val="20"/>
          <w:szCs w:val="20"/>
          <w:lang w:val="en-US"/>
        </w:rPr>
        <w:t>domestic judicial proceeding</w:t>
      </w:r>
      <w:r w:rsidR="007157CA" w:rsidRPr="008A3740">
        <w:rPr>
          <w:rFonts w:ascii="Verdana" w:hAnsi="Verdana"/>
          <w:sz w:val="20"/>
          <w:szCs w:val="20"/>
          <w:lang w:val="en-US"/>
        </w:rPr>
        <w:t>s</w:t>
      </w:r>
      <w:r w:rsidRPr="008A3740">
        <w:rPr>
          <w:rFonts w:ascii="Verdana" w:hAnsi="Verdana"/>
          <w:sz w:val="20"/>
          <w:szCs w:val="20"/>
          <w:lang w:val="en-US"/>
        </w:rPr>
        <w:t xml:space="preserve">, </w:t>
      </w:r>
      <w:r w:rsidR="00AD7D4D" w:rsidRPr="008A3740">
        <w:rPr>
          <w:rFonts w:ascii="Verdana" w:hAnsi="Verdana"/>
          <w:sz w:val="20"/>
          <w:szCs w:val="20"/>
          <w:lang w:val="en-US"/>
        </w:rPr>
        <w:t xml:space="preserve">or </w:t>
      </w:r>
      <w:r w:rsidR="007157CA" w:rsidRPr="008A3740">
        <w:rPr>
          <w:rFonts w:ascii="Verdana" w:hAnsi="Verdana"/>
          <w:sz w:val="20"/>
          <w:szCs w:val="20"/>
          <w:lang w:val="en-US"/>
        </w:rPr>
        <w:t xml:space="preserve">the costs of </w:t>
      </w:r>
      <w:r w:rsidR="00AD7D4D" w:rsidRPr="008A3740">
        <w:rPr>
          <w:rFonts w:ascii="Verdana" w:hAnsi="Verdana"/>
          <w:sz w:val="20"/>
          <w:szCs w:val="20"/>
          <w:lang w:val="en-US"/>
        </w:rPr>
        <w:t xml:space="preserve">treating </w:t>
      </w:r>
      <w:r w:rsidRPr="008A3740">
        <w:rPr>
          <w:rFonts w:ascii="Verdana" w:hAnsi="Verdana"/>
          <w:sz w:val="20"/>
          <w:szCs w:val="20"/>
          <w:lang w:val="en-US"/>
        </w:rPr>
        <w:t xml:space="preserve">the </w:t>
      </w:r>
      <w:r w:rsidR="00075B54" w:rsidRPr="008A3740">
        <w:rPr>
          <w:rFonts w:ascii="Verdana" w:hAnsi="Verdana"/>
          <w:sz w:val="20"/>
          <w:szCs w:val="20"/>
          <w:lang w:val="en-US"/>
        </w:rPr>
        <w:t xml:space="preserve">hearing disability of </w:t>
      </w:r>
      <w:r w:rsidRPr="008A3740">
        <w:rPr>
          <w:rFonts w:ascii="Verdana" w:hAnsi="Verdana"/>
          <w:sz w:val="20"/>
          <w:szCs w:val="20"/>
          <w:lang w:val="en-US"/>
        </w:rPr>
        <w:t xml:space="preserve">the presumed victim, </w:t>
      </w:r>
      <w:r w:rsidR="004A2ED2" w:rsidRPr="008A3740">
        <w:rPr>
          <w:rFonts w:ascii="Verdana" w:hAnsi="Verdana"/>
          <w:sz w:val="20"/>
          <w:szCs w:val="20"/>
          <w:lang w:val="en-US"/>
        </w:rPr>
        <w:t xml:space="preserve">both </w:t>
      </w:r>
      <w:r w:rsidRPr="008A3740">
        <w:rPr>
          <w:rFonts w:ascii="Verdana" w:hAnsi="Verdana"/>
          <w:sz w:val="20"/>
          <w:szCs w:val="20"/>
          <w:lang w:val="en-US"/>
        </w:rPr>
        <w:t>invo</w:t>
      </w:r>
      <w:r w:rsidR="00131BC2" w:rsidRPr="008A3740">
        <w:rPr>
          <w:rFonts w:ascii="Verdana" w:hAnsi="Verdana"/>
          <w:sz w:val="20"/>
          <w:szCs w:val="20"/>
          <w:lang w:val="en-US"/>
        </w:rPr>
        <w:t xml:space="preserve">ked as </w:t>
      </w:r>
      <w:r w:rsidRPr="008A3740">
        <w:rPr>
          <w:rFonts w:ascii="Verdana" w:hAnsi="Verdana"/>
          <w:sz w:val="20"/>
          <w:szCs w:val="20"/>
          <w:lang w:val="en-US"/>
        </w:rPr>
        <w:t xml:space="preserve">consequential damages. </w:t>
      </w:r>
      <w:r w:rsidR="00075B54" w:rsidRPr="008A3740">
        <w:rPr>
          <w:rFonts w:ascii="Verdana" w:hAnsi="Verdana"/>
          <w:sz w:val="20"/>
          <w:szCs w:val="20"/>
          <w:lang w:val="en-US"/>
        </w:rPr>
        <w:t xml:space="preserve">In addition, it emphasized that no causal link existed </w:t>
      </w:r>
      <w:r w:rsidRPr="008A3740">
        <w:rPr>
          <w:rFonts w:ascii="Verdana" w:hAnsi="Verdana"/>
          <w:sz w:val="20"/>
          <w:szCs w:val="20"/>
          <w:lang w:val="en-US"/>
        </w:rPr>
        <w:t xml:space="preserve">between the </w:t>
      </w:r>
      <w:r w:rsidR="00075B54" w:rsidRPr="008A3740">
        <w:rPr>
          <w:rFonts w:ascii="Verdana" w:hAnsi="Verdana"/>
          <w:sz w:val="20"/>
          <w:szCs w:val="20"/>
          <w:lang w:val="en-US"/>
        </w:rPr>
        <w:t xml:space="preserve">State’s </w:t>
      </w:r>
      <w:r w:rsidRPr="008A3740">
        <w:rPr>
          <w:rFonts w:ascii="Verdana" w:hAnsi="Verdana"/>
          <w:sz w:val="20"/>
          <w:szCs w:val="20"/>
          <w:lang w:val="en-US"/>
        </w:rPr>
        <w:t xml:space="preserve">responsibility </w:t>
      </w:r>
      <w:r w:rsidR="00075B54" w:rsidRPr="008A3740">
        <w:rPr>
          <w:rFonts w:ascii="Verdana" w:hAnsi="Verdana"/>
          <w:sz w:val="20"/>
          <w:szCs w:val="20"/>
          <w:lang w:val="en-US"/>
        </w:rPr>
        <w:t xml:space="preserve">and </w:t>
      </w:r>
      <w:r w:rsidRPr="008A3740">
        <w:rPr>
          <w:rFonts w:ascii="Verdana" w:hAnsi="Verdana"/>
          <w:sz w:val="20"/>
          <w:szCs w:val="20"/>
          <w:lang w:val="en-US"/>
        </w:rPr>
        <w:t>th</w:t>
      </w:r>
      <w:r w:rsidR="00075B54" w:rsidRPr="008A3740">
        <w:rPr>
          <w:rFonts w:ascii="Verdana" w:hAnsi="Verdana"/>
          <w:sz w:val="20"/>
          <w:szCs w:val="20"/>
          <w:lang w:val="en-US"/>
        </w:rPr>
        <w:t xml:space="preserve">e effects on </w:t>
      </w:r>
      <w:r w:rsidR="006B4FB0" w:rsidRPr="008A3740">
        <w:rPr>
          <w:rFonts w:ascii="Verdana" w:hAnsi="Verdana"/>
          <w:sz w:val="20"/>
          <w:szCs w:val="20"/>
          <w:lang w:val="en-US"/>
        </w:rPr>
        <w:t xml:space="preserve">Mr. </w:t>
      </w:r>
      <w:r w:rsidRPr="008A3740">
        <w:rPr>
          <w:rFonts w:ascii="Verdana" w:hAnsi="Verdana"/>
          <w:sz w:val="20"/>
          <w:szCs w:val="20"/>
          <w:lang w:val="en-US"/>
        </w:rPr>
        <w:t>Muelle Flores</w:t>
      </w:r>
      <w:r w:rsidR="00075B54" w:rsidRPr="008A3740">
        <w:rPr>
          <w:rFonts w:ascii="Verdana" w:hAnsi="Verdana"/>
          <w:sz w:val="20"/>
          <w:szCs w:val="20"/>
          <w:lang w:val="en-US"/>
        </w:rPr>
        <w:t>’ health</w:t>
      </w:r>
      <w:r w:rsidR="007157CA" w:rsidRPr="008A3740">
        <w:rPr>
          <w:rFonts w:ascii="Verdana" w:hAnsi="Verdana"/>
          <w:sz w:val="20"/>
          <w:szCs w:val="20"/>
          <w:lang w:val="en-US"/>
        </w:rPr>
        <w:t>;</w:t>
      </w:r>
      <w:r w:rsidRPr="008A3740">
        <w:rPr>
          <w:rFonts w:ascii="Verdana" w:hAnsi="Verdana"/>
          <w:sz w:val="20"/>
          <w:szCs w:val="20"/>
          <w:lang w:val="en-US"/>
        </w:rPr>
        <w:t xml:space="preserve"> </w:t>
      </w:r>
      <w:r w:rsidR="007157CA" w:rsidRPr="008A3740">
        <w:rPr>
          <w:rFonts w:ascii="Verdana" w:hAnsi="Verdana"/>
          <w:sz w:val="20"/>
          <w:szCs w:val="20"/>
          <w:lang w:val="en-US"/>
        </w:rPr>
        <w:t xml:space="preserve">it </w:t>
      </w:r>
      <w:r w:rsidRPr="008A3740">
        <w:rPr>
          <w:rFonts w:ascii="Verdana" w:hAnsi="Verdana"/>
          <w:sz w:val="20"/>
          <w:szCs w:val="20"/>
          <w:lang w:val="en-US"/>
        </w:rPr>
        <w:t>argu</w:t>
      </w:r>
      <w:r w:rsidR="007157CA" w:rsidRPr="008A3740">
        <w:rPr>
          <w:rFonts w:ascii="Verdana" w:hAnsi="Verdana"/>
          <w:sz w:val="20"/>
          <w:szCs w:val="20"/>
          <w:lang w:val="en-US"/>
        </w:rPr>
        <w:t xml:space="preserve">ed </w:t>
      </w:r>
      <w:r w:rsidRPr="008A3740">
        <w:rPr>
          <w:rFonts w:ascii="Verdana" w:hAnsi="Verdana"/>
          <w:sz w:val="20"/>
          <w:szCs w:val="20"/>
          <w:lang w:val="en-US"/>
        </w:rPr>
        <w:t>that</w:t>
      </w:r>
      <w:r w:rsidR="007157CA" w:rsidRPr="008A3740">
        <w:rPr>
          <w:rFonts w:ascii="Verdana" w:hAnsi="Verdana"/>
          <w:sz w:val="20"/>
          <w:szCs w:val="20"/>
          <w:lang w:val="en-US"/>
        </w:rPr>
        <w:t>,</w:t>
      </w:r>
      <w:r w:rsidRPr="008A3740">
        <w:rPr>
          <w:rFonts w:ascii="Verdana" w:hAnsi="Verdana"/>
          <w:sz w:val="20"/>
          <w:szCs w:val="20"/>
          <w:lang w:val="en-US"/>
        </w:rPr>
        <w:t xml:space="preserve"> </w:t>
      </w:r>
      <w:r w:rsidR="004A2ED2" w:rsidRPr="008A3740">
        <w:rPr>
          <w:rFonts w:ascii="Verdana" w:hAnsi="Verdana"/>
          <w:sz w:val="20"/>
          <w:szCs w:val="20"/>
          <w:lang w:val="en-US"/>
        </w:rPr>
        <w:t>according to the pleadings and motions brief</w:t>
      </w:r>
      <w:r w:rsidR="007157CA" w:rsidRPr="008A3740">
        <w:rPr>
          <w:rFonts w:ascii="Verdana" w:hAnsi="Verdana"/>
          <w:sz w:val="20"/>
          <w:szCs w:val="20"/>
          <w:lang w:val="en-US"/>
        </w:rPr>
        <w:t>,</w:t>
      </w:r>
      <w:r w:rsidR="00AD7D4D" w:rsidRPr="008A3740">
        <w:rPr>
          <w:rFonts w:ascii="Verdana" w:hAnsi="Verdana"/>
          <w:sz w:val="20"/>
          <w:szCs w:val="20"/>
          <w:lang w:val="en-US"/>
        </w:rPr>
        <w:t xml:space="preserve"> the origi</w:t>
      </w:r>
      <w:r w:rsidRPr="008A3740">
        <w:rPr>
          <w:rFonts w:ascii="Verdana" w:hAnsi="Verdana"/>
          <w:sz w:val="20"/>
          <w:szCs w:val="20"/>
          <w:lang w:val="en-US"/>
        </w:rPr>
        <w:t xml:space="preserve">n of </w:t>
      </w:r>
      <w:r w:rsidR="00131BC2" w:rsidRPr="008A3740">
        <w:rPr>
          <w:rFonts w:ascii="Verdana" w:hAnsi="Verdana"/>
          <w:sz w:val="20"/>
          <w:szCs w:val="20"/>
          <w:lang w:val="en-US"/>
        </w:rPr>
        <w:t xml:space="preserve">his ailment </w:t>
      </w:r>
      <w:r w:rsidR="004A2ED2" w:rsidRPr="008A3740">
        <w:rPr>
          <w:rFonts w:ascii="Verdana" w:hAnsi="Verdana"/>
          <w:sz w:val="20"/>
          <w:szCs w:val="20"/>
          <w:lang w:val="en-US"/>
        </w:rPr>
        <w:t xml:space="preserve">preceded </w:t>
      </w:r>
      <w:r w:rsidRPr="008A3740">
        <w:rPr>
          <w:rFonts w:ascii="Verdana" w:hAnsi="Verdana"/>
          <w:sz w:val="20"/>
          <w:szCs w:val="20"/>
          <w:lang w:val="en-US"/>
        </w:rPr>
        <w:t xml:space="preserve">the facts that </w:t>
      </w:r>
      <w:r w:rsidR="004A2ED2" w:rsidRPr="008A3740">
        <w:rPr>
          <w:rFonts w:ascii="Verdana" w:hAnsi="Verdana"/>
          <w:sz w:val="20"/>
          <w:szCs w:val="20"/>
          <w:lang w:val="en-US"/>
        </w:rPr>
        <w:t xml:space="preserve">prompted </w:t>
      </w:r>
      <w:r w:rsidR="00AD7D4D" w:rsidRPr="008A3740">
        <w:rPr>
          <w:rFonts w:ascii="Verdana" w:hAnsi="Verdana"/>
          <w:sz w:val="20"/>
          <w:szCs w:val="20"/>
          <w:lang w:val="en-US"/>
        </w:rPr>
        <w:t>this</w:t>
      </w:r>
      <w:r w:rsidRPr="008A3740">
        <w:rPr>
          <w:rFonts w:ascii="Verdana" w:hAnsi="Verdana"/>
          <w:sz w:val="20"/>
          <w:szCs w:val="20"/>
          <w:lang w:val="en-US"/>
        </w:rPr>
        <w:t xml:space="preserve"> case, and that </w:t>
      </w:r>
      <w:r w:rsidR="00AD7D4D" w:rsidRPr="008A3740">
        <w:rPr>
          <w:rFonts w:ascii="Verdana" w:hAnsi="Verdana"/>
          <w:sz w:val="20"/>
          <w:szCs w:val="20"/>
          <w:lang w:val="en-US"/>
        </w:rPr>
        <w:t xml:space="preserve">it had not been </w:t>
      </w:r>
      <w:r w:rsidR="007157CA" w:rsidRPr="008A3740">
        <w:rPr>
          <w:rFonts w:ascii="Verdana" w:hAnsi="Verdana"/>
          <w:sz w:val="20"/>
          <w:szCs w:val="20"/>
          <w:lang w:val="en-US"/>
        </w:rPr>
        <w:t xml:space="preserve">claimed </w:t>
      </w:r>
      <w:r w:rsidR="00AD7D4D" w:rsidRPr="008A3740">
        <w:rPr>
          <w:rFonts w:ascii="Verdana" w:hAnsi="Verdana"/>
          <w:sz w:val="20"/>
          <w:szCs w:val="20"/>
          <w:lang w:val="en-US"/>
        </w:rPr>
        <w:t xml:space="preserve">that </w:t>
      </w:r>
      <w:r w:rsidRPr="008A3740">
        <w:rPr>
          <w:rFonts w:ascii="Verdana" w:hAnsi="Verdana"/>
          <w:sz w:val="20"/>
          <w:szCs w:val="20"/>
          <w:lang w:val="en-US"/>
        </w:rPr>
        <w:t xml:space="preserve">Mr. Muelle Flores </w:t>
      </w:r>
      <w:r w:rsidR="007157CA" w:rsidRPr="008A3740">
        <w:rPr>
          <w:rFonts w:ascii="Verdana" w:hAnsi="Verdana"/>
          <w:sz w:val="20"/>
          <w:szCs w:val="20"/>
          <w:lang w:val="en-US"/>
        </w:rPr>
        <w:t xml:space="preserve">currently </w:t>
      </w:r>
      <w:r w:rsidR="00AD7D4D" w:rsidRPr="008A3740">
        <w:rPr>
          <w:rFonts w:ascii="Verdana" w:hAnsi="Verdana"/>
          <w:sz w:val="20"/>
          <w:szCs w:val="20"/>
          <w:lang w:val="en-US"/>
        </w:rPr>
        <w:t xml:space="preserve">did not have access to </w:t>
      </w:r>
      <w:r w:rsidR="00131BC2" w:rsidRPr="008A3740">
        <w:rPr>
          <w:rFonts w:ascii="Verdana" w:hAnsi="Verdana"/>
          <w:sz w:val="20"/>
          <w:szCs w:val="20"/>
          <w:lang w:val="en-US"/>
        </w:rPr>
        <w:t xml:space="preserve">medical </w:t>
      </w:r>
      <w:r w:rsidR="00190DC1" w:rsidRPr="008A3740">
        <w:rPr>
          <w:rFonts w:ascii="Verdana" w:hAnsi="Verdana"/>
          <w:sz w:val="20"/>
          <w:szCs w:val="20"/>
          <w:lang w:val="en-US"/>
        </w:rPr>
        <w:t>treatment</w:t>
      </w:r>
      <w:r w:rsidRPr="008A3740">
        <w:rPr>
          <w:rFonts w:ascii="Verdana" w:hAnsi="Verdana"/>
          <w:sz w:val="20"/>
          <w:szCs w:val="20"/>
          <w:lang w:val="en-US"/>
        </w:rPr>
        <w:t xml:space="preserve"> </w:t>
      </w:r>
      <w:r w:rsidR="00131BC2" w:rsidRPr="008A3740">
        <w:rPr>
          <w:rFonts w:ascii="Verdana" w:hAnsi="Verdana"/>
          <w:sz w:val="20"/>
          <w:szCs w:val="20"/>
          <w:lang w:val="en-US"/>
        </w:rPr>
        <w:t xml:space="preserve">or </w:t>
      </w:r>
      <w:r w:rsidRPr="008A3740">
        <w:rPr>
          <w:rFonts w:ascii="Verdana" w:hAnsi="Verdana"/>
          <w:sz w:val="20"/>
          <w:szCs w:val="20"/>
          <w:lang w:val="en-US"/>
        </w:rPr>
        <w:t>medicine</w:t>
      </w:r>
      <w:r w:rsidR="00131BC2" w:rsidRPr="008A3740">
        <w:rPr>
          <w:rFonts w:ascii="Verdana" w:hAnsi="Verdana"/>
          <w:sz w:val="20"/>
          <w:szCs w:val="20"/>
          <w:lang w:val="en-US"/>
        </w:rPr>
        <w:t>s</w:t>
      </w:r>
      <w:r w:rsidRPr="008A3740">
        <w:rPr>
          <w:rFonts w:ascii="Verdana" w:hAnsi="Verdana"/>
          <w:sz w:val="20"/>
          <w:szCs w:val="20"/>
          <w:lang w:val="en-US"/>
        </w:rPr>
        <w:t xml:space="preserve">. Consequently, </w:t>
      </w:r>
      <w:r w:rsidR="007157CA" w:rsidRPr="008A3740">
        <w:rPr>
          <w:rFonts w:ascii="Verdana" w:hAnsi="Verdana"/>
          <w:sz w:val="20"/>
          <w:szCs w:val="20"/>
          <w:lang w:val="en-US"/>
        </w:rPr>
        <w:t xml:space="preserve">it </w:t>
      </w:r>
      <w:r w:rsidRPr="008A3740">
        <w:rPr>
          <w:rFonts w:ascii="Verdana" w:hAnsi="Verdana"/>
          <w:sz w:val="20"/>
          <w:szCs w:val="20"/>
          <w:lang w:val="en-US"/>
        </w:rPr>
        <w:t xml:space="preserve">concluded that “the necessary </w:t>
      </w:r>
      <w:r w:rsidR="0035170C" w:rsidRPr="008A3740">
        <w:rPr>
          <w:rFonts w:ascii="Verdana" w:hAnsi="Verdana"/>
          <w:sz w:val="20"/>
          <w:szCs w:val="20"/>
          <w:lang w:val="en-US"/>
        </w:rPr>
        <w:t xml:space="preserve">conditions </w:t>
      </w:r>
      <w:r w:rsidR="00AD7D4D" w:rsidRPr="008A3740">
        <w:rPr>
          <w:rFonts w:ascii="Verdana" w:hAnsi="Verdana"/>
          <w:sz w:val="20"/>
          <w:szCs w:val="20"/>
          <w:lang w:val="en-US"/>
        </w:rPr>
        <w:t xml:space="preserve">were not met to be </w:t>
      </w:r>
      <w:r w:rsidR="0035170C" w:rsidRPr="008A3740">
        <w:rPr>
          <w:rFonts w:ascii="Verdana" w:hAnsi="Verdana"/>
          <w:sz w:val="20"/>
          <w:szCs w:val="20"/>
          <w:lang w:val="en-US"/>
        </w:rPr>
        <w:t>validly grant[ed</w:t>
      </w:r>
      <w:r w:rsidR="007157CA" w:rsidRPr="008A3740">
        <w:rPr>
          <w:rFonts w:ascii="Verdana" w:hAnsi="Verdana"/>
          <w:sz w:val="20"/>
          <w:szCs w:val="20"/>
          <w:lang w:val="en-US"/>
        </w:rPr>
        <w:t xml:space="preserve">] </w:t>
      </w:r>
      <w:r w:rsidR="00AD7D4D" w:rsidRPr="008A3740">
        <w:rPr>
          <w:rFonts w:ascii="Verdana" w:hAnsi="Verdana"/>
          <w:sz w:val="20"/>
          <w:szCs w:val="20"/>
          <w:lang w:val="en-US"/>
        </w:rPr>
        <w:t>pecuniary</w:t>
      </w:r>
      <w:r w:rsidRPr="008A3740">
        <w:rPr>
          <w:rFonts w:ascii="Verdana" w:hAnsi="Verdana"/>
          <w:sz w:val="20"/>
          <w:szCs w:val="20"/>
          <w:lang w:val="en-US"/>
        </w:rPr>
        <w:t xml:space="preserve"> </w:t>
      </w:r>
      <w:r w:rsidR="0035170C" w:rsidRPr="008A3740">
        <w:rPr>
          <w:rFonts w:ascii="Verdana" w:hAnsi="Verdana"/>
          <w:sz w:val="20"/>
          <w:szCs w:val="20"/>
          <w:lang w:val="en-US"/>
        </w:rPr>
        <w:t xml:space="preserve">compensation </w:t>
      </w:r>
      <w:r w:rsidR="004A2ED2" w:rsidRPr="008A3740">
        <w:rPr>
          <w:rFonts w:ascii="Verdana" w:hAnsi="Verdana"/>
          <w:sz w:val="20"/>
          <w:szCs w:val="20"/>
          <w:lang w:val="en-US"/>
        </w:rPr>
        <w:t xml:space="preserve">for </w:t>
      </w:r>
      <w:r w:rsidRPr="008A3740">
        <w:rPr>
          <w:rFonts w:ascii="Verdana" w:hAnsi="Verdana"/>
          <w:sz w:val="20"/>
          <w:szCs w:val="20"/>
          <w:lang w:val="en-US"/>
        </w:rPr>
        <w:t>conse</w:t>
      </w:r>
      <w:r w:rsidR="004A2ED2" w:rsidRPr="008A3740">
        <w:rPr>
          <w:rFonts w:ascii="Verdana" w:hAnsi="Verdana"/>
          <w:sz w:val="20"/>
          <w:szCs w:val="20"/>
          <w:lang w:val="en-US"/>
        </w:rPr>
        <w:t>quential damages</w:t>
      </w:r>
      <w:r w:rsidR="0035170C" w:rsidRPr="008A3740">
        <w:rPr>
          <w:rFonts w:ascii="Verdana" w:hAnsi="Verdana"/>
          <w:sz w:val="20"/>
          <w:szCs w:val="20"/>
          <w:lang w:val="en-US"/>
        </w:rPr>
        <w:t>,”</w:t>
      </w:r>
      <w:r w:rsidR="004A2ED2" w:rsidRPr="008A3740">
        <w:rPr>
          <w:rFonts w:ascii="Verdana" w:hAnsi="Verdana"/>
          <w:sz w:val="20"/>
          <w:szCs w:val="20"/>
          <w:lang w:val="en-US"/>
        </w:rPr>
        <w:t xml:space="preserve"> </w:t>
      </w:r>
      <w:r w:rsidR="0035170C" w:rsidRPr="008A3740">
        <w:rPr>
          <w:rFonts w:ascii="Verdana" w:hAnsi="Verdana"/>
          <w:sz w:val="20"/>
          <w:szCs w:val="20"/>
          <w:lang w:val="en-US"/>
        </w:rPr>
        <w:t xml:space="preserve">and asked </w:t>
      </w:r>
      <w:r w:rsidR="004A2ED2" w:rsidRPr="008A3740">
        <w:rPr>
          <w:rFonts w:ascii="Verdana" w:hAnsi="Verdana"/>
          <w:sz w:val="20"/>
          <w:szCs w:val="20"/>
          <w:lang w:val="en-US"/>
        </w:rPr>
        <w:t>t</w:t>
      </w:r>
      <w:r w:rsidRPr="008A3740">
        <w:rPr>
          <w:rFonts w:ascii="Verdana" w:hAnsi="Verdana"/>
          <w:sz w:val="20"/>
          <w:szCs w:val="20"/>
          <w:lang w:val="en-US"/>
        </w:rPr>
        <w:t>he Cou</w:t>
      </w:r>
      <w:r w:rsidR="00C1574B" w:rsidRPr="008A3740">
        <w:rPr>
          <w:rFonts w:ascii="Verdana" w:hAnsi="Verdana"/>
          <w:sz w:val="20"/>
          <w:szCs w:val="20"/>
          <w:lang w:val="en-US"/>
        </w:rPr>
        <w:t xml:space="preserve">rt to dismiss that </w:t>
      </w:r>
      <w:r w:rsidRPr="008A3740">
        <w:rPr>
          <w:rFonts w:ascii="Verdana" w:hAnsi="Verdana"/>
          <w:sz w:val="20"/>
          <w:szCs w:val="20"/>
          <w:lang w:val="en-US"/>
        </w:rPr>
        <w:t>claim.</w:t>
      </w:r>
    </w:p>
    <w:p w14:paraId="4CAC5E2D" w14:textId="77777777" w:rsidR="008E6A56" w:rsidRPr="008A3740" w:rsidRDefault="008E6A56" w:rsidP="008E6A56">
      <w:pPr>
        <w:tabs>
          <w:tab w:val="left" w:pos="567"/>
        </w:tabs>
        <w:textAlignment w:val="auto"/>
        <w:rPr>
          <w:rFonts w:ascii="Verdana" w:eastAsia="MS Mincho" w:hAnsi="Verdana"/>
          <w:sz w:val="20"/>
          <w:szCs w:val="20"/>
          <w:lang w:val="en-US" w:bidi="en-US"/>
        </w:rPr>
      </w:pPr>
    </w:p>
    <w:p w14:paraId="0BA5BA4B" w14:textId="77777777" w:rsidR="008E6A56" w:rsidRPr="008A3740" w:rsidRDefault="008E6A56" w:rsidP="00D17A65">
      <w:pPr>
        <w:numPr>
          <w:ilvl w:val="0"/>
          <w:numId w:val="3"/>
        </w:numPr>
        <w:tabs>
          <w:tab w:val="left" w:pos="567"/>
          <w:tab w:val="num" w:pos="5057"/>
        </w:tabs>
        <w:ind w:left="0" w:firstLine="0"/>
        <w:rPr>
          <w:rFonts w:ascii="Verdana" w:eastAsia="MS Mincho" w:hAnsi="Verdana" w:cs="Verdana"/>
          <w:sz w:val="20"/>
          <w:szCs w:val="20"/>
          <w:lang w:val="en-US" w:bidi="en-US"/>
        </w:rPr>
      </w:pPr>
      <w:r w:rsidRPr="008A3740">
        <w:rPr>
          <w:rFonts w:ascii="Verdana" w:eastAsia="MS Mincho" w:hAnsi="Verdana" w:cs="Arial"/>
          <w:sz w:val="20"/>
          <w:szCs w:val="20"/>
          <w:lang w:val="en-US" w:bidi="en-US"/>
        </w:rPr>
        <w:t xml:space="preserve">The Court </w:t>
      </w:r>
      <w:r w:rsidR="004A2ED2" w:rsidRPr="008A3740">
        <w:rPr>
          <w:rFonts w:ascii="Verdana" w:eastAsia="MS Mincho" w:hAnsi="Verdana" w:cs="Arial"/>
          <w:sz w:val="20"/>
          <w:szCs w:val="20"/>
          <w:lang w:val="en-US" w:bidi="en-US"/>
        </w:rPr>
        <w:t>will consider</w:t>
      </w:r>
      <w:r w:rsidR="007157CA" w:rsidRPr="008A3740">
        <w:rPr>
          <w:rFonts w:ascii="Verdana" w:eastAsia="MS Mincho" w:hAnsi="Verdana" w:cs="Arial"/>
          <w:sz w:val="20"/>
          <w:szCs w:val="20"/>
          <w:lang w:val="en-US" w:bidi="en-US"/>
        </w:rPr>
        <w:t>, u</w:t>
      </w:r>
      <w:r w:rsidRPr="008A3740">
        <w:rPr>
          <w:rFonts w:ascii="Verdana" w:eastAsia="MS Mincho" w:hAnsi="Verdana" w:cs="Arial"/>
          <w:sz w:val="20"/>
          <w:szCs w:val="20"/>
          <w:lang w:val="en-US" w:bidi="en-US"/>
        </w:rPr>
        <w:t xml:space="preserve">nder the </w:t>
      </w:r>
      <w:r w:rsidR="004A2ED2" w:rsidRPr="008A3740">
        <w:rPr>
          <w:rFonts w:ascii="Verdana" w:eastAsia="MS Mincho" w:hAnsi="Verdana" w:cs="Arial"/>
          <w:sz w:val="20"/>
          <w:szCs w:val="20"/>
          <w:lang w:val="en-US" w:bidi="en-US"/>
        </w:rPr>
        <w:t xml:space="preserve">heading of </w:t>
      </w:r>
      <w:r w:rsidRPr="008A3740">
        <w:rPr>
          <w:rFonts w:ascii="Verdana" w:eastAsia="MS Mincho" w:hAnsi="Verdana" w:cs="Arial"/>
          <w:sz w:val="20"/>
          <w:szCs w:val="20"/>
          <w:lang w:val="en-US" w:bidi="en-US"/>
        </w:rPr>
        <w:t>consequential damages</w:t>
      </w:r>
      <w:r w:rsidR="007157CA" w:rsidRPr="008A3740">
        <w:rPr>
          <w:rFonts w:ascii="Verdana" w:eastAsia="MS Mincho" w:hAnsi="Verdana" w:cs="Arial"/>
          <w:sz w:val="20"/>
          <w:szCs w:val="20"/>
          <w:lang w:val="en-US" w:bidi="en-US"/>
        </w:rPr>
        <w:t>,</w:t>
      </w:r>
      <w:r w:rsidRPr="008A3740">
        <w:rPr>
          <w:rFonts w:ascii="Verdana" w:eastAsia="MS Mincho" w:hAnsi="Verdana" w:cs="Arial"/>
          <w:sz w:val="20"/>
          <w:szCs w:val="20"/>
          <w:lang w:val="en-US" w:bidi="en-US"/>
        </w:rPr>
        <w:t xml:space="preserve"> the expenses incurr</w:t>
      </w:r>
      <w:r w:rsidR="00131BC2" w:rsidRPr="008A3740">
        <w:rPr>
          <w:rFonts w:ascii="Verdana" w:eastAsia="MS Mincho" w:hAnsi="Verdana" w:cs="Arial"/>
          <w:sz w:val="20"/>
          <w:szCs w:val="20"/>
          <w:lang w:val="en-US" w:bidi="en-US"/>
        </w:rPr>
        <w:t xml:space="preserve">ed </w:t>
      </w:r>
      <w:r w:rsidRPr="008A3740">
        <w:rPr>
          <w:rFonts w:ascii="Verdana" w:eastAsia="MS Mincho" w:hAnsi="Verdana" w:cs="Arial"/>
          <w:sz w:val="20"/>
          <w:szCs w:val="20"/>
          <w:lang w:val="en-US" w:bidi="en-US"/>
        </w:rPr>
        <w:t xml:space="preserve">by Mr. Muelle Flores that </w:t>
      </w:r>
      <w:r w:rsidR="00131BC2" w:rsidRPr="008A3740">
        <w:rPr>
          <w:rFonts w:ascii="Verdana" w:eastAsia="MS Mincho" w:hAnsi="Verdana" w:cs="Arial"/>
          <w:sz w:val="20"/>
          <w:szCs w:val="20"/>
          <w:lang w:val="en-US" w:bidi="en-US"/>
        </w:rPr>
        <w:t xml:space="preserve">are not related to the processing of the </w:t>
      </w:r>
      <w:r w:rsidRPr="008A3740">
        <w:rPr>
          <w:rFonts w:ascii="Verdana" w:eastAsia="MS Mincho" w:hAnsi="Verdana" w:cs="Arial"/>
          <w:sz w:val="20"/>
          <w:szCs w:val="20"/>
          <w:lang w:val="en-US" w:bidi="en-US"/>
        </w:rPr>
        <w:t>case, both a</w:t>
      </w:r>
      <w:r w:rsidR="004A2ED2" w:rsidRPr="008A3740">
        <w:rPr>
          <w:rFonts w:ascii="Verdana" w:eastAsia="MS Mincho" w:hAnsi="Verdana" w:cs="Arial"/>
          <w:sz w:val="20"/>
          <w:szCs w:val="20"/>
          <w:lang w:val="en-US" w:bidi="en-US"/>
        </w:rPr>
        <w:t>t the domestic level and before</w:t>
      </w:r>
      <w:r w:rsidRPr="008A3740">
        <w:rPr>
          <w:rFonts w:ascii="Verdana" w:eastAsia="MS Mincho" w:hAnsi="Verdana" w:cs="Arial"/>
          <w:sz w:val="20"/>
          <w:szCs w:val="20"/>
          <w:lang w:val="en-US" w:bidi="en-US"/>
        </w:rPr>
        <w:t xml:space="preserve"> the Commission, which </w:t>
      </w:r>
      <w:r w:rsidR="00131BC2" w:rsidRPr="008A3740">
        <w:rPr>
          <w:rFonts w:ascii="Verdana" w:eastAsia="MS Mincho" w:hAnsi="Verdana" w:cs="Arial"/>
          <w:sz w:val="20"/>
          <w:szCs w:val="20"/>
          <w:lang w:val="en-US" w:bidi="en-US"/>
        </w:rPr>
        <w:t xml:space="preserve">will be </w:t>
      </w:r>
      <w:r w:rsidRPr="008A3740">
        <w:rPr>
          <w:rFonts w:ascii="Verdana" w:eastAsia="MS Mincho" w:hAnsi="Verdana" w:cs="Arial"/>
          <w:sz w:val="20"/>
          <w:szCs w:val="20"/>
          <w:lang w:val="en-US" w:bidi="en-US"/>
        </w:rPr>
        <w:t>anal</w:t>
      </w:r>
      <w:r w:rsidR="00131BC2" w:rsidRPr="008A3740">
        <w:rPr>
          <w:rFonts w:ascii="Verdana" w:eastAsia="MS Mincho" w:hAnsi="Verdana" w:cs="Arial"/>
          <w:sz w:val="20"/>
          <w:szCs w:val="20"/>
          <w:lang w:val="en-US" w:bidi="en-US"/>
        </w:rPr>
        <w:t xml:space="preserve">yzed </w:t>
      </w:r>
      <w:r w:rsidR="007157CA" w:rsidRPr="008A3740">
        <w:rPr>
          <w:rFonts w:ascii="Verdana" w:eastAsia="MS Mincho" w:hAnsi="Verdana" w:cs="Arial"/>
          <w:sz w:val="20"/>
          <w:szCs w:val="20"/>
          <w:lang w:val="en-US" w:bidi="en-US"/>
        </w:rPr>
        <w:t xml:space="preserve">in the section on </w:t>
      </w:r>
      <w:r w:rsidRPr="008A3740">
        <w:rPr>
          <w:rFonts w:ascii="Verdana" w:eastAsia="MS Mincho" w:hAnsi="Verdana" w:cs="Arial"/>
          <w:sz w:val="20"/>
          <w:szCs w:val="20"/>
          <w:lang w:val="en-US" w:bidi="en-US"/>
        </w:rPr>
        <w:t>costs and expenses</w:t>
      </w:r>
      <w:r w:rsidRPr="008A3740">
        <w:rPr>
          <w:rStyle w:val="Refdenotaalpie"/>
          <w:szCs w:val="20"/>
          <w:lang w:val="en-US"/>
        </w:rPr>
        <w:footnoteReference w:id="237"/>
      </w:r>
      <w:r w:rsidRPr="008A3740">
        <w:rPr>
          <w:rFonts w:ascii="Verdana" w:eastAsia="MS Mincho" w:hAnsi="Verdana" w:cs="Arial"/>
          <w:sz w:val="20"/>
          <w:szCs w:val="20"/>
          <w:lang w:val="en-US" w:bidi="en-US"/>
        </w:rPr>
        <w:t xml:space="preserve"> (</w:t>
      </w:r>
      <w:r w:rsidRPr="008A3740">
        <w:rPr>
          <w:rFonts w:ascii="Verdana" w:eastAsia="MS Mincho" w:hAnsi="Verdana" w:cs="Arial"/>
          <w:i/>
          <w:sz w:val="20"/>
          <w:szCs w:val="20"/>
          <w:lang w:val="en-US" w:bidi="en-US"/>
        </w:rPr>
        <w:t>infra</w:t>
      </w:r>
      <w:r w:rsidRPr="008A3740">
        <w:rPr>
          <w:rFonts w:ascii="Verdana" w:eastAsia="MS Mincho" w:hAnsi="Verdana" w:cs="Arial"/>
          <w:sz w:val="20"/>
          <w:szCs w:val="20"/>
          <w:lang w:val="en-US" w:bidi="en-US"/>
        </w:rPr>
        <w:t xml:space="preserve"> paras. 270 to 273).</w:t>
      </w:r>
    </w:p>
    <w:p w14:paraId="6FE88FD5" w14:textId="77777777" w:rsidR="008E6A56" w:rsidRPr="008A3740" w:rsidRDefault="008E6A56" w:rsidP="008E6A56">
      <w:pPr>
        <w:tabs>
          <w:tab w:val="left" w:pos="567"/>
        </w:tabs>
        <w:rPr>
          <w:rFonts w:ascii="Verdana" w:eastAsia="MS Mincho" w:hAnsi="Verdana" w:cs="Verdana"/>
          <w:sz w:val="20"/>
          <w:szCs w:val="20"/>
          <w:lang w:val="en-US" w:bidi="en-US"/>
        </w:rPr>
      </w:pPr>
    </w:p>
    <w:p w14:paraId="47E2CE3F" w14:textId="77777777" w:rsidR="008E6A56" w:rsidRPr="008A3740" w:rsidRDefault="00415C65" w:rsidP="00D17A65">
      <w:pPr>
        <w:numPr>
          <w:ilvl w:val="0"/>
          <w:numId w:val="3"/>
        </w:numPr>
        <w:tabs>
          <w:tab w:val="left" w:pos="567"/>
          <w:tab w:val="num" w:pos="5057"/>
        </w:tabs>
        <w:ind w:left="0" w:firstLine="0"/>
        <w:rPr>
          <w:rFonts w:ascii="Verdana" w:eastAsia="MS Mincho" w:hAnsi="Verdana" w:cs="Verdana"/>
          <w:sz w:val="20"/>
          <w:szCs w:val="20"/>
          <w:lang w:val="en-US" w:bidi="en-US"/>
        </w:rPr>
      </w:pPr>
      <w:r w:rsidRPr="008A3740">
        <w:rPr>
          <w:rFonts w:ascii="Verdana" w:eastAsia="Verdana" w:hAnsi="Verdana" w:cs="Verdana"/>
          <w:sz w:val="20"/>
          <w:szCs w:val="20"/>
          <w:lang w:val="en-US"/>
        </w:rPr>
        <w:t xml:space="preserve">As to </w:t>
      </w:r>
      <w:r w:rsidR="008E6A56" w:rsidRPr="008A3740">
        <w:rPr>
          <w:rFonts w:ascii="Verdana" w:eastAsia="MS Mincho" w:hAnsi="Verdana" w:cs="Arial"/>
          <w:sz w:val="20"/>
          <w:szCs w:val="20"/>
          <w:lang w:val="en-US" w:bidi="en-US"/>
        </w:rPr>
        <w:t xml:space="preserve">consequential damages, the Court </w:t>
      </w:r>
      <w:r w:rsidR="00C52B8D" w:rsidRPr="008A3740">
        <w:rPr>
          <w:rFonts w:ascii="Verdana" w:eastAsia="MS Mincho" w:hAnsi="Verdana" w:cs="Arial"/>
          <w:sz w:val="20"/>
          <w:szCs w:val="20"/>
          <w:lang w:val="en-US" w:bidi="en-US"/>
        </w:rPr>
        <w:t xml:space="preserve">notes </w:t>
      </w:r>
      <w:r w:rsidR="008E6A56" w:rsidRPr="008A3740">
        <w:rPr>
          <w:rFonts w:ascii="Verdana" w:eastAsia="MS Mincho" w:hAnsi="Verdana" w:cs="Arial"/>
          <w:sz w:val="20"/>
          <w:szCs w:val="20"/>
          <w:lang w:val="en-US" w:bidi="en-US"/>
        </w:rPr>
        <w:t xml:space="preserve">that the representatives </w:t>
      </w:r>
      <w:r w:rsidRPr="008A3740">
        <w:rPr>
          <w:rFonts w:ascii="Verdana" w:eastAsia="MS Mincho" w:hAnsi="Verdana" w:cs="Arial"/>
          <w:sz w:val="20"/>
          <w:szCs w:val="20"/>
          <w:lang w:val="en-US" w:bidi="en-US"/>
        </w:rPr>
        <w:t>based the amount requested o</w:t>
      </w:r>
      <w:r w:rsidR="008E6A56" w:rsidRPr="008A3740">
        <w:rPr>
          <w:rFonts w:ascii="Verdana" w:eastAsia="MS Mincho" w:hAnsi="Verdana" w:cs="Arial"/>
          <w:sz w:val="20"/>
          <w:szCs w:val="20"/>
          <w:lang w:val="en-US" w:bidi="en-US"/>
        </w:rPr>
        <w:t xml:space="preserve">n </w:t>
      </w:r>
      <w:r w:rsidR="00AE3324" w:rsidRPr="008A3740">
        <w:rPr>
          <w:rFonts w:ascii="Verdana" w:eastAsia="MS Mincho" w:hAnsi="Verdana" w:cs="Arial"/>
          <w:sz w:val="20"/>
          <w:szCs w:val="20"/>
          <w:lang w:val="en-US" w:bidi="en-US"/>
        </w:rPr>
        <w:t xml:space="preserve">various </w:t>
      </w:r>
      <w:r w:rsidR="008E6A56" w:rsidRPr="008A3740">
        <w:rPr>
          <w:rFonts w:ascii="Verdana" w:eastAsia="MS Mincho" w:hAnsi="Verdana" w:cs="Verdana"/>
          <w:sz w:val="20"/>
          <w:szCs w:val="20"/>
          <w:lang w:val="en-US" w:bidi="en-US"/>
        </w:rPr>
        <w:t xml:space="preserve">medical expenses </w:t>
      </w:r>
      <w:r w:rsidRPr="008A3740">
        <w:rPr>
          <w:rFonts w:ascii="Verdana" w:eastAsia="MS Mincho" w:hAnsi="Verdana" w:cs="Verdana"/>
          <w:sz w:val="20"/>
          <w:szCs w:val="20"/>
          <w:lang w:val="en-US" w:bidi="en-US"/>
        </w:rPr>
        <w:t xml:space="preserve">incurred </w:t>
      </w:r>
      <w:r w:rsidR="008E6A56" w:rsidRPr="008A3740">
        <w:rPr>
          <w:rFonts w:ascii="Verdana" w:eastAsia="MS Mincho" w:hAnsi="Verdana" w:cs="Verdana"/>
          <w:sz w:val="20"/>
          <w:szCs w:val="20"/>
          <w:lang w:val="en-US" w:bidi="en-US"/>
        </w:rPr>
        <w:t xml:space="preserve">by Mr. Muelle Flores </w:t>
      </w:r>
      <w:r w:rsidR="00C52B8D" w:rsidRPr="008A3740">
        <w:rPr>
          <w:rFonts w:ascii="Verdana" w:eastAsia="MS Mincho" w:hAnsi="Verdana" w:cs="Verdana"/>
          <w:sz w:val="20"/>
          <w:szCs w:val="20"/>
          <w:lang w:val="en-US" w:bidi="en-US"/>
        </w:rPr>
        <w:t xml:space="preserve">as a </w:t>
      </w:r>
      <w:r w:rsidRPr="008A3740">
        <w:rPr>
          <w:rFonts w:ascii="Verdana" w:eastAsia="MS Mincho" w:hAnsi="Verdana" w:cs="Verdana"/>
          <w:sz w:val="20"/>
          <w:szCs w:val="20"/>
          <w:lang w:val="en-US" w:bidi="en-US"/>
        </w:rPr>
        <w:t xml:space="preserve">consequence of </w:t>
      </w:r>
      <w:r w:rsidR="008E6A56" w:rsidRPr="008A3740">
        <w:rPr>
          <w:rFonts w:ascii="Verdana" w:eastAsia="MS Mincho" w:hAnsi="Verdana" w:cs="Verdana"/>
          <w:sz w:val="20"/>
          <w:szCs w:val="20"/>
          <w:lang w:val="en-US" w:bidi="en-US"/>
        </w:rPr>
        <w:t xml:space="preserve">the </w:t>
      </w:r>
      <w:r w:rsidR="008E6A56" w:rsidRPr="008A3740">
        <w:rPr>
          <w:rFonts w:ascii="Verdana" w:hAnsi="Verdana"/>
          <w:sz w:val="20"/>
          <w:szCs w:val="20"/>
          <w:lang w:val="en-US"/>
        </w:rPr>
        <w:t xml:space="preserve">physical </w:t>
      </w:r>
      <w:r w:rsidR="00C52B8D" w:rsidRPr="008A3740">
        <w:rPr>
          <w:rFonts w:ascii="Verdana" w:hAnsi="Verdana"/>
          <w:sz w:val="20"/>
          <w:szCs w:val="20"/>
          <w:lang w:val="en-US"/>
        </w:rPr>
        <w:t>ailments caused by the deterioration of his</w:t>
      </w:r>
      <w:r w:rsidR="008E6A56" w:rsidRPr="008A3740">
        <w:rPr>
          <w:rFonts w:ascii="Verdana" w:hAnsi="Verdana"/>
          <w:sz w:val="20"/>
          <w:szCs w:val="20"/>
          <w:lang w:val="en-US"/>
        </w:rPr>
        <w:t xml:space="preserve"> health (</w:t>
      </w:r>
      <w:r w:rsidR="008E6A56" w:rsidRPr="008A3740">
        <w:rPr>
          <w:rFonts w:ascii="Verdana" w:hAnsi="Verdana"/>
          <w:i/>
          <w:sz w:val="20"/>
          <w:szCs w:val="20"/>
          <w:lang w:val="en-US"/>
        </w:rPr>
        <w:t>supra</w:t>
      </w:r>
      <w:r w:rsidR="008E6A56" w:rsidRPr="008A3740">
        <w:rPr>
          <w:rFonts w:ascii="Verdana" w:hAnsi="Verdana"/>
          <w:sz w:val="20"/>
          <w:szCs w:val="20"/>
          <w:lang w:val="en-US"/>
        </w:rPr>
        <w:t xml:space="preserve"> paras. 52 and 164).</w:t>
      </w:r>
      <w:r w:rsidR="00C52B8D" w:rsidRPr="008A3740">
        <w:rPr>
          <w:rFonts w:ascii="Verdana" w:hAnsi="Verdana"/>
          <w:sz w:val="20"/>
          <w:szCs w:val="20"/>
          <w:lang w:val="en-US"/>
        </w:rPr>
        <w:t xml:space="preserve"> </w:t>
      </w:r>
      <w:r w:rsidRPr="008A3740">
        <w:rPr>
          <w:rFonts w:ascii="Verdana" w:hAnsi="Verdana"/>
          <w:sz w:val="20"/>
          <w:szCs w:val="20"/>
          <w:lang w:val="en-US"/>
        </w:rPr>
        <w:t>In this regard</w:t>
      </w:r>
      <w:r w:rsidR="00C52B8D" w:rsidRPr="008A3740">
        <w:rPr>
          <w:rFonts w:ascii="Verdana" w:hAnsi="Verdana"/>
          <w:sz w:val="20"/>
          <w:szCs w:val="20"/>
          <w:lang w:val="en-US"/>
        </w:rPr>
        <w:t>, the Court determined</w:t>
      </w:r>
      <w:r w:rsidR="006B4FB0" w:rsidRPr="008A3740">
        <w:rPr>
          <w:rFonts w:ascii="Verdana" w:hAnsi="Verdana"/>
          <w:sz w:val="20"/>
          <w:szCs w:val="20"/>
          <w:lang w:val="en-US"/>
        </w:rPr>
        <w:t xml:space="preserve"> that the</w:t>
      </w:r>
      <w:r w:rsidR="008E6A56" w:rsidRPr="008A3740">
        <w:rPr>
          <w:rFonts w:ascii="Verdana" w:hAnsi="Verdana"/>
          <w:sz w:val="20"/>
          <w:szCs w:val="20"/>
          <w:lang w:val="en-US"/>
        </w:rPr>
        <w:t xml:space="preserve"> </w:t>
      </w:r>
      <w:r w:rsidR="006B4FB0" w:rsidRPr="008A3740">
        <w:rPr>
          <w:rFonts w:ascii="Verdana" w:hAnsi="Verdana"/>
          <w:sz w:val="20"/>
          <w:szCs w:val="20"/>
          <w:lang w:val="en-US"/>
        </w:rPr>
        <w:t>State was</w:t>
      </w:r>
      <w:r w:rsidR="00C52B8D" w:rsidRPr="008A3740">
        <w:rPr>
          <w:rFonts w:ascii="Verdana" w:hAnsi="Verdana"/>
          <w:sz w:val="20"/>
          <w:szCs w:val="20"/>
          <w:lang w:val="en-US"/>
        </w:rPr>
        <w:t xml:space="preserve"> </w:t>
      </w:r>
      <w:r w:rsidR="008E6A56" w:rsidRPr="008A3740">
        <w:rPr>
          <w:rFonts w:ascii="Verdana" w:hAnsi="Verdana"/>
          <w:sz w:val="20"/>
          <w:szCs w:val="20"/>
          <w:lang w:val="en-US"/>
        </w:rPr>
        <w:t>international</w:t>
      </w:r>
      <w:r w:rsidR="006B4FB0" w:rsidRPr="008A3740">
        <w:rPr>
          <w:rFonts w:ascii="Verdana" w:hAnsi="Verdana"/>
          <w:sz w:val="20"/>
          <w:szCs w:val="20"/>
          <w:lang w:val="en-US"/>
        </w:rPr>
        <w:t>ly responsible</w:t>
      </w:r>
      <w:r w:rsidR="008E6A56" w:rsidRPr="008A3740">
        <w:rPr>
          <w:rFonts w:ascii="Verdana" w:hAnsi="Verdana"/>
          <w:sz w:val="20"/>
          <w:szCs w:val="20"/>
          <w:lang w:val="en-US"/>
        </w:rPr>
        <w:t xml:space="preserve"> </w:t>
      </w:r>
      <w:r w:rsidR="00C52B8D" w:rsidRPr="008A3740">
        <w:rPr>
          <w:rFonts w:ascii="Verdana" w:hAnsi="Verdana"/>
          <w:sz w:val="20"/>
          <w:szCs w:val="20"/>
          <w:lang w:val="en-US"/>
        </w:rPr>
        <w:t xml:space="preserve">for failure to comply with </w:t>
      </w:r>
      <w:r w:rsidR="008E6A56" w:rsidRPr="008A3740">
        <w:rPr>
          <w:rFonts w:ascii="Verdana" w:hAnsi="Verdana"/>
          <w:sz w:val="20"/>
          <w:szCs w:val="20"/>
          <w:lang w:val="en-US"/>
        </w:rPr>
        <w:t xml:space="preserve">and </w:t>
      </w:r>
      <w:r w:rsidR="00C52B8D" w:rsidRPr="008A3740">
        <w:rPr>
          <w:rFonts w:ascii="Verdana" w:hAnsi="Verdana"/>
          <w:sz w:val="20"/>
          <w:szCs w:val="20"/>
          <w:lang w:val="en-US"/>
        </w:rPr>
        <w:t xml:space="preserve">enforce </w:t>
      </w:r>
      <w:r w:rsidR="008E6A56" w:rsidRPr="008A3740">
        <w:rPr>
          <w:rFonts w:ascii="Verdana" w:hAnsi="Verdana"/>
          <w:sz w:val="20"/>
          <w:szCs w:val="20"/>
          <w:lang w:val="en-US"/>
        </w:rPr>
        <w:t xml:space="preserve">the </w:t>
      </w:r>
      <w:r w:rsidR="00C52B8D" w:rsidRPr="008A3740">
        <w:rPr>
          <w:rFonts w:ascii="Verdana" w:hAnsi="Verdana"/>
          <w:sz w:val="20"/>
          <w:szCs w:val="20"/>
          <w:lang w:val="en-US"/>
        </w:rPr>
        <w:t xml:space="preserve">domestic </w:t>
      </w:r>
      <w:r w:rsidR="008E6A56" w:rsidRPr="008A3740">
        <w:rPr>
          <w:rFonts w:ascii="Verdana" w:hAnsi="Verdana"/>
          <w:sz w:val="20"/>
          <w:szCs w:val="20"/>
          <w:lang w:val="en-US"/>
        </w:rPr>
        <w:t xml:space="preserve">rulings </w:t>
      </w:r>
      <w:r w:rsidR="006B4FB0" w:rsidRPr="008A3740">
        <w:rPr>
          <w:rFonts w:ascii="Verdana" w:hAnsi="Verdana"/>
          <w:sz w:val="20"/>
          <w:szCs w:val="20"/>
          <w:lang w:val="en-US"/>
        </w:rPr>
        <w:t>which, had these</w:t>
      </w:r>
      <w:r w:rsidR="00C52B8D" w:rsidRPr="008A3740">
        <w:rPr>
          <w:rFonts w:ascii="Verdana" w:hAnsi="Verdana"/>
          <w:sz w:val="20"/>
          <w:szCs w:val="20"/>
          <w:lang w:val="en-US"/>
        </w:rPr>
        <w:t xml:space="preserve"> been implemented, would have enabled the </w:t>
      </w:r>
      <w:r w:rsidR="008E6A56" w:rsidRPr="008A3740">
        <w:rPr>
          <w:rFonts w:ascii="Verdana" w:hAnsi="Verdana"/>
          <w:sz w:val="20"/>
          <w:szCs w:val="20"/>
          <w:lang w:val="en-US"/>
        </w:rPr>
        <w:t xml:space="preserve">victim </w:t>
      </w:r>
      <w:r w:rsidR="00C52B8D" w:rsidRPr="008A3740">
        <w:rPr>
          <w:rFonts w:ascii="Verdana" w:hAnsi="Verdana"/>
          <w:sz w:val="20"/>
          <w:szCs w:val="20"/>
          <w:lang w:val="en-US"/>
        </w:rPr>
        <w:t xml:space="preserve">to </w:t>
      </w:r>
      <w:r w:rsidR="006B4FB0" w:rsidRPr="008A3740">
        <w:rPr>
          <w:rFonts w:ascii="Verdana" w:hAnsi="Verdana"/>
          <w:sz w:val="20"/>
          <w:szCs w:val="20"/>
          <w:lang w:val="en-US"/>
        </w:rPr>
        <w:t xml:space="preserve">have </w:t>
      </w:r>
      <w:r w:rsidR="008E6A56" w:rsidRPr="008A3740">
        <w:rPr>
          <w:rFonts w:ascii="Verdana" w:hAnsi="Verdana"/>
          <w:sz w:val="20"/>
          <w:szCs w:val="20"/>
          <w:lang w:val="en-US"/>
        </w:rPr>
        <w:t>acce</w:t>
      </w:r>
      <w:r w:rsidR="00C52B8D" w:rsidRPr="008A3740">
        <w:rPr>
          <w:rFonts w:ascii="Verdana" w:hAnsi="Verdana"/>
          <w:sz w:val="20"/>
          <w:szCs w:val="20"/>
          <w:lang w:val="en-US"/>
        </w:rPr>
        <w:t>ss t</w:t>
      </w:r>
      <w:r w:rsidRPr="008A3740">
        <w:rPr>
          <w:rFonts w:ascii="Verdana" w:hAnsi="Verdana"/>
          <w:sz w:val="20"/>
          <w:szCs w:val="20"/>
          <w:lang w:val="en-US"/>
        </w:rPr>
        <w:t>o health services and benefits o</w:t>
      </w:r>
      <w:r w:rsidR="00C52B8D" w:rsidRPr="008A3740">
        <w:rPr>
          <w:rFonts w:ascii="Verdana" w:hAnsi="Verdana"/>
          <w:sz w:val="20"/>
          <w:szCs w:val="20"/>
          <w:lang w:val="en-US"/>
        </w:rPr>
        <w:t>n the same</w:t>
      </w:r>
      <w:r w:rsidR="008E6A56" w:rsidRPr="008A3740">
        <w:rPr>
          <w:rFonts w:ascii="Verdana" w:hAnsi="Verdana"/>
          <w:sz w:val="20"/>
          <w:szCs w:val="20"/>
          <w:lang w:val="en-US"/>
        </w:rPr>
        <w:t xml:space="preserve"> </w:t>
      </w:r>
      <w:r w:rsidRPr="008A3740">
        <w:rPr>
          <w:rFonts w:ascii="Verdana" w:hAnsi="Verdana"/>
          <w:sz w:val="20"/>
          <w:szCs w:val="20"/>
          <w:lang w:val="en-US"/>
        </w:rPr>
        <w:t xml:space="preserve">terms </w:t>
      </w:r>
      <w:r w:rsidR="00C52B8D" w:rsidRPr="008A3740">
        <w:rPr>
          <w:rFonts w:ascii="Verdana" w:hAnsi="Verdana"/>
          <w:sz w:val="20"/>
          <w:szCs w:val="20"/>
          <w:lang w:val="en-US"/>
        </w:rPr>
        <w:t xml:space="preserve">as other </w:t>
      </w:r>
      <w:r w:rsidR="008E6A56" w:rsidRPr="008A3740">
        <w:rPr>
          <w:rFonts w:ascii="Verdana" w:hAnsi="Verdana"/>
          <w:sz w:val="20"/>
          <w:szCs w:val="20"/>
          <w:lang w:val="en-US"/>
        </w:rPr>
        <w:t xml:space="preserve">beneficiaries of the </w:t>
      </w:r>
      <w:r w:rsidR="008E6A56" w:rsidRPr="008A3740">
        <w:rPr>
          <w:rFonts w:ascii="Verdana" w:hAnsi="Verdana" w:cs="Arial"/>
          <w:sz w:val="20"/>
          <w:szCs w:val="20"/>
          <w:lang w:val="en-US"/>
        </w:rPr>
        <w:t xml:space="preserve">Decree Law </w:t>
      </w:r>
      <w:r w:rsidR="008E6A56" w:rsidRPr="008A3740">
        <w:rPr>
          <w:rFonts w:ascii="Verdana" w:hAnsi="Verdana"/>
          <w:sz w:val="20"/>
          <w:szCs w:val="20"/>
          <w:lang w:val="en-US"/>
        </w:rPr>
        <w:t>N° 20530</w:t>
      </w:r>
      <w:r w:rsidRPr="008A3740">
        <w:rPr>
          <w:rFonts w:ascii="Verdana" w:hAnsi="Verdana"/>
          <w:sz w:val="20"/>
          <w:szCs w:val="20"/>
          <w:lang w:val="en-US"/>
        </w:rPr>
        <w:t xml:space="preserve"> </w:t>
      </w:r>
      <w:r w:rsidRPr="008A3740">
        <w:rPr>
          <w:rFonts w:ascii="Verdana" w:hAnsi="Verdana" w:cs="Arial"/>
          <w:sz w:val="20"/>
          <w:szCs w:val="20"/>
          <w:lang w:val="en-US"/>
        </w:rPr>
        <w:t>pension system</w:t>
      </w:r>
      <w:r w:rsidR="008E6A56" w:rsidRPr="008A3740">
        <w:rPr>
          <w:rFonts w:ascii="Verdana" w:hAnsi="Verdana"/>
          <w:sz w:val="20"/>
          <w:szCs w:val="20"/>
          <w:lang w:val="en-US"/>
        </w:rPr>
        <w:t xml:space="preserve">, </w:t>
      </w:r>
      <w:r w:rsidR="00882D8E" w:rsidRPr="008A3740">
        <w:rPr>
          <w:rFonts w:ascii="Verdana" w:hAnsi="Verdana"/>
          <w:sz w:val="20"/>
          <w:szCs w:val="20"/>
          <w:lang w:val="en-US"/>
        </w:rPr>
        <w:t xml:space="preserve">as </w:t>
      </w:r>
      <w:r w:rsidR="008E6A56" w:rsidRPr="008A3740">
        <w:rPr>
          <w:rFonts w:ascii="Verdana" w:hAnsi="Verdana"/>
          <w:sz w:val="20"/>
          <w:szCs w:val="20"/>
          <w:lang w:val="en-US"/>
        </w:rPr>
        <w:t>indicated by this Court (</w:t>
      </w:r>
      <w:r w:rsidR="008E6A56" w:rsidRPr="008A3740">
        <w:rPr>
          <w:rFonts w:ascii="Verdana" w:hAnsi="Verdana"/>
          <w:i/>
          <w:sz w:val="20"/>
          <w:szCs w:val="20"/>
          <w:lang w:val="en-US"/>
        </w:rPr>
        <w:t>supra</w:t>
      </w:r>
      <w:r w:rsidR="008E6A56" w:rsidRPr="008A3740">
        <w:rPr>
          <w:rFonts w:ascii="Verdana" w:hAnsi="Verdana"/>
          <w:sz w:val="20"/>
          <w:szCs w:val="20"/>
          <w:lang w:val="en-US"/>
        </w:rPr>
        <w:t xml:space="preserve"> para. 149). </w:t>
      </w:r>
      <w:r w:rsidR="00882D8E" w:rsidRPr="008A3740">
        <w:rPr>
          <w:rFonts w:ascii="Verdana" w:hAnsi="Verdana"/>
          <w:sz w:val="20"/>
          <w:szCs w:val="20"/>
          <w:lang w:val="en-US"/>
        </w:rPr>
        <w:t>Furthermore</w:t>
      </w:r>
      <w:r w:rsidR="008E6A56" w:rsidRPr="008A3740">
        <w:rPr>
          <w:rFonts w:ascii="Verdana" w:hAnsi="Verdana"/>
          <w:sz w:val="20"/>
          <w:szCs w:val="20"/>
          <w:lang w:val="en-US"/>
        </w:rPr>
        <w:t>, the Court concluded tha</w:t>
      </w:r>
      <w:r w:rsidR="00C52B8D" w:rsidRPr="008A3740">
        <w:rPr>
          <w:rFonts w:ascii="Verdana" w:hAnsi="Verdana"/>
          <w:sz w:val="20"/>
          <w:szCs w:val="20"/>
          <w:lang w:val="en-US"/>
        </w:rPr>
        <w:t xml:space="preserve">t the </w:t>
      </w:r>
      <w:r w:rsidR="00882D8E" w:rsidRPr="008A3740">
        <w:rPr>
          <w:rFonts w:ascii="Verdana" w:hAnsi="Verdana"/>
          <w:sz w:val="20"/>
          <w:szCs w:val="20"/>
          <w:lang w:val="en-US"/>
        </w:rPr>
        <w:t xml:space="preserve">failure to realize his </w:t>
      </w:r>
      <w:r w:rsidR="008E6A56" w:rsidRPr="008A3740">
        <w:rPr>
          <w:rFonts w:ascii="Verdana" w:hAnsi="Verdana"/>
          <w:sz w:val="20"/>
          <w:szCs w:val="20"/>
          <w:lang w:val="en-US"/>
        </w:rPr>
        <w:t xml:space="preserve">right to social security </w:t>
      </w:r>
      <w:r w:rsidR="00C52B8D" w:rsidRPr="008A3740">
        <w:rPr>
          <w:rFonts w:ascii="Verdana" w:hAnsi="Verdana"/>
          <w:sz w:val="20"/>
          <w:szCs w:val="20"/>
          <w:lang w:val="en-US"/>
        </w:rPr>
        <w:t xml:space="preserve">prevented </w:t>
      </w:r>
      <w:r w:rsidR="008E6A56" w:rsidRPr="008A3740">
        <w:rPr>
          <w:rFonts w:ascii="Verdana" w:hAnsi="Verdana"/>
          <w:sz w:val="20"/>
          <w:szCs w:val="20"/>
          <w:lang w:val="en-US"/>
        </w:rPr>
        <w:t xml:space="preserve">Mr. Muelle Flores </w:t>
      </w:r>
      <w:r w:rsidR="0035170C" w:rsidRPr="008A3740">
        <w:rPr>
          <w:rFonts w:ascii="Verdana" w:hAnsi="Verdana"/>
          <w:sz w:val="20"/>
          <w:szCs w:val="20"/>
          <w:lang w:val="en-US"/>
        </w:rPr>
        <w:t xml:space="preserve">from </w:t>
      </w:r>
      <w:r w:rsidR="0035170C" w:rsidRPr="008A3740">
        <w:rPr>
          <w:rFonts w:ascii="Verdana" w:hAnsi="Verdana"/>
          <w:sz w:val="20"/>
          <w:szCs w:val="20"/>
          <w:lang w:val="en-US"/>
        </w:rPr>
        <w:lastRenderedPageBreak/>
        <w:t xml:space="preserve">accessing </w:t>
      </w:r>
      <w:r w:rsidR="0080732B" w:rsidRPr="008A3740">
        <w:rPr>
          <w:rFonts w:ascii="Verdana" w:hAnsi="Verdana"/>
          <w:sz w:val="20"/>
          <w:szCs w:val="20"/>
          <w:lang w:val="en-US"/>
        </w:rPr>
        <w:t xml:space="preserve">the social health insurance </w:t>
      </w:r>
      <w:r w:rsidR="008E6A56" w:rsidRPr="008A3740">
        <w:rPr>
          <w:rFonts w:ascii="Verdana" w:hAnsi="Verdana"/>
          <w:sz w:val="20"/>
          <w:szCs w:val="20"/>
          <w:lang w:val="en-US"/>
        </w:rPr>
        <w:t>t</w:t>
      </w:r>
      <w:r w:rsidR="0035170C" w:rsidRPr="008A3740">
        <w:rPr>
          <w:rFonts w:ascii="Verdana" w:hAnsi="Verdana"/>
          <w:sz w:val="20"/>
          <w:szCs w:val="20"/>
          <w:lang w:val="en-US"/>
        </w:rPr>
        <w:t xml:space="preserve">o which he was entitled as a </w:t>
      </w:r>
      <w:r w:rsidR="0080732B" w:rsidRPr="008A3740">
        <w:rPr>
          <w:rFonts w:ascii="Verdana" w:hAnsi="Verdana"/>
          <w:sz w:val="20"/>
          <w:szCs w:val="20"/>
          <w:lang w:val="en-US"/>
        </w:rPr>
        <w:t>pensioner</w:t>
      </w:r>
      <w:r w:rsidR="008E6A56" w:rsidRPr="008A3740">
        <w:rPr>
          <w:rFonts w:ascii="Verdana" w:hAnsi="Verdana"/>
          <w:sz w:val="20"/>
          <w:szCs w:val="20"/>
          <w:lang w:val="en-US"/>
        </w:rPr>
        <w:t xml:space="preserve">. </w:t>
      </w:r>
      <w:r w:rsidR="00882D8E" w:rsidRPr="008A3740">
        <w:rPr>
          <w:rFonts w:ascii="Verdana" w:hAnsi="Verdana"/>
          <w:sz w:val="20"/>
          <w:szCs w:val="20"/>
          <w:lang w:val="en-US"/>
        </w:rPr>
        <w:t xml:space="preserve">Although </w:t>
      </w:r>
      <w:r w:rsidR="008E6A56" w:rsidRPr="008A3740">
        <w:rPr>
          <w:rFonts w:ascii="Verdana" w:hAnsi="Verdana"/>
          <w:sz w:val="20"/>
          <w:szCs w:val="20"/>
          <w:lang w:val="en-US"/>
        </w:rPr>
        <w:t xml:space="preserve">the State </w:t>
      </w:r>
      <w:r w:rsidR="00882D8E" w:rsidRPr="008A3740">
        <w:rPr>
          <w:rFonts w:ascii="Verdana" w:hAnsi="Verdana"/>
          <w:sz w:val="20"/>
          <w:szCs w:val="20"/>
          <w:lang w:val="en-US"/>
        </w:rPr>
        <w:t xml:space="preserve">argued </w:t>
      </w:r>
      <w:r w:rsidR="008E6A56" w:rsidRPr="008A3740">
        <w:rPr>
          <w:rFonts w:ascii="Verdana" w:hAnsi="Verdana"/>
          <w:sz w:val="20"/>
          <w:szCs w:val="20"/>
          <w:lang w:val="en-US"/>
        </w:rPr>
        <w:t xml:space="preserve">that Mr. Muelle Flores </w:t>
      </w:r>
      <w:r w:rsidR="00FA43F1" w:rsidRPr="008A3740">
        <w:rPr>
          <w:rFonts w:ascii="Verdana" w:hAnsi="Verdana"/>
          <w:sz w:val="20"/>
          <w:szCs w:val="20"/>
          <w:lang w:val="en-US"/>
        </w:rPr>
        <w:t xml:space="preserve">could have had access to </w:t>
      </w:r>
      <w:r w:rsidR="00882D8E" w:rsidRPr="008A3740">
        <w:rPr>
          <w:rFonts w:ascii="Verdana" w:hAnsi="Verdana"/>
          <w:sz w:val="20"/>
          <w:szCs w:val="20"/>
          <w:lang w:val="en-US"/>
        </w:rPr>
        <w:t xml:space="preserve">Comprehensive Health </w:t>
      </w:r>
      <w:r w:rsidR="008E6A56" w:rsidRPr="008A3740">
        <w:rPr>
          <w:rFonts w:ascii="Verdana" w:hAnsi="Verdana" w:cs="Arial"/>
          <w:sz w:val="20"/>
          <w:szCs w:val="20"/>
          <w:lang w:val="en-US"/>
        </w:rPr>
        <w:t>Insurance</w:t>
      </w:r>
      <w:r w:rsidR="00882D8E" w:rsidRPr="008A3740">
        <w:rPr>
          <w:rFonts w:ascii="Verdana" w:hAnsi="Verdana" w:cs="Arial"/>
          <w:sz w:val="20"/>
          <w:szCs w:val="20"/>
          <w:lang w:val="en-US"/>
        </w:rPr>
        <w:t xml:space="preserve"> </w:t>
      </w:r>
      <w:r w:rsidR="008E6A56" w:rsidRPr="008A3740">
        <w:rPr>
          <w:rFonts w:ascii="Verdana" w:hAnsi="Verdana" w:cs="Arial"/>
          <w:sz w:val="20"/>
          <w:szCs w:val="20"/>
          <w:lang w:val="en-US"/>
        </w:rPr>
        <w:t>(SIS)</w:t>
      </w:r>
      <w:r w:rsidR="0035170C" w:rsidRPr="008A3740">
        <w:rPr>
          <w:rFonts w:ascii="Verdana" w:hAnsi="Verdana" w:cs="Arial"/>
          <w:sz w:val="20"/>
          <w:szCs w:val="20"/>
          <w:lang w:val="en-US"/>
        </w:rPr>
        <w:t>,</w:t>
      </w:r>
      <w:r w:rsidR="008E6A56" w:rsidRPr="008A3740">
        <w:rPr>
          <w:rStyle w:val="Refdenotaalpie"/>
          <w:rFonts w:cs="Arial"/>
          <w:szCs w:val="20"/>
          <w:lang w:val="en-US"/>
        </w:rPr>
        <w:footnoteReference w:id="238"/>
      </w:r>
      <w:r w:rsidR="0035170C" w:rsidRPr="008A3740">
        <w:rPr>
          <w:rFonts w:ascii="Verdana" w:hAnsi="Verdana" w:cs="Arial"/>
          <w:sz w:val="20"/>
          <w:szCs w:val="20"/>
          <w:lang w:val="en-US"/>
        </w:rPr>
        <w:t xml:space="preserve"> the </w:t>
      </w:r>
      <w:r w:rsidR="008E6A56" w:rsidRPr="008A3740">
        <w:rPr>
          <w:rFonts w:ascii="Verdana" w:hAnsi="Verdana" w:cs="Arial"/>
          <w:sz w:val="20"/>
          <w:szCs w:val="20"/>
          <w:lang w:val="en-US"/>
        </w:rPr>
        <w:t xml:space="preserve">State </w:t>
      </w:r>
      <w:r w:rsidR="0035170C" w:rsidRPr="008A3740">
        <w:rPr>
          <w:rFonts w:ascii="Verdana" w:hAnsi="Verdana" w:cs="Arial"/>
          <w:sz w:val="20"/>
          <w:szCs w:val="20"/>
          <w:lang w:val="en-US"/>
        </w:rPr>
        <w:t xml:space="preserve">itself acknowledged </w:t>
      </w:r>
      <w:r w:rsidR="008E6A56" w:rsidRPr="008A3740">
        <w:rPr>
          <w:rFonts w:ascii="Verdana" w:hAnsi="Verdana" w:cs="Arial"/>
          <w:sz w:val="20"/>
          <w:szCs w:val="20"/>
          <w:lang w:val="en-US"/>
        </w:rPr>
        <w:t xml:space="preserve">that coverage </w:t>
      </w:r>
      <w:r w:rsidR="0035170C" w:rsidRPr="008A3740">
        <w:rPr>
          <w:rFonts w:ascii="Verdana" w:hAnsi="Verdana" w:cs="Arial"/>
          <w:sz w:val="20"/>
          <w:szCs w:val="20"/>
          <w:lang w:val="en-US"/>
        </w:rPr>
        <w:t xml:space="preserve">under this insurance </w:t>
      </w:r>
      <w:r w:rsidR="00FA43F1" w:rsidRPr="008A3740">
        <w:rPr>
          <w:rFonts w:ascii="Verdana" w:hAnsi="Verdana" w:cs="Arial"/>
          <w:sz w:val="20"/>
          <w:szCs w:val="20"/>
          <w:lang w:val="en-US"/>
        </w:rPr>
        <w:t xml:space="preserve">scheme </w:t>
      </w:r>
      <w:r w:rsidR="00241A67" w:rsidRPr="008A3740">
        <w:rPr>
          <w:rFonts w:ascii="Verdana" w:hAnsi="Verdana" w:cs="Arial"/>
          <w:sz w:val="20"/>
          <w:szCs w:val="20"/>
          <w:lang w:val="en-US"/>
        </w:rPr>
        <w:t xml:space="preserve">was different to the one </w:t>
      </w:r>
      <w:r w:rsidR="00E91BC5" w:rsidRPr="008A3740">
        <w:rPr>
          <w:rFonts w:ascii="Verdana" w:hAnsi="Verdana" w:cs="Arial"/>
          <w:sz w:val="20"/>
          <w:szCs w:val="20"/>
          <w:lang w:val="en-US"/>
        </w:rPr>
        <w:t xml:space="preserve">he was entitled to as a pensioner, and that </w:t>
      </w:r>
      <w:r w:rsidR="00136BC1" w:rsidRPr="008A3740">
        <w:rPr>
          <w:rFonts w:ascii="Verdana" w:hAnsi="Verdana" w:cs="Arial"/>
          <w:sz w:val="20"/>
          <w:szCs w:val="20"/>
          <w:lang w:val="en-US"/>
        </w:rPr>
        <w:t>EsSalud</w:t>
      </w:r>
      <w:r w:rsidR="00E91BC5" w:rsidRPr="008A3740">
        <w:rPr>
          <w:rFonts w:ascii="Verdana" w:hAnsi="Verdana" w:cs="Arial"/>
          <w:sz w:val="20"/>
          <w:szCs w:val="20"/>
          <w:lang w:val="en-US"/>
        </w:rPr>
        <w:t xml:space="preserve"> provided full insurance coverage</w:t>
      </w:r>
      <w:r w:rsidR="008E6A56" w:rsidRPr="008A3740">
        <w:rPr>
          <w:rFonts w:ascii="Verdana" w:hAnsi="Verdana" w:cs="Arial"/>
          <w:sz w:val="20"/>
          <w:szCs w:val="20"/>
          <w:lang w:val="en-US"/>
        </w:rPr>
        <w:t xml:space="preserve">. </w:t>
      </w:r>
      <w:r w:rsidR="0035170C" w:rsidRPr="008A3740">
        <w:rPr>
          <w:rFonts w:ascii="Verdana" w:hAnsi="Verdana" w:cs="Arial"/>
          <w:sz w:val="20"/>
          <w:szCs w:val="20"/>
          <w:lang w:val="en-US"/>
        </w:rPr>
        <w:t>Furthermore</w:t>
      </w:r>
      <w:r w:rsidR="008E6A56" w:rsidRPr="008A3740">
        <w:rPr>
          <w:rFonts w:ascii="Verdana" w:hAnsi="Verdana" w:cs="Arial"/>
          <w:sz w:val="20"/>
          <w:szCs w:val="20"/>
          <w:lang w:val="en-US"/>
        </w:rPr>
        <w:t xml:space="preserve">, the Court notes that the SIS was created in 2002. </w:t>
      </w:r>
      <w:r w:rsidR="008E6A56" w:rsidRPr="008A3740">
        <w:rPr>
          <w:rFonts w:ascii="Verdana" w:eastAsia="MS Mincho" w:hAnsi="Verdana" w:cs="Verdana"/>
          <w:sz w:val="20"/>
          <w:szCs w:val="20"/>
          <w:lang w:val="en-US" w:bidi="en-US"/>
        </w:rPr>
        <w:t xml:space="preserve">The Court </w:t>
      </w:r>
      <w:r w:rsidR="006443E8" w:rsidRPr="008A3740">
        <w:rPr>
          <w:rFonts w:ascii="Verdana" w:eastAsia="MS Mincho" w:hAnsi="Verdana" w:cs="Verdana"/>
          <w:sz w:val="20"/>
          <w:szCs w:val="20"/>
          <w:lang w:val="en-US" w:bidi="en-US"/>
        </w:rPr>
        <w:t xml:space="preserve">considers </w:t>
      </w:r>
      <w:r w:rsidR="008E6A56" w:rsidRPr="008A3740">
        <w:rPr>
          <w:rFonts w:ascii="Verdana" w:eastAsia="MS Mincho" w:hAnsi="Verdana" w:cs="Verdana"/>
          <w:sz w:val="20"/>
          <w:szCs w:val="20"/>
          <w:lang w:val="en-US" w:bidi="en-US"/>
        </w:rPr>
        <w:t xml:space="preserve">that </w:t>
      </w:r>
      <w:r w:rsidR="008E6A56" w:rsidRPr="008A3740">
        <w:rPr>
          <w:rFonts w:ascii="Verdana" w:hAnsi="Verdana"/>
          <w:sz w:val="20"/>
          <w:szCs w:val="20"/>
          <w:lang w:val="en-US"/>
        </w:rPr>
        <w:t>the insurance to which Mr. Muelle Flores was entitled was th</w:t>
      </w:r>
      <w:r w:rsidR="0035170C" w:rsidRPr="008A3740">
        <w:rPr>
          <w:rFonts w:ascii="Verdana" w:hAnsi="Verdana"/>
          <w:sz w:val="20"/>
          <w:szCs w:val="20"/>
          <w:lang w:val="en-US"/>
        </w:rPr>
        <w:t xml:space="preserve">at </w:t>
      </w:r>
      <w:r w:rsidR="008E6A56" w:rsidRPr="008A3740">
        <w:rPr>
          <w:rFonts w:ascii="Verdana" w:hAnsi="Verdana"/>
          <w:sz w:val="20"/>
          <w:szCs w:val="20"/>
          <w:lang w:val="en-US"/>
        </w:rPr>
        <w:t>provi</w:t>
      </w:r>
      <w:r w:rsidR="006443E8" w:rsidRPr="008A3740">
        <w:rPr>
          <w:rFonts w:ascii="Verdana" w:hAnsi="Verdana"/>
          <w:sz w:val="20"/>
          <w:szCs w:val="20"/>
          <w:lang w:val="en-US"/>
        </w:rPr>
        <w:t xml:space="preserve">ded by social security through </w:t>
      </w:r>
      <w:r w:rsidR="00136BC1" w:rsidRPr="008A3740">
        <w:rPr>
          <w:rFonts w:ascii="Verdana" w:hAnsi="Verdana"/>
          <w:sz w:val="20"/>
          <w:szCs w:val="20"/>
          <w:lang w:val="en-US"/>
        </w:rPr>
        <w:t>EsSalud</w:t>
      </w:r>
      <w:r w:rsidR="008E6A56" w:rsidRPr="008A3740">
        <w:rPr>
          <w:rFonts w:ascii="Verdana" w:hAnsi="Verdana"/>
          <w:sz w:val="20"/>
          <w:szCs w:val="20"/>
          <w:lang w:val="en-US"/>
        </w:rPr>
        <w:t>. The victim was unable to benefit from this s</w:t>
      </w:r>
      <w:r w:rsidR="00241A67" w:rsidRPr="008A3740">
        <w:rPr>
          <w:rFonts w:ascii="Verdana" w:hAnsi="Verdana"/>
          <w:sz w:val="20"/>
          <w:szCs w:val="20"/>
          <w:lang w:val="en-US"/>
        </w:rPr>
        <w:t xml:space="preserve">ystem </w:t>
      </w:r>
      <w:r w:rsidR="006443E8" w:rsidRPr="008A3740">
        <w:rPr>
          <w:rFonts w:ascii="Verdana" w:hAnsi="Verdana"/>
          <w:sz w:val="20"/>
          <w:szCs w:val="20"/>
          <w:lang w:val="en-US"/>
        </w:rPr>
        <w:t xml:space="preserve">owing to </w:t>
      </w:r>
      <w:r w:rsidR="008E6A56" w:rsidRPr="008A3740">
        <w:rPr>
          <w:rFonts w:ascii="Verdana" w:hAnsi="Verdana"/>
          <w:sz w:val="20"/>
          <w:szCs w:val="20"/>
          <w:lang w:val="en-US"/>
        </w:rPr>
        <w:t>the</w:t>
      </w:r>
      <w:r w:rsidR="006443E8" w:rsidRPr="008A3740">
        <w:rPr>
          <w:rFonts w:ascii="Verdana" w:hAnsi="Verdana"/>
          <w:sz w:val="20"/>
          <w:szCs w:val="20"/>
          <w:lang w:val="en-US"/>
        </w:rPr>
        <w:t xml:space="preserve"> failure to</w:t>
      </w:r>
      <w:r w:rsidR="008E6A56" w:rsidRPr="008A3740">
        <w:rPr>
          <w:rFonts w:ascii="Verdana" w:hAnsi="Verdana"/>
          <w:sz w:val="20"/>
          <w:szCs w:val="20"/>
          <w:lang w:val="en-US"/>
        </w:rPr>
        <w:t xml:space="preserve"> </w:t>
      </w:r>
      <w:r w:rsidR="006443E8" w:rsidRPr="008A3740">
        <w:rPr>
          <w:rFonts w:ascii="Verdana" w:hAnsi="Verdana"/>
          <w:sz w:val="20"/>
          <w:szCs w:val="20"/>
          <w:lang w:val="en-US"/>
        </w:rPr>
        <w:t>pay his pension</w:t>
      </w:r>
      <w:r w:rsidR="008E6A56" w:rsidRPr="008A3740">
        <w:rPr>
          <w:rFonts w:ascii="Verdana" w:hAnsi="Verdana"/>
          <w:sz w:val="20"/>
          <w:szCs w:val="20"/>
          <w:lang w:val="en-US"/>
        </w:rPr>
        <w:t xml:space="preserve">, which </w:t>
      </w:r>
      <w:r w:rsidR="006443E8" w:rsidRPr="008A3740">
        <w:rPr>
          <w:rFonts w:ascii="Verdana" w:hAnsi="Verdana"/>
          <w:sz w:val="20"/>
          <w:szCs w:val="20"/>
          <w:lang w:val="en-US"/>
        </w:rPr>
        <w:t xml:space="preserve">meant that he had to pay </w:t>
      </w:r>
      <w:r w:rsidR="00781FD0" w:rsidRPr="008A3740">
        <w:rPr>
          <w:rFonts w:ascii="Verdana" w:hAnsi="Verdana"/>
          <w:sz w:val="20"/>
          <w:szCs w:val="20"/>
          <w:lang w:val="en-US"/>
        </w:rPr>
        <w:t xml:space="preserve">for </w:t>
      </w:r>
      <w:r w:rsidR="00E91BC5" w:rsidRPr="008A3740">
        <w:rPr>
          <w:rFonts w:ascii="Verdana" w:hAnsi="Verdana"/>
          <w:sz w:val="20"/>
          <w:szCs w:val="20"/>
          <w:lang w:val="en-US"/>
        </w:rPr>
        <w:t>his health costs out of his own pocket</w:t>
      </w:r>
      <w:r w:rsidR="008E6A56" w:rsidRPr="008A3740">
        <w:rPr>
          <w:rFonts w:ascii="Verdana" w:hAnsi="Verdana"/>
          <w:sz w:val="20"/>
          <w:szCs w:val="20"/>
          <w:lang w:val="en-US"/>
        </w:rPr>
        <w:t xml:space="preserve">. </w:t>
      </w:r>
    </w:p>
    <w:p w14:paraId="630F2811" w14:textId="77777777" w:rsidR="008E6A56" w:rsidRPr="008A3740" w:rsidRDefault="008E6A56" w:rsidP="008E6A56">
      <w:pPr>
        <w:tabs>
          <w:tab w:val="left" w:pos="567"/>
        </w:tabs>
        <w:rPr>
          <w:rFonts w:ascii="Verdana" w:eastAsia="MS Mincho" w:hAnsi="Verdana" w:cs="Verdana"/>
          <w:sz w:val="20"/>
          <w:szCs w:val="20"/>
          <w:lang w:val="en-US" w:bidi="en-US"/>
        </w:rPr>
      </w:pPr>
    </w:p>
    <w:p w14:paraId="57810491"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bCs/>
          <w:sz w:val="20"/>
          <w:szCs w:val="20"/>
          <w:lang w:val="en-US"/>
        </w:rPr>
      </w:pPr>
      <w:r w:rsidRPr="008A3740">
        <w:rPr>
          <w:rFonts w:ascii="Verdana" w:hAnsi="Verdana"/>
          <w:sz w:val="20"/>
          <w:szCs w:val="20"/>
          <w:lang w:val="en-US"/>
        </w:rPr>
        <w:t xml:space="preserve">The representatives presented receipts for certain medical expenses </w:t>
      </w:r>
      <w:r w:rsidR="007D70CE" w:rsidRPr="008A3740">
        <w:rPr>
          <w:rFonts w:ascii="Verdana" w:hAnsi="Verdana"/>
          <w:sz w:val="20"/>
          <w:szCs w:val="20"/>
          <w:lang w:val="en-US"/>
        </w:rPr>
        <w:t xml:space="preserve">related to </w:t>
      </w:r>
      <w:r w:rsidRPr="008A3740">
        <w:rPr>
          <w:rFonts w:ascii="Verdana" w:hAnsi="Verdana"/>
          <w:sz w:val="20"/>
          <w:szCs w:val="20"/>
          <w:lang w:val="en-US"/>
        </w:rPr>
        <w:t>the victim’s hearing disability, as well as for diagnostic and medical expenses</w:t>
      </w:r>
      <w:r w:rsidRPr="008A3740">
        <w:rPr>
          <w:rStyle w:val="Refdenotaalpie"/>
          <w:szCs w:val="20"/>
          <w:lang w:val="en-US"/>
        </w:rPr>
        <w:footnoteReference w:id="239"/>
      </w:r>
      <w:r w:rsidRPr="008A3740">
        <w:rPr>
          <w:rFonts w:ascii="Verdana" w:hAnsi="Verdana"/>
          <w:sz w:val="20"/>
          <w:szCs w:val="20"/>
          <w:lang w:val="en-US"/>
        </w:rPr>
        <w:t xml:space="preserve"> for a hip fracture and for his Alzheimer</w:t>
      </w:r>
      <w:r w:rsidR="007D70CE" w:rsidRPr="008A3740">
        <w:rPr>
          <w:rFonts w:ascii="Verdana" w:hAnsi="Verdana"/>
          <w:sz w:val="20"/>
          <w:szCs w:val="20"/>
          <w:lang w:val="en-US"/>
        </w:rPr>
        <w:t>’s</w:t>
      </w:r>
      <w:r w:rsidRPr="008A3740">
        <w:rPr>
          <w:rFonts w:ascii="Verdana" w:hAnsi="Verdana"/>
          <w:sz w:val="20"/>
          <w:szCs w:val="20"/>
          <w:lang w:val="en-US"/>
        </w:rPr>
        <w:t xml:space="preserve"> syndrome. </w:t>
      </w:r>
      <w:r w:rsidR="0080732B" w:rsidRPr="008A3740">
        <w:rPr>
          <w:rFonts w:ascii="Verdana" w:hAnsi="Verdana"/>
          <w:sz w:val="20"/>
          <w:szCs w:val="20"/>
          <w:lang w:val="en-US"/>
        </w:rPr>
        <w:t xml:space="preserve">They added </w:t>
      </w:r>
      <w:r w:rsidRPr="008A3740">
        <w:rPr>
          <w:rFonts w:ascii="Verdana" w:hAnsi="Verdana"/>
          <w:sz w:val="20"/>
          <w:szCs w:val="20"/>
          <w:lang w:val="en-US"/>
        </w:rPr>
        <w:t>that</w:t>
      </w:r>
      <w:r w:rsidR="0080732B" w:rsidRPr="008A3740">
        <w:rPr>
          <w:rFonts w:ascii="Verdana" w:hAnsi="Verdana"/>
          <w:sz w:val="20"/>
          <w:szCs w:val="20"/>
          <w:lang w:val="en-US"/>
        </w:rPr>
        <w:t>,</w:t>
      </w:r>
      <w:r w:rsidRPr="008A3740">
        <w:rPr>
          <w:rFonts w:ascii="Verdana" w:hAnsi="Verdana"/>
          <w:sz w:val="20"/>
          <w:szCs w:val="20"/>
          <w:lang w:val="en-US"/>
        </w:rPr>
        <w:t xml:space="preserve"> gi</w:t>
      </w:r>
      <w:r w:rsidR="008B1240" w:rsidRPr="008A3740">
        <w:rPr>
          <w:rFonts w:ascii="Verdana" w:hAnsi="Verdana"/>
          <w:sz w:val="20"/>
          <w:szCs w:val="20"/>
          <w:lang w:val="en-US"/>
        </w:rPr>
        <w:t>v</w:t>
      </w:r>
      <w:r w:rsidRPr="008A3740">
        <w:rPr>
          <w:rFonts w:ascii="Verdana" w:hAnsi="Verdana"/>
          <w:sz w:val="20"/>
          <w:szCs w:val="20"/>
          <w:lang w:val="en-US"/>
        </w:rPr>
        <w:t>en the time elapsed</w:t>
      </w:r>
      <w:r w:rsidR="0080732B" w:rsidRPr="008A3740">
        <w:rPr>
          <w:rFonts w:ascii="Verdana" w:hAnsi="Verdana"/>
          <w:sz w:val="20"/>
          <w:szCs w:val="20"/>
          <w:lang w:val="en-US"/>
        </w:rPr>
        <w:t>,</w:t>
      </w:r>
      <w:r w:rsidRPr="008A3740">
        <w:rPr>
          <w:rFonts w:ascii="Verdana" w:hAnsi="Verdana"/>
          <w:sz w:val="20"/>
          <w:szCs w:val="20"/>
          <w:lang w:val="en-US"/>
        </w:rPr>
        <w:t xml:space="preserve"> it was impossible to</w:t>
      </w:r>
      <w:r w:rsidR="0080732B" w:rsidRPr="008A3740">
        <w:rPr>
          <w:rFonts w:ascii="Verdana" w:hAnsi="Verdana"/>
          <w:sz w:val="20"/>
          <w:szCs w:val="20"/>
          <w:lang w:val="en-US"/>
        </w:rPr>
        <w:t xml:space="preserve"> attach </w:t>
      </w:r>
      <w:r w:rsidRPr="008A3740">
        <w:rPr>
          <w:rFonts w:ascii="Verdana" w:hAnsi="Verdana"/>
          <w:sz w:val="20"/>
          <w:szCs w:val="20"/>
          <w:lang w:val="en-US"/>
        </w:rPr>
        <w:t xml:space="preserve">previous </w:t>
      </w:r>
      <w:r w:rsidR="0080732B" w:rsidRPr="008A3740">
        <w:rPr>
          <w:rFonts w:ascii="Verdana" w:hAnsi="Verdana"/>
          <w:sz w:val="20"/>
          <w:szCs w:val="20"/>
          <w:lang w:val="en-US"/>
        </w:rPr>
        <w:t xml:space="preserve">receipts </w:t>
      </w:r>
      <w:r w:rsidRPr="008A3740">
        <w:rPr>
          <w:rFonts w:ascii="Verdana" w:hAnsi="Verdana"/>
          <w:sz w:val="20"/>
          <w:szCs w:val="20"/>
          <w:lang w:val="en-US"/>
        </w:rPr>
        <w:t xml:space="preserve">and </w:t>
      </w:r>
      <w:r w:rsidR="0080732B" w:rsidRPr="008A3740">
        <w:rPr>
          <w:rFonts w:ascii="Verdana" w:hAnsi="Verdana"/>
          <w:sz w:val="20"/>
          <w:szCs w:val="20"/>
          <w:lang w:val="en-US"/>
        </w:rPr>
        <w:t xml:space="preserve">to calculate </w:t>
      </w:r>
      <w:r w:rsidRPr="008A3740">
        <w:rPr>
          <w:rFonts w:ascii="Verdana" w:hAnsi="Verdana"/>
          <w:sz w:val="20"/>
          <w:szCs w:val="20"/>
          <w:lang w:val="en-US"/>
        </w:rPr>
        <w:t xml:space="preserve">the total amount disbursed by the victim </w:t>
      </w:r>
      <w:r w:rsidR="0080732B" w:rsidRPr="008A3740">
        <w:rPr>
          <w:rFonts w:ascii="Verdana" w:hAnsi="Verdana"/>
          <w:sz w:val="20"/>
          <w:szCs w:val="20"/>
          <w:lang w:val="en-US"/>
        </w:rPr>
        <w:t>for health expenses</w:t>
      </w:r>
      <w:r w:rsidRPr="008A3740">
        <w:rPr>
          <w:rFonts w:ascii="Verdana" w:hAnsi="Verdana"/>
          <w:sz w:val="20"/>
          <w:szCs w:val="20"/>
          <w:lang w:val="en-US"/>
        </w:rPr>
        <w:t>. Consequently</w:t>
      </w:r>
      <w:r w:rsidRPr="008A3740">
        <w:rPr>
          <w:rFonts w:ascii="Verdana" w:eastAsia="MS Mincho" w:hAnsi="Verdana"/>
          <w:sz w:val="20"/>
          <w:szCs w:val="20"/>
          <w:lang w:val="en-US" w:bidi="en-US"/>
        </w:rPr>
        <w:t xml:space="preserve">, </w:t>
      </w:r>
      <w:r w:rsidR="0080732B" w:rsidRPr="008A3740">
        <w:rPr>
          <w:rFonts w:ascii="Verdana" w:eastAsia="MS Mincho" w:hAnsi="Verdana"/>
          <w:sz w:val="20"/>
          <w:szCs w:val="20"/>
          <w:lang w:val="en-US" w:bidi="en-US"/>
        </w:rPr>
        <w:t xml:space="preserve">although the </w:t>
      </w:r>
      <w:r w:rsidRPr="008A3740">
        <w:rPr>
          <w:rFonts w:ascii="Verdana" w:eastAsia="MS Mincho" w:hAnsi="Verdana"/>
          <w:sz w:val="20"/>
          <w:szCs w:val="20"/>
          <w:lang w:val="en-US" w:bidi="en-US"/>
        </w:rPr>
        <w:t xml:space="preserve">amount </w:t>
      </w:r>
      <w:r w:rsidR="00361755" w:rsidRPr="008A3740">
        <w:rPr>
          <w:rFonts w:ascii="Verdana" w:eastAsia="MS Mincho" w:hAnsi="Verdana"/>
          <w:sz w:val="20"/>
          <w:szCs w:val="20"/>
          <w:lang w:val="en-US" w:bidi="en-US"/>
        </w:rPr>
        <w:t xml:space="preserve">accounted for </w:t>
      </w:r>
      <w:r w:rsidRPr="008A3740">
        <w:rPr>
          <w:rFonts w:ascii="Verdana" w:eastAsia="MS Mincho" w:hAnsi="Verdana"/>
          <w:sz w:val="20"/>
          <w:szCs w:val="20"/>
          <w:lang w:val="en-US" w:bidi="en-US"/>
        </w:rPr>
        <w:t xml:space="preserve">in the </w:t>
      </w:r>
      <w:r w:rsidR="00D740E9" w:rsidRPr="008A3740">
        <w:rPr>
          <w:rFonts w:ascii="Verdana" w:eastAsia="MS Mincho" w:hAnsi="Verdana"/>
          <w:sz w:val="20"/>
          <w:szCs w:val="20"/>
          <w:lang w:val="en-US" w:bidi="en-US"/>
        </w:rPr>
        <w:t xml:space="preserve">file </w:t>
      </w:r>
      <w:r w:rsidRPr="008A3740">
        <w:rPr>
          <w:rFonts w:ascii="Verdana" w:eastAsia="MS Mincho" w:hAnsi="Verdana" w:cs="Verdana"/>
          <w:sz w:val="20"/>
          <w:szCs w:val="20"/>
          <w:lang w:val="en-US" w:bidi="en-US"/>
        </w:rPr>
        <w:t>before this Court</w:t>
      </w:r>
      <w:r w:rsidRPr="008A3740">
        <w:rPr>
          <w:rFonts w:ascii="Verdana" w:hAnsi="Verdana"/>
          <w:sz w:val="20"/>
          <w:szCs w:val="20"/>
          <w:lang w:val="en-US"/>
        </w:rPr>
        <w:t xml:space="preserve"> </w:t>
      </w:r>
      <w:r w:rsidR="00D740E9" w:rsidRPr="008A3740">
        <w:rPr>
          <w:rFonts w:ascii="Verdana" w:hAnsi="Verdana"/>
          <w:sz w:val="20"/>
          <w:szCs w:val="20"/>
          <w:lang w:val="en-US"/>
        </w:rPr>
        <w:t xml:space="preserve">refers to </w:t>
      </w:r>
      <w:r w:rsidRPr="008A3740">
        <w:rPr>
          <w:rFonts w:ascii="Verdana" w:hAnsi="Verdana"/>
          <w:sz w:val="20"/>
          <w:szCs w:val="20"/>
          <w:lang w:val="en-US"/>
        </w:rPr>
        <w:t xml:space="preserve">the </w:t>
      </w:r>
      <w:r w:rsidR="00D740E9" w:rsidRPr="008A3740">
        <w:rPr>
          <w:rFonts w:ascii="Verdana" w:hAnsi="Verdana"/>
          <w:sz w:val="20"/>
          <w:szCs w:val="20"/>
          <w:lang w:val="en-US"/>
        </w:rPr>
        <w:t xml:space="preserve">most recent </w:t>
      </w:r>
      <w:r w:rsidRPr="008A3740">
        <w:rPr>
          <w:rFonts w:ascii="Verdana" w:hAnsi="Verdana"/>
          <w:sz w:val="20"/>
          <w:szCs w:val="20"/>
          <w:lang w:val="en-US"/>
        </w:rPr>
        <w:t xml:space="preserve">health </w:t>
      </w:r>
      <w:r w:rsidR="00D740E9" w:rsidRPr="008A3740">
        <w:rPr>
          <w:rFonts w:ascii="Verdana" w:hAnsi="Verdana"/>
          <w:sz w:val="20"/>
          <w:szCs w:val="20"/>
          <w:lang w:val="en-US"/>
        </w:rPr>
        <w:t xml:space="preserve">expenses </w:t>
      </w:r>
      <w:r w:rsidR="007D70CE" w:rsidRPr="008A3740">
        <w:rPr>
          <w:rFonts w:ascii="Verdana" w:hAnsi="Verdana"/>
          <w:sz w:val="20"/>
          <w:szCs w:val="20"/>
          <w:lang w:val="en-US"/>
        </w:rPr>
        <w:t xml:space="preserve">incurred by </w:t>
      </w:r>
      <w:r w:rsidRPr="008A3740">
        <w:rPr>
          <w:rFonts w:ascii="Verdana" w:hAnsi="Verdana"/>
          <w:sz w:val="20"/>
          <w:szCs w:val="20"/>
          <w:lang w:val="en-US"/>
        </w:rPr>
        <w:t xml:space="preserve">Mr. Muelle Flores, </w:t>
      </w:r>
      <w:r w:rsidR="00D740E9" w:rsidRPr="008A3740">
        <w:rPr>
          <w:rFonts w:ascii="Verdana" w:hAnsi="Verdana"/>
          <w:sz w:val="20"/>
          <w:szCs w:val="20"/>
          <w:lang w:val="en-US"/>
        </w:rPr>
        <w:t>totaling</w:t>
      </w:r>
      <w:r w:rsidR="0080732B" w:rsidRPr="008A3740">
        <w:rPr>
          <w:rFonts w:ascii="Verdana" w:hAnsi="Verdana"/>
          <w:sz w:val="20"/>
          <w:szCs w:val="20"/>
          <w:lang w:val="en-US"/>
        </w:rPr>
        <w:t xml:space="preserve"> </w:t>
      </w:r>
      <w:r w:rsidRPr="008A3740">
        <w:rPr>
          <w:rFonts w:ascii="Verdana" w:hAnsi="Verdana"/>
          <w:sz w:val="20"/>
          <w:szCs w:val="20"/>
          <w:lang w:val="en-US"/>
        </w:rPr>
        <w:t xml:space="preserve">S/8,626.41 new soles, </w:t>
      </w:r>
      <w:r w:rsidR="007D70CE" w:rsidRPr="008A3740">
        <w:rPr>
          <w:rFonts w:ascii="Verdana" w:hAnsi="Verdana"/>
          <w:sz w:val="20"/>
          <w:szCs w:val="20"/>
          <w:lang w:val="en-US"/>
        </w:rPr>
        <w:t xml:space="preserve">or </w:t>
      </w:r>
      <w:r w:rsidR="0080732B" w:rsidRPr="008A3740">
        <w:rPr>
          <w:rFonts w:ascii="Verdana" w:hAnsi="Verdana"/>
          <w:sz w:val="20"/>
          <w:szCs w:val="20"/>
          <w:lang w:val="en-US"/>
        </w:rPr>
        <w:t xml:space="preserve">approximately </w:t>
      </w:r>
      <w:r w:rsidRPr="008A3740">
        <w:rPr>
          <w:rFonts w:ascii="Verdana" w:hAnsi="Verdana"/>
          <w:sz w:val="20"/>
          <w:szCs w:val="20"/>
          <w:lang w:val="en-US"/>
        </w:rPr>
        <w:t xml:space="preserve">US$2,590.00 (two thousand five hundred and ninety United States dollars), the Court presumes that Mr. Muelle Flores incurred additional expenses derived from the human rights violations committed by the State in this case. </w:t>
      </w:r>
      <w:r w:rsidR="00241A67" w:rsidRPr="008A3740">
        <w:rPr>
          <w:rFonts w:ascii="Verdana" w:hAnsi="Verdana"/>
          <w:sz w:val="20"/>
          <w:szCs w:val="20"/>
          <w:lang w:val="en-US"/>
        </w:rPr>
        <w:t>Therefore</w:t>
      </w:r>
      <w:r w:rsidRPr="008A3740">
        <w:rPr>
          <w:rFonts w:ascii="Verdana" w:hAnsi="Verdana"/>
          <w:sz w:val="20"/>
          <w:szCs w:val="20"/>
          <w:lang w:val="en-US"/>
        </w:rPr>
        <w:t xml:space="preserve">, the Court considers it reasonable to order payment </w:t>
      </w:r>
      <w:r w:rsidR="00761210" w:rsidRPr="008A3740">
        <w:rPr>
          <w:rFonts w:ascii="Verdana" w:hAnsi="Verdana"/>
          <w:sz w:val="20"/>
          <w:szCs w:val="20"/>
          <w:lang w:val="en-US"/>
        </w:rPr>
        <w:t>of US$ 10,000.</w:t>
      </w:r>
      <w:r w:rsidRPr="008A3740">
        <w:rPr>
          <w:rFonts w:ascii="Verdana" w:hAnsi="Verdana"/>
          <w:sz w:val="20"/>
          <w:szCs w:val="20"/>
          <w:lang w:val="en-US"/>
        </w:rPr>
        <w:t>00 (ten thousand United States dollars)</w:t>
      </w:r>
      <w:r w:rsidRPr="008A3740">
        <w:rPr>
          <w:rFonts w:ascii="Verdana" w:hAnsi="Verdana"/>
          <w:bCs/>
          <w:sz w:val="20"/>
          <w:szCs w:val="20"/>
          <w:lang w:val="en-US"/>
        </w:rPr>
        <w:t xml:space="preserve">, </w:t>
      </w:r>
      <w:r w:rsidR="00D740E9" w:rsidRPr="008A3740">
        <w:rPr>
          <w:rFonts w:ascii="Verdana" w:hAnsi="Verdana"/>
          <w:bCs/>
          <w:sz w:val="20"/>
          <w:szCs w:val="20"/>
          <w:lang w:val="en-US"/>
        </w:rPr>
        <w:t xml:space="preserve">for </w:t>
      </w:r>
      <w:r w:rsidRPr="008A3740">
        <w:rPr>
          <w:rFonts w:ascii="Verdana" w:eastAsia="MS Mincho" w:hAnsi="Verdana"/>
          <w:bCs/>
          <w:sz w:val="20"/>
          <w:szCs w:val="20"/>
          <w:lang w:val="en-US" w:eastAsia="en-US" w:bidi="en-US"/>
        </w:rPr>
        <w:t xml:space="preserve">consequential damages, </w:t>
      </w:r>
      <w:r w:rsidR="00D740E9" w:rsidRPr="008A3740">
        <w:rPr>
          <w:rFonts w:ascii="Verdana" w:eastAsia="MS Mincho" w:hAnsi="Verdana"/>
          <w:bCs/>
          <w:sz w:val="20"/>
          <w:szCs w:val="20"/>
          <w:lang w:val="en-US" w:eastAsia="en-US" w:bidi="en-US"/>
        </w:rPr>
        <w:t xml:space="preserve">which must be paid </w:t>
      </w:r>
      <w:r w:rsidR="00D740E9" w:rsidRPr="008A3740">
        <w:rPr>
          <w:rFonts w:ascii="Verdana" w:hAnsi="Verdana"/>
          <w:sz w:val="20"/>
          <w:szCs w:val="20"/>
          <w:lang w:val="en-US"/>
        </w:rPr>
        <w:t>to Mr.</w:t>
      </w:r>
      <w:r w:rsidR="007D70CE" w:rsidRPr="008A3740">
        <w:rPr>
          <w:rFonts w:ascii="Verdana" w:hAnsi="Verdana"/>
          <w:sz w:val="20"/>
          <w:szCs w:val="20"/>
          <w:lang w:val="en-US"/>
        </w:rPr>
        <w:t xml:space="preserve"> Muelle Flores</w:t>
      </w:r>
      <w:r w:rsidRPr="008A3740">
        <w:rPr>
          <w:rFonts w:ascii="Verdana" w:hAnsi="Verdana"/>
          <w:sz w:val="20"/>
          <w:szCs w:val="20"/>
          <w:lang w:val="en-US"/>
        </w:rPr>
        <w:t xml:space="preserve"> within six months </w:t>
      </w:r>
      <w:r w:rsidR="007D70CE" w:rsidRPr="008A3740">
        <w:rPr>
          <w:rFonts w:ascii="Verdana" w:hAnsi="Verdana"/>
          <w:sz w:val="20"/>
          <w:szCs w:val="20"/>
          <w:lang w:val="en-US"/>
        </w:rPr>
        <w:t xml:space="preserve">of </w:t>
      </w:r>
      <w:r w:rsidRPr="008A3740">
        <w:rPr>
          <w:rFonts w:ascii="Verdana" w:hAnsi="Verdana"/>
          <w:sz w:val="20"/>
          <w:szCs w:val="20"/>
          <w:lang w:val="en-US"/>
        </w:rPr>
        <w:t xml:space="preserve">notification of this Judgment. The Court considers that the request </w:t>
      </w:r>
      <w:r w:rsidR="008E3277" w:rsidRPr="008A3740">
        <w:rPr>
          <w:rFonts w:ascii="Verdana" w:hAnsi="Verdana"/>
          <w:sz w:val="20"/>
          <w:szCs w:val="20"/>
          <w:lang w:val="en-US"/>
        </w:rPr>
        <w:t xml:space="preserve">for </w:t>
      </w:r>
      <w:r w:rsidRPr="008A3740">
        <w:rPr>
          <w:rFonts w:ascii="Verdana" w:hAnsi="Verdana"/>
          <w:sz w:val="20"/>
          <w:szCs w:val="20"/>
          <w:lang w:val="en-US"/>
        </w:rPr>
        <w:t xml:space="preserve">the </w:t>
      </w:r>
      <w:r w:rsidR="008E3277" w:rsidRPr="008A3740">
        <w:rPr>
          <w:rFonts w:ascii="Verdana" w:hAnsi="Verdana"/>
          <w:sz w:val="20"/>
          <w:szCs w:val="20"/>
          <w:lang w:val="en-US"/>
        </w:rPr>
        <w:t xml:space="preserve">inclusion </w:t>
      </w:r>
      <w:r w:rsidRPr="008A3740">
        <w:rPr>
          <w:rFonts w:ascii="Verdana" w:hAnsi="Verdana"/>
          <w:sz w:val="20"/>
          <w:szCs w:val="20"/>
          <w:lang w:val="en-US"/>
        </w:rPr>
        <w:t>of the victim’s future expenses is covered under the measure of restitution of rights ordered.</w:t>
      </w:r>
    </w:p>
    <w:p w14:paraId="0B991A34" w14:textId="77777777" w:rsidR="008E6A56" w:rsidRPr="008A3740" w:rsidRDefault="008E6A56" w:rsidP="008E6A56">
      <w:pPr>
        <w:pStyle w:val="Ttulo4"/>
        <w:rPr>
          <w:lang w:val="en-US"/>
        </w:rPr>
      </w:pPr>
      <w:r w:rsidRPr="008A3740">
        <w:rPr>
          <w:lang w:val="en-US"/>
        </w:rPr>
        <w:t xml:space="preserve">b) Loss of income </w:t>
      </w:r>
    </w:p>
    <w:p w14:paraId="0B8EE31C" w14:textId="77777777" w:rsidR="008E6A56" w:rsidRPr="008A3740" w:rsidRDefault="008E6A56" w:rsidP="008E6A56">
      <w:pPr>
        <w:tabs>
          <w:tab w:val="left" w:pos="567"/>
        </w:tabs>
        <w:textAlignment w:val="auto"/>
        <w:rPr>
          <w:rFonts w:ascii="Verdana" w:hAnsi="Verdana"/>
          <w:b/>
          <w:i/>
          <w:sz w:val="20"/>
          <w:szCs w:val="20"/>
          <w:lang w:val="en-US"/>
        </w:rPr>
      </w:pPr>
    </w:p>
    <w:p w14:paraId="03AB4EB7"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cs="Arial"/>
          <w:sz w:val="20"/>
          <w:szCs w:val="20"/>
          <w:lang w:val="en-US"/>
        </w:rPr>
        <w:t>The</w:t>
      </w:r>
      <w:r w:rsidR="00D21959" w:rsidRPr="008A3740">
        <w:rPr>
          <w:rFonts w:ascii="Verdana" w:hAnsi="Verdana" w:cs="Arial"/>
          <w:sz w:val="20"/>
          <w:szCs w:val="20"/>
          <w:lang w:val="en-US"/>
        </w:rPr>
        <w:t xml:space="preserve"> </w:t>
      </w:r>
      <w:r w:rsidR="00D21959" w:rsidRPr="008A3740">
        <w:rPr>
          <w:rFonts w:ascii="Verdana" w:hAnsi="Verdana" w:cs="Arial"/>
          <w:b/>
          <w:i/>
          <w:sz w:val="20"/>
          <w:szCs w:val="20"/>
          <w:lang w:val="en-US"/>
        </w:rPr>
        <w:t>Commission</w:t>
      </w:r>
      <w:r w:rsidR="00D21959" w:rsidRPr="008A3740">
        <w:rPr>
          <w:rFonts w:ascii="Verdana" w:hAnsi="Verdana" w:cs="Arial"/>
          <w:sz w:val="20"/>
          <w:szCs w:val="20"/>
          <w:lang w:val="en-US"/>
        </w:rPr>
        <w:t xml:space="preserve"> asked the Court to</w:t>
      </w:r>
      <w:r w:rsidRPr="008A3740">
        <w:rPr>
          <w:rFonts w:ascii="Verdana" w:hAnsi="Verdana" w:cs="Arial"/>
          <w:sz w:val="20"/>
          <w:szCs w:val="20"/>
          <w:lang w:val="en-US"/>
        </w:rPr>
        <w:t xml:space="preserve"> order paymen</w:t>
      </w:r>
      <w:r w:rsidR="00D740E9" w:rsidRPr="008A3740">
        <w:rPr>
          <w:rFonts w:ascii="Verdana" w:hAnsi="Verdana" w:cs="Arial"/>
          <w:sz w:val="20"/>
          <w:szCs w:val="20"/>
          <w:lang w:val="en-US"/>
        </w:rPr>
        <w:t xml:space="preserve">t of </w:t>
      </w:r>
      <w:r w:rsidRPr="008A3740">
        <w:rPr>
          <w:rFonts w:ascii="Verdana" w:hAnsi="Verdana" w:cs="Arial"/>
          <w:sz w:val="20"/>
          <w:szCs w:val="20"/>
          <w:lang w:val="en-US"/>
        </w:rPr>
        <w:t xml:space="preserve">the pensions </w:t>
      </w:r>
      <w:r w:rsidR="0080732B" w:rsidRPr="008A3740">
        <w:rPr>
          <w:rFonts w:ascii="Verdana" w:hAnsi="Verdana" w:cs="Arial"/>
          <w:sz w:val="20"/>
          <w:szCs w:val="20"/>
          <w:lang w:val="en-US"/>
        </w:rPr>
        <w:t xml:space="preserve">owed to </w:t>
      </w:r>
      <w:r w:rsidRPr="008A3740">
        <w:rPr>
          <w:rFonts w:ascii="Verdana" w:hAnsi="Verdana" w:cs="Arial"/>
          <w:sz w:val="20"/>
          <w:szCs w:val="20"/>
          <w:lang w:val="en-US"/>
        </w:rPr>
        <w:t>Mr. Muelle Flores</w:t>
      </w:r>
      <w:r w:rsidR="0080732B" w:rsidRPr="008A3740">
        <w:rPr>
          <w:rFonts w:ascii="Verdana" w:hAnsi="Verdana" w:cs="Arial"/>
          <w:sz w:val="20"/>
          <w:szCs w:val="20"/>
          <w:lang w:val="en-US"/>
        </w:rPr>
        <w:t xml:space="preserve"> from the moment of his</w:t>
      </w:r>
      <w:r w:rsidR="00D740E9" w:rsidRPr="008A3740">
        <w:rPr>
          <w:rFonts w:ascii="Verdana" w:hAnsi="Verdana" w:cs="Arial"/>
          <w:sz w:val="20"/>
          <w:szCs w:val="20"/>
          <w:lang w:val="en-US"/>
        </w:rPr>
        <w:t xml:space="preserve"> retirement</w:t>
      </w:r>
      <w:r w:rsidRPr="008A3740">
        <w:rPr>
          <w:rFonts w:ascii="Verdana" w:hAnsi="Verdana" w:cs="Arial"/>
          <w:sz w:val="20"/>
          <w:szCs w:val="20"/>
          <w:lang w:val="en-US"/>
        </w:rPr>
        <w:t xml:space="preserve"> until the date </w:t>
      </w:r>
      <w:r w:rsidR="00D740E9" w:rsidRPr="008A3740">
        <w:rPr>
          <w:rFonts w:ascii="Verdana" w:hAnsi="Verdana" w:cs="Arial"/>
          <w:sz w:val="20"/>
          <w:szCs w:val="20"/>
          <w:lang w:val="en-US"/>
        </w:rPr>
        <w:t xml:space="preserve">on which </w:t>
      </w:r>
      <w:r w:rsidR="00D21959" w:rsidRPr="008A3740">
        <w:rPr>
          <w:rFonts w:ascii="Verdana" w:hAnsi="Verdana" w:cs="Arial"/>
          <w:sz w:val="20"/>
          <w:szCs w:val="20"/>
          <w:lang w:val="en-US"/>
        </w:rPr>
        <w:t>said</w:t>
      </w:r>
      <w:r w:rsidRPr="008A3740">
        <w:rPr>
          <w:rFonts w:ascii="Verdana" w:hAnsi="Verdana" w:cs="Arial"/>
          <w:sz w:val="20"/>
          <w:szCs w:val="20"/>
          <w:lang w:val="en-US"/>
        </w:rPr>
        <w:t xml:space="preserve"> payment</w:t>
      </w:r>
      <w:r w:rsidR="00D740E9" w:rsidRPr="008A3740">
        <w:rPr>
          <w:rFonts w:ascii="Verdana" w:hAnsi="Verdana" w:cs="Arial"/>
          <w:sz w:val="20"/>
          <w:szCs w:val="20"/>
          <w:lang w:val="en-US"/>
        </w:rPr>
        <w:t xml:space="preserve"> is made effective</w:t>
      </w:r>
      <w:r w:rsidRPr="008A3740">
        <w:rPr>
          <w:rFonts w:ascii="Verdana" w:hAnsi="Verdana" w:cs="Arial"/>
          <w:sz w:val="20"/>
          <w:szCs w:val="20"/>
          <w:lang w:val="en-US"/>
        </w:rPr>
        <w:t xml:space="preserve">. </w:t>
      </w:r>
    </w:p>
    <w:p w14:paraId="5DF77608" w14:textId="77777777" w:rsidR="008E6A56" w:rsidRPr="008A3740" w:rsidRDefault="008E6A56" w:rsidP="008E6A56">
      <w:pPr>
        <w:tabs>
          <w:tab w:val="left" w:pos="567"/>
        </w:tabs>
        <w:textAlignment w:val="auto"/>
        <w:rPr>
          <w:rFonts w:ascii="Verdana" w:hAnsi="Verdana"/>
          <w:b/>
          <w:i/>
          <w:sz w:val="20"/>
          <w:szCs w:val="20"/>
          <w:lang w:val="en-US"/>
        </w:rPr>
      </w:pPr>
    </w:p>
    <w:p w14:paraId="7977E98B" w14:textId="77777777" w:rsidR="008E6A56" w:rsidRPr="008A3740" w:rsidRDefault="008E6A56" w:rsidP="00D17A65">
      <w:pPr>
        <w:numPr>
          <w:ilvl w:val="0"/>
          <w:numId w:val="3"/>
        </w:numPr>
        <w:tabs>
          <w:tab w:val="left" w:pos="567"/>
          <w:tab w:val="num" w:pos="5057"/>
        </w:tabs>
        <w:ind w:left="0" w:firstLine="0"/>
        <w:textAlignment w:val="auto"/>
        <w:rPr>
          <w:rFonts w:ascii="Verdana" w:hAnsi="Verdana" w:cs="Arial"/>
          <w:sz w:val="20"/>
          <w:szCs w:val="20"/>
          <w:lang w:val="en-US"/>
        </w:rPr>
      </w:pPr>
      <w:r w:rsidRPr="008A3740">
        <w:rPr>
          <w:rFonts w:ascii="Verdana" w:hAnsi="Verdana" w:cs="Arial"/>
          <w:sz w:val="20"/>
          <w:szCs w:val="20"/>
          <w:lang w:val="en-US"/>
        </w:rPr>
        <w:t xml:space="preserve">The </w:t>
      </w:r>
      <w:r w:rsidRPr="008A3740">
        <w:rPr>
          <w:rFonts w:ascii="Verdana" w:hAnsi="Verdana" w:cs="Arial"/>
          <w:b/>
          <w:i/>
          <w:sz w:val="20"/>
          <w:szCs w:val="20"/>
          <w:lang w:val="en-US"/>
        </w:rPr>
        <w:t>representatives</w:t>
      </w:r>
      <w:r w:rsidRPr="008A3740">
        <w:rPr>
          <w:rFonts w:ascii="Verdana" w:hAnsi="Verdana" w:cs="Arial"/>
          <w:i/>
          <w:sz w:val="20"/>
          <w:szCs w:val="20"/>
          <w:lang w:val="en-US"/>
        </w:rPr>
        <w:t xml:space="preserve"> </w:t>
      </w:r>
      <w:r w:rsidRPr="008A3740">
        <w:rPr>
          <w:rFonts w:ascii="Verdana" w:hAnsi="Verdana" w:cs="Arial"/>
          <w:sz w:val="20"/>
          <w:szCs w:val="20"/>
          <w:lang w:val="en-US"/>
        </w:rPr>
        <w:t xml:space="preserve">requested that </w:t>
      </w:r>
      <w:r w:rsidRPr="008A3740">
        <w:rPr>
          <w:rFonts w:ascii="Verdana" w:hAnsi="Verdana"/>
          <w:sz w:val="20"/>
          <w:szCs w:val="20"/>
          <w:lang w:val="en-US"/>
        </w:rPr>
        <w:t xml:space="preserve">Mr. Muelle Flores’ pension be paid retroactively, with the </w:t>
      </w:r>
      <w:r w:rsidR="0080732B" w:rsidRPr="008A3740">
        <w:rPr>
          <w:rFonts w:ascii="Verdana" w:hAnsi="Verdana"/>
          <w:sz w:val="20"/>
          <w:szCs w:val="20"/>
          <w:lang w:val="en-US"/>
        </w:rPr>
        <w:t xml:space="preserve">appropriate monetary </w:t>
      </w:r>
      <w:r w:rsidR="00D21959" w:rsidRPr="008A3740">
        <w:rPr>
          <w:rFonts w:ascii="Verdana" w:hAnsi="Verdana"/>
          <w:sz w:val="20"/>
          <w:szCs w:val="20"/>
          <w:lang w:val="en-US"/>
        </w:rPr>
        <w:t xml:space="preserve">adjustments </w:t>
      </w:r>
      <w:r w:rsidRPr="008A3740">
        <w:rPr>
          <w:rFonts w:ascii="Verdana" w:hAnsi="Verdana"/>
          <w:sz w:val="20"/>
          <w:szCs w:val="20"/>
          <w:lang w:val="en-US"/>
        </w:rPr>
        <w:t xml:space="preserve">and the corresponding interest on arrears, from the date of its arbitrary </w:t>
      </w:r>
      <w:r w:rsidR="00D21959" w:rsidRPr="008A3740">
        <w:rPr>
          <w:rFonts w:ascii="Verdana" w:hAnsi="Verdana"/>
          <w:sz w:val="20"/>
          <w:szCs w:val="20"/>
          <w:lang w:val="en-US"/>
        </w:rPr>
        <w:t xml:space="preserve">suspension </w:t>
      </w:r>
      <w:r w:rsidRPr="008A3740">
        <w:rPr>
          <w:rFonts w:ascii="Verdana" w:hAnsi="Verdana"/>
          <w:sz w:val="20"/>
          <w:szCs w:val="20"/>
          <w:lang w:val="en-US"/>
        </w:rPr>
        <w:t>in February 1991</w:t>
      </w:r>
      <w:r w:rsidR="00D21959" w:rsidRPr="008A3740">
        <w:rPr>
          <w:rFonts w:ascii="Verdana" w:hAnsi="Verdana"/>
          <w:sz w:val="20"/>
          <w:szCs w:val="20"/>
          <w:lang w:val="en-US"/>
        </w:rPr>
        <w:t>,</w:t>
      </w:r>
      <w:r w:rsidRPr="008A3740">
        <w:rPr>
          <w:rFonts w:ascii="Verdana" w:hAnsi="Verdana"/>
          <w:sz w:val="20"/>
          <w:szCs w:val="20"/>
          <w:lang w:val="en-US"/>
        </w:rPr>
        <w:t xml:space="preserve"> until the </w:t>
      </w:r>
      <w:r w:rsidR="0080732B" w:rsidRPr="008A3740">
        <w:rPr>
          <w:rFonts w:ascii="Verdana" w:hAnsi="Verdana"/>
          <w:sz w:val="20"/>
          <w:szCs w:val="20"/>
          <w:lang w:val="en-US"/>
        </w:rPr>
        <w:t xml:space="preserve">full </w:t>
      </w:r>
      <w:r w:rsidR="00D21959" w:rsidRPr="008A3740">
        <w:rPr>
          <w:rFonts w:ascii="Verdana" w:hAnsi="Verdana"/>
          <w:sz w:val="20"/>
          <w:szCs w:val="20"/>
          <w:lang w:val="en-US"/>
        </w:rPr>
        <w:t>amount of the pension owed i</w:t>
      </w:r>
      <w:r w:rsidR="004150BD" w:rsidRPr="008A3740">
        <w:rPr>
          <w:rFonts w:ascii="Verdana" w:hAnsi="Verdana"/>
          <w:sz w:val="20"/>
          <w:szCs w:val="20"/>
          <w:lang w:val="en-US"/>
        </w:rPr>
        <w:t xml:space="preserve">s </w:t>
      </w:r>
      <w:r w:rsidR="0080732B" w:rsidRPr="008A3740">
        <w:rPr>
          <w:rFonts w:ascii="Verdana" w:hAnsi="Verdana"/>
          <w:sz w:val="20"/>
          <w:szCs w:val="20"/>
          <w:lang w:val="en-US"/>
        </w:rPr>
        <w:t>effective</w:t>
      </w:r>
      <w:r w:rsidR="004150BD" w:rsidRPr="008A3740">
        <w:rPr>
          <w:rFonts w:ascii="Verdana" w:hAnsi="Verdana"/>
          <w:sz w:val="20"/>
          <w:szCs w:val="20"/>
          <w:lang w:val="en-US"/>
        </w:rPr>
        <w:t xml:space="preserve">ly paid, </w:t>
      </w:r>
      <w:r w:rsidRPr="008A3740">
        <w:rPr>
          <w:rFonts w:ascii="Verdana" w:hAnsi="Verdana"/>
          <w:sz w:val="20"/>
          <w:szCs w:val="20"/>
          <w:lang w:val="en-US"/>
        </w:rPr>
        <w:t>respe</w:t>
      </w:r>
      <w:r w:rsidR="00C52B8D" w:rsidRPr="008A3740">
        <w:rPr>
          <w:rFonts w:ascii="Verdana" w:hAnsi="Verdana"/>
          <w:sz w:val="20"/>
          <w:szCs w:val="20"/>
          <w:lang w:val="en-US"/>
        </w:rPr>
        <w:t xml:space="preserve">cting </w:t>
      </w:r>
      <w:r w:rsidR="00E5227C" w:rsidRPr="008A3740">
        <w:rPr>
          <w:rFonts w:ascii="Verdana" w:hAnsi="Verdana"/>
          <w:sz w:val="20"/>
          <w:szCs w:val="20"/>
          <w:lang w:val="en-US"/>
        </w:rPr>
        <w:t>equalization</w:t>
      </w:r>
      <w:r w:rsidRPr="008A3740">
        <w:rPr>
          <w:rFonts w:ascii="Verdana" w:hAnsi="Verdana"/>
          <w:sz w:val="20"/>
          <w:szCs w:val="20"/>
          <w:lang w:val="en-US"/>
        </w:rPr>
        <w:t xml:space="preserve"> and applying the most favorable </w:t>
      </w:r>
      <w:r w:rsidR="00D21959" w:rsidRPr="008A3740">
        <w:rPr>
          <w:rFonts w:ascii="Verdana" w:hAnsi="Verdana"/>
          <w:sz w:val="20"/>
          <w:szCs w:val="20"/>
          <w:lang w:val="en-US"/>
        </w:rPr>
        <w:t xml:space="preserve">terms </w:t>
      </w:r>
      <w:r w:rsidRPr="008A3740">
        <w:rPr>
          <w:rFonts w:ascii="Verdana" w:hAnsi="Verdana"/>
          <w:sz w:val="20"/>
          <w:szCs w:val="20"/>
          <w:lang w:val="en-US"/>
        </w:rPr>
        <w:t>for the pensioner.</w:t>
      </w:r>
      <w:r w:rsidRPr="008A3740">
        <w:rPr>
          <w:rFonts w:ascii="Verdana" w:hAnsi="Verdana" w:cs="CIDFont+F2"/>
          <w:b/>
          <w:sz w:val="20"/>
          <w:szCs w:val="20"/>
          <w:lang w:val="en-US"/>
        </w:rPr>
        <w:t xml:space="preserve"> </w:t>
      </w:r>
      <w:r w:rsidR="00A87138" w:rsidRPr="008A3740">
        <w:rPr>
          <w:rFonts w:ascii="Verdana" w:hAnsi="Verdana"/>
          <w:sz w:val="20"/>
          <w:szCs w:val="20"/>
          <w:lang w:val="en-US"/>
        </w:rPr>
        <w:t>I</w:t>
      </w:r>
      <w:r w:rsidRPr="008A3740">
        <w:rPr>
          <w:rFonts w:ascii="Verdana" w:hAnsi="Verdana"/>
          <w:sz w:val="20"/>
          <w:szCs w:val="20"/>
          <w:lang w:val="en-US"/>
        </w:rPr>
        <w:t xml:space="preserve">n their brief of January 9, 2019, and in relation to the measures adopted by the State described </w:t>
      </w:r>
      <w:r w:rsidRPr="008A3740">
        <w:rPr>
          <w:rFonts w:ascii="Verdana" w:hAnsi="Verdana"/>
          <w:i/>
          <w:sz w:val="20"/>
          <w:szCs w:val="20"/>
          <w:lang w:val="en-US"/>
        </w:rPr>
        <w:t>infra</w:t>
      </w:r>
      <w:r w:rsidRPr="008A3740">
        <w:rPr>
          <w:rFonts w:ascii="Verdana" w:hAnsi="Verdana"/>
          <w:sz w:val="20"/>
          <w:szCs w:val="20"/>
          <w:lang w:val="en-US"/>
        </w:rPr>
        <w:t xml:space="preserve">, </w:t>
      </w:r>
      <w:r w:rsidR="00A87138" w:rsidRPr="008A3740">
        <w:rPr>
          <w:rFonts w:ascii="Verdana" w:hAnsi="Verdana"/>
          <w:sz w:val="20"/>
          <w:szCs w:val="20"/>
          <w:lang w:val="en-US"/>
        </w:rPr>
        <w:t xml:space="preserve">the representatives disputed </w:t>
      </w:r>
      <w:r w:rsidRPr="008A3740">
        <w:rPr>
          <w:rFonts w:ascii="Verdana" w:hAnsi="Verdana"/>
          <w:sz w:val="20"/>
          <w:szCs w:val="20"/>
          <w:lang w:val="en-US"/>
        </w:rPr>
        <w:t xml:space="preserve">the amount calculated by the State (S/1,337.61 new soles) as </w:t>
      </w:r>
      <w:r w:rsidR="00D740E9" w:rsidRPr="008A3740">
        <w:rPr>
          <w:rFonts w:ascii="Verdana" w:hAnsi="Verdana"/>
          <w:sz w:val="20"/>
          <w:szCs w:val="20"/>
          <w:lang w:val="en-US"/>
        </w:rPr>
        <w:t xml:space="preserve">equalized </w:t>
      </w:r>
      <w:r w:rsidRPr="008A3740">
        <w:rPr>
          <w:rFonts w:ascii="Verdana" w:hAnsi="Verdana"/>
          <w:sz w:val="20"/>
          <w:szCs w:val="20"/>
          <w:lang w:val="en-US"/>
        </w:rPr>
        <w:t xml:space="preserve">remuneration, and </w:t>
      </w:r>
      <w:r w:rsidR="004150BD" w:rsidRPr="008A3740">
        <w:rPr>
          <w:rFonts w:ascii="Verdana" w:hAnsi="Verdana"/>
          <w:sz w:val="20"/>
          <w:szCs w:val="20"/>
          <w:lang w:val="en-US"/>
        </w:rPr>
        <w:t xml:space="preserve">pointed out </w:t>
      </w:r>
      <w:r w:rsidRPr="008A3740">
        <w:rPr>
          <w:rFonts w:ascii="Verdana" w:hAnsi="Verdana"/>
          <w:sz w:val="20"/>
          <w:szCs w:val="20"/>
          <w:lang w:val="en-US"/>
        </w:rPr>
        <w:t xml:space="preserve">that </w:t>
      </w:r>
      <w:r w:rsidR="00BA6568" w:rsidRPr="008A3740">
        <w:rPr>
          <w:rFonts w:ascii="Verdana" w:hAnsi="Verdana"/>
          <w:sz w:val="20"/>
          <w:szCs w:val="20"/>
          <w:lang w:val="en-US"/>
        </w:rPr>
        <w:t xml:space="preserve">this </w:t>
      </w:r>
      <w:r w:rsidRPr="008A3740">
        <w:rPr>
          <w:rFonts w:ascii="Verdana" w:hAnsi="Verdana"/>
          <w:sz w:val="20"/>
          <w:szCs w:val="20"/>
          <w:lang w:val="en-US"/>
        </w:rPr>
        <w:t xml:space="preserve">amount did not correspond to </w:t>
      </w:r>
      <w:r w:rsidR="00D21959" w:rsidRPr="008A3740">
        <w:rPr>
          <w:rFonts w:ascii="Verdana" w:hAnsi="Verdana"/>
          <w:sz w:val="20"/>
          <w:szCs w:val="20"/>
          <w:lang w:val="en-US"/>
        </w:rPr>
        <w:t xml:space="preserve">the salary earned by </w:t>
      </w:r>
      <w:r w:rsidRPr="008A3740">
        <w:rPr>
          <w:rFonts w:ascii="Verdana" w:hAnsi="Verdana"/>
          <w:sz w:val="20"/>
          <w:szCs w:val="20"/>
          <w:lang w:val="en-US"/>
        </w:rPr>
        <w:t>a public s</w:t>
      </w:r>
      <w:r w:rsidR="00F530F3" w:rsidRPr="008A3740">
        <w:rPr>
          <w:rFonts w:ascii="Verdana" w:hAnsi="Verdana"/>
          <w:sz w:val="20"/>
          <w:szCs w:val="20"/>
          <w:lang w:val="en-US"/>
        </w:rPr>
        <w:t xml:space="preserve">ervant of the </w:t>
      </w:r>
      <w:r w:rsidR="004150BD" w:rsidRPr="008A3740">
        <w:rPr>
          <w:rFonts w:ascii="Verdana" w:hAnsi="Verdana"/>
          <w:sz w:val="20"/>
          <w:szCs w:val="20"/>
          <w:lang w:val="en-US"/>
        </w:rPr>
        <w:t xml:space="preserve">rank of </w:t>
      </w:r>
      <w:r w:rsidRPr="008A3740">
        <w:rPr>
          <w:rFonts w:ascii="Verdana" w:hAnsi="Verdana"/>
          <w:sz w:val="20"/>
          <w:szCs w:val="20"/>
          <w:lang w:val="en-US"/>
        </w:rPr>
        <w:t xml:space="preserve">Mr. Muelle Flores. </w:t>
      </w:r>
      <w:r w:rsidR="00D21959" w:rsidRPr="008A3740">
        <w:rPr>
          <w:rFonts w:ascii="Verdana" w:hAnsi="Verdana"/>
          <w:sz w:val="20"/>
          <w:szCs w:val="20"/>
          <w:lang w:val="en-US"/>
        </w:rPr>
        <w:t>In addition -</w:t>
      </w:r>
      <w:r w:rsidR="004150BD" w:rsidRPr="008A3740">
        <w:rPr>
          <w:rFonts w:ascii="Verdana" w:hAnsi="Verdana"/>
          <w:sz w:val="20"/>
          <w:szCs w:val="20"/>
          <w:lang w:val="en-US"/>
        </w:rPr>
        <w:t xml:space="preserve"> </w:t>
      </w:r>
      <w:r w:rsidRPr="008A3740">
        <w:rPr>
          <w:rFonts w:ascii="Verdana" w:hAnsi="Verdana"/>
          <w:sz w:val="20"/>
          <w:szCs w:val="20"/>
          <w:lang w:val="en-US"/>
        </w:rPr>
        <w:t xml:space="preserve">and </w:t>
      </w:r>
      <w:r w:rsidR="004150BD" w:rsidRPr="008A3740">
        <w:rPr>
          <w:rFonts w:ascii="Verdana" w:hAnsi="Verdana"/>
          <w:sz w:val="20"/>
          <w:szCs w:val="20"/>
          <w:lang w:val="en-US"/>
        </w:rPr>
        <w:t xml:space="preserve">only </w:t>
      </w:r>
      <w:r w:rsidR="00A87138" w:rsidRPr="008A3740">
        <w:rPr>
          <w:rFonts w:ascii="Verdana" w:hAnsi="Verdana"/>
          <w:sz w:val="20"/>
          <w:szCs w:val="20"/>
          <w:lang w:val="en-US"/>
        </w:rPr>
        <w:t xml:space="preserve">in the event that </w:t>
      </w:r>
      <w:r w:rsidR="004150BD" w:rsidRPr="008A3740">
        <w:rPr>
          <w:rFonts w:ascii="Verdana" w:hAnsi="Verdana"/>
          <w:sz w:val="20"/>
          <w:szCs w:val="20"/>
          <w:lang w:val="en-US"/>
        </w:rPr>
        <w:t xml:space="preserve">the amount of </w:t>
      </w:r>
      <w:r w:rsidRPr="008A3740">
        <w:rPr>
          <w:rFonts w:ascii="Verdana" w:hAnsi="Verdana"/>
          <w:sz w:val="20"/>
          <w:szCs w:val="20"/>
          <w:lang w:val="en-US"/>
        </w:rPr>
        <w:t xml:space="preserve">the </w:t>
      </w:r>
      <w:r w:rsidR="00D740E9" w:rsidRPr="008A3740">
        <w:rPr>
          <w:rFonts w:ascii="Verdana" w:hAnsi="Verdana"/>
          <w:sz w:val="20"/>
          <w:szCs w:val="20"/>
          <w:lang w:val="en-US"/>
        </w:rPr>
        <w:t>equalized pension</w:t>
      </w:r>
      <w:r w:rsidR="00BA6568" w:rsidRPr="008A3740">
        <w:rPr>
          <w:rFonts w:ascii="Verdana" w:hAnsi="Verdana"/>
          <w:sz w:val="20"/>
          <w:szCs w:val="20"/>
          <w:lang w:val="en-US"/>
        </w:rPr>
        <w:t xml:space="preserve"> is</w:t>
      </w:r>
      <w:r w:rsidR="00D21959" w:rsidRPr="008A3740">
        <w:rPr>
          <w:rFonts w:ascii="Verdana" w:hAnsi="Verdana"/>
          <w:sz w:val="20"/>
          <w:szCs w:val="20"/>
          <w:lang w:val="en-US"/>
        </w:rPr>
        <w:t xml:space="preserve"> determined to be</w:t>
      </w:r>
      <w:r w:rsidR="004150BD" w:rsidRPr="008A3740">
        <w:rPr>
          <w:rFonts w:ascii="Verdana" w:hAnsi="Verdana"/>
          <w:sz w:val="20"/>
          <w:szCs w:val="20"/>
          <w:lang w:val="en-US"/>
        </w:rPr>
        <w:t xml:space="preserve"> </w:t>
      </w:r>
      <w:r w:rsidRPr="008A3740">
        <w:rPr>
          <w:rFonts w:ascii="Verdana" w:hAnsi="Verdana"/>
          <w:sz w:val="20"/>
          <w:szCs w:val="20"/>
          <w:lang w:val="en-US"/>
        </w:rPr>
        <w:t>S/1,337.61 new soles</w:t>
      </w:r>
      <w:r w:rsidR="00D21959" w:rsidRPr="008A3740">
        <w:rPr>
          <w:rFonts w:ascii="Verdana" w:hAnsi="Verdana"/>
          <w:sz w:val="20"/>
          <w:szCs w:val="20"/>
          <w:lang w:val="en-US"/>
        </w:rPr>
        <w:t xml:space="preserve"> -</w:t>
      </w:r>
      <w:r w:rsidRPr="008A3740">
        <w:rPr>
          <w:rFonts w:ascii="Verdana" w:hAnsi="Verdana"/>
          <w:sz w:val="20"/>
          <w:szCs w:val="20"/>
          <w:lang w:val="en-US"/>
        </w:rPr>
        <w:t xml:space="preserve"> </w:t>
      </w:r>
      <w:r w:rsidR="004150BD" w:rsidRPr="008A3740">
        <w:rPr>
          <w:rFonts w:ascii="Verdana" w:hAnsi="Verdana"/>
          <w:sz w:val="20"/>
          <w:szCs w:val="20"/>
          <w:lang w:val="en-US"/>
        </w:rPr>
        <w:t xml:space="preserve">they </w:t>
      </w:r>
      <w:r w:rsidRPr="008A3740">
        <w:rPr>
          <w:rFonts w:ascii="Verdana" w:hAnsi="Verdana"/>
          <w:sz w:val="20"/>
          <w:szCs w:val="20"/>
          <w:lang w:val="en-US"/>
        </w:rPr>
        <w:t xml:space="preserve">requested that this </w:t>
      </w:r>
      <w:r w:rsidR="004150BD" w:rsidRPr="008A3740">
        <w:rPr>
          <w:rFonts w:ascii="Verdana" w:hAnsi="Verdana"/>
          <w:sz w:val="20"/>
          <w:szCs w:val="20"/>
          <w:lang w:val="en-US"/>
        </w:rPr>
        <w:t xml:space="preserve">be </w:t>
      </w:r>
      <w:r w:rsidR="00D21959" w:rsidRPr="008A3740">
        <w:rPr>
          <w:rFonts w:ascii="Verdana" w:hAnsi="Verdana"/>
          <w:sz w:val="20"/>
          <w:szCs w:val="20"/>
          <w:lang w:val="en-US"/>
        </w:rPr>
        <w:t xml:space="preserve">paid </w:t>
      </w:r>
      <w:r w:rsidRPr="008A3740">
        <w:rPr>
          <w:rFonts w:ascii="Verdana" w:hAnsi="Verdana"/>
          <w:sz w:val="20"/>
          <w:szCs w:val="20"/>
          <w:lang w:val="en-US"/>
        </w:rPr>
        <w:t xml:space="preserve">from the time that Mr. Muelle stopped receiving his pension, that is, from February 1991, and </w:t>
      </w:r>
      <w:r w:rsidR="00BA6568" w:rsidRPr="008A3740">
        <w:rPr>
          <w:rFonts w:ascii="Verdana" w:hAnsi="Verdana"/>
          <w:sz w:val="20"/>
          <w:szCs w:val="20"/>
          <w:lang w:val="en-US"/>
        </w:rPr>
        <w:t xml:space="preserve">that it contemplate </w:t>
      </w:r>
      <w:r w:rsidRPr="008A3740">
        <w:rPr>
          <w:rFonts w:ascii="Verdana" w:hAnsi="Verdana"/>
          <w:sz w:val="20"/>
          <w:szCs w:val="20"/>
          <w:lang w:val="en-US"/>
        </w:rPr>
        <w:t xml:space="preserve">the </w:t>
      </w:r>
      <w:r w:rsidR="00BA6568" w:rsidRPr="008A3740">
        <w:rPr>
          <w:rFonts w:ascii="Verdana" w:hAnsi="Verdana"/>
          <w:sz w:val="20"/>
          <w:szCs w:val="20"/>
          <w:lang w:val="en-US"/>
        </w:rPr>
        <w:t xml:space="preserve">relevant </w:t>
      </w:r>
      <w:r w:rsidR="00CA613F" w:rsidRPr="008A3740">
        <w:rPr>
          <w:rFonts w:ascii="Verdana" w:hAnsi="Verdana"/>
          <w:sz w:val="20"/>
          <w:szCs w:val="20"/>
          <w:lang w:val="en-US"/>
        </w:rPr>
        <w:t>monetary correction (adjustment for currency devaluation)</w:t>
      </w:r>
      <w:r w:rsidRPr="008A3740">
        <w:rPr>
          <w:rFonts w:ascii="Verdana" w:hAnsi="Verdana"/>
          <w:sz w:val="20"/>
          <w:szCs w:val="20"/>
          <w:lang w:val="en-US"/>
        </w:rPr>
        <w:t xml:space="preserve">, plus the interest on arrears and </w:t>
      </w:r>
      <w:r w:rsidR="00761210" w:rsidRPr="008A3740">
        <w:rPr>
          <w:rFonts w:ascii="Verdana" w:hAnsi="Verdana"/>
          <w:sz w:val="20"/>
          <w:szCs w:val="20"/>
          <w:lang w:val="en-US"/>
        </w:rPr>
        <w:t>other</w:t>
      </w:r>
      <w:r w:rsidR="00BA6568" w:rsidRPr="008A3740">
        <w:rPr>
          <w:rFonts w:ascii="Verdana" w:hAnsi="Verdana"/>
          <w:sz w:val="20"/>
          <w:szCs w:val="20"/>
          <w:lang w:val="en-US"/>
        </w:rPr>
        <w:t xml:space="preserve"> interest</w:t>
      </w:r>
      <w:r w:rsidR="00761210" w:rsidRPr="008A3740">
        <w:rPr>
          <w:rFonts w:ascii="Verdana" w:hAnsi="Verdana"/>
          <w:sz w:val="20"/>
          <w:szCs w:val="20"/>
          <w:lang w:val="en-US"/>
        </w:rPr>
        <w:t xml:space="preserve"> </w:t>
      </w:r>
      <w:r w:rsidRPr="008A3740">
        <w:rPr>
          <w:rFonts w:ascii="Verdana" w:hAnsi="Verdana"/>
          <w:sz w:val="20"/>
          <w:szCs w:val="20"/>
          <w:lang w:val="en-US"/>
        </w:rPr>
        <w:t xml:space="preserve">accrued </w:t>
      </w:r>
      <w:r w:rsidR="00CA613F" w:rsidRPr="008A3740">
        <w:rPr>
          <w:rFonts w:ascii="Verdana" w:hAnsi="Verdana"/>
          <w:sz w:val="20"/>
          <w:szCs w:val="20"/>
          <w:lang w:val="en-US"/>
        </w:rPr>
        <w:t>since the</w:t>
      </w:r>
      <w:r w:rsidR="00BA6568" w:rsidRPr="008A3740">
        <w:rPr>
          <w:rFonts w:ascii="Verdana" w:hAnsi="Verdana"/>
          <w:sz w:val="20"/>
          <w:szCs w:val="20"/>
          <w:lang w:val="en-US"/>
        </w:rPr>
        <w:t xml:space="preserve"> unlawful suspension of his pension</w:t>
      </w:r>
      <w:r w:rsidRPr="008A3740">
        <w:rPr>
          <w:rFonts w:ascii="Verdana" w:hAnsi="Verdana"/>
          <w:sz w:val="20"/>
          <w:szCs w:val="20"/>
          <w:lang w:val="en-US"/>
        </w:rPr>
        <w:t xml:space="preserve">. Likewise, the representatives </w:t>
      </w:r>
      <w:r w:rsidR="00851277" w:rsidRPr="008A3740">
        <w:rPr>
          <w:rFonts w:ascii="Verdana" w:hAnsi="Verdana"/>
          <w:sz w:val="20"/>
          <w:szCs w:val="20"/>
          <w:lang w:val="en-US"/>
        </w:rPr>
        <w:t xml:space="preserve">expressed </w:t>
      </w:r>
      <w:r w:rsidRPr="008A3740">
        <w:rPr>
          <w:rFonts w:ascii="Verdana" w:hAnsi="Verdana"/>
          <w:sz w:val="20"/>
          <w:szCs w:val="20"/>
          <w:lang w:val="en-US"/>
        </w:rPr>
        <w:t>their disagreemen</w:t>
      </w:r>
      <w:r w:rsidR="00BA6568" w:rsidRPr="008A3740">
        <w:rPr>
          <w:rFonts w:ascii="Verdana" w:hAnsi="Verdana"/>
          <w:sz w:val="20"/>
          <w:szCs w:val="20"/>
          <w:lang w:val="en-US"/>
        </w:rPr>
        <w:t xml:space="preserve">t with the </w:t>
      </w:r>
      <w:r w:rsidR="00761210" w:rsidRPr="008A3740">
        <w:rPr>
          <w:rFonts w:ascii="Verdana" w:hAnsi="Verdana"/>
          <w:sz w:val="20"/>
          <w:szCs w:val="20"/>
          <w:lang w:val="en-US"/>
        </w:rPr>
        <w:t>retroactive d</w:t>
      </w:r>
      <w:r w:rsidR="00BA6568" w:rsidRPr="008A3740">
        <w:rPr>
          <w:rFonts w:ascii="Verdana" w:hAnsi="Verdana"/>
          <w:sz w:val="20"/>
          <w:szCs w:val="20"/>
          <w:lang w:val="en-US"/>
        </w:rPr>
        <w:t>eduction</w:t>
      </w:r>
      <w:r w:rsidRPr="008A3740">
        <w:rPr>
          <w:rFonts w:ascii="Verdana" w:hAnsi="Verdana"/>
          <w:sz w:val="20"/>
          <w:szCs w:val="20"/>
          <w:lang w:val="en-US"/>
        </w:rPr>
        <w:t xml:space="preserve"> </w:t>
      </w:r>
      <w:r w:rsidR="00761210" w:rsidRPr="008A3740">
        <w:rPr>
          <w:rFonts w:ascii="Verdana" w:hAnsi="Verdana"/>
          <w:sz w:val="20"/>
          <w:szCs w:val="20"/>
          <w:lang w:val="en-US"/>
        </w:rPr>
        <w:t>of S</w:t>
      </w:r>
      <w:r w:rsidRPr="008A3740">
        <w:rPr>
          <w:rFonts w:ascii="Verdana" w:hAnsi="Verdana"/>
          <w:sz w:val="20"/>
          <w:szCs w:val="20"/>
          <w:lang w:val="en-US"/>
        </w:rPr>
        <w:t>/6,563.93 new soles</w:t>
      </w:r>
      <w:r w:rsidR="00BA6568" w:rsidRPr="008A3740">
        <w:rPr>
          <w:rFonts w:ascii="Verdana" w:hAnsi="Verdana"/>
          <w:sz w:val="20"/>
          <w:szCs w:val="20"/>
          <w:lang w:val="en-US"/>
        </w:rPr>
        <w:t>,</w:t>
      </w:r>
      <w:r w:rsidRPr="008A3740">
        <w:rPr>
          <w:rFonts w:ascii="Verdana" w:hAnsi="Verdana"/>
          <w:sz w:val="20"/>
          <w:szCs w:val="20"/>
          <w:lang w:val="en-US"/>
        </w:rPr>
        <w:t xml:space="preserve"> </w:t>
      </w:r>
      <w:r w:rsidR="00BA6568" w:rsidRPr="008A3740">
        <w:rPr>
          <w:rFonts w:ascii="Verdana" w:hAnsi="Verdana"/>
          <w:sz w:val="20"/>
          <w:szCs w:val="20"/>
          <w:lang w:val="en-US"/>
        </w:rPr>
        <w:t xml:space="preserve">related to the </w:t>
      </w:r>
      <w:r w:rsidRPr="008A3740">
        <w:rPr>
          <w:rFonts w:ascii="Verdana" w:hAnsi="Verdana"/>
          <w:sz w:val="20"/>
          <w:szCs w:val="20"/>
          <w:lang w:val="en-US"/>
        </w:rPr>
        <w:t xml:space="preserve">4% </w:t>
      </w:r>
      <w:r w:rsidR="00BA6568" w:rsidRPr="008A3740">
        <w:rPr>
          <w:rFonts w:ascii="Verdana" w:hAnsi="Verdana"/>
          <w:sz w:val="20"/>
          <w:szCs w:val="20"/>
          <w:lang w:val="en-US"/>
        </w:rPr>
        <w:t xml:space="preserve">deduction for contributions to </w:t>
      </w:r>
      <w:r w:rsidR="00761210" w:rsidRPr="008A3740">
        <w:rPr>
          <w:rFonts w:ascii="Verdana" w:hAnsi="Verdana"/>
          <w:sz w:val="20"/>
          <w:szCs w:val="20"/>
          <w:lang w:val="en-US"/>
        </w:rPr>
        <w:t>EsSalud</w:t>
      </w:r>
      <w:r w:rsidR="00BA6568" w:rsidRPr="008A3740">
        <w:rPr>
          <w:rFonts w:ascii="Verdana" w:hAnsi="Verdana"/>
          <w:sz w:val="20"/>
          <w:szCs w:val="20"/>
          <w:lang w:val="en-US"/>
        </w:rPr>
        <w:t xml:space="preserve">, during </w:t>
      </w:r>
      <w:r w:rsidRPr="008A3740">
        <w:rPr>
          <w:rFonts w:ascii="Verdana" w:hAnsi="Verdana"/>
          <w:sz w:val="20"/>
          <w:szCs w:val="20"/>
          <w:lang w:val="en-US"/>
        </w:rPr>
        <w:t xml:space="preserve">the period </w:t>
      </w:r>
      <w:r w:rsidR="00BA6568" w:rsidRPr="008A3740">
        <w:rPr>
          <w:rFonts w:ascii="Verdana" w:hAnsi="Verdana"/>
          <w:sz w:val="20"/>
          <w:szCs w:val="20"/>
          <w:lang w:val="en-US"/>
        </w:rPr>
        <w:t xml:space="preserve">from </w:t>
      </w:r>
      <w:r w:rsidRPr="008A3740">
        <w:rPr>
          <w:rFonts w:ascii="Verdana" w:hAnsi="Verdana"/>
          <w:sz w:val="20"/>
          <w:szCs w:val="20"/>
          <w:lang w:val="en-US"/>
        </w:rPr>
        <w:t xml:space="preserve">1991 </w:t>
      </w:r>
      <w:r w:rsidR="00F530F3" w:rsidRPr="008A3740">
        <w:rPr>
          <w:rFonts w:ascii="Verdana" w:hAnsi="Verdana"/>
          <w:sz w:val="20"/>
          <w:szCs w:val="20"/>
          <w:lang w:val="en-US"/>
        </w:rPr>
        <w:t>to 2018</w:t>
      </w:r>
      <w:r w:rsidR="00BA6568" w:rsidRPr="008A3740">
        <w:rPr>
          <w:rFonts w:ascii="Verdana" w:hAnsi="Verdana"/>
          <w:sz w:val="20"/>
          <w:szCs w:val="20"/>
          <w:lang w:val="en-US"/>
        </w:rPr>
        <w:t>, when</w:t>
      </w:r>
      <w:r w:rsidR="00F530F3" w:rsidRPr="008A3740">
        <w:rPr>
          <w:rFonts w:ascii="Verdana" w:hAnsi="Verdana"/>
          <w:sz w:val="20"/>
          <w:szCs w:val="20"/>
          <w:lang w:val="en-US"/>
        </w:rPr>
        <w:t xml:space="preserve"> the victim did not have access</w:t>
      </w:r>
      <w:r w:rsidR="003D1070" w:rsidRPr="008A3740">
        <w:rPr>
          <w:rFonts w:ascii="Verdana" w:hAnsi="Verdana"/>
          <w:sz w:val="20"/>
          <w:szCs w:val="20"/>
          <w:lang w:val="en-US"/>
        </w:rPr>
        <w:t xml:space="preserve"> to </w:t>
      </w:r>
      <w:r w:rsidRPr="008A3740">
        <w:rPr>
          <w:rFonts w:ascii="Verdana" w:hAnsi="Verdana"/>
          <w:sz w:val="20"/>
          <w:szCs w:val="20"/>
          <w:lang w:val="en-US"/>
        </w:rPr>
        <w:t>public health services.</w:t>
      </w:r>
    </w:p>
    <w:p w14:paraId="08477522" w14:textId="77777777" w:rsidR="008E6A56" w:rsidRPr="008A3740" w:rsidRDefault="008E6A56" w:rsidP="008E6A56">
      <w:pPr>
        <w:pStyle w:val="Prrafodelista"/>
        <w:ind w:left="0"/>
        <w:rPr>
          <w:rFonts w:ascii="Verdana" w:hAnsi="Verdana" w:cs="Arial"/>
          <w:sz w:val="20"/>
          <w:szCs w:val="20"/>
          <w:lang w:val="en-US"/>
        </w:rPr>
      </w:pPr>
    </w:p>
    <w:p w14:paraId="386541BD"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cs="Arial"/>
          <w:sz w:val="20"/>
          <w:szCs w:val="20"/>
          <w:lang w:val="en-US"/>
        </w:rPr>
        <w:t xml:space="preserve">The </w:t>
      </w:r>
      <w:r w:rsidRPr="008A3740">
        <w:rPr>
          <w:rFonts w:ascii="Verdana" w:hAnsi="Verdana" w:cs="Arial"/>
          <w:b/>
          <w:i/>
          <w:sz w:val="20"/>
          <w:szCs w:val="20"/>
          <w:lang w:val="en-US"/>
        </w:rPr>
        <w:t>State</w:t>
      </w:r>
      <w:r w:rsidRPr="008A3740">
        <w:rPr>
          <w:rFonts w:ascii="Verdana" w:hAnsi="Verdana"/>
          <w:b/>
          <w:sz w:val="20"/>
          <w:szCs w:val="20"/>
          <w:lang w:val="en-US"/>
        </w:rPr>
        <w:t xml:space="preserve"> </w:t>
      </w:r>
      <w:r w:rsidRPr="008A3740">
        <w:rPr>
          <w:rFonts w:ascii="Verdana" w:hAnsi="Verdana"/>
          <w:sz w:val="20"/>
          <w:szCs w:val="20"/>
          <w:lang w:val="en-US"/>
        </w:rPr>
        <w:t xml:space="preserve">indicated that a number of partial payments were made between 1999 and 2001 and </w:t>
      </w:r>
      <w:r w:rsidR="008477FA" w:rsidRPr="008A3740">
        <w:rPr>
          <w:rFonts w:ascii="Verdana" w:hAnsi="Verdana"/>
          <w:sz w:val="20"/>
          <w:szCs w:val="20"/>
          <w:lang w:val="en-US"/>
        </w:rPr>
        <w:t xml:space="preserve">that </w:t>
      </w:r>
      <w:r w:rsidRPr="008A3740">
        <w:rPr>
          <w:rFonts w:ascii="Verdana" w:hAnsi="Verdana"/>
          <w:sz w:val="20"/>
          <w:szCs w:val="20"/>
          <w:lang w:val="en-US"/>
        </w:rPr>
        <w:t xml:space="preserve">these </w:t>
      </w:r>
      <w:r w:rsidR="001913AD" w:rsidRPr="008A3740">
        <w:rPr>
          <w:rFonts w:ascii="Verdana" w:hAnsi="Verdana"/>
          <w:sz w:val="20"/>
          <w:szCs w:val="20"/>
          <w:lang w:val="en-US"/>
        </w:rPr>
        <w:t xml:space="preserve">should </w:t>
      </w:r>
      <w:r w:rsidRPr="008A3740">
        <w:rPr>
          <w:rFonts w:ascii="Verdana" w:hAnsi="Verdana"/>
          <w:sz w:val="20"/>
          <w:szCs w:val="20"/>
          <w:lang w:val="en-US"/>
        </w:rPr>
        <w:t xml:space="preserve">be taken into account when analyzing </w:t>
      </w:r>
      <w:r w:rsidR="00CA613F" w:rsidRPr="008A3740">
        <w:rPr>
          <w:rFonts w:ascii="Verdana" w:hAnsi="Verdana"/>
          <w:sz w:val="20"/>
          <w:szCs w:val="20"/>
          <w:lang w:val="en-US"/>
        </w:rPr>
        <w:t xml:space="preserve">the </w:t>
      </w:r>
      <w:r w:rsidR="00BA6568" w:rsidRPr="008A3740">
        <w:rPr>
          <w:rFonts w:ascii="Verdana" w:hAnsi="Verdana"/>
          <w:sz w:val="20"/>
          <w:szCs w:val="20"/>
          <w:lang w:val="en-US"/>
        </w:rPr>
        <w:t xml:space="preserve">financial </w:t>
      </w:r>
      <w:r w:rsidRPr="008A3740">
        <w:rPr>
          <w:rFonts w:ascii="Verdana" w:hAnsi="Verdana"/>
          <w:sz w:val="20"/>
          <w:szCs w:val="20"/>
          <w:lang w:val="en-US"/>
        </w:rPr>
        <w:t xml:space="preserve">reparations. In its brief of </w:t>
      </w:r>
      <w:r w:rsidRPr="008A3740">
        <w:rPr>
          <w:rFonts w:ascii="Verdana" w:hAnsi="Verdana"/>
          <w:sz w:val="20"/>
          <w:szCs w:val="20"/>
          <w:lang w:val="en-US"/>
        </w:rPr>
        <w:lastRenderedPageBreak/>
        <w:t>helpful evidence, the State indicated tha</w:t>
      </w:r>
      <w:r w:rsidR="007E749A" w:rsidRPr="008A3740">
        <w:rPr>
          <w:rFonts w:ascii="Verdana" w:hAnsi="Verdana"/>
          <w:sz w:val="20"/>
          <w:szCs w:val="20"/>
          <w:lang w:val="en-US"/>
        </w:rPr>
        <w:t xml:space="preserve">t the Ministry of </w:t>
      </w:r>
      <w:r w:rsidRPr="008A3740">
        <w:rPr>
          <w:rFonts w:ascii="Verdana" w:hAnsi="Verdana"/>
          <w:sz w:val="20"/>
          <w:szCs w:val="20"/>
          <w:lang w:val="en-US"/>
        </w:rPr>
        <w:t xml:space="preserve">Economy and Finance, the institution responsible for paying Mr. Muelle </w:t>
      </w:r>
      <w:r w:rsidR="00F530F3" w:rsidRPr="008A3740">
        <w:rPr>
          <w:rFonts w:ascii="Verdana" w:hAnsi="Verdana"/>
          <w:sz w:val="20"/>
          <w:szCs w:val="20"/>
          <w:lang w:val="en-US"/>
        </w:rPr>
        <w:t>Flores’ pensi</w:t>
      </w:r>
      <w:r w:rsidR="00BA6568" w:rsidRPr="008A3740">
        <w:rPr>
          <w:rFonts w:ascii="Verdana" w:hAnsi="Verdana"/>
          <w:sz w:val="20"/>
          <w:szCs w:val="20"/>
          <w:lang w:val="en-US"/>
        </w:rPr>
        <w:t>on</w:t>
      </w:r>
      <w:r w:rsidR="00F530F3" w:rsidRPr="008A3740">
        <w:rPr>
          <w:rFonts w:ascii="Verdana" w:hAnsi="Verdana"/>
          <w:sz w:val="20"/>
          <w:szCs w:val="20"/>
          <w:lang w:val="en-US"/>
        </w:rPr>
        <w:t xml:space="preserve">, </w:t>
      </w:r>
      <w:r w:rsidR="001913AD" w:rsidRPr="008A3740">
        <w:rPr>
          <w:rFonts w:ascii="Verdana" w:hAnsi="Verdana"/>
          <w:sz w:val="20"/>
          <w:szCs w:val="20"/>
          <w:lang w:val="en-US"/>
        </w:rPr>
        <w:t xml:space="preserve">in its capacity </w:t>
      </w:r>
      <w:r w:rsidR="00F530F3" w:rsidRPr="008A3740">
        <w:rPr>
          <w:rFonts w:ascii="Verdana" w:hAnsi="Verdana"/>
          <w:sz w:val="20"/>
          <w:szCs w:val="20"/>
          <w:lang w:val="en-US"/>
        </w:rPr>
        <w:t>as administrat</w:t>
      </w:r>
      <w:r w:rsidRPr="008A3740">
        <w:rPr>
          <w:rFonts w:ascii="Verdana" w:hAnsi="Verdana"/>
          <w:sz w:val="20"/>
          <w:szCs w:val="20"/>
          <w:lang w:val="en-US"/>
        </w:rPr>
        <w:t>or of the Decree Law No. 20530</w:t>
      </w:r>
      <w:r w:rsidR="00BA6568" w:rsidRPr="008A3740">
        <w:rPr>
          <w:rFonts w:ascii="Verdana" w:hAnsi="Verdana"/>
          <w:sz w:val="20"/>
          <w:szCs w:val="20"/>
          <w:lang w:val="en-US"/>
        </w:rPr>
        <w:t xml:space="preserve"> system</w:t>
      </w:r>
      <w:r w:rsidRPr="008A3740">
        <w:rPr>
          <w:rFonts w:ascii="Verdana" w:hAnsi="Verdana"/>
          <w:sz w:val="20"/>
          <w:szCs w:val="20"/>
          <w:lang w:val="en-US"/>
        </w:rPr>
        <w:t xml:space="preserve">, </w:t>
      </w:r>
      <w:r w:rsidR="001913AD" w:rsidRPr="008A3740">
        <w:rPr>
          <w:rFonts w:ascii="Verdana" w:hAnsi="Verdana"/>
          <w:sz w:val="20"/>
          <w:szCs w:val="20"/>
          <w:lang w:val="en-US"/>
        </w:rPr>
        <w:t xml:space="preserve">had </w:t>
      </w:r>
      <w:r w:rsidR="007E749A" w:rsidRPr="008A3740">
        <w:rPr>
          <w:rFonts w:ascii="Verdana" w:hAnsi="Verdana"/>
          <w:sz w:val="20"/>
          <w:szCs w:val="20"/>
          <w:lang w:val="en-US"/>
        </w:rPr>
        <w:t xml:space="preserve">reported </w:t>
      </w:r>
      <w:r w:rsidRPr="008A3740">
        <w:rPr>
          <w:rFonts w:ascii="Verdana" w:hAnsi="Verdana"/>
          <w:sz w:val="20"/>
          <w:szCs w:val="20"/>
          <w:lang w:val="en-US"/>
        </w:rPr>
        <w:t>that “</w:t>
      </w:r>
      <w:r w:rsidR="00F530F3" w:rsidRPr="008A3740">
        <w:rPr>
          <w:rFonts w:ascii="Verdana" w:hAnsi="Verdana"/>
          <w:sz w:val="20"/>
          <w:szCs w:val="20"/>
          <w:lang w:val="en-US"/>
        </w:rPr>
        <w:t xml:space="preserve">according to </w:t>
      </w:r>
      <w:r w:rsidRPr="008A3740">
        <w:rPr>
          <w:rFonts w:ascii="Verdana" w:hAnsi="Verdana"/>
          <w:sz w:val="20"/>
          <w:szCs w:val="20"/>
          <w:lang w:val="en-US"/>
        </w:rPr>
        <w:t xml:space="preserve">Scale 11 of Supreme Decree No.051-91-PCM, </w:t>
      </w:r>
      <w:r w:rsidR="001913AD" w:rsidRPr="008A3740">
        <w:rPr>
          <w:rFonts w:ascii="Verdana" w:hAnsi="Verdana"/>
          <w:sz w:val="20"/>
          <w:szCs w:val="20"/>
          <w:lang w:val="en-US"/>
        </w:rPr>
        <w:t xml:space="preserve">enacted </w:t>
      </w:r>
      <w:r w:rsidR="006443E8" w:rsidRPr="008A3740">
        <w:rPr>
          <w:rFonts w:ascii="Verdana" w:hAnsi="Verdana"/>
          <w:sz w:val="20"/>
          <w:szCs w:val="20"/>
          <w:lang w:val="en-US"/>
        </w:rPr>
        <w:t xml:space="preserve">on </w:t>
      </w:r>
      <w:r w:rsidRPr="008A3740">
        <w:rPr>
          <w:rFonts w:ascii="Verdana" w:hAnsi="Verdana"/>
          <w:sz w:val="20"/>
          <w:szCs w:val="20"/>
          <w:lang w:val="en-US"/>
        </w:rPr>
        <w:t xml:space="preserve">February 1, 1991, </w:t>
      </w:r>
      <w:r w:rsidR="006443E8" w:rsidRPr="008A3740">
        <w:rPr>
          <w:rFonts w:ascii="Verdana" w:hAnsi="Verdana"/>
          <w:sz w:val="20"/>
          <w:szCs w:val="20"/>
          <w:lang w:val="en-US"/>
        </w:rPr>
        <w:t>as an Assistant General Manager</w:t>
      </w:r>
      <w:r w:rsidRPr="008A3740">
        <w:rPr>
          <w:rFonts w:ascii="Verdana" w:hAnsi="Verdana"/>
          <w:sz w:val="20"/>
          <w:szCs w:val="20"/>
          <w:lang w:val="en-US"/>
        </w:rPr>
        <w:t xml:space="preserve"> </w:t>
      </w:r>
      <w:r w:rsidR="008477FA" w:rsidRPr="008A3740">
        <w:rPr>
          <w:rFonts w:ascii="Verdana" w:hAnsi="Verdana"/>
          <w:sz w:val="20"/>
          <w:szCs w:val="20"/>
          <w:lang w:val="en-US"/>
        </w:rPr>
        <w:t xml:space="preserve">(Mr. Muelle Flores) </w:t>
      </w:r>
      <w:r w:rsidR="006443E8" w:rsidRPr="008A3740">
        <w:rPr>
          <w:rFonts w:ascii="Verdana" w:hAnsi="Verdana"/>
          <w:sz w:val="20"/>
          <w:szCs w:val="20"/>
          <w:lang w:val="en-US"/>
        </w:rPr>
        <w:t xml:space="preserve">was </w:t>
      </w:r>
      <w:r w:rsidRPr="008A3740">
        <w:rPr>
          <w:rFonts w:ascii="Verdana" w:hAnsi="Verdana"/>
          <w:sz w:val="20"/>
          <w:szCs w:val="20"/>
          <w:lang w:val="en-US"/>
        </w:rPr>
        <w:t>c</w:t>
      </w:r>
      <w:r w:rsidR="006443E8" w:rsidRPr="008A3740">
        <w:rPr>
          <w:rFonts w:ascii="Verdana" w:hAnsi="Verdana"/>
          <w:sz w:val="20"/>
          <w:szCs w:val="20"/>
          <w:lang w:val="en-US"/>
        </w:rPr>
        <w:t>lassified as C</w:t>
      </w:r>
      <w:r w:rsidRPr="008A3740">
        <w:rPr>
          <w:rFonts w:ascii="Verdana" w:hAnsi="Verdana"/>
          <w:sz w:val="20"/>
          <w:szCs w:val="20"/>
          <w:lang w:val="en-US"/>
        </w:rPr>
        <w:t>ategory F-4</w:t>
      </w:r>
      <w:r w:rsidR="008477FA" w:rsidRPr="008A3740">
        <w:rPr>
          <w:rFonts w:ascii="Verdana" w:hAnsi="Verdana"/>
          <w:sz w:val="20"/>
          <w:szCs w:val="20"/>
          <w:lang w:val="en-US"/>
        </w:rPr>
        <w:t>.”</w:t>
      </w:r>
      <w:r w:rsidRPr="008A3740">
        <w:rPr>
          <w:rFonts w:ascii="Verdana" w:hAnsi="Verdana"/>
          <w:sz w:val="20"/>
          <w:szCs w:val="20"/>
          <w:lang w:val="en-US"/>
        </w:rPr>
        <w:t xml:space="preserve"> </w:t>
      </w:r>
      <w:r w:rsidR="001913AD" w:rsidRPr="008A3740">
        <w:rPr>
          <w:rFonts w:ascii="Verdana" w:hAnsi="Verdana"/>
          <w:sz w:val="20"/>
          <w:szCs w:val="20"/>
          <w:lang w:val="en-US"/>
        </w:rPr>
        <w:t>T</w:t>
      </w:r>
      <w:r w:rsidR="006443E8" w:rsidRPr="008A3740">
        <w:rPr>
          <w:rFonts w:ascii="Verdana" w:hAnsi="Verdana"/>
          <w:sz w:val="20"/>
          <w:szCs w:val="20"/>
          <w:lang w:val="en-US"/>
        </w:rPr>
        <w:t xml:space="preserve">he MEF </w:t>
      </w:r>
      <w:r w:rsidR="001913AD" w:rsidRPr="008A3740">
        <w:rPr>
          <w:rFonts w:ascii="Verdana" w:hAnsi="Verdana"/>
          <w:sz w:val="20"/>
          <w:szCs w:val="20"/>
          <w:lang w:val="en-US"/>
        </w:rPr>
        <w:t xml:space="preserve">also </w:t>
      </w:r>
      <w:r w:rsidR="006443E8" w:rsidRPr="008A3740">
        <w:rPr>
          <w:rFonts w:ascii="Verdana" w:hAnsi="Verdana"/>
          <w:sz w:val="20"/>
          <w:szCs w:val="20"/>
          <w:lang w:val="en-US"/>
        </w:rPr>
        <w:t>reported</w:t>
      </w:r>
      <w:r w:rsidR="001913AD" w:rsidRPr="008A3740">
        <w:rPr>
          <w:rFonts w:ascii="Verdana" w:hAnsi="Verdana"/>
          <w:sz w:val="20"/>
          <w:szCs w:val="20"/>
          <w:lang w:val="en-US"/>
        </w:rPr>
        <w:t xml:space="preserve"> that</w:t>
      </w:r>
      <w:r w:rsidR="006443E8" w:rsidRPr="008A3740">
        <w:rPr>
          <w:rFonts w:ascii="Verdana" w:hAnsi="Verdana"/>
          <w:sz w:val="20"/>
          <w:szCs w:val="20"/>
          <w:lang w:val="en-US"/>
        </w:rPr>
        <w:t xml:space="preserve"> according to the expert witness </w:t>
      </w:r>
      <w:r w:rsidRPr="008A3740">
        <w:rPr>
          <w:rFonts w:ascii="Verdana" w:hAnsi="Verdana"/>
          <w:sz w:val="20"/>
          <w:szCs w:val="20"/>
          <w:lang w:val="en-US"/>
        </w:rPr>
        <w:t xml:space="preserve">of the Peruvian State, the </w:t>
      </w:r>
      <w:r w:rsidR="006443E8" w:rsidRPr="008A3740">
        <w:rPr>
          <w:rFonts w:ascii="Verdana" w:hAnsi="Verdana"/>
          <w:sz w:val="20"/>
          <w:szCs w:val="20"/>
          <w:lang w:val="en-US"/>
        </w:rPr>
        <w:t xml:space="preserve">sale </w:t>
      </w:r>
      <w:r w:rsidRPr="008A3740">
        <w:rPr>
          <w:rFonts w:ascii="Verdana" w:hAnsi="Verdana"/>
          <w:sz w:val="20"/>
          <w:szCs w:val="20"/>
          <w:lang w:val="en-US"/>
        </w:rPr>
        <w:t xml:space="preserve">contract signed </w:t>
      </w:r>
      <w:r w:rsidR="001913AD" w:rsidRPr="008A3740">
        <w:rPr>
          <w:rFonts w:ascii="Verdana" w:hAnsi="Verdana"/>
          <w:sz w:val="20"/>
          <w:szCs w:val="20"/>
          <w:lang w:val="en-US"/>
        </w:rPr>
        <w:t xml:space="preserve">for </w:t>
      </w:r>
      <w:r w:rsidRPr="008A3740">
        <w:rPr>
          <w:rFonts w:ascii="Verdana" w:hAnsi="Verdana"/>
          <w:sz w:val="20"/>
          <w:szCs w:val="20"/>
          <w:lang w:val="en-US"/>
        </w:rPr>
        <w:t xml:space="preserve">the privatization of Tintaya S.A. established that the </w:t>
      </w:r>
      <w:r w:rsidR="006443E8" w:rsidRPr="008A3740">
        <w:rPr>
          <w:rFonts w:ascii="Verdana" w:hAnsi="Verdana"/>
          <w:sz w:val="20"/>
          <w:szCs w:val="20"/>
          <w:lang w:val="en-US"/>
        </w:rPr>
        <w:t xml:space="preserve">company </w:t>
      </w:r>
      <w:r w:rsidRPr="008A3740">
        <w:rPr>
          <w:rFonts w:ascii="Verdana" w:hAnsi="Verdana"/>
          <w:sz w:val="20"/>
          <w:szCs w:val="20"/>
          <w:lang w:val="en-US"/>
        </w:rPr>
        <w:t>“</w:t>
      </w:r>
      <w:r w:rsidR="006443E8" w:rsidRPr="008A3740">
        <w:rPr>
          <w:rFonts w:ascii="Verdana" w:hAnsi="Verdana"/>
          <w:sz w:val="20"/>
          <w:szCs w:val="20"/>
          <w:lang w:val="en-US"/>
        </w:rPr>
        <w:t xml:space="preserve">[did] not have </w:t>
      </w:r>
      <w:r w:rsidRPr="008A3740">
        <w:rPr>
          <w:rFonts w:ascii="Verdana" w:hAnsi="Verdana"/>
          <w:sz w:val="20"/>
          <w:szCs w:val="20"/>
          <w:lang w:val="en-US"/>
        </w:rPr>
        <w:t>retirees</w:t>
      </w:r>
      <w:r w:rsidR="006443E8" w:rsidRPr="008A3740">
        <w:rPr>
          <w:rFonts w:ascii="Verdana" w:hAnsi="Verdana"/>
          <w:sz w:val="20"/>
          <w:szCs w:val="20"/>
          <w:lang w:val="en-US"/>
        </w:rPr>
        <w:t xml:space="preserve">,” and explicitly stated that it did not have pension liabilities. </w:t>
      </w:r>
      <w:r w:rsidR="001913AD" w:rsidRPr="008A3740">
        <w:rPr>
          <w:rFonts w:ascii="Verdana" w:hAnsi="Verdana"/>
          <w:sz w:val="20"/>
          <w:szCs w:val="20"/>
          <w:lang w:val="en-US"/>
        </w:rPr>
        <w:t>Consequently</w:t>
      </w:r>
      <w:r w:rsidR="006443E8" w:rsidRPr="008A3740">
        <w:rPr>
          <w:rFonts w:ascii="Verdana" w:hAnsi="Verdana"/>
          <w:sz w:val="20"/>
          <w:szCs w:val="20"/>
          <w:lang w:val="en-US"/>
        </w:rPr>
        <w:t xml:space="preserve">, </w:t>
      </w:r>
      <w:r w:rsidR="007E749A" w:rsidRPr="008A3740">
        <w:rPr>
          <w:rFonts w:ascii="Verdana" w:hAnsi="Verdana"/>
          <w:sz w:val="20"/>
          <w:szCs w:val="20"/>
          <w:lang w:val="en-US"/>
        </w:rPr>
        <w:t>it did</w:t>
      </w:r>
      <w:r w:rsidR="006443E8" w:rsidRPr="008A3740">
        <w:rPr>
          <w:rFonts w:ascii="Verdana" w:hAnsi="Verdana"/>
          <w:sz w:val="20"/>
          <w:szCs w:val="20"/>
          <w:lang w:val="en-US"/>
        </w:rPr>
        <w:t xml:space="preserve"> </w:t>
      </w:r>
      <w:r w:rsidRPr="008A3740">
        <w:rPr>
          <w:rFonts w:ascii="Verdana" w:hAnsi="Verdana"/>
          <w:sz w:val="20"/>
          <w:szCs w:val="20"/>
          <w:lang w:val="en-US"/>
        </w:rPr>
        <w:t xml:space="preserve">not have all the information on the pension payments </w:t>
      </w:r>
      <w:r w:rsidR="006443E8" w:rsidRPr="008A3740">
        <w:rPr>
          <w:rFonts w:ascii="Verdana" w:hAnsi="Verdana"/>
          <w:sz w:val="20"/>
          <w:szCs w:val="20"/>
          <w:lang w:val="en-US"/>
        </w:rPr>
        <w:t xml:space="preserve">being made to </w:t>
      </w:r>
      <w:r w:rsidRPr="008A3740">
        <w:rPr>
          <w:rFonts w:ascii="Verdana" w:hAnsi="Verdana"/>
          <w:sz w:val="20"/>
          <w:szCs w:val="20"/>
          <w:lang w:val="en-US"/>
        </w:rPr>
        <w:t xml:space="preserve">the pensioner until February 1991, </w:t>
      </w:r>
      <w:r w:rsidR="001913AD" w:rsidRPr="008A3740">
        <w:rPr>
          <w:rFonts w:ascii="Verdana" w:hAnsi="Verdana"/>
          <w:sz w:val="20"/>
          <w:szCs w:val="20"/>
          <w:lang w:val="en-US"/>
        </w:rPr>
        <w:t>only that his last payments amounted to</w:t>
      </w:r>
      <w:r w:rsidRPr="008A3740">
        <w:rPr>
          <w:rFonts w:ascii="Verdana" w:hAnsi="Verdana"/>
          <w:sz w:val="20"/>
          <w:szCs w:val="20"/>
          <w:lang w:val="en-US"/>
        </w:rPr>
        <w:t xml:space="preserve"> S/800 soles. The State also indicated that, </w:t>
      </w:r>
      <w:r w:rsidR="006443E8" w:rsidRPr="008A3740">
        <w:rPr>
          <w:rFonts w:ascii="Verdana" w:hAnsi="Verdana"/>
          <w:sz w:val="20"/>
          <w:szCs w:val="20"/>
          <w:lang w:val="en-US"/>
        </w:rPr>
        <w:t xml:space="preserve">based on the expert opinion of </w:t>
      </w:r>
      <w:r w:rsidRPr="008A3740">
        <w:rPr>
          <w:rFonts w:ascii="Verdana" w:hAnsi="Verdana"/>
          <w:sz w:val="20"/>
          <w:szCs w:val="20"/>
          <w:lang w:val="en-US"/>
        </w:rPr>
        <w:t xml:space="preserve">Mr. González Hunt, </w:t>
      </w:r>
      <w:r w:rsidR="006443E8" w:rsidRPr="008A3740">
        <w:rPr>
          <w:rFonts w:ascii="Verdana" w:hAnsi="Verdana"/>
          <w:sz w:val="20"/>
          <w:szCs w:val="20"/>
          <w:lang w:val="en-US"/>
        </w:rPr>
        <w:t xml:space="preserve">it was not possible to equalize his pension with </w:t>
      </w:r>
      <w:r w:rsidR="00CF68C2" w:rsidRPr="008A3740">
        <w:rPr>
          <w:rFonts w:ascii="Verdana" w:hAnsi="Verdana"/>
          <w:sz w:val="20"/>
          <w:szCs w:val="20"/>
          <w:lang w:val="en-US"/>
        </w:rPr>
        <w:t xml:space="preserve">private sector workers, but rather with those of </w:t>
      </w:r>
      <w:r w:rsidRPr="008A3740">
        <w:rPr>
          <w:rFonts w:ascii="Verdana" w:hAnsi="Verdana"/>
          <w:sz w:val="20"/>
          <w:szCs w:val="20"/>
          <w:lang w:val="en-US"/>
        </w:rPr>
        <w:t xml:space="preserve">workers subject to the public sector </w:t>
      </w:r>
      <w:r w:rsidR="00CF68C2" w:rsidRPr="008A3740">
        <w:rPr>
          <w:rFonts w:ascii="Verdana" w:hAnsi="Verdana"/>
          <w:sz w:val="20"/>
          <w:szCs w:val="20"/>
          <w:lang w:val="en-US"/>
        </w:rPr>
        <w:t>system</w:t>
      </w:r>
      <w:r w:rsidRPr="008A3740">
        <w:rPr>
          <w:rFonts w:ascii="Verdana" w:hAnsi="Verdana"/>
          <w:sz w:val="20"/>
          <w:szCs w:val="20"/>
          <w:lang w:val="en-US"/>
        </w:rPr>
        <w:t xml:space="preserve">. </w:t>
      </w:r>
      <w:r w:rsidR="00CF68C2" w:rsidRPr="008A3740">
        <w:rPr>
          <w:rFonts w:ascii="Verdana" w:hAnsi="Verdana"/>
          <w:sz w:val="20"/>
          <w:szCs w:val="20"/>
          <w:lang w:val="en-US"/>
        </w:rPr>
        <w:t xml:space="preserve">For </w:t>
      </w:r>
      <w:r w:rsidR="00291323" w:rsidRPr="008A3740">
        <w:rPr>
          <w:rFonts w:ascii="Verdana" w:hAnsi="Verdana"/>
          <w:sz w:val="20"/>
          <w:szCs w:val="20"/>
          <w:lang w:val="en-US"/>
        </w:rPr>
        <w:t xml:space="preserve">all </w:t>
      </w:r>
      <w:r w:rsidR="00CF68C2" w:rsidRPr="008A3740">
        <w:rPr>
          <w:rFonts w:ascii="Verdana" w:hAnsi="Verdana"/>
          <w:sz w:val="20"/>
          <w:szCs w:val="20"/>
          <w:lang w:val="en-US"/>
        </w:rPr>
        <w:t xml:space="preserve">those reasons, </w:t>
      </w:r>
      <w:r w:rsidRPr="008A3740">
        <w:rPr>
          <w:rFonts w:ascii="Verdana" w:hAnsi="Verdana"/>
          <w:sz w:val="20"/>
          <w:szCs w:val="20"/>
          <w:lang w:val="en-US"/>
        </w:rPr>
        <w:t xml:space="preserve">the State indicated that the MEF </w:t>
      </w:r>
      <w:r w:rsidR="00CF68C2" w:rsidRPr="008A3740">
        <w:rPr>
          <w:rFonts w:ascii="Verdana" w:hAnsi="Verdana"/>
          <w:sz w:val="20"/>
          <w:szCs w:val="20"/>
          <w:lang w:val="en-US"/>
        </w:rPr>
        <w:t>made a calculation based on the reported</w:t>
      </w:r>
      <w:r w:rsidR="007C2812" w:rsidRPr="008A3740">
        <w:rPr>
          <w:rFonts w:ascii="Verdana" w:hAnsi="Verdana"/>
          <w:sz w:val="20"/>
          <w:szCs w:val="20"/>
          <w:lang w:val="en-US"/>
        </w:rPr>
        <w:t xml:space="preserve"> annual payments of </w:t>
      </w:r>
      <w:r w:rsidRPr="008A3740">
        <w:rPr>
          <w:rFonts w:ascii="Verdana" w:hAnsi="Verdana"/>
          <w:sz w:val="20"/>
          <w:szCs w:val="20"/>
          <w:lang w:val="en-US"/>
        </w:rPr>
        <w:t xml:space="preserve">employees of the same F-4 </w:t>
      </w:r>
      <w:r w:rsidR="00291323" w:rsidRPr="008A3740">
        <w:rPr>
          <w:rFonts w:ascii="Verdana" w:hAnsi="Verdana"/>
          <w:sz w:val="20"/>
          <w:szCs w:val="20"/>
          <w:lang w:val="en-US"/>
        </w:rPr>
        <w:t xml:space="preserve">category </w:t>
      </w:r>
      <w:r w:rsidRPr="008A3740">
        <w:rPr>
          <w:rFonts w:ascii="Verdana" w:hAnsi="Verdana"/>
          <w:sz w:val="20"/>
          <w:szCs w:val="20"/>
          <w:lang w:val="en-US"/>
        </w:rPr>
        <w:t xml:space="preserve">who worked at the MEF and concluded that </w:t>
      </w:r>
      <w:r w:rsidR="007E749A" w:rsidRPr="008A3740">
        <w:rPr>
          <w:rFonts w:ascii="Verdana" w:hAnsi="Verdana"/>
          <w:sz w:val="20"/>
          <w:szCs w:val="20"/>
          <w:lang w:val="en-US"/>
        </w:rPr>
        <w:t xml:space="preserve">the permanent total earned </w:t>
      </w:r>
      <w:r w:rsidRPr="008A3740">
        <w:rPr>
          <w:rFonts w:ascii="Verdana" w:hAnsi="Verdana"/>
          <w:sz w:val="20"/>
          <w:szCs w:val="20"/>
          <w:lang w:val="en-US"/>
        </w:rPr>
        <w:t>(</w:t>
      </w:r>
      <w:r w:rsidR="007E749A" w:rsidRPr="008A3740">
        <w:rPr>
          <w:rFonts w:ascii="Verdana" w:hAnsi="Verdana"/>
          <w:sz w:val="20"/>
          <w:szCs w:val="20"/>
          <w:lang w:val="en-US"/>
        </w:rPr>
        <w:t>main salary</w:t>
      </w:r>
      <w:r w:rsidRPr="008A3740">
        <w:rPr>
          <w:rFonts w:ascii="Verdana" w:hAnsi="Verdana"/>
          <w:sz w:val="20"/>
          <w:szCs w:val="20"/>
          <w:lang w:val="en-US"/>
        </w:rPr>
        <w:t>, personal and family bonus,</w:t>
      </w:r>
      <w:r w:rsidR="007E749A" w:rsidRPr="008A3740">
        <w:rPr>
          <w:rFonts w:ascii="Verdana" w:hAnsi="Verdana"/>
          <w:sz w:val="20"/>
          <w:szCs w:val="20"/>
          <w:lang w:val="en-US"/>
        </w:rPr>
        <w:t xml:space="preserve"> </w:t>
      </w:r>
      <w:r w:rsidR="00291323" w:rsidRPr="008A3740">
        <w:rPr>
          <w:rFonts w:ascii="Verdana" w:hAnsi="Verdana"/>
          <w:sz w:val="20"/>
          <w:szCs w:val="20"/>
          <w:lang w:val="en-US"/>
        </w:rPr>
        <w:t xml:space="preserve">temporary </w:t>
      </w:r>
      <w:r w:rsidR="007E749A" w:rsidRPr="008A3740">
        <w:rPr>
          <w:rFonts w:ascii="Verdana" w:hAnsi="Verdana"/>
          <w:sz w:val="20"/>
          <w:szCs w:val="20"/>
          <w:lang w:val="en-US"/>
        </w:rPr>
        <w:t xml:space="preserve">remuneration </w:t>
      </w:r>
      <w:r w:rsidR="00CF68C2" w:rsidRPr="008A3740">
        <w:rPr>
          <w:rFonts w:ascii="Verdana" w:hAnsi="Verdana"/>
          <w:sz w:val="20"/>
          <w:szCs w:val="20"/>
          <w:lang w:val="en-US"/>
        </w:rPr>
        <w:t xml:space="preserve">for </w:t>
      </w:r>
      <w:r w:rsidR="00291323" w:rsidRPr="008A3740">
        <w:rPr>
          <w:rFonts w:ascii="Verdana" w:hAnsi="Verdana"/>
          <w:sz w:val="20"/>
          <w:szCs w:val="20"/>
          <w:lang w:val="en-US"/>
        </w:rPr>
        <w:t xml:space="preserve">standardization purposes </w:t>
      </w:r>
      <w:r w:rsidRPr="008A3740">
        <w:rPr>
          <w:rFonts w:ascii="Verdana" w:hAnsi="Verdana"/>
          <w:sz w:val="20"/>
          <w:szCs w:val="20"/>
          <w:lang w:val="en-US"/>
        </w:rPr>
        <w:t xml:space="preserve">and bonus for </w:t>
      </w:r>
      <w:r w:rsidR="00283A71" w:rsidRPr="008A3740">
        <w:rPr>
          <w:rFonts w:ascii="Verdana" w:hAnsi="Verdana"/>
          <w:sz w:val="20"/>
          <w:szCs w:val="20"/>
          <w:lang w:val="en-US"/>
        </w:rPr>
        <w:t>lunch and transport</w:t>
      </w:r>
      <w:r w:rsidR="007C2812" w:rsidRPr="008A3740">
        <w:rPr>
          <w:rFonts w:ascii="Verdana" w:hAnsi="Verdana"/>
          <w:sz w:val="20"/>
          <w:szCs w:val="20"/>
          <w:lang w:val="en-US"/>
        </w:rPr>
        <w:t xml:space="preserve">) </w:t>
      </w:r>
      <w:r w:rsidR="00291323" w:rsidRPr="008A3740">
        <w:rPr>
          <w:rFonts w:ascii="Verdana" w:hAnsi="Verdana"/>
          <w:sz w:val="20"/>
          <w:szCs w:val="20"/>
          <w:lang w:val="en-US"/>
        </w:rPr>
        <w:t xml:space="preserve">was </w:t>
      </w:r>
      <w:r w:rsidR="007C2812" w:rsidRPr="008A3740">
        <w:rPr>
          <w:rFonts w:ascii="Verdana" w:hAnsi="Verdana"/>
          <w:sz w:val="20"/>
          <w:szCs w:val="20"/>
          <w:lang w:val="en-US"/>
        </w:rPr>
        <w:t xml:space="preserve">approximately </w:t>
      </w:r>
      <w:r w:rsidRPr="008A3740">
        <w:rPr>
          <w:rFonts w:ascii="Verdana" w:hAnsi="Verdana"/>
          <w:sz w:val="20"/>
          <w:szCs w:val="20"/>
          <w:lang w:val="en-US"/>
        </w:rPr>
        <w:t>S/</w:t>
      </w:r>
      <w:r w:rsidRPr="008A3740">
        <w:rPr>
          <w:rFonts w:ascii="Verdana" w:hAnsi="Verdana" w:cs="Arial"/>
          <w:sz w:val="20"/>
          <w:szCs w:val="20"/>
          <w:lang w:val="en-US"/>
        </w:rPr>
        <w:t xml:space="preserve">263.83 Soles (to February 1991). The MEF indicated that the </w:t>
      </w:r>
      <w:r w:rsidR="007C2812" w:rsidRPr="008A3740">
        <w:rPr>
          <w:rFonts w:ascii="Verdana" w:hAnsi="Verdana" w:cs="Arial"/>
          <w:sz w:val="20"/>
          <w:szCs w:val="20"/>
          <w:lang w:val="en-US"/>
        </w:rPr>
        <w:t xml:space="preserve">equalized amount </w:t>
      </w:r>
      <w:r w:rsidRPr="008A3740">
        <w:rPr>
          <w:rFonts w:ascii="Verdana" w:hAnsi="Verdana" w:cs="Arial"/>
          <w:sz w:val="20"/>
          <w:szCs w:val="20"/>
          <w:lang w:val="en-US"/>
        </w:rPr>
        <w:t>with progres</w:t>
      </w:r>
      <w:r w:rsidR="007C2812" w:rsidRPr="008A3740">
        <w:rPr>
          <w:rFonts w:ascii="Verdana" w:hAnsi="Verdana" w:cs="Arial"/>
          <w:sz w:val="20"/>
          <w:szCs w:val="20"/>
          <w:lang w:val="en-US"/>
        </w:rPr>
        <w:t xml:space="preserve">sion </w:t>
      </w:r>
      <w:r w:rsidR="00291323" w:rsidRPr="008A3740">
        <w:rPr>
          <w:rFonts w:ascii="Verdana" w:hAnsi="Verdana" w:cs="Arial"/>
          <w:sz w:val="20"/>
          <w:szCs w:val="20"/>
          <w:lang w:val="en-US"/>
        </w:rPr>
        <w:t xml:space="preserve">up to </w:t>
      </w:r>
      <w:r w:rsidR="007C2812" w:rsidRPr="008A3740">
        <w:rPr>
          <w:rFonts w:ascii="Verdana" w:hAnsi="Verdana" w:cs="Arial"/>
          <w:sz w:val="20"/>
          <w:szCs w:val="20"/>
          <w:lang w:val="en-US"/>
        </w:rPr>
        <w:t xml:space="preserve">the present date is </w:t>
      </w:r>
      <w:r w:rsidRPr="008A3740">
        <w:rPr>
          <w:rFonts w:ascii="Verdana" w:hAnsi="Verdana" w:cs="Arial"/>
          <w:sz w:val="20"/>
          <w:szCs w:val="20"/>
          <w:lang w:val="en-US"/>
        </w:rPr>
        <w:t>S/1,337.61 soles.</w:t>
      </w:r>
    </w:p>
    <w:p w14:paraId="1F97C5D4" w14:textId="77777777" w:rsidR="008E6A56" w:rsidRPr="008A3740" w:rsidRDefault="008E6A56" w:rsidP="008E6A56">
      <w:pPr>
        <w:tabs>
          <w:tab w:val="left" w:pos="567"/>
        </w:tabs>
        <w:textAlignment w:val="auto"/>
        <w:rPr>
          <w:rFonts w:ascii="Verdana" w:hAnsi="Verdana"/>
          <w:b/>
          <w:i/>
          <w:sz w:val="20"/>
          <w:szCs w:val="20"/>
          <w:lang w:val="en-US"/>
        </w:rPr>
      </w:pPr>
    </w:p>
    <w:p w14:paraId="1C8D2B83"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cs="Arial"/>
          <w:sz w:val="20"/>
          <w:szCs w:val="20"/>
          <w:lang w:val="en-US"/>
        </w:rPr>
        <w:t xml:space="preserve">The State </w:t>
      </w:r>
      <w:r w:rsidR="00F530F3" w:rsidRPr="008A3740">
        <w:rPr>
          <w:rFonts w:ascii="Verdana" w:hAnsi="Verdana" w:cs="Arial"/>
          <w:sz w:val="20"/>
          <w:szCs w:val="20"/>
          <w:lang w:val="en-US"/>
        </w:rPr>
        <w:t xml:space="preserve">emphasized </w:t>
      </w:r>
      <w:r w:rsidRPr="008A3740">
        <w:rPr>
          <w:rFonts w:ascii="Verdana" w:hAnsi="Verdana" w:cs="Arial"/>
          <w:sz w:val="20"/>
          <w:szCs w:val="20"/>
          <w:lang w:val="en-US"/>
        </w:rPr>
        <w:t xml:space="preserve">the difference </w:t>
      </w:r>
      <w:r w:rsidR="00F530F3" w:rsidRPr="008A3740">
        <w:rPr>
          <w:rFonts w:ascii="Verdana" w:hAnsi="Verdana" w:cs="Arial"/>
          <w:sz w:val="20"/>
          <w:szCs w:val="20"/>
          <w:lang w:val="en-US"/>
        </w:rPr>
        <w:t xml:space="preserve">between </w:t>
      </w:r>
      <w:r w:rsidRPr="008A3740">
        <w:rPr>
          <w:rFonts w:ascii="Verdana" w:hAnsi="Verdana" w:cs="Arial"/>
          <w:sz w:val="20"/>
          <w:szCs w:val="20"/>
          <w:lang w:val="en-US"/>
        </w:rPr>
        <w:t xml:space="preserve">the amount that the victim </w:t>
      </w:r>
      <w:r w:rsidR="00B560C3" w:rsidRPr="008A3740">
        <w:rPr>
          <w:rFonts w:ascii="Verdana" w:hAnsi="Verdana" w:cs="Arial"/>
          <w:sz w:val="20"/>
          <w:szCs w:val="20"/>
          <w:lang w:val="en-US"/>
        </w:rPr>
        <w:t xml:space="preserve">received up </w:t>
      </w:r>
      <w:r w:rsidRPr="008A3740">
        <w:rPr>
          <w:rFonts w:ascii="Verdana" w:hAnsi="Verdana" w:cs="Arial"/>
          <w:sz w:val="20"/>
          <w:szCs w:val="20"/>
          <w:lang w:val="en-US"/>
        </w:rPr>
        <w:t xml:space="preserve">to February 1991 (S/800 soles) and </w:t>
      </w:r>
      <w:r w:rsidR="00B560C3" w:rsidRPr="008A3740">
        <w:rPr>
          <w:rFonts w:ascii="Verdana" w:hAnsi="Verdana" w:cs="Arial"/>
          <w:sz w:val="20"/>
          <w:szCs w:val="20"/>
          <w:lang w:val="en-US"/>
        </w:rPr>
        <w:t xml:space="preserve">the amount earned by MEF </w:t>
      </w:r>
      <w:r w:rsidR="00F530F3" w:rsidRPr="008A3740">
        <w:rPr>
          <w:rFonts w:ascii="Verdana" w:hAnsi="Verdana" w:cs="Arial"/>
          <w:sz w:val="20"/>
          <w:szCs w:val="20"/>
          <w:lang w:val="en-US"/>
        </w:rPr>
        <w:t xml:space="preserve">employees of the same </w:t>
      </w:r>
      <w:r w:rsidR="00B560C3" w:rsidRPr="008A3740">
        <w:rPr>
          <w:rFonts w:ascii="Verdana" w:hAnsi="Verdana" w:cs="Arial"/>
          <w:sz w:val="20"/>
          <w:szCs w:val="20"/>
          <w:lang w:val="en-US"/>
        </w:rPr>
        <w:t xml:space="preserve">salary </w:t>
      </w:r>
      <w:r w:rsidRPr="008A3740">
        <w:rPr>
          <w:rFonts w:ascii="Verdana" w:hAnsi="Verdana" w:cs="Arial"/>
          <w:sz w:val="20"/>
          <w:szCs w:val="20"/>
          <w:lang w:val="en-US"/>
        </w:rPr>
        <w:t>category (S/26</w:t>
      </w:r>
      <w:r w:rsidR="007C2812" w:rsidRPr="008A3740">
        <w:rPr>
          <w:rFonts w:ascii="Verdana" w:hAnsi="Verdana" w:cs="Arial"/>
          <w:sz w:val="20"/>
          <w:szCs w:val="20"/>
          <w:lang w:val="en-US"/>
        </w:rPr>
        <w:t xml:space="preserve">3.83 soles, </w:t>
      </w:r>
      <w:r w:rsidR="000B1100" w:rsidRPr="008A3740">
        <w:rPr>
          <w:rFonts w:ascii="Verdana" w:hAnsi="Verdana" w:cs="Arial"/>
          <w:sz w:val="20"/>
          <w:szCs w:val="20"/>
          <w:lang w:val="en-US"/>
        </w:rPr>
        <w:t xml:space="preserve">as </w:t>
      </w:r>
      <w:r w:rsidR="007C2812" w:rsidRPr="008A3740">
        <w:rPr>
          <w:rFonts w:ascii="Verdana" w:hAnsi="Verdana" w:cs="Arial"/>
          <w:sz w:val="20"/>
          <w:szCs w:val="20"/>
          <w:lang w:val="en-US"/>
        </w:rPr>
        <w:t xml:space="preserve">public servants of </w:t>
      </w:r>
      <w:r w:rsidR="007E749A" w:rsidRPr="008A3740">
        <w:rPr>
          <w:rFonts w:ascii="Verdana" w:hAnsi="Verdana" w:cs="Arial"/>
          <w:sz w:val="20"/>
          <w:szCs w:val="20"/>
          <w:lang w:val="en-US"/>
        </w:rPr>
        <w:t xml:space="preserve">the </w:t>
      </w:r>
      <w:r w:rsidR="007C2812" w:rsidRPr="008A3740">
        <w:rPr>
          <w:rFonts w:ascii="Verdana" w:hAnsi="Verdana" w:cs="Arial"/>
          <w:sz w:val="20"/>
          <w:szCs w:val="20"/>
          <w:lang w:val="en-US"/>
        </w:rPr>
        <w:t xml:space="preserve">public </w:t>
      </w:r>
      <w:r w:rsidR="00361755" w:rsidRPr="008A3740">
        <w:rPr>
          <w:rFonts w:ascii="Verdana" w:hAnsi="Verdana" w:cs="Arial"/>
          <w:sz w:val="20"/>
          <w:szCs w:val="20"/>
          <w:lang w:val="en-US"/>
        </w:rPr>
        <w:t xml:space="preserve">sector </w:t>
      </w:r>
      <w:r w:rsidR="00CF68C2" w:rsidRPr="008A3740">
        <w:rPr>
          <w:rFonts w:ascii="Verdana" w:hAnsi="Verdana" w:cs="Arial"/>
          <w:sz w:val="20"/>
          <w:szCs w:val="20"/>
          <w:lang w:val="en-US"/>
        </w:rPr>
        <w:t>labor regime</w:t>
      </w:r>
      <w:r w:rsidRPr="008A3740">
        <w:rPr>
          <w:rFonts w:ascii="Verdana" w:hAnsi="Verdana" w:cs="Arial"/>
          <w:sz w:val="20"/>
          <w:szCs w:val="20"/>
          <w:lang w:val="en-US"/>
        </w:rPr>
        <w:t xml:space="preserve">). However, the State indicated that </w:t>
      </w:r>
      <w:r w:rsidR="000B1100" w:rsidRPr="008A3740">
        <w:rPr>
          <w:rFonts w:ascii="Verdana" w:hAnsi="Verdana" w:cs="Arial"/>
          <w:sz w:val="20"/>
          <w:szCs w:val="20"/>
          <w:lang w:val="en-US"/>
        </w:rPr>
        <w:t xml:space="preserve">in order </w:t>
      </w:r>
      <w:r w:rsidRPr="008A3740">
        <w:rPr>
          <w:rFonts w:ascii="Verdana" w:hAnsi="Verdana" w:cs="Arial"/>
          <w:sz w:val="20"/>
          <w:szCs w:val="20"/>
          <w:lang w:val="en-US"/>
        </w:rPr>
        <w:t xml:space="preserve">to </w:t>
      </w:r>
      <w:r w:rsidR="000B1100" w:rsidRPr="008A3740">
        <w:rPr>
          <w:rFonts w:ascii="Verdana" w:hAnsi="Verdana" w:cs="Arial"/>
          <w:sz w:val="20"/>
          <w:szCs w:val="20"/>
          <w:lang w:val="en-US"/>
        </w:rPr>
        <w:t xml:space="preserve">avoid making </w:t>
      </w:r>
      <w:r w:rsidRPr="008A3740">
        <w:rPr>
          <w:rFonts w:ascii="Verdana" w:hAnsi="Verdana" w:cs="Arial"/>
          <w:sz w:val="20"/>
          <w:szCs w:val="20"/>
          <w:lang w:val="en-US"/>
        </w:rPr>
        <w:t>minor rea</w:t>
      </w:r>
      <w:r w:rsidR="00F530F3" w:rsidRPr="008A3740">
        <w:rPr>
          <w:rFonts w:ascii="Verdana" w:hAnsi="Verdana" w:cs="Arial"/>
          <w:sz w:val="20"/>
          <w:szCs w:val="20"/>
          <w:lang w:val="en-US"/>
        </w:rPr>
        <w:t>d</w:t>
      </w:r>
      <w:r w:rsidRPr="008A3740">
        <w:rPr>
          <w:rFonts w:ascii="Verdana" w:hAnsi="Verdana" w:cs="Arial"/>
          <w:sz w:val="20"/>
          <w:szCs w:val="20"/>
          <w:lang w:val="en-US"/>
        </w:rPr>
        <w:t xml:space="preserve">justments to the amount that </w:t>
      </w:r>
      <w:r w:rsidR="00F530F3" w:rsidRPr="008A3740">
        <w:rPr>
          <w:rFonts w:ascii="Verdana" w:hAnsi="Verdana" w:cs="Arial"/>
          <w:sz w:val="20"/>
          <w:szCs w:val="20"/>
          <w:lang w:val="en-US"/>
        </w:rPr>
        <w:t>Mr. Muelle Flores was receiving</w:t>
      </w:r>
      <w:r w:rsidR="007C2812" w:rsidRPr="008A3740">
        <w:rPr>
          <w:rFonts w:ascii="Verdana" w:hAnsi="Verdana" w:cs="Arial"/>
          <w:sz w:val="20"/>
          <w:szCs w:val="20"/>
          <w:lang w:val="en-US"/>
        </w:rPr>
        <w:t xml:space="preserve">, the MEF </w:t>
      </w:r>
      <w:r w:rsidR="000B1100" w:rsidRPr="008A3740">
        <w:rPr>
          <w:rFonts w:ascii="Verdana" w:hAnsi="Verdana" w:cs="Arial"/>
          <w:sz w:val="20"/>
          <w:szCs w:val="20"/>
          <w:lang w:val="en-US"/>
        </w:rPr>
        <w:t xml:space="preserve">finally </w:t>
      </w:r>
      <w:r w:rsidR="007C2812" w:rsidRPr="008A3740">
        <w:rPr>
          <w:rFonts w:ascii="Verdana" w:hAnsi="Verdana" w:cs="Arial"/>
          <w:sz w:val="20"/>
          <w:szCs w:val="20"/>
          <w:lang w:val="en-US"/>
        </w:rPr>
        <w:t>establish</w:t>
      </w:r>
      <w:r w:rsidR="007E749A" w:rsidRPr="008A3740">
        <w:rPr>
          <w:rFonts w:ascii="Verdana" w:hAnsi="Verdana" w:cs="Arial"/>
          <w:sz w:val="20"/>
          <w:szCs w:val="20"/>
          <w:lang w:val="en-US"/>
        </w:rPr>
        <w:t>ed</w:t>
      </w:r>
      <w:r w:rsidRPr="008A3740">
        <w:rPr>
          <w:rFonts w:ascii="Verdana" w:hAnsi="Verdana" w:cs="Arial"/>
          <w:sz w:val="20"/>
          <w:szCs w:val="20"/>
          <w:lang w:val="en-US"/>
        </w:rPr>
        <w:t xml:space="preserve"> that </w:t>
      </w:r>
      <w:r w:rsidR="007E749A" w:rsidRPr="008A3740">
        <w:rPr>
          <w:rFonts w:ascii="Verdana" w:hAnsi="Verdana" w:cs="Arial"/>
          <w:sz w:val="20"/>
          <w:szCs w:val="20"/>
          <w:lang w:val="en-US"/>
        </w:rPr>
        <w:t>the amount to be paid w</w:t>
      </w:r>
      <w:r w:rsidR="000B1100" w:rsidRPr="008A3740">
        <w:rPr>
          <w:rFonts w:ascii="Verdana" w:hAnsi="Verdana" w:cs="Arial"/>
          <w:sz w:val="20"/>
          <w:szCs w:val="20"/>
          <w:lang w:val="en-US"/>
        </w:rPr>
        <w:t xml:space="preserve">ould be </w:t>
      </w:r>
      <w:r w:rsidRPr="008A3740">
        <w:rPr>
          <w:rFonts w:ascii="Verdana" w:hAnsi="Verdana" w:cs="Arial"/>
          <w:sz w:val="20"/>
          <w:szCs w:val="20"/>
          <w:lang w:val="en-US"/>
        </w:rPr>
        <w:t>S/800 from February 1991 and</w:t>
      </w:r>
      <w:r w:rsidR="000B1100" w:rsidRPr="008A3740">
        <w:rPr>
          <w:rFonts w:ascii="Verdana" w:hAnsi="Verdana" w:cs="Arial"/>
          <w:sz w:val="20"/>
          <w:szCs w:val="20"/>
          <w:lang w:val="en-US"/>
        </w:rPr>
        <w:t>, when</w:t>
      </w:r>
      <w:r w:rsidR="00CF68C2" w:rsidRPr="008A3740">
        <w:rPr>
          <w:rFonts w:ascii="Verdana" w:hAnsi="Verdana" w:cs="Arial"/>
          <w:sz w:val="20"/>
          <w:szCs w:val="20"/>
          <w:lang w:val="en-US"/>
        </w:rPr>
        <w:t xml:space="preserve"> </w:t>
      </w:r>
      <w:r w:rsidR="000B1100" w:rsidRPr="008A3740">
        <w:rPr>
          <w:rFonts w:ascii="Verdana" w:hAnsi="Verdana" w:cs="Arial"/>
          <w:sz w:val="20"/>
          <w:szCs w:val="20"/>
          <w:lang w:val="en-US"/>
        </w:rPr>
        <w:t xml:space="preserve">the </w:t>
      </w:r>
      <w:r w:rsidR="00CA613F" w:rsidRPr="008A3740">
        <w:rPr>
          <w:rFonts w:ascii="Verdana" w:hAnsi="Verdana" w:cs="Arial"/>
          <w:sz w:val="20"/>
          <w:szCs w:val="20"/>
          <w:lang w:val="en-US"/>
        </w:rPr>
        <w:t xml:space="preserve">Court </w:t>
      </w:r>
      <w:r w:rsidR="000B1100" w:rsidRPr="008A3740">
        <w:rPr>
          <w:rFonts w:ascii="Verdana" w:hAnsi="Verdana" w:cs="Arial"/>
          <w:sz w:val="20"/>
          <w:szCs w:val="20"/>
          <w:lang w:val="en-US"/>
        </w:rPr>
        <w:t xml:space="preserve">eventually </w:t>
      </w:r>
      <w:r w:rsidR="00CA613F" w:rsidRPr="008A3740">
        <w:rPr>
          <w:rFonts w:ascii="Verdana" w:hAnsi="Verdana" w:cs="Arial"/>
          <w:sz w:val="20"/>
          <w:szCs w:val="20"/>
          <w:lang w:val="en-US"/>
        </w:rPr>
        <w:t xml:space="preserve">issues its </w:t>
      </w:r>
      <w:r w:rsidRPr="008A3740">
        <w:rPr>
          <w:rFonts w:ascii="Verdana" w:hAnsi="Verdana" w:cs="Arial"/>
          <w:sz w:val="20"/>
          <w:szCs w:val="20"/>
          <w:lang w:val="en-US"/>
        </w:rPr>
        <w:t xml:space="preserve">Judgment, the </w:t>
      </w:r>
      <w:r w:rsidR="007C2812" w:rsidRPr="008A3740">
        <w:rPr>
          <w:rFonts w:ascii="Verdana" w:hAnsi="Verdana" w:cs="Arial"/>
          <w:sz w:val="20"/>
          <w:szCs w:val="20"/>
          <w:lang w:val="en-US"/>
        </w:rPr>
        <w:t>equalized sum</w:t>
      </w:r>
      <w:r w:rsidR="00CA613F" w:rsidRPr="008A3740">
        <w:rPr>
          <w:rFonts w:ascii="Verdana" w:hAnsi="Verdana" w:cs="Arial"/>
          <w:sz w:val="20"/>
          <w:szCs w:val="20"/>
          <w:lang w:val="en-US"/>
        </w:rPr>
        <w:t xml:space="preserve"> of </w:t>
      </w:r>
      <w:r w:rsidRPr="008A3740">
        <w:rPr>
          <w:rFonts w:ascii="Verdana" w:hAnsi="Verdana" w:cs="Arial"/>
          <w:sz w:val="20"/>
          <w:szCs w:val="20"/>
          <w:lang w:val="en-US"/>
        </w:rPr>
        <w:t>S/1,337.61 soles.</w:t>
      </w:r>
    </w:p>
    <w:p w14:paraId="6ECAFDBB" w14:textId="77777777" w:rsidR="008E6A56" w:rsidRPr="008A3740" w:rsidRDefault="008E6A56" w:rsidP="008E6A56">
      <w:pPr>
        <w:pStyle w:val="Prrafodelista"/>
        <w:rPr>
          <w:rFonts w:ascii="Verdana" w:hAnsi="Verdana"/>
          <w:b/>
          <w:i/>
          <w:sz w:val="20"/>
          <w:szCs w:val="20"/>
          <w:lang w:val="en-US"/>
        </w:rPr>
      </w:pPr>
    </w:p>
    <w:p w14:paraId="7C74D129" w14:textId="77777777" w:rsidR="008E6A56" w:rsidRPr="008A3740" w:rsidRDefault="002A4293"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sz w:val="20"/>
          <w:szCs w:val="20"/>
          <w:lang w:val="en-US"/>
        </w:rPr>
        <w:t>Also, i</w:t>
      </w:r>
      <w:r w:rsidR="008E6A56" w:rsidRPr="008A3740">
        <w:rPr>
          <w:rFonts w:ascii="Verdana" w:hAnsi="Verdana"/>
          <w:sz w:val="20"/>
          <w:szCs w:val="20"/>
          <w:lang w:val="en-US"/>
        </w:rPr>
        <w:t xml:space="preserve">n its brief of December 20, 2018, the State reported that through </w:t>
      </w:r>
      <w:r w:rsidRPr="008A3740">
        <w:rPr>
          <w:rFonts w:ascii="Verdana" w:hAnsi="Verdana"/>
          <w:sz w:val="20"/>
          <w:szCs w:val="20"/>
          <w:lang w:val="en-US"/>
        </w:rPr>
        <w:t xml:space="preserve">Executive </w:t>
      </w:r>
      <w:r w:rsidR="00B560C3" w:rsidRPr="008A3740">
        <w:rPr>
          <w:rFonts w:ascii="Verdana" w:hAnsi="Verdana"/>
          <w:sz w:val="20"/>
          <w:szCs w:val="20"/>
          <w:lang w:val="en-US"/>
        </w:rPr>
        <w:t xml:space="preserve">Resolution </w:t>
      </w:r>
      <w:r w:rsidR="008E6A56" w:rsidRPr="008A3740">
        <w:rPr>
          <w:rFonts w:ascii="Verdana" w:hAnsi="Verdana"/>
          <w:sz w:val="20"/>
          <w:szCs w:val="20"/>
          <w:lang w:val="en-US"/>
        </w:rPr>
        <w:t xml:space="preserve">No. 635-2018-EF/43.02 of the MEF, and in the context of the request for provisional measures </w:t>
      </w:r>
      <w:r w:rsidR="00F530F3" w:rsidRPr="008A3740">
        <w:rPr>
          <w:rFonts w:ascii="Verdana" w:hAnsi="Verdana"/>
          <w:sz w:val="20"/>
          <w:szCs w:val="20"/>
          <w:lang w:val="en-US"/>
        </w:rPr>
        <w:t xml:space="preserve">submitted </w:t>
      </w:r>
      <w:r w:rsidR="008E6A56" w:rsidRPr="008A3740">
        <w:rPr>
          <w:rFonts w:ascii="Verdana" w:hAnsi="Verdana"/>
          <w:sz w:val="20"/>
          <w:szCs w:val="20"/>
          <w:lang w:val="en-US"/>
        </w:rPr>
        <w:t xml:space="preserve">by the representatives (supra para. 12), </w:t>
      </w:r>
      <w:r w:rsidRPr="008A3740">
        <w:rPr>
          <w:rFonts w:ascii="Verdana" w:hAnsi="Verdana"/>
          <w:sz w:val="20"/>
          <w:szCs w:val="20"/>
          <w:lang w:val="en-US"/>
        </w:rPr>
        <w:t xml:space="preserve">it had </w:t>
      </w:r>
      <w:r w:rsidR="008E6A56" w:rsidRPr="008A3740">
        <w:rPr>
          <w:rFonts w:ascii="Verdana" w:hAnsi="Verdana"/>
          <w:sz w:val="20"/>
          <w:szCs w:val="20"/>
          <w:lang w:val="en-US"/>
        </w:rPr>
        <w:t xml:space="preserve">decided to </w:t>
      </w:r>
      <w:r w:rsidR="008E6A56" w:rsidRPr="008A3740">
        <w:rPr>
          <w:rFonts w:ascii="Verdana" w:hAnsi="Verdana" w:cs="Verdana"/>
          <w:bCs/>
          <w:iCs/>
          <w:sz w:val="20"/>
          <w:szCs w:val="20"/>
          <w:lang w:val="en-US"/>
        </w:rPr>
        <w:t>“</w:t>
      </w:r>
      <w:r w:rsidRPr="008A3740">
        <w:rPr>
          <w:rFonts w:ascii="Verdana" w:hAnsi="Verdana" w:cs="Verdana"/>
          <w:bCs/>
          <w:iCs/>
          <w:sz w:val="20"/>
          <w:szCs w:val="20"/>
          <w:lang w:val="en-US"/>
        </w:rPr>
        <w:t xml:space="preserve">make </w:t>
      </w:r>
      <w:r w:rsidR="00410876" w:rsidRPr="008A3740">
        <w:rPr>
          <w:rFonts w:ascii="Verdana" w:hAnsi="Verdana" w:cs="Verdana"/>
          <w:bCs/>
          <w:iCs/>
          <w:sz w:val="20"/>
          <w:szCs w:val="20"/>
          <w:lang w:val="en-US"/>
        </w:rPr>
        <w:t xml:space="preserve">an advance </w:t>
      </w:r>
      <w:r w:rsidR="008E6A56" w:rsidRPr="008A3740">
        <w:rPr>
          <w:rFonts w:ascii="Verdana" w:hAnsi="Verdana" w:cs="Verdana"/>
          <w:bCs/>
          <w:iCs/>
          <w:sz w:val="20"/>
          <w:szCs w:val="20"/>
          <w:lang w:val="en-US"/>
        </w:rPr>
        <w:t xml:space="preserve">payment” of the </w:t>
      </w:r>
      <w:r w:rsidR="00410876" w:rsidRPr="008A3740">
        <w:rPr>
          <w:rFonts w:ascii="Verdana" w:hAnsi="Verdana" w:cs="Verdana"/>
          <w:bCs/>
          <w:iCs/>
          <w:sz w:val="20"/>
          <w:szCs w:val="20"/>
          <w:lang w:val="en-US"/>
        </w:rPr>
        <w:t xml:space="preserve">amounts owed in </w:t>
      </w:r>
      <w:r w:rsidR="00CA613F" w:rsidRPr="008A3740">
        <w:rPr>
          <w:rFonts w:ascii="Verdana" w:hAnsi="Verdana" w:cs="Verdana"/>
          <w:bCs/>
          <w:iCs/>
          <w:sz w:val="20"/>
          <w:szCs w:val="20"/>
          <w:lang w:val="en-US"/>
        </w:rPr>
        <w:t xml:space="preserve">unpaid </w:t>
      </w:r>
      <w:r w:rsidR="008E6A56" w:rsidRPr="008A3740">
        <w:rPr>
          <w:rFonts w:ascii="Verdana" w:hAnsi="Verdana" w:cs="Verdana"/>
          <w:bCs/>
          <w:iCs/>
          <w:sz w:val="20"/>
          <w:szCs w:val="20"/>
          <w:lang w:val="en-US"/>
        </w:rPr>
        <w:t xml:space="preserve">pensions, </w:t>
      </w:r>
      <w:r w:rsidR="00B560C3" w:rsidRPr="008A3740">
        <w:rPr>
          <w:rFonts w:ascii="Verdana" w:hAnsi="Verdana" w:cs="Verdana"/>
          <w:bCs/>
          <w:iCs/>
          <w:sz w:val="20"/>
          <w:szCs w:val="20"/>
          <w:lang w:val="en-US"/>
        </w:rPr>
        <w:t xml:space="preserve">for a total amount of </w:t>
      </w:r>
      <w:r w:rsidR="008E6A56" w:rsidRPr="008A3740">
        <w:rPr>
          <w:rFonts w:ascii="Verdana" w:hAnsi="Verdana" w:cs="Verdana"/>
          <w:bCs/>
          <w:iCs/>
          <w:sz w:val="20"/>
          <w:szCs w:val="20"/>
          <w:lang w:val="en-US"/>
        </w:rPr>
        <w:t>S/. 175,898.00 soles ($53,791 approx.), fro</w:t>
      </w:r>
      <w:r w:rsidR="00410876" w:rsidRPr="008A3740">
        <w:rPr>
          <w:rFonts w:ascii="Verdana" w:hAnsi="Verdana" w:cs="Verdana"/>
          <w:bCs/>
          <w:iCs/>
          <w:sz w:val="20"/>
          <w:szCs w:val="20"/>
          <w:lang w:val="en-US"/>
        </w:rPr>
        <w:t>m which S/6,563.92 new soles would be</w:t>
      </w:r>
      <w:r w:rsidR="008E6A56" w:rsidRPr="008A3740">
        <w:rPr>
          <w:rFonts w:ascii="Verdana" w:hAnsi="Verdana" w:cs="Verdana"/>
          <w:bCs/>
          <w:iCs/>
          <w:sz w:val="20"/>
          <w:szCs w:val="20"/>
          <w:lang w:val="en-US"/>
        </w:rPr>
        <w:t xml:space="preserve"> </w:t>
      </w:r>
      <w:r w:rsidR="00B560C3" w:rsidRPr="008A3740">
        <w:rPr>
          <w:rFonts w:ascii="Verdana" w:hAnsi="Verdana" w:cs="Verdana"/>
          <w:bCs/>
          <w:iCs/>
          <w:sz w:val="20"/>
          <w:szCs w:val="20"/>
          <w:lang w:val="en-US"/>
        </w:rPr>
        <w:t>deducted</w:t>
      </w:r>
      <w:r w:rsidR="008E6A56" w:rsidRPr="008A3740">
        <w:rPr>
          <w:rFonts w:ascii="Verdana" w:hAnsi="Verdana" w:cs="Verdana"/>
          <w:bCs/>
          <w:iCs/>
          <w:sz w:val="20"/>
          <w:szCs w:val="20"/>
          <w:lang w:val="en-US"/>
        </w:rPr>
        <w:t xml:space="preserve">, corresponding to </w:t>
      </w:r>
      <w:r w:rsidR="00410876" w:rsidRPr="008A3740">
        <w:rPr>
          <w:rFonts w:ascii="Verdana" w:hAnsi="Verdana" w:cs="Verdana"/>
          <w:bCs/>
          <w:iCs/>
          <w:sz w:val="20"/>
          <w:szCs w:val="20"/>
          <w:lang w:val="en-US"/>
        </w:rPr>
        <w:t xml:space="preserve">the </w:t>
      </w:r>
      <w:r w:rsidR="008E6A56" w:rsidRPr="008A3740">
        <w:rPr>
          <w:rFonts w:ascii="Verdana" w:hAnsi="Verdana" w:cs="Verdana"/>
          <w:bCs/>
          <w:iCs/>
          <w:sz w:val="20"/>
          <w:szCs w:val="20"/>
          <w:lang w:val="en-US"/>
        </w:rPr>
        <w:t xml:space="preserve">4% </w:t>
      </w:r>
      <w:r w:rsidR="00410876" w:rsidRPr="008A3740">
        <w:rPr>
          <w:rFonts w:ascii="Verdana" w:hAnsi="Verdana" w:cs="Verdana"/>
          <w:bCs/>
          <w:iCs/>
          <w:sz w:val="20"/>
          <w:szCs w:val="20"/>
          <w:lang w:val="en-US"/>
        </w:rPr>
        <w:t xml:space="preserve">contribution to EsSalud social insurance so that </w:t>
      </w:r>
      <w:r w:rsidR="008E6A56" w:rsidRPr="008A3740">
        <w:rPr>
          <w:rFonts w:ascii="Verdana" w:hAnsi="Verdana" w:cs="Verdana"/>
          <w:bCs/>
          <w:iCs/>
          <w:sz w:val="20"/>
          <w:szCs w:val="20"/>
          <w:lang w:val="en-US"/>
        </w:rPr>
        <w:t>M</w:t>
      </w:r>
      <w:r w:rsidR="00410876" w:rsidRPr="008A3740">
        <w:rPr>
          <w:rFonts w:ascii="Verdana" w:hAnsi="Verdana" w:cs="Verdana"/>
          <w:bCs/>
          <w:iCs/>
          <w:sz w:val="20"/>
          <w:szCs w:val="20"/>
          <w:lang w:val="en-US"/>
        </w:rPr>
        <w:t>r. Muelle Flores could have</w:t>
      </w:r>
      <w:r w:rsidR="008E6A56" w:rsidRPr="008A3740">
        <w:rPr>
          <w:rFonts w:ascii="Verdana" w:hAnsi="Verdana" w:cs="Verdana"/>
          <w:bCs/>
          <w:iCs/>
          <w:sz w:val="20"/>
          <w:szCs w:val="20"/>
          <w:lang w:val="en-US"/>
        </w:rPr>
        <w:t xml:space="preserve"> access to</w:t>
      </w:r>
      <w:r w:rsidR="00410876" w:rsidRPr="008A3740">
        <w:rPr>
          <w:rFonts w:ascii="Verdana" w:hAnsi="Verdana" w:cs="Verdana"/>
          <w:bCs/>
          <w:iCs/>
          <w:sz w:val="20"/>
          <w:szCs w:val="20"/>
          <w:lang w:val="en-US"/>
        </w:rPr>
        <w:t xml:space="preserve"> health services</w:t>
      </w:r>
      <w:r w:rsidR="008E6A56" w:rsidRPr="008A3740">
        <w:rPr>
          <w:rFonts w:ascii="Verdana" w:hAnsi="Verdana" w:cs="Verdana"/>
          <w:bCs/>
          <w:iCs/>
          <w:sz w:val="20"/>
          <w:szCs w:val="20"/>
          <w:lang w:val="en-US"/>
        </w:rPr>
        <w:t xml:space="preserve">. By virtue of </w:t>
      </w:r>
      <w:r w:rsidR="008E6A56" w:rsidRPr="008A3740">
        <w:rPr>
          <w:rFonts w:ascii="Verdana" w:hAnsi="Verdana"/>
          <w:sz w:val="20"/>
          <w:szCs w:val="20"/>
          <w:lang w:val="en-US"/>
        </w:rPr>
        <w:t>the actions taken, the State asked the Court to deduct th</w:t>
      </w:r>
      <w:r w:rsidR="00410876" w:rsidRPr="008A3740">
        <w:rPr>
          <w:rFonts w:ascii="Verdana" w:hAnsi="Verdana"/>
          <w:sz w:val="20"/>
          <w:szCs w:val="20"/>
          <w:lang w:val="en-US"/>
        </w:rPr>
        <w:t>os</w:t>
      </w:r>
      <w:r w:rsidR="008E6A56" w:rsidRPr="008A3740">
        <w:rPr>
          <w:rFonts w:ascii="Verdana" w:hAnsi="Verdana"/>
          <w:sz w:val="20"/>
          <w:szCs w:val="20"/>
          <w:lang w:val="en-US"/>
        </w:rPr>
        <w:t xml:space="preserve">e amounts </w:t>
      </w:r>
      <w:r w:rsidR="00410876" w:rsidRPr="008A3740">
        <w:rPr>
          <w:rFonts w:ascii="Verdana" w:hAnsi="Verdana"/>
          <w:sz w:val="20"/>
          <w:szCs w:val="20"/>
          <w:lang w:val="en-US"/>
        </w:rPr>
        <w:t>f</w:t>
      </w:r>
      <w:r w:rsidR="008E6A56" w:rsidRPr="008A3740">
        <w:rPr>
          <w:rFonts w:ascii="Verdana" w:hAnsi="Verdana"/>
          <w:sz w:val="20"/>
          <w:szCs w:val="20"/>
          <w:lang w:val="en-US"/>
        </w:rPr>
        <w:t>r</w:t>
      </w:r>
      <w:r w:rsidR="00410876" w:rsidRPr="008A3740">
        <w:rPr>
          <w:rFonts w:ascii="Verdana" w:hAnsi="Verdana"/>
          <w:sz w:val="20"/>
          <w:szCs w:val="20"/>
          <w:lang w:val="en-US"/>
        </w:rPr>
        <w:t>om</w:t>
      </w:r>
      <w:r w:rsidR="008E6A56" w:rsidRPr="008A3740">
        <w:rPr>
          <w:rFonts w:ascii="Verdana" w:hAnsi="Verdana"/>
          <w:sz w:val="20"/>
          <w:szCs w:val="20"/>
          <w:lang w:val="en-US"/>
        </w:rPr>
        <w:t xml:space="preserve"> any compensation </w:t>
      </w:r>
      <w:r w:rsidR="00A4293B" w:rsidRPr="008A3740">
        <w:rPr>
          <w:rFonts w:ascii="Verdana" w:hAnsi="Verdana"/>
          <w:sz w:val="20"/>
          <w:szCs w:val="20"/>
          <w:lang w:val="en-US"/>
        </w:rPr>
        <w:t>it m</w:t>
      </w:r>
      <w:r w:rsidR="008477FA" w:rsidRPr="008A3740">
        <w:rPr>
          <w:rFonts w:ascii="Verdana" w:hAnsi="Verdana"/>
          <w:sz w:val="20"/>
          <w:szCs w:val="20"/>
          <w:lang w:val="en-US"/>
        </w:rPr>
        <w:t>ight</w:t>
      </w:r>
      <w:r w:rsidR="00A4293B" w:rsidRPr="008A3740">
        <w:rPr>
          <w:rFonts w:ascii="Verdana" w:hAnsi="Verdana"/>
          <w:sz w:val="20"/>
          <w:szCs w:val="20"/>
          <w:lang w:val="en-US"/>
        </w:rPr>
        <w:t xml:space="preserve"> eventually order</w:t>
      </w:r>
      <w:r w:rsidR="008E6A56" w:rsidRPr="008A3740">
        <w:rPr>
          <w:rFonts w:ascii="Verdana" w:hAnsi="Verdana"/>
          <w:b/>
          <w:sz w:val="20"/>
          <w:szCs w:val="20"/>
          <w:lang w:val="en-US"/>
        </w:rPr>
        <w:t>.</w:t>
      </w:r>
    </w:p>
    <w:p w14:paraId="28891732" w14:textId="77777777" w:rsidR="008E6A56" w:rsidRPr="008A3740" w:rsidRDefault="008E6A56" w:rsidP="008E6A56">
      <w:pPr>
        <w:tabs>
          <w:tab w:val="left" w:pos="567"/>
        </w:tabs>
        <w:textAlignment w:val="auto"/>
        <w:rPr>
          <w:rFonts w:ascii="Verdana" w:hAnsi="Verdana"/>
          <w:b/>
          <w:i/>
          <w:sz w:val="20"/>
          <w:szCs w:val="20"/>
          <w:lang w:val="en-US"/>
        </w:rPr>
      </w:pPr>
    </w:p>
    <w:p w14:paraId="2E4B9209"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Court</w:t>
      </w:r>
      <w:r w:rsidRPr="008A3740">
        <w:rPr>
          <w:rFonts w:ascii="Verdana" w:hAnsi="Verdana"/>
          <w:sz w:val="20"/>
          <w:szCs w:val="20"/>
          <w:lang w:val="en-US"/>
        </w:rPr>
        <w:t xml:space="preserve"> held that Mr. Muelle Flores suffered a violation of his rights to social security, personal </w:t>
      </w:r>
      <w:r w:rsidR="00555708" w:rsidRPr="008A3740">
        <w:rPr>
          <w:rFonts w:ascii="Verdana" w:hAnsi="Verdana"/>
          <w:sz w:val="20"/>
          <w:szCs w:val="20"/>
          <w:lang w:val="en-US"/>
        </w:rPr>
        <w:t xml:space="preserve">integrity, dignity, property, judicial guarantees and </w:t>
      </w:r>
      <w:r w:rsidRPr="008A3740">
        <w:rPr>
          <w:rFonts w:ascii="Verdana" w:hAnsi="Verdana"/>
          <w:sz w:val="20"/>
          <w:szCs w:val="20"/>
          <w:lang w:val="en-US"/>
        </w:rPr>
        <w:t xml:space="preserve">judicial protection, owing to the failure to </w:t>
      </w:r>
      <w:r w:rsidRPr="008A3740">
        <w:rPr>
          <w:rFonts w:ascii="Verdana" w:hAnsi="Verdana" w:cs="Arial"/>
          <w:sz w:val="20"/>
          <w:szCs w:val="20"/>
          <w:lang w:val="en-US"/>
        </w:rPr>
        <w:t xml:space="preserve">execute the judgments that </w:t>
      </w:r>
      <w:r w:rsidR="00C137BF" w:rsidRPr="008A3740">
        <w:rPr>
          <w:rFonts w:ascii="Verdana" w:hAnsi="Verdana" w:cs="Arial"/>
          <w:sz w:val="20"/>
          <w:szCs w:val="20"/>
          <w:lang w:val="en-US"/>
        </w:rPr>
        <w:t>recognized his right to a</w:t>
      </w:r>
      <w:r w:rsidRPr="008A3740">
        <w:rPr>
          <w:rFonts w:ascii="Verdana" w:hAnsi="Verdana" w:cs="Arial"/>
          <w:sz w:val="20"/>
          <w:szCs w:val="20"/>
          <w:lang w:val="en-US"/>
        </w:rPr>
        <w:t xml:space="preserve"> pension, </w:t>
      </w:r>
      <w:r w:rsidR="00C137BF" w:rsidRPr="008A3740">
        <w:rPr>
          <w:rFonts w:ascii="Verdana" w:hAnsi="Verdana" w:cs="Arial"/>
          <w:sz w:val="20"/>
          <w:szCs w:val="20"/>
          <w:lang w:val="en-US"/>
        </w:rPr>
        <w:t xml:space="preserve">which </w:t>
      </w:r>
      <w:r w:rsidRPr="008A3740">
        <w:rPr>
          <w:rFonts w:ascii="Verdana" w:hAnsi="Verdana" w:cs="Arial"/>
          <w:sz w:val="20"/>
          <w:szCs w:val="20"/>
          <w:lang w:val="en-US"/>
        </w:rPr>
        <w:t>was suspended from February 1991 and has not been restored to date (</w:t>
      </w:r>
      <w:r w:rsidRPr="008A3740">
        <w:rPr>
          <w:rFonts w:ascii="Verdana" w:hAnsi="Verdana" w:cs="Arial"/>
          <w:i/>
          <w:sz w:val="20"/>
          <w:szCs w:val="20"/>
          <w:lang w:val="en-US"/>
        </w:rPr>
        <w:t xml:space="preserve">supra </w:t>
      </w:r>
      <w:r w:rsidRPr="008A3740">
        <w:rPr>
          <w:rFonts w:ascii="Verdana" w:hAnsi="Verdana" w:cs="Arial"/>
          <w:sz w:val="20"/>
          <w:szCs w:val="20"/>
          <w:lang w:val="en-US"/>
        </w:rPr>
        <w:t>paras.</w:t>
      </w:r>
      <w:r w:rsidRPr="008A3740">
        <w:rPr>
          <w:rFonts w:ascii="Verdana" w:hAnsi="Verdana" w:cs="Arial"/>
          <w:i/>
          <w:sz w:val="20"/>
          <w:szCs w:val="20"/>
          <w:lang w:val="en-US"/>
        </w:rPr>
        <w:t xml:space="preserve"> </w:t>
      </w:r>
      <w:r w:rsidRPr="008A3740">
        <w:rPr>
          <w:rFonts w:ascii="Verdana" w:hAnsi="Verdana" w:cs="Arial"/>
          <w:sz w:val="20"/>
          <w:szCs w:val="20"/>
          <w:lang w:val="en-US"/>
        </w:rPr>
        <w:t>149 and 208).</w:t>
      </w:r>
      <w:r w:rsidRPr="008A3740">
        <w:rPr>
          <w:rFonts w:ascii="Verdana" w:hAnsi="Verdana"/>
          <w:sz w:val="20"/>
          <w:szCs w:val="20"/>
          <w:lang w:val="en-US"/>
        </w:rPr>
        <w:t xml:space="preserve"> Accordingly, the Court considers that there is a causal nexus between the violations declared in this case and the </w:t>
      </w:r>
      <w:r w:rsidR="00C137BF" w:rsidRPr="008A3740">
        <w:rPr>
          <w:rFonts w:ascii="Verdana" w:hAnsi="Verdana"/>
          <w:sz w:val="20"/>
          <w:szCs w:val="20"/>
          <w:lang w:val="en-US"/>
        </w:rPr>
        <w:t xml:space="preserve">pecuniary </w:t>
      </w:r>
      <w:r w:rsidRPr="008A3740">
        <w:rPr>
          <w:rFonts w:ascii="Verdana" w:hAnsi="Verdana"/>
          <w:sz w:val="20"/>
          <w:szCs w:val="20"/>
          <w:lang w:val="en-US"/>
        </w:rPr>
        <w:t>damage for loss of pension income.</w:t>
      </w:r>
    </w:p>
    <w:p w14:paraId="242E37F1" w14:textId="77777777" w:rsidR="008E6A56" w:rsidRPr="008A3740" w:rsidRDefault="008E6A56" w:rsidP="008E6A56">
      <w:pPr>
        <w:pStyle w:val="Prrafodelista"/>
        <w:rPr>
          <w:rFonts w:ascii="Verdana" w:hAnsi="Verdana"/>
          <w:b/>
          <w:i/>
          <w:sz w:val="20"/>
          <w:szCs w:val="20"/>
          <w:lang w:val="en-US"/>
        </w:rPr>
      </w:pPr>
    </w:p>
    <w:p w14:paraId="1C24D5C5"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i/>
          <w:sz w:val="20"/>
          <w:szCs w:val="20"/>
          <w:lang w:val="en-US"/>
        </w:rPr>
      </w:pPr>
      <w:r w:rsidRPr="008A3740">
        <w:rPr>
          <w:rFonts w:ascii="Verdana" w:hAnsi="Verdana"/>
          <w:sz w:val="20"/>
          <w:szCs w:val="20"/>
          <w:lang w:val="en-US"/>
        </w:rPr>
        <w:t xml:space="preserve">In the instant case, the Court </w:t>
      </w:r>
      <w:r w:rsidR="00C9202F" w:rsidRPr="008A3740">
        <w:rPr>
          <w:rFonts w:ascii="Verdana" w:hAnsi="Verdana"/>
          <w:sz w:val="20"/>
          <w:szCs w:val="20"/>
          <w:lang w:val="en-US"/>
        </w:rPr>
        <w:t xml:space="preserve">points out </w:t>
      </w:r>
      <w:r w:rsidRPr="008A3740">
        <w:rPr>
          <w:rFonts w:ascii="Verdana" w:hAnsi="Verdana"/>
          <w:sz w:val="20"/>
          <w:szCs w:val="20"/>
          <w:lang w:val="en-US"/>
        </w:rPr>
        <w:t xml:space="preserve">that the representatives did not request a specific amount for </w:t>
      </w:r>
      <w:r w:rsidR="00C9202F" w:rsidRPr="008A3740">
        <w:rPr>
          <w:rFonts w:ascii="Verdana" w:hAnsi="Verdana"/>
          <w:sz w:val="20"/>
          <w:szCs w:val="20"/>
          <w:lang w:val="en-US"/>
        </w:rPr>
        <w:t xml:space="preserve">the </w:t>
      </w:r>
      <w:r w:rsidRPr="008A3740">
        <w:rPr>
          <w:rFonts w:ascii="Verdana" w:hAnsi="Verdana"/>
          <w:sz w:val="20"/>
          <w:szCs w:val="20"/>
          <w:lang w:val="en-US"/>
        </w:rPr>
        <w:t xml:space="preserve">pensions owed and did not offer evidence in this regard, due to the impossibility of calculating the </w:t>
      </w:r>
      <w:r w:rsidR="00B560C3" w:rsidRPr="008A3740">
        <w:rPr>
          <w:rFonts w:ascii="Verdana" w:hAnsi="Verdana"/>
          <w:sz w:val="20"/>
          <w:szCs w:val="20"/>
          <w:lang w:val="en-US"/>
        </w:rPr>
        <w:t>equalized amount</w:t>
      </w:r>
      <w:r w:rsidRPr="008A3740">
        <w:rPr>
          <w:rFonts w:ascii="Verdana" w:hAnsi="Verdana"/>
          <w:sz w:val="20"/>
          <w:szCs w:val="20"/>
          <w:lang w:val="en-US"/>
        </w:rPr>
        <w:t xml:space="preserve"> t</w:t>
      </w:r>
      <w:r w:rsidR="00E11B93" w:rsidRPr="008A3740">
        <w:rPr>
          <w:rFonts w:ascii="Verdana" w:hAnsi="Verdana"/>
          <w:sz w:val="20"/>
          <w:szCs w:val="20"/>
          <w:lang w:val="en-US"/>
        </w:rPr>
        <w:t xml:space="preserve">o which </w:t>
      </w:r>
      <w:r w:rsidRPr="008A3740">
        <w:rPr>
          <w:rFonts w:ascii="Verdana" w:hAnsi="Verdana"/>
          <w:sz w:val="20"/>
          <w:szCs w:val="20"/>
          <w:lang w:val="en-US"/>
        </w:rPr>
        <w:t>Mr. Muelle Flores</w:t>
      </w:r>
      <w:r w:rsidR="00E11B93" w:rsidRPr="008A3740">
        <w:rPr>
          <w:rFonts w:ascii="Verdana" w:hAnsi="Verdana"/>
          <w:sz w:val="20"/>
          <w:szCs w:val="20"/>
          <w:lang w:val="en-US"/>
        </w:rPr>
        <w:t xml:space="preserve"> would have been entitled. However, by</w:t>
      </w:r>
      <w:r w:rsidRPr="008A3740">
        <w:rPr>
          <w:rFonts w:ascii="Verdana" w:hAnsi="Verdana"/>
          <w:sz w:val="20"/>
          <w:szCs w:val="20"/>
          <w:lang w:val="en-US"/>
        </w:rPr>
        <w:t xml:space="preserve"> way of reference, Mr. Muelle Flores </w:t>
      </w:r>
      <w:r w:rsidR="00B560C3" w:rsidRPr="008A3740">
        <w:rPr>
          <w:rFonts w:ascii="Verdana" w:hAnsi="Verdana"/>
          <w:sz w:val="20"/>
          <w:szCs w:val="20"/>
          <w:lang w:val="en-US"/>
        </w:rPr>
        <w:t xml:space="preserve">pointed out </w:t>
      </w:r>
      <w:r w:rsidRPr="008A3740">
        <w:rPr>
          <w:rFonts w:ascii="Verdana" w:hAnsi="Verdana"/>
          <w:sz w:val="20"/>
          <w:szCs w:val="20"/>
          <w:lang w:val="en-US"/>
        </w:rPr>
        <w:t>that</w:t>
      </w:r>
      <w:r w:rsidR="00B560C3" w:rsidRPr="008A3740">
        <w:rPr>
          <w:rFonts w:ascii="Verdana" w:hAnsi="Verdana"/>
          <w:sz w:val="20"/>
          <w:szCs w:val="20"/>
          <w:lang w:val="en-US"/>
        </w:rPr>
        <w:t>,</w:t>
      </w:r>
      <w:r w:rsidRPr="008A3740">
        <w:rPr>
          <w:rFonts w:ascii="Verdana" w:hAnsi="Verdana"/>
          <w:sz w:val="20"/>
          <w:szCs w:val="20"/>
          <w:lang w:val="en-US"/>
        </w:rPr>
        <w:t xml:space="preserve"> after his retirement, the salary </w:t>
      </w:r>
      <w:r w:rsidR="00C9202F" w:rsidRPr="008A3740">
        <w:rPr>
          <w:rFonts w:ascii="Verdana" w:hAnsi="Verdana"/>
          <w:sz w:val="20"/>
          <w:szCs w:val="20"/>
          <w:lang w:val="en-US"/>
        </w:rPr>
        <w:t xml:space="preserve">of an Assistant General Manager stood at </w:t>
      </w:r>
      <w:r w:rsidRPr="008A3740">
        <w:rPr>
          <w:rFonts w:ascii="Verdana" w:hAnsi="Verdana"/>
          <w:sz w:val="20"/>
          <w:szCs w:val="20"/>
          <w:lang w:val="en-US"/>
        </w:rPr>
        <w:t xml:space="preserve">S/3,000 soles, and the representatives indicated that pursuant to the Peruvian Transparency Portal, the current </w:t>
      </w:r>
      <w:r w:rsidR="00C9202F" w:rsidRPr="008A3740">
        <w:rPr>
          <w:rFonts w:ascii="Verdana" w:hAnsi="Verdana"/>
          <w:sz w:val="20"/>
          <w:szCs w:val="20"/>
          <w:lang w:val="en-US"/>
        </w:rPr>
        <w:t xml:space="preserve">monthly salaries paid to </w:t>
      </w:r>
      <w:r w:rsidRPr="008A3740">
        <w:rPr>
          <w:rFonts w:ascii="Verdana" w:hAnsi="Verdana"/>
          <w:sz w:val="20"/>
          <w:szCs w:val="20"/>
          <w:lang w:val="en-US"/>
        </w:rPr>
        <w:t>th</w:t>
      </w:r>
      <w:r w:rsidR="00C9202F" w:rsidRPr="008A3740">
        <w:rPr>
          <w:rFonts w:ascii="Verdana" w:hAnsi="Verdana"/>
          <w:sz w:val="20"/>
          <w:szCs w:val="20"/>
          <w:lang w:val="en-US"/>
        </w:rPr>
        <w:t>os</w:t>
      </w:r>
      <w:r w:rsidRPr="008A3740">
        <w:rPr>
          <w:rFonts w:ascii="Verdana" w:hAnsi="Verdana"/>
          <w:sz w:val="20"/>
          <w:szCs w:val="20"/>
          <w:lang w:val="en-US"/>
        </w:rPr>
        <w:t xml:space="preserve">e </w:t>
      </w:r>
      <w:r w:rsidR="008477FA" w:rsidRPr="008A3740">
        <w:rPr>
          <w:rFonts w:ascii="Verdana" w:hAnsi="Verdana"/>
          <w:sz w:val="20"/>
          <w:szCs w:val="20"/>
          <w:lang w:val="en-US"/>
        </w:rPr>
        <w:t xml:space="preserve">holding </w:t>
      </w:r>
      <w:r w:rsidRPr="008A3740">
        <w:rPr>
          <w:rFonts w:ascii="Verdana" w:hAnsi="Verdana"/>
          <w:sz w:val="20"/>
          <w:szCs w:val="20"/>
          <w:lang w:val="en-US"/>
        </w:rPr>
        <w:t xml:space="preserve">management </w:t>
      </w:r>
      <w:r w:rsidR="00C9202F" w:rsidRPr="008A3740">
        <w:rPr>
          <w:rFonts w:ascii="Verdana" w:hAnsi="Verdana"/>
          <w:sz w:val="20"/>
          <w:szCs w:val="20"/>
          <w:lang w:val="en-US"/>
        </w:rPr>
        <w:t xml:space="preserve">positions in </w:t>
      </w:r>
      <w:r w:rsidRPr="008A3740">
        <w:rPr>
          <w:rFonts w:ascii="Verdana" w:hAnsi="Verdana"/>
          <w:sz w:val="20"/>
          <w:szCs w:val="20"/>
          <w:lang w:val="en-US"/>
        </w:rPr>
        <w:t xml:space="preserve">the Public Administration were </w:t>
      </w:r>
      <w:r w:rsidR="00C9202F" w:rsidRPr="008A3740">
        <w:rPr>
          <w:rFonts w:ascii="Verdana" w:hAnsi="Verdana"/>
          <w:sz w:val="20"/>
          <w:szCs w:val="20"/>
          <w:lang w:val="en-US"/>
        </w:rPr>
        <w:t xml:space="preserve">no lower </w:t>
      </w:r>
      <w:r w:rsidRPr="008A3740">
        <w:rPr>
          <w:rFonts w:ascii="Verdana" w:hAnsi="Verdana"/>
          <w:sz w:val="20"/>
          <w:szCs w:val="20"/>
          <w:lang w:val="en-US"/>
        </w:rPr>
        <w:t xml:space="preserve">than S/15,600 new soles. </w:t>
      </w:r>
      <w:r w:rsidR="009A38E3" w:rsidRPr="008A3740">
        <w:rPr>
          <w:rFonts w:ascii="Verdana" w:hAnsi="Verdana"/>
          <w:sz w:val="20"/>
          <w:szCs w:val="20"/>
          <w:lang w:val="en-US"/>
        </w:rPr>
        <w:t>Also</w:t>
      </w:r>
      <w:r w:rsidRPr="008A3740">
        <w:rPr>
          <w:rFonts w:ascii="Verdana" w:hAnsi="Verdana"/>
          <w:sz w:val="20"/>
          <w:szCs w:val="20"/>
          <w:lang w:val="en-US"/>
        </w:rPr>
        <w:t xml:space="preserve">, </w:t>
      </w:r>
      <w:r w:rsidR="00E11B93" w:rsidRPr="008A3740">
        <w:rPr>
          <w:rFonts w:ascii="Verdana" w:hAnsi="Verdana"/>
          <w:sz w:val="20"/>
          <w:szCs w:val="20"/>
          <w:lang w:val="en-US"/>
        </w:rPr>
        <w:t xml:space="preserve">according to the </w:t>
      </w:r>
      <w:r w:rsidRPr="008A3740">
        <w:rPr>
          <w:rFonts w:ascii="Verdana" w:hAnsi="Verdana"/>
          <w:sz w:val="20"/>
          <w:szCs w:val="20"/>
          <w:lang w:val="en-US"/>
        </w:rPr>
        <w:t xml:space="preserve">information </w:t>
      </w:r>
      <w:r w:rsidR="007E749A" w:rsidRPr="008A3740">
        <w:rPr>
          <w:rFonts w:ascii="Verdana" w:hAnsi="Verdana"/>
          <w:sz w:val="20"/>
          <w:szCs w:val="20"/>
          <w:lang w:val="en-US"/>
        </w:rPr>
        <w:t xml:space="preserve">forwarded </w:t>
      </w:r>
      <w:r w:rsidRPr="008A3740">
        <w:rPr>
          <w:rFonts w:ascii="Verdana" w:hAnsi="Verdana"/>
          <w:sz w:val="20"/>
          <w:szCs w:val="20"/>
          <w:lang w:val="en-US"/>
        </w:rPr>
        <w:t xml:space="preserve">by the State, the </w:t>
      </w:r>
      <w:r w:rsidR="003D1070" w:rsidRPr="008A3740">
        <w:rPr>
          <w:rFonts w:ascii="Verdana" w:hAnsi="Verdana"/>
          <w:sz w:val="20"/>
          <w:szCs w:val="20"/>
          <w:lang w:val="en-US"/>
        </w:rPr>
        <w:t xml:space="preserve">amounts for </w:t>
      </w:r>
      <w:r w:rsidRPr="008A3740">
        <w:rPr>
          <w:rFonts w:ascii="Verdana" w:hAnsi="Verdana"/>
          <w:sz w:val="20"/>
          <w:szCs w:val="20"/>
          <w:lang w:val="en-US"/>
        </w:rPr>
        <w:t xml:space="preserve">pension </w:t>
      </w:r>
      <w:r w:rsidR="00610E5D" w:rsidRPr="008A3740">
        <w:rPr>
          <w:rFonts w:ascii="Verdana" w:hAnsi="Verdana"/>
          <w:sz w:val="20"/>
          <w:szCs w:val="20"/>
          <w:lang w:val="en-US"/>
        </w:rPr>
        <w:t xml:space="preserve">allowances </w:t>
      </w:r>
      <w:r w:rsidR="00E11B93" w:rsidRPr="008A3740">
        <w:rPr>
          <w:rFonts w:ascii="Verdana" w:hAnsi="Verdana"/>
          <w:sz w:val="20"/>
          <w:szCs w:val="20"/>
          <w:lang w:val="en-US"/>
        </w:rPr>
        <w:t xml:space="preserve">would be </w:t>
      </w:r>
      <w:r w:rsidRPr="008A3740">
        <w:rPr>
          <w:rFonts w:ascii="Verdana" w:hAnsi="Verdana"/>
          <w:sz w:val="20"/>
          <w:szCs w:val="20"/>
          <w:lang w:val="en-US"/>
        </w:rPr>
        <w:t xml:space="preserve">S/263.83 and S/1,337.61 if </w:t>
      </w:r>
      <w:r w:rsidR="00B560C3" w:rsidRPr="008A3740">
        <w:rPr>
          <w:rFonts w:ascii="Verdana" w:hAnsi="Verdana"/>
          <w:sz w:val="20"/>
          <w:szCs w:val="20"/>
          <w:lang w:val="en-US"/>
        </w:rPr>
        <w:t>they were to be equalized</w:t>
      </w:r>
      <w:r w:rsidRPr="008A3740">
        <w:rPr>
          <w:rFonts w:ascii="Verdana" w:hAnsi="Verdana"/>
          <w:sz w:val="20"/>
          <w:szCs w:val="20"/>
          <w:lang w:val="en-US"/>
        </w:rPr>
        <w:t xml:space="preserve">. </w:t>
      </w:r>
      <w:r w:rsidR="00605A7E" w:rsidRPr="008A3740">
        <w:rPr>
          <w:rFonts w:ascii="Verdana" w:hAnsi="Verdana"/>
          <w:sz w:val="20"/>
          <w:szCs w:val="20"/>
          <w:lang w:val="en-US"/>
        </w:rPr>
        <w:t xml:space="preserve">However, </w:t>
      </w:r>
      <w:r w:rsidRPr="008A3740">
        <w:rPr>
          <w:rFonts w:ascii="Verdana" w:hAnsi="Verdana"/>
          <w:sz w:val="20"/>
          <w:szCs w:val="20"/>
          <w:lang w:val="en-US"/>
        </w:rPr>
        <w:t xml:space="preserve">the Court notes that there is a substantial difference between the final calculations presented by the State </w:t>
      </w:r>
      <w:r w:rsidR="00E11B93" w:rsidRPr="008A3740">
        <w:rPr>
          <w:rFonts w:ascii="Verdana" w:hAnsi="Verdana"/>
          <w:sz w:val="20"/>
          <w:szCs w:val="20"/>
          <w:lang w:val="en-US"/>
        </w:rPr>
        <w:t xml:space="preserve">and the </w:t>
      </w:r>
      <w:r w:rsidR="00605A7E" w:rsidRPr="008A3740">
        <w:rPr>
          <w:rFonts w:ascii="Verdana" w:hAnsi="Verdana"/>
          <w:sz w:val="20"/>
          <w:szCs w:val="20"/>
          <w:lang w:val="en-US"/>
        </w:rPr>
        <w:t xml:space="preserve">reference </w:t>
      </w:r>
      <w:r w:rsidR="00E11B93" w:rsidRPr="008A3740">
        <w:rPr>
          <w:rFonts w:ascii="Verdana" w:hAnsi="Verdana"/>
          <w:sz w:val="20"/>
          <w:szCs w:val="20"/>
          <w:lang w:val="en-US"/>
        </w:rPr>
        <w:t xml:space="preserve">information </w:t>
      </w:r>
      <w:r w:rsidR="00605A7E" w:rsidRPr="008A3740">
        <w:rPr>
          <w:rFonts w:ascii="Verdana" w:hAnsi="Verdana"/>
          <w:sz w:val="20"/>
          <w:szCs w:val="20"/>
          <w:lang w:val="en-US"/>
        </w:rPr>
        <w:t>provided by Mr. Muelle Flores</w:t>
      </w:r>
      <w:r w:rsidRPr="008A3740">
        <w:rPr>
          <w:rFonts w:ascii="Verdana" w:hAnsi="Verdana"/>
          <w:sz w:val="20"/>
          <w:szCs w:val="20"/>
          <w:lang w:val="en-US"/>
        </w:rPr>
        <w:t xml:space="preserve"> a</w:t>
      </w:r>
      <w:r w:rsidR="00605A7E" w:rsidRPr="008A3740">
        <w:rPr>
          <w:rFonts w:ascii="Verdana" w:hAnsi="Verdana"/>
          <w:sz w:val="20"/>
          <w:szCs w:val="20"/>
          <w:lang w:val="en-US"/>
        </w:rPr>
        <w:t xml:space="preserve">nd by </w:t>
      </w:r>
      <w:r w:rsidRPr="008A3740">
        <w:rPr>
          <w:rFonts w:ascii="Verdana" w:hAnsi="Verdana"/>
          <w:sz w:val="20"/>
          <w:szCs w:val="20"/>
          <w:lang w:val="en-US"/>
        </w:rPr>
        <w:t xml:space="preserve">the representatives </w:t>
      </w:r>
      <w:r w:rsidR="00610E5D" w:rsidRPr="008A3740">
        <w:rPr>
          <w:rFonts w:ascii="Verdana" w:hAnsi="Verdana"/>
          <w:sz w:val="20"/>
          <w:szCs w:val="20"/>
          <w:lang w:val="en-US"/>
        </w:rPr>
        <w:t xml:space="preserve">obtained from the </w:t>
      </w:r>
      <w:r w:rsidRPr="008A3740">
        <w:rPr>
          <w:rFonts w:ascii="Verdana" w:hAnsi="Verdana"/>
          <w:sz w:val="20"/>
          <w:szCs w:val="20"/>
          <w:lang w:val="en-US"/>
        </w:rPr>
        <w:t xml:space="preserve">Peruvian Transparency Portal. In order to determine the amounts </w:t>
      </w:r>
      <w:r w:rsidR="00CA613F" w:rsidRPr="008A3740">
        <w:rPr>
          <w:rFonts w:ascii="Verdana" w:hAnsi="Verdana"/>
          <w:sz w:val="20"/>
          <w:szCs w:val="20"/>
          <w:lang w:val="en-US"/>
        </w:rPr>
        <w:t xml:space="preserve">owed to Mr. Muelle Flores for </w:t>
      </w:r>
      <w:r w:rsidR="00610E5D" w:rsidRPr="008A3740">
        <w:rPr>
          <w:rFonts w:ascii="Verdana" w:hAnsi="Verdana"/>
          <w:sz w:val="20"/>
          <w:szCs w:val="20"/>
          <w:lang w:val="en-US"/>
        </w:rPr>
        <w:t xml:space="preserve">pending </w:t>
      </w:r>
      <w:r w:rsidRPr="008A3740">
        <w:rPr>
          <w:rFonts w:ascii="Verdana" w:hAnsi="Verdana"/>
          <w:sz w:val="20"/>
          <w:szCs w:val="20"/>
          <w:lang w:val="en-US"/>
        </w:rPr>
        <w:t xml:space="preserve">pension </w:t>
      </w:r>
      <w:r w:rsidR="00610E5D" w:rsidRPr="008A3740">
        <w:rPr>
          <w:rFonts w:ascii="Verdana" w:hAnsi="Verdana"/>
          <w:sz w:val="20"/>
          <w:szCs w:val="20"/>
          <w:lang w:val="en-US"/>
        </w:rPr>
        <w:t>allowances</w:t>
      </w:r>
      <w:r w:rsidR="00CA613F" w:rsidRPr="008A3740">
        <w:rPr>
          <w:rFonts w:ascii="Verdana" w:hAnsi="Verdana"/>
          <w:sz w:val="20"/>
          <w:szCs w:val="20"/>
          <w:lang w:val="en-US"/>
        </w:rPr>
        <w:t>,</w:t>
      </w:r>
      <w:r w:rsidRPr="008A3740">
        <w:rPr>
          <w:rFonts w:ascii="Verdana" w:hAnsi="Verdana"/>
          <w:sz w:val="20"/>
          <w:szCs w:val="20"/>
          <w:lang w:val="en-US"/>
        </w:rPr>
        <w:t xml:space="preserve"> </w:t>
      </w:r>
      <w:r w:rsidR="00CA613F" w:rsidRPr="008A3740">
        <w:rPr>
          <w:rFonts w:ascii="Verdana" w:hAnsi="Verdana"/>
          <w:sz w:val="20"/>
          <w:szCs w:val="20"/>
          <w:lang w:val="en-US"/>
        </w:rPr>
        <w:lastRenderedPageBreak/>
        <w:t xml:space="preserve">the State was </w:t>
      </w:r>
      <w:r w:rsidR="00927F27" w:rsidRPr="008A3740">
        <w:rPr>
          <w:rFonts w:ascii="Verdana" w:hAnsi="Verdana"/>
          <w:sz w:val="20"/>
          <w:szCs w:val="20"/>
          <w:lang w:val="en-US"/>
        </w:rPr>
        <w:t xml:space="preserve">asked </w:t>
      </w:r>
      <w:r w:rsidR="00CA613F" w:rsidRPr="008A3740">
        <w:rPr>
          <w:rFonts w:ascii="Verdana" w:hAnsi="Verdana"/>
          <w:sz w:val="20"/>
          <w:szCs w:val="20"/>
          <w:lang w:val="en-US"/>
        </w:rPr>
        <w:t xml:space="preserve">to provide </w:t>
      </w:r>
      <w:r w:rsidRPr="008A3740">
        <w:rPr>
          <w:rFonts w:ascii="Verdana" w:hAnsi="Verdana"/>
          <w:sz w:val="20"/>
          <w:szCs w:val="20"/>
          <w:lang w:val="en-US"/>
        </w:rPr>
        <w:t xml:space="preserve">helpful evidence and </w:t>
      </w:r>
      <w:r w:rsidR="00C024B9" w:rsidRPr="008A3740">
        <w:rPr>
          <w:rFonts w:ascii="Verdana" w:hAnsi="Verdana"/>
          <w:sz w:val="20"/>
          <w:szCs w:val="20"/>
          <w:lang w:val="en-US"/>
        </w:rPr>
        <w:t xml:space="preserve">the parties were </w:t>
      </w:r>
      <w:r w:rsidR="00CA613F" w:rsidRPr="008A3740">
        <w:rPr>
          <w:rFonts w:ascii="Verdana" w:hAnsi="Verdana"/>
          <w:sz w:val="20"/>
          <w:szCs w:val="20"/>
          <w:lang w:val="en-US"/>
        </w:rPr>
        <w:t xml:space="preserve">granted </w:t>
      </w:r>
      <w:r w:rsidRPr="008A3740">
        <w:rPr>
          <w:rFonts w:ascii="Verdana" w:hAnsi="Verdana"/>
          <w:sz w:val="20"/>
          <w:szCs w:val="20"/>
          <w:lang w:val="en-US"/>
        </w:rPr>
        <w:t>di</w:t>
      </w:r>
      <w:r w:rsidR="00E11B93" w:rsidRPr="008A3740">
        <w:rPr>
          <w:rFonts w:ascii="Verdana" w:hAnsi="Verdana"/>
          <w:sz w:val="20"/>
          <w:szCs w:val="20"/>
          <w:lang w:val="en-US"/>
        </w:rPr>
        <w:t xml:space="preserve">fferent </w:t>
      </w:r>
      <w:r w:rsidR="00610E5D" w:rsidRPr="008A3740">
        <w:rPr>
          <w:rFonts w:ascii="Verdana" w:hAnsi="Verdana"/>
          <w:sz w:val="20"/>
          <w:szCs w:val="20"/>
          <w:lang w:val="en-US"/>
        </w:rPr>
        <w:t xml:space="preserve">opportunities </w:t>
      </w:r>
      <w:r w:rsidR="00C024B9" w:rsidRPr="008A3740">
        <w:rPr>
          <w:rFonts w:ascii="Verdana" w:hAnsi="Verdana"/>
          <w:sz w:val="20"/>
          <w:szCs w:val="20"/>
          <w:lang w:val="en-US"/>
        </w:rPr>
        <w:t xml:space="preserve">to challenge </w:t>
      </w:r>
      <w:r w:rsidRPr="008A3740">
        <w:rPr>
          <w:rFonts w:ascii="Verdana" w:hAnsi="Verdana"/>
          <w:sz w:val="20"/>
          <w:szCs w:val="20"/>
          <w:lang w:val="en-US"/>
        </w:rPr>
        <w:t>the criteria used by the co</w:t>
      </w:r>
      <w:r w:rsidR="00605A7E" w:rsidRPr="008A3740">
        <w:rPr>
          <w:rFonts w:ascii="Verdana" w:hAnsi="Verdana"/>
          <w:sz w:val="20"/>
          <w:szCs w:val="20"/>
          <w:lang w:val="en-US"/>
        </w:rPr>
        <w:t>u</w:t>
      </w:r>
      <w:r w:rsidRPr="008A3740">
        <w:rPr>
          <w:rFonts w:ascii="Verdana" w:hAnsi="Verdana"/>
          <w:sz w:val="20"/>
          <w:szCs w:val="20"/>
          <w:lang w:val="en-US"/>
        </w:rPr>
        <w:t>nt</w:t>
      </w:r>
      <w:r w:rsidR="00605A7E" w:rsidRPr="008A3740">
        <w:rPr>
          <w:rFonts w:ascii="Verdana" w:hAnsi="Verdana"/>
          <w:sz w:val="20"/>
          <w:szCs w:val="20"/>
          <w:lang w:val="en-US"/>
        </w:rPr>
        <w:t>erpart</w:t>
      </w:r>
      <w:r w:rsidRPr="008A3740">
        <w:rPr>
          <w:rFonts w:ascii="Verdana" w:hAnsi="Verdana"/>
          <w:sz w:val="20"/>
          <w:szCs w:val="20"/>
          <w:lang w:val="en-US"/>
        </w:rPr>
        <w:t xml:space="preserve"> </w:t>
      </w:r>
      <w:r w:rsidR="00E11B93" w:rsidRPr="008A3740">
        <w:rPr>
          <w:rFonts w:ascii="Verdana" w:hAnsi="Verdana"/>
          <w:sz w:val="20"/>
          <w:szCs w:val="20"/>
          <w:lang w:val="en-US"/>
        </w:rPr>
        <w:t xml:space="preserve">to make </w:t>
      </w:r>
      <w:r w:rsidRPr="008A3740">
        <w:rPr>
          <w:rFonts w:ascii="Verdana" w:hAnsi="Verdana"/>
          <w:sz w:val="20"/>
          <w:szCs w:val="20"/>
          <w:lang w:val="en-US"/>
        </w:rPr>
        <w:t xml:space="preserve">the calculation. However, the Court </w:t>
      </w:r>
      <w:r w:rsidR="00E11B93" w:rsidRPr="008A3740">
        <w:rPr>
          <w:rFonts w:ascii="Verdana" w:hAnsi="Verdana"/>
          <w:sz w:val="20"/>
          <w:szCs w:val="20"/>
          <w:lang w:val="en-US"/>
        </w:rPr>
        <w:t xml:space="preserve">considers </w:t>
      </w:r>
      <w:r w:rsidRPr="008A3740">
        <w:rPr>
          <w:rFonts w:ascii="Verdana" w:hAnsi="Verdana"/>
          <w:sz w:val="20"/>
          <w:szCs w:val="20"/>
          <w:lang w:val="en-US"/>
        </w:rPr>
        <w:t xml:space="preserve">that this information </w:t>
      </w:r>
      <w:r w:rsidR="00E11B93" w:rsidRPr="008A3740">
        <w:rPr>
          <w:rFonts w:ascii="Verdana" w:hAnsi="Verdana"/>
          <w:sz w:val="20"/>
          <w:szCs w:val="20"/>
          <w:lang w:val="en-US"/>
        </w:rPr>
        <w:t xml:space="preserve">is solely in the hands of the </w:t>
      </w:r>
      <w:r w:rsidRPr="008A3740">
        <w:rPr>
          <w:rFonts w:ascii="Verdana" w:hAnsi="Verdana"/>
          <w:sz w:val="20"/>
          <w:szCs w:val="20"/>
          <w:lang w:val="en-US"/>
        </w:rPr>
        <w:t xml:space="preserve">State, </w:t>
      </w:r>
      <w:r w:rsidR="00C024B9" w:rsidRPr="008A3740">
        <w:rPr>
          <w:rFonts w:ascii="Verdana" w:hAnsi="Verdana"/>
          <w:sz w:val="20"/>
          <w:szCs w:val="20"/>
          <w:lang w:val="en-US"/>
        </w:rPr>
        <w:t xml:space="preserve">since it is </w:t>
      </w:r>
      <w:r w:rsidRPr="008A3740">
        <w:rPr>
          <w:rFonts w:ascii="Verdana" w:hAnsi="Verdana"/>
          <w:sz w:val="20"/>
          <w:szCs w:val="20"/>
          <w:lang w:val="en-US"/>
        </w:rPr>
        <w:t xml:space="preserve">very difficult for the representatives to provide criteria that </w:t>
      </w:r>
      <w:r w:rsidR="00F44F69" w:rsidRPr="008A3740">
        <w:rPr>
          <w:rFonts w:ascii="Verdana" w:hAnsi="Verdana"/>
          <w:sz w:val="20"/>
          <w:szCs w:val="20"/>
          <w:lang w:val="en-US"/>
        </w:rPr>
        <w:t>would disprove</w:t>
      </w:r>
      <w:r w:rsidR="00C024B9" w:rsidRPr="008A3740">
        <w:rPr>
          <w:rFonts w:ascii="Verdana" w:hAnsi="Verdana"/>
          <w:sz w:val="20"/>
          <w:szCs w:val="20"/>
          <w:lang w:val="en-US"/>
        </w:rPr>
        <w:t xml:space="preserve"> it</w:t>
      </w:r>
      <w:r w:rsidRPr="008A3740">
        <w:rPr>
          <w:rFonts w:ascii="Verdana" w:hAnsi="Verdana"/>
          <w:sz w:val="20"/>
          <w:szCs w:val="20"/>
          <w:lang w:val="en-US"/>
        </w:rPr>
        <w:t xml:space="preserve">. </w:t>
      </w:r>
    </w:p>
    <w:p w14:paraId="4C29A967" w14:textId="77777777" w:rsidR="008E6A56" w:rsidRPr="008A3740" w:rsidRDefault="008E6A56" w:rsidP="008E6A56">
      <w:pPr>
        <w:tabs>
          <w:tab w:val="left" w:pos="567"/>
        </w:tabs>
        <w:textAlignment w:val="auto"/>
        <w:rPr>
          <w:rFonts w:ascii="Verdana" w:hAnsi="Verdana"/>
          <w:b/>
          <w:i/>
          <w:sz w:val="20"/>
          <w:szCs w:val="20"/>
          <w:lang w:val="en-US"/>
        </w:rPr>
      </w:pPr>
    </w:p>
    <w:p w14:paraId="7554AF27"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sz w:val="20"/>
          <w:szCs w:val="20"/>
          <w:lang w:val="en-US"/>
        </w:rPr>
      </w:pPr>
      <w:r w:rsidRPr="008A3740">
        <w:rPr>
          <w:rFonts w:ascii="Verdana" w:hAnsi="Verdana"/>
          <w:sz w:val="20"/>
          <w:szCs w:val="20"/>
          <w:lang w:val="en-US"/>
        </w:rPr>
        <w:t xml:space="preserve"> Therefore, taking into account: i) </w:t>
      </w:r>
      <w:r w:rsidR="00775DD7" w:rsidRPr="008A3740">
        <w:rPr>
          <w:rFonts w:ascii="Verdana" w:hAnsi="Verdana"/>
          <w:sz w:val="20"/>
          <w:szCs w:val="20"/>
          <w:lang w:val="en-US"/>
        </w:rPr>
        <w:t xml:space="preserve">the arguments of </w:t>
      </w:r>
      <w:r w:rsidRPr="008A3740">
        <w:rPr>
          <w:rFonts w:ascii="Verdana" w:hAnsi="Verdana"/>
          <w:sz w:val="20"/>
          <w:szCs w:val="20"/>
          <w:lang w:val="en-US"/>
        </w:rPr>
        <w:t>the parties re</w:t>
      </w:r>
      <w:r w:rsidR="00775DD7" w:rsidRPr="008A3740">
        <w:rPr>
          <w:rFonts w:ascii="Verdana" w:hAnsi="Verdana"/>
          <w:sz w:val="20"/>
          <w:szCs w:val="20"/>
          <w:lang w:val="en-US"/>
        </w:rPr>
        <w:t xml:space="preserve">garding </w:t>
      </w:r>
      <w:r w:rsidRPr="008A3740">
        <w:rPr>
          <w:rFonts w:ascii="Verdana" w:hAnsi="Verdana"/>
          <w:sz w:val="20"/>
          <w:szCs w:val="20"/>
          <w:lang w:val="en-US"/>
        </w:rPr>
        <w:t xml:space="preserve">the amounts </w:t>
      </w:r>
      <w:r w:rsidR="008F120D" w:rsidRPr="008A3740">
        <w:rPr>
          <w:rFonts w:ascii="Verdana" w:hAnsi="Verdana"/>
          <w:sz w:val="20"/>
          <w:szCs w:val="20"/>
          <w:lang w:val="en-US"/>
        </w:rPr>
        <w:t xml:space="preserve">that the victim </w:t>
      </w:r>
      <w:r w:rsidRPr="008A3740">
        <w:rPr>
          <w:rFonts w:ascii="Verdana" w:hAnsi="Verdana"/>
          <w:sz w:val="20"/>
          <w:szCs w:val="20"/>
          <w:lang w:val="en-US"/>
        </w:rPr>
        <w:t xml:space="preserve">did not receive </w:t>
      </w:r>
      <w:r w:rsidR="00775DD7" w:rsidRPr="008A3740">
        <w:rPr>
          <w:rFonts w:ascii="Verdana" w:hAnsi="Verdana"/>
          <w:sz w:val="20"/>
          <w:szCs w:val="20"/>
          <w:lang w:val="en-US"/>
        </w:rPr>
        <w:t xml:space="preserve">in </w:t>
      </w:r>
      <w:r w:rsidRPr="008A3740">
        <w:rPr>
          <w:rFonts w:ascii="Verdana" w:hAnsi="Verdana"/>
          <w:sz w:val="20"/>
          <w:szCs w:val="20"/>
          <w:lang w:val="en-US"/>
        </w:rPr>
        <w:t>pension</w:t>
      </w:r>
      <w:r w:rsidR="00775DD7" w:rsidRPr="008A3740">
        <w:rPr>
          <w:rFonts w:ascii="Verdana" w:hAnsi="Verdana"/>
          <w:sz w:val="20"/>
          <w:szCs w:val="20"/>
          <w:lang w:val="en-US"/>
        </w:rPr>
        <w:t xml:space="preserve"> payment</w:t>
      </w:r>
      <w:r w:rsidRPr="008A3740">
        <w:rPr>
          <w:rFonts w:ascii="Verdana" w:hAnsi="Verdana"/>
          <w:sz w:val="20"/>
          <w:szCs w:val="20"/>
          <w:lang w:val="en-US"/>
        </w:rPr>
        <w:t xml:space="preserve">s; ii) the significant difference between the amounts proposed by the State and </w:t>
      </w:r>
      <w:r w:rsidR="009A38E3" w:rsidRPr="008A3740">
        <w:rPr>
          <w:rFonts w:ascii="Verdana" w:hAnsi="Verdana"/>
          <w:sz w:val="20"/>
          <w:szCs w:val="20"/>
          <w:lang w:val="en-US"/>
        </w:rPr>
        <w:t xml:space="preserve">those proposed </w:t>
      </w:r>
      <w:r w:rsidRPr="008A3740">
        <w:rPr>
          <w:rFonts w:ascii="Verdana" w:hAnsi="Verdana"/>
          <w:sz w:val="20"/>
          <w:szCs w:val="20"/>
          <w:lang w:val="en-US"/>
        </w:rPr>
        <w:t xml:space="preserve">by the victim and his representatives; iii) the partial payments made by the private company </w:t>
      </w:r>
      <w:r w:rsidR="00775DD7" w:rsidRPr="008A3740">
        <w:rPr>
          <w:rFonts w:ascii="Verdana" w:hAnsi="Verdana"/>
          <w:sz w:val="20"/>
          <w:szCs w:val="20"/>
          <w:lang w:val="en-US"/>
        </w:rPr>
        <w:t>totaling</w:t>
      </w:r>
      <w:r w:rsidRPr="008A3740">
        <w:rPr>
          <w:rFonts w:ascii="Verdana" w:hAnsi="Verdana"/>
          <w:sz w:val="20"/>
          <w:szCs w:val="20"/>
          <w:lang w:val="en-US"/>
        </w:rPr>
        <w:t xml:space="preserve">  S/97,</w:t>
      </w:r>
      <w:r w:rsidR="008F120D" w:rsidRPr="008A3740">
        <w:rPr>
          <w:rFonts w:ascii="Verdana" w:hAnsi="Verdana"/>
          <w:sz w:val="20"/>
          <w:szCs w:val="20"/>
          <w:lang w:val="en-US"/>
        </w:rPr>
        <w:t>600 soles; iv) the payments of S/800 soles f</w:t>
      </w:r>
      <w:r w:rsidRPr="008A3740">
        <w:rPr>
          <w:rFonts w:ascii="Verdana" w:hAnsi="Verdana"/>
          <w:sz w:val="20"/>
          <w:szCs w:val="20"/>
          <w:lang w:val="en-US"/>
        </w:rPr>
        <w:t xml:space="preserve">or provisional pension </w:t>
      </w:r>
      <w:r w:rsidR="008F120D" w:rsidRPr="008A3740">
        <w:rPr>
          <w:rFonts w:ascii="Verdana" w:hAnsi="Verdana"/>
          <w:sz w:val="20"/>
          <w:szCs w:val="20"/>
          <w:lang w:val="en-US"/>
        </w:rPr>
        <w:t xml:space="preserve">allowances </w:t>
      </w:r>
      <w:r w:rsidRPr="008A3740">
        <w:rPr>
          <w:rFonts w:ascii="Verdana" w:hAnsi="Verdana"/>
          <w:sz w:val="20"/>
          <w:szCs w:val="20"/>
          <w:lang w:val="en-US"/>
        </w:rPr>
        <w:t xml:space="preserve">made by the State from January 1, 2018; v) </w:t>
      </w:r>
      <w:r w:rsidR="00B37AB7" w:rsidRPr="008A3740">
        <w:rPr>
          <w:rFonts w:ascii="Verdana" w:hAnsi="Verdana"/>
          <w:sz w:val="20"/>
          <w:szCs w:val="20"/>
          <w:lang w:val="en-US"/>
        </w:rPr>
        <w:t xml:space="preserve">an advance </w:t>
      </w:r>
      <w:r w:rsidRPr="008A3740">
        <w:rPr>
          <w:rFonts w:ascii="Verdana" w:hAnsi="Verdana"/>
          <w:sz w:val="20"/>
          <w:szCs w:val="20"/>
          <w:lang w:val="en-US"/>
        </w:rPr>
        <w:t xml:space="preserve">payment </w:t>
      </w:r>
      <w:r w:rsidR="00B560C3" w:rsidRPr="008A3740">
        <w:rPr>
          <w:rFonts w:ascii="Verdana" w:hAnsi="Verdana"/>
          <w:sz w:val="20"/>
          <w:szCs w:val="20"/>
          <w:lang w:val="en-US"/>
        </w:rPr>
        <w:t xml:space="preserve">for </w:t>
      </w:r>
      <w:r w:rsidR="00B37AB7" w:rsidRPr="008A3740">
        <w:rPr>
          <w:rFonts w:ascii="Verdana" w:hAnsi="Verdana"/>
          <w:sz w:val="20"/>
          <w:szCs w:val="20"/>
          <w:lang w:val="en-US"/>
        </w:rPr>
        <w:t xml:space="preserve">accrued unpaid </w:t>
      </w:r>
      <w:r w:rsidRPr="008A3740">
        <w:rPr>
          <w:rFonts w:ascii="Verdana" w:hAnsi="Verdana"/>
          <w:sz w:val="20"/>
          <w:szCs w:val="20"/>
          <w:lang w:val="en-US"/>
        </w:rPr>
        <w:t xml:space="preserve">pensions </w:t>
      </w:r>
      <w:r w:rsidR="00605A7E" w:rsidRPr="008A3740">
        <w:rPr>
          <w:rFonts w:ascii="Verdana" w:hAnsi="Verdana"/>
          <w:sz w:val="20"/>
          <w:szCs w:val="20"/>
          <w:lang w:val="en-US"/>
        </w:rPr>
        <w:t xml:space="preserve">of </w:t>
      </w:r>
      <w:r w:rsidRPr="008A3740">
        <w:rPr>
          <w:rFonts w:ascii="Verdana" w:hAnsi="Verdana"/>
          <w:sz w:val="20"/>
          <w:szCs w:val="20"/>
          <w:lang w:val="en-US"/>
        </w:rPr>
        <w:t xml:space="preserve">S/175,989.00 new soles; vi) that </w:t>
      </w:r>
      <w:r w:rsidR="00775DD7" w:rsidRPr="008A3740">
        <w:rPr>
          <w:rFonts w:ascii="Verdana" w:hAnsi="Verdana"/>
          <w:sz w:val="20"/>
          <w:szCs w:val="20"/>
          <w:lang w:val="en-US"/>
        </w:rPr>
        <w:t xml:space="preserve">it was not possible to </w:t>
      </w:r>
      <w:r w:rsidR="00ED6D6B" w:rsidRPr="008A3740">
        <w:rPr>
          <w:rFonts w:ascii="Verdana" w:hAnsi="Verdana"/>
          <w:sz w:val="20"/>
          <w:szCs w:val="20"/>
          <w:lang w:val="en-US"/>
        </w:rPr>
        <w:t xml:space="preserve">equalize </w:t>
      </w:r>
      <w:r w:rsidR="008F120D" w:rsidRPr="008A3740">
        <w:rPr>
          <w:rFonts w:ascii="Verdana" w:hAnsi="Verdana"/>
          <w:sz w:val="20"/>
          <w:szCs w:val="20"/>
          <w:lang w:val="en-US"/>
        </w:rPr>
        <w:t xml:space="preserve">Mr. Muelle Flores’ </w:t>
      </w:r>
      <w:r w:rsidR="00ED6D6B" w:rsidRPr="008A3740">
        <w:rPr>
          <w:rFonts w:ascii="Verdana" w:hAnsi="Verdana"/>
          <w:sz w:val="20"/>
          <w:szCs w:val="20"/>
          <w:lang w:val="en-US"/>
        </w:rPr>
        <w:t xml:space="preserve">pension </w:t>
      </w:r>
      <w:r w:rsidRPr="008A3740">
        <w:rPr>
          <w:rFonts w:ascii="Verdana" w:hAnsi="Verdana"/>
          <w:sz w:val="20"/>
          <w:szCs w:val="20"/>
          <w:lang w:val="en-US"/>
        </w:rPr>
        <w:t xml:space="preserve">with private sector workers, </w:t>
      </w:r>
      <w:r w:rsidR="00775DD7" w:rsidRPr="008A3740">
        <w:rPr>
          <w:rFonts w:ascii="Verdana" w:hAnsi="Verdana"/>
          <w:sz w:val="20"/>
          <w:szCs w:val="20"/>
          <w:lang w:val="en-US"/>
        </w:rPr>
        <w:t xml:space="preserve">but </w:t>
      </w:r>
      <w:r w:rsidR="00E31F5C" w:rsidRPr="008A3740">
        <w:rPr>
          <w:rFonts w:ascii="Verdana" w:hAnsi="Verdana"/>
          <w:sz w:val="20"/>
          <w:szCs w:val="20"/>
          <w:lang w:val="en-US"/>
        </w:rPr>
        <w:t xml:space="preserve">rather </w:t>
      </w:r>
      <w:r w:rsidR="00775DD7" w:rsidRPr="008A3740">
        <w:rPr>
          <w:rFonts w:ascii="Verdana" w:hAnsi="Verdana"/>
          <w:sz w:val="20"/>
          <w:szCs w:val="20"/>
          <w:lang w:val="en-US"/>
        </w:rPr>
        <w:t xml:space="preserve">with those of </w:t>
      </w:r>
      <w:r w:rsidRPr="008A3740">
        <w:rPr>
          <w:rFonts w:ascii="Verdana" w:hAnsi="Verdana"/>
          <w:sz w:val="20"/>
          <w:szCs w:val="20"/>
          <w:lang w:val="en-US"/>
        </w:rPr>
        <w:t xml:space="preserve">workers subject to the </w:t>
      </w:r>
      <w:r w:rsidR="00775DD7" w:rsidRPr="008A3740">
        <w:rPr>
          <w:rFonts w:ascii="Verdana" w:hAnsi="Verdana"/>
          <w:sz w:val="20"/>
          <w:szCs w:val="20"/>
          <w:lang w:val="en-US"/>
        </w:rPr>
        <w:t>public sector regime;</w:t>
      </w:r>
      <w:r w:rsidRPr="008A3740">
        <w:rPr>
          <w:rStyle w:val="Refdenotaalpie"/>
          <w:szCs w:val="20"/>
          <w:lang w:val="en-US"/>
        </w:rPr>
        <w:footnoteReference w:id="240"/>
      </w:r>
      <w:r w:rsidR="00E31F5C" w:rsidRPr="008A3740">
        <w:rPr>
          <w:rFonts w:ascii="Verdana" w:hAnsi="Verdana"/>
          <w:sz w:val="20"/>
          <w:szCs w:val="20"/>
          <w:lang w:val="en-US"/>
        </w:rPr>
        <w:t xml:space="preserve"> vii) that pensioners have a</w:t>
      </w:r>
      <w:r w:rsidRPr="008A3740">
        <w:rPr>
          <w:rFonts w:ascii="Verdana" w:hAnsi="Verdana"/>
          <w:sz w:val="20"/>
          <w:szCs w:val="20"/>
          <w:lang w:val="en-US"/>
        </w:rPr>
        <w:t xml:space="preserve"> right to </w:t>
      </w:r>
      <w:r w:rsidR="00E31F5C" w:rsidRPr="008A3740">
        <w:rPr>
          <w:rFonts w:ascii="Verdana" w:hAnsi="Verdana"/>
          <w:sz w:val="20"/>
          <w:szCs w:val="20"/>
          <w:lang w:val="en-US"/>
        </w:rPr>
        <w:t xml:space="preserve">receive </w:t>
      </w:r>
      <w:r w:rsidRPr="008A3740">
        <w:rPr>
          <w:rFonts w:ascii="Verdana" w:hAnsi="Verdana"/>
          <w:sz w:val="20"/>
          <w:szCs w:val="20"/>
          <w:lang w:val="en-US"/>
        </w:rPr>
        <w:t>12 pension</w:t>
      </w:r>
      <w:r w:rsidR="00775DD7" w:rsidRPr="008A3740">
        <w:rPr>
          <w:rFonts w:ascii="Verdana" w:hAnsi="Verdana"/>
          <w:sz w:val="20"/>
          <w:szCs w:val="20"/>
          <w:lang w:val="en-US"/>
        </w:rPr>
        <w:t xml:space="preserve"> payments annually</w:t>
      </w:r>
      <w:r w:rsidRPr="008A3740">
        <w:rPr>
          <w:rFonts w:ascii="Verdana" w:hAnsi="Verdana"/>
          <w:sz w:val="20"/>
          <w:szCs w:val="20"/>
          <w:lang w:val="en-US"/>
        </w:rPr>
        <w:t xml:space="preserve">, </w:t>
      </w:r>
      <w:r w:rsidR="00E31F5C" w:rsidRPr="008A3740">
        <w:rPr>
          <w:rFonts w:ascii="Verdana" w:hAnsi="Verdana"/>
          <w:sz w:val="20"/>
          <w:szCs w:val="20"/>
          <w:lang w:val="en-US"/>
        </w:rPr>
        <w:t xml:space="preserve">plus a </w:t>
      </w:r>
      <w:r w:rsidRPr="008A3740">
        <w:rPr>
          <w:rFonts w:ascii="Verdana" w:hAnsi="Verdana"/>
          <w:sz w:val="20"/>
          <w:szCs w:val="20"/>
          <w:lang w:val="en-US"/>
        </w:rPr>
        <w:t>bonus</w:t>
      </w:r>
      <w:r w:rsidR="00E02D8B" w:rsidRPr="008A3740">
        <w:rPr>
          <w:rFonts w:ascii="Verdana" w:hAnsi="Verdana"/>
          <w:sz w:val="20"/>
          <w:szCs w:val="20"/>
          <w:lang w:val="en-US"/>
        </w:rPr>
        <w:t xml:space="preserve"> for educational level</w:t>
      </w:r>
      <w:r w:rsidRPr="008A3740">
        <w:rPr>
          <w:rFonts w:ascii="Verdana" w:hAnsi="Verdana"/>
          <w:sz w:val="20"/>
          <w:szCs w:val="20"/>
          <w:lang w:val="en-US"/>
        </w:rPr>
        <w:t xml:space="preserve">, a </w:t>
      </w:r>
      <w:r w:rsidR="008D18BE" w:rsidRPr="008A3740">
        <w:rPr>
          <w:rFonts w:ascii="Verdana" w:hAnsi="Verdana"/>
          <w:sz w:val="20"/>
          <w:szCs w:val="20"/>
          <w:lang w:val="en-US"/>
        </w:rPr>
        <w:t xml:space="preserve">bonus for national holidays </w:t>
      </w:r>
      <w:r w:rsidRPr="008A3740">
        <w:rPr>
          <w:rFonts w:ascii="Verdana" w:hAnsi="Verdana"/>
          <w:sz w:val="20"/>
          <w:szCs w:val="20"/>
          <w:lang w:val="en-US"/>
        </w:rPr>
        <w:t xml:space="preserve">and a </w:t>
      </w:r>
      <w:r w:rsidR="00775DD7" w:rsidRPr="008A3740">
        <w:rPr>
          <w:rFonts w:ascii="Verdana" w:hAnsi="Verdana"/>
          <w:sz w:val="20"/>
          <w:szCs w:val="20"/>
          <w:lang w:val="en-US"/>
        </w:rPr>
        <w:t>Christmas bonus (</w:t>
      </w:r>
      <w:r w:rsidR="00775DD7" w:rsidRPr="008A3740">
        <w:rPr>
          <w:rFonts w:ascii="Verdana" w:hAnsi="Verdana"/>
          <w:i/>
          <w:sz w:val="20"/>
          <w:szCs w:val="20"/>
          <w:lang w:val="en-US"/>
        </w:rPr>
        <w:t>aguinaldo</w:t>
      </w:r>
      <w:r w:rsidR="00775DD7" w:rsidRPr="008A3740">
        <w:rPr>
          <w:rFonts w:ascii="Verdana" w:hAnsi="Verdana"/>
          <w:sz w:val="20"/>
          <w:szCs w:val="20"/>
          <w:lang w:val="en-US"/>
        </w:rPr>
        <w:t>)</w:t>
      </w:r>
      <w:r w:rsidRPr="008A3740">
        <w:rPr>
          <w:rFonts w:ascii="Verdana" w:hAnsi="Verdana"/>
          <w:sz w:val="20"/>
          <w:szCs w:val="20"/>
          <w:lang w:val="en-US"/>
        </w:rPr>
        <w:t>, and</w:t>
      </w:r>
      <w:r w:rsidR="009A38E3" w:rsidRPr="008A3740">
        <w:rPr>
          <w:rFonts w:ascii="Verdana" w:hAnsi="Verdana"/>
          <w:sz w:val="20"/>
          <w:szCs w:val="20"/>
          <w:lang w:val="en-US"/>
        </w:rPr>
        <w:t>,</w:t>
      </w:r>
      <w:r w:rsidRPr="008A3740">
        <w:rPr>
          <w:rFonts w:ascii="Verdana" w:hAnsi="Verdana"/>
          <w:sz w:val="20"/>
          <w:szCs w:val="20"/>
          <w:lang w:val="en-US"/>
        </w:rPr>
        <w:t xml:space="preserve"> viii)</w:t>
      </w:r>
      <w:r w:rsidRPr="008A3740">
        <w:rPr>
          <w:rFonts w:ascii="Verdana" w:hAnsi="Verdana"/>
          <w:b/>
          <w:i/>
          <w:sz w:val="20"/>
          <w:szCs w:val="20"/>
          <w:lang w:val="en-US"/>
        </w:rPr>
        <w:t xml:space="preserve"> </w:t>
      </w:r>
      <w:r w:rsidRPr="008A3740">
        <w:rPr>
          <w:rFonts w:ascii="Verdana" w:hAnsi="Verdana"/>
          <w:sz w:val="20"/>
          <w:szCs w:val="20"/>
          <w:lang w:val="en-US"/>
        </w:rPr>
        <w:t>th</w:t>
      </w:r>
      <w:r w:rsidR="005B4BEE" w:rsidRPr="008A3740">
        <w:rPr>
          <w:rFonts w:ascii="Verdana" w:hAnsi="Verdana"/>
          <w:sz w:val="20"/>
          <w:szCs w:val="20"/>
          <w:lang w:val="en-US"/>
        </w:rPr>
        <w:t>e complexity of the calculation, th</w:t>
      </w:r>
      <w:r w:rsidRPr="008A3740">
        <w:rPr>
          <w:rFonts w:ascii="Verdana" w:hAnsi="Verdana"/>
          <w:sz w:val="20"/>
          <w:szCs w:val="20"/>
          <w:lang w:val="en-US"/>
        </w:rPr>
        <w:t xml:space="preserve">e Court </w:t>
      </w:r>
      <w:r w:rsidR="005B4BEE" w:rsidRPr="008A3740">
        <w:rPr>
          <w:rFonts w:ascii="Verdana" w:hAnsi="Verdana"/>
          <w:sz w:val="20"/>
          <w:szCs w:val="20"/>
          <w:lang w:val="en-US"/>
        </w:rPr>
        <w:t xml:space="preserve">orders </w:t>
      </w:r>
      <w:r w:rsidRPr="008A3740">
        <w:rPr>
          <w:rFonts w:ascii="Verdana" w:hAnsi="Verdana"/>
          <w:sz w:val="20"/>
          <w:szCs w:val="20"/>
          <w:lang w:val="en-US"/>
        </w:rPr>
        <w:t xml:space="preserve">the </w:t>
      </w:r>
      <w:r w:rsidR="005B4BEE" w:rsidRPr="008A3740">
        <w:rPr>
          <w:rFonts w:ascii="Verdana" w:hAnsi="Verdana"/>
          <w:sz w:val="20"/>
          <w:szCs w:val="20"/>
          <w:lang w:val="en-US"/>
        </w:rPr>
        <w:t xml:space="preserve">payment of </w:t>
      </w:r>
      <w:r w:rsidRPr="008A3740">
        <w:rPr>
          <w:rFonts w:ascii="Verdana" w:hAnsi="Verdana" w:cs="Arial"/>
          <w:bCs/>
          <w:sz w:val="20"/>
          <w:szCs w:val="20"/>
          <w:lang w:val="en-US"/>
        </w:rPr>
        <w:t>US$ 120,000.00 (one hundred and twenty thousand United States dollars) as compensation for the pension</w:t>
      </w:r>
      <w:r w:rsidR="00FA45BD" w:rsidRPr="008A3740">
        <w:rPr>
          <w:rFonts w:ascii="Verdana" w:hAnsi="Verdana" w:cs="Arial"/>
          <w:bCs/>
          <w:sz w:val="20"/>
          <w:szCs w:val="20"/>
          <w:lang w:val="en-US"/>
        </w:rPr>
        <w:t xml:space="preserve"> </w:t>
      </w:r>
      <w:r w:rsidR="005B4BEE" w:rsidRPr="008A3740">
        <w:rPr>
          <w:rFonts w:ascii="Verdana" w:hAnsi="Verdana" w:cs="Arial"/>
          <w:bCs/>
          <w:sz w:val="20"/>
          <w:szCs w:val="20"/>
          <w:lang w:val="en-US"/>
        </w:rPr>
        <w:t xml:space="preserve">allowances </w:t>
      </w:r>
      <w:r w:rsidR="00FA45BD" w:rsidRPr="008A3740">
        <w:rPr>
          <w:rFonts w:ascii="Verdana" w:hAnsi="Verdana" w:cs="Arial"/>
          <w:bCs/>
          <w:sz w:val="20"/>
          <w:szCs w:val="20"/>
          <w:lang w:val="en-US"/>
        </w:rPr>
        <w:t xml:space="preserve">that he ceased to receive </w:t>
      </w:r>
      <w:r w:rsidR="003D1070" w:rsidRPr="008A3740">
        <w:rPr>
          <w:rFonts w:ascii="Verdana" w:hAnsi="Verdana"/>
          <w:sz w:val="20"/>
          <w:szCs w:val="20"/>
          <w:lang w:val="en-US"/>
        </w:rPr>
        <w:t xml:space="preserve">from </w:t>
      </w:r>
      <w:r w:rsidRPr="008A3740">
        <w:rPr>
          <w:rFonts w:ascii="Verdana" w:hAnsi="Verdana"/>
          <w:sz w:val="20"/>
          <w:szCs w:val="20"/>
          <w:lang w:val="en-US"/>
        </w:rPr>
        <w:t>February</w:t>
      </w:r>
      <w:r w:rsidR="00F44F69" w:rsidRPr="008A3740">
        <w:rPr>
          <w:rFonts w:ascii="Verdana" w:hAnsi="Verdana"/>
          <w:sz w:val="20"/>
          <w:szCs w:val="20"/>
          <w:lang w:val="en-US"/>
        </w:rPr>
        <w:t xml:space="preserve"> </w:t>
      </w:r>
      <w:r w:rsidR="00F530F3" w:rsidRPr="008A3740">
        <w:rPr>
          <w:rFonts w:ascii="Verdana" w:hAnsi="Verdana"/>
          <w:sz w:val="20"/>
          <w:szCs w:val="20"/>
          <w:lang w:val="en-US"/>
        </w:rPr>
        <w:t>1,</w:t>
      </w:r>
      <w:r w:rsidRPr="008A3740">
        <w:rPr>
          <w:rFonts w:ascii="Verdana" w:hAnsi="Verdana"/>
          <w:sz w:val="20"/>
          <w:szCs w:val="20"/>
          <w:lang w:val="en-US"/>
        </w:rPr>
        <w:t xml:space="preserve"> 1991 until notificat</w:t>
      </w:r>
      <w:r w:rsidR="005B4BEE" w:rsidRPr="008A3740">
        <w:rPr>
          <w:rFonts w:ascii="Verdana" w:hAnsi="Verdana"/>
          <w:sz w:val="20"/>
          <w:szCs w:val="20"/>
          <w:lang w:val="en-US"/>
        </w:rPr>
        <w:t xml:space="preserve">ion of </w:t>
      </w:r>
      <w:r w:rsidRPr="008A3740">
        <w:rPr>
          <w:rFonts w:ascii="Verdana" w:hAnsi="Verdana"/>
          <w:sz w:val="20"/>
          <w:szCs w:val="20"/>
          <w:lang w:val="en-US"/>
        </w:rPr>
        <w:t>th</w:t>
      </w:r>
      <w:r w:rsidR="00F530F3" w:rsidRPr="008A3740">
        <w:rPr>
          <w:rFonts w:ascii="Verdana" w:hAnsi="Verdana"/>
          <w:sz w:val="20"/>
          <w:szCs w:val="20"/>
          <w:lang w:val="en-US"/>
        </w:rPr>
        <w:t xml:space="preserve">is </w:t>
      </w:r>
      <w:r w:rsidRPr="008A3740">
        <w:rPr>
          <w:rFonts w:ascii="Verdana" w:hAnsi="Verdana"/>
          <w:sz w:val="20"/>
          <w:szCs w:val="20"/>
          <w:lang w:val="en-US"/>
        </w:rPr>
        <w:t>Judgment.</w:t>
      </w:r>
      <w:r w:rsidR="00F530F3" w:rsidRPr="008A3740">
        <w:rPr>
          <w:rFonts w:ascii="Verdana" w:hAnsi="Verdana"/>
          <w:sz w:val="20"/>
          <w:szCs w:val="20"/>
          <w:lang w:val="en-US"/>
        </w:rPr>
        <w:t xml:space="preserve"> This amount includes</w:t>
      </w:r>
      <w:r w:rsidR="00F530F3" w:rsidRPr="008A3740">
        <w:rPr>
          <w:rFonts w:ascii="Verdana" w:hAnsi="Verdana"/>
          <w:b/>
          <w:i/>
          <w:sz w:val="20"/>
          <w:szCs w:val="20"/>
          <w:lang w:val="en-US"/>
        </w:rPr>
        <w:t xml:space="preserve"> </w:t>
      </w:r>
      <w:r w:rsidR="00F530F3" w:rsidRPr="008A3740">
        <w:rPr>
          <w:rFonts w:ascii="Verdana" w:hAnsi="Verdana" w:cs="Arial"/>
          <w:bCs/>
          <w:sz w:val="20"/>
          <w:szCs w:val="20"/>
          <w:lang w:val="en-US"/>
        </w:rPr>
        <w:t xml:space="preserve">the </w:t>
      </w:r>
      <w:r w:rsidRPr="008A3740">
        <w:rPr>
          <w:rFonts w:ascii="Verdana" w:hAnsi="Verdana" w:cs="Arial"/>
          <w:bCs/>
          <w:sz w:val="20"/>
          <w:szCs w:val="20"/>
          <w:lang w:val="en-US"/>
        </w:rPr>
        <w:t>applicable</w:t>
      </w:r>
      <w:r w:rsidR="00ED6D6B" w:rsidRPr="008A3740">
        <w:rPr>
          <w:rFonts w:ascii="Verdana" w:hAnsi="Verdana" w:cs="Arial"/>
          <w:bCs/>
          <w:sz w:val="20"/>
          <w:szCs w:val="20"/>
          <w:lang w:val="en-US"/>
        </w:rPr>
        <w:t xml:space="preserve"> interest and arrears</w:t>
      </w:r>
      <w:r w:rsidRPr="008A3740">
        <w:rPr>
          <w:rFonts w:ascii="Verdana" w:hAnsi="Verdana" w:cs="Arial"/>
          <w:bCs/>
          <w:sz w:val="20"/>
          <w:szCs w:val="20"/>
          <w:lang w:val="en-US"/>
        </w:rPr>
        <w:t>. Likewis</w:t>
      </w:r>
      <w:r w:rsidR="00FA45BD" w:rsidRPr="008A3740">
        <w:rPr>
          <w:rFonts w:ascii="Verdana" w:hAnsi="Verdana" w:cs="Arial"/>
          <w:bCs/>
          <w:sz w:val="20"/>
          <w:szCs w:val="20"/>
          <w:lang w:val="en-US"/>
        </w:rPr>
        <w:t>e, the Court considers that it wa</w:t>
      </w:r>
      <w:r w:rsidRPr="008A3740">
        <w:rPr>
          <w:rFonts w:ascii="Verdana" w:hAnsi="Verdana" w:cs="Arial"/>
          <w:bCs/>
          <w:sz w:val="20"/>
          <w:szCs w:val="20"/>
          <w:lang w:val="en-US"/>
        </w:rPr>
        <w:t xml:space="preserve">s not </w:t>
      </w:r>
      <w:r w:rsidR="00FA45BD" w:rsidRPr="008A3740">
        <w:rPr>
          <w:rFonts w:ascii="Verdana" w:hAnsi="Verdana" w:cs="Arial"/>
          <w:bCs/>
          <w:sz w:val="20"/>
          <w:szCs w:val="20"/>
          <w:lang w:val="en-US"/>
        </w:rPr>
        <w:t xml:space="preserve">appropriate for </w:t>
      </w:r>
      <w:r w:rsidR="00F530F3" w:rsidRPr="008A3740">
        <w:rPr>
          <w:rFonts w:ascii="Verdana" w:hAnsi="Verdana" w:cs="Arial"/>
          <w:bCs/>
          <w:sz w:val="20"/>
          <w:szCs w:val="20"/>
          <w:lang w:val="en-US"/>
        </w:rPr>
        <w:t xml:space="preserve">the State </w:t>
      </w:r>
      <w:r w:rsidR="00FA45BD" w:rsidRPr="008A3740">
        <w:rPr>
          <w:rFonts w:ascii="Verdana" w:hAnsi="Verdana" w:cs="Arial"/>
          <w:bCs/>
          <w:sz w:val="20"/>
          <w:szCs w:val="20"/>
          <w:lang w:val="en-US"/>
        </w:rPr>
        <w:t xml:space="preserve">to </w:t>
      </w:r>
      <w:r w:rsidR="00ED6D6B" w:rsidRPr="008A3740">
        <w:rPr>
          <w:rFonts w:ascii="Verdana" w:hAnsi="Verdana" w:cs="Arial"/>
          <w:bCs/>
          <w:sz w:val="20"/>
          <w:szCs w:val="20"/>
          <w:lang w:val="en-US"/>
        </w:rPr>
        <w:t xml:space="preserve">have charged </w:t>
      </w:r>
      <w:r w:rsidR="00F530F3" w:rsidRPr="008A3740">
        <w:rPr>
          <w:rFonts w:ascii="Verdana" w:hAnsi="Verdana" w:cs="Arial"/>
          <w:bCs/>
          <w:sz w:val="20"/>
          <w:szCs w:val="20"/>
          <w:lang w:val="en-US"/>
        </w:rPr>
        <w:t xml:space="preserve">the sum of </w:t>
      </w:r>
      <w:r w:rsidRPr="008A3740">
        <w:rPr>
          <w:rFonts w:ascii="Verdana" w:hAnsi="Verdana" w:cs="Arial"/>
          <w:bCs/>
          <w:sz w:val="20"/>
          <w:szCs w:val="20"/>
          <w:lang w:val="en-US"/>
        </w:rPr>
        <w:t xml:space="preserve">S/6,563.92 new soles retroactively to Mr. Muelle Flores </w:t>
      </w:r>
      <w:r w:rsidR="005B4BEE" w:rsidRPr="008A3740">
        <w:rPr>
          <w:rFonts w:ascii="Verdana" w:hAnsi="Verdana" w:cs="Arial"/>
          <w:bCs/>
          <w:sz w:val="20"/>
          <w:szCs w:val="20"/>
          <w:lang w:val="en-US"/>
        </w:rPr>
        <w:t xml:space="preserve">to cover </w:t>
      </w:r>
      <w:r w:rsidRPr="008A3740">
        <w:rPr>
          <w:rFonts w:ascii="Verdana" w:hAnsi="Verdana" w:cs="Arial"/>
          <w:bCs/>
          <w:sz w:val="20"/>
          <w:szCs w:val="20"/>
          <w:lang w:val="en-US"/>
        </w:rPr>
        <w:t xml:space="preserve">health </w:t>
      </w:r>
      <w:r w:rsidR="005B4BEE" w:rsidRPr="008A3740">
        <w:rPr>
          <w:rFonts w:ascii="Verdana" w:hAnsi="Verdana" w:cs="Arial"/>
          <w:bCs/>
          <w:sz w:val="20"/>
          <w:szCs w:val="20"/>
          <w:lang w:val="en-US"/>
        </w:rPr>
        <w:t xml:space="preserve">expenses </w:t>
      </w:r>
      <w:r w:rsidR="00FA45BD" w:rsidRPr="008A3740">
        <w:rPr>
          <w:rFonts w:ascii="Verdana" w:hAnsi="Verdana" w:cs="Arial"/>
          <w:bCs/>
          <w:sz w:val="20"/>
          <w:szCs w:val="20"/>
          <w:lang w:val="en-US"/>
        </w:rPr>
        <w:t xml:space="preserve">during </w:t>
      </w:r>
      <w:r w:rsidR="005B4BEE" w:rsidRPr="008A3740">
        <w:rPr>
          <w:rFonts w:ascii="Verdana" w:hAnsi="Verdana" w:cs="Arial"/>
          <w:bCs/>
          <w:sz w:val="20"/>
          <w:szCs w:val="20"/>
          <w:lang w:val="en-US"/>
        </w:rPr>
        <w:t xml:space="preserve">a period in </w:t>
      </w:r>
      <w:r w:rsidRPr="008A3740">
        <w:rPr>
          <w:rFonts w:ascii="Verdana" w:hAnsi="Verdana" w:cs="Arial"/>
          <w:bCs/>
          <w:sz w:val="20"/>
          <w:szCs w:val="20"/>
          <w:lang w:val="en-US"/>
        </w:rPr>
        <w:t xml:space="preserve">which the victim </w:t>
      </w:r>
      <w:r w:rsidR="00ED6D6B" w:rsidRPr="008A3740">
        <w:rPr>
          <w:rFonts w:ascii="Verdana" w:hAnsi="Verdana" w:cs="Arial"/>
          <w:bCs/>
          <w:sz w:val="20"/>
          <w:szCs w:val="20"/>
          <w:lang w:val="en-US"/>
        </w:rPr>
        <w:t xml:space="preserve">did not </w:t>
      </w:r>
      <w:r w:rsidR="005B4BEE" w:rsidRPr="008A3740">
        <w:rPr>
          <w:rFonts w:ascii="Verdana" w:hAnsi="Verdana" w:cs="Arial"/>
          <w:bCs/>
          <w:sz w:val="20"/>
          <w:szCs w:val="20"/>
          <w:lang w:val="en-US"/>
        </w:rPr>
        <w:t xml:space="preserve">receive such </w:t>
      </w:r>
      <w:r w:rsidR="00ED6D6B" w:rsidRPr="008A3740">
        <w:rPr>
          <w:rFonts w:ascii="Verdana" w:hAnsi="Verdana" w:cs="Arial"/>
          <w:bCs/>
          <w:sz w:val="20"/>
          <w:szCs w:val="20"/>
          <w:lang w:val="en-US"/>
        </w:rPr>
        <w:t>c</w:t>
      </w:r>
      <w:r w:rsidR="00FA45BD" w:rsidRPr="008A3740">
        <w:rPr>
          <w:rFonts w:ascii="Verdana" w:hAnsi="Verdana" w:cs="Arial"/>
          <w:bCs/>
          <w:sz w:val="20"/>
          <w:szCs w:val="20"/>
          <w:lang w:val="en-US"/>
        </w:rPr>
        <w:t>overage. Therefore,</w:t>
      </w:r>
      <w:r w:rsidRPr="008A3740">
        <w:rPr>
          <w:rFonts w:ascii="Verdana" w:hAnsi="Verdana" w:cs="Arial"/>
          <w:bCs/>
          <w:sz w:val="20"/>
          <w:szCs w:val="20"/>
          <w:lang w:val="en-US"/>
        </w:rPr>
        <w:t xml:space="preserve"> the State </w:t>
      </w:r>
      <w:r w:rsidR="00FA45BD" w:rsidRPr="008A3740">
        <w:rPr>
          <w:rFonts w:ascii="Verdana" w:hAnsi="Verdana" w:cs="Arial"/>
          <w:bCs/>
          <w:sz w:val="20"/>
          <w:szCs w:val="20"/>
          <w:lang w:val="en-US"/>
        </w:rPr>
        <w:t xml:space="preserve">must </w:t>
      </w:r>
      <w:r w:rsidRPr="008A3740">
        <w:rPr>
          <w:rFonts w:ascii="Verdana" w:hAnsi="Verdana" w:cs="Arial"/>
          <w:bCs/>
          <w:sz w:val="20"/>
          <w:szCs w:val="20"/>
          <w:lang w:val="en-US"/>
        </w:rPr>
        <w:t>re</w:t>
      </w:r>
      <w:r w:rsidR="00FA45BD" w:rsidRPr="008A3740">
        <w:rPr>
          <w:rFonts w:ascii="Verdana" w:hAnsi="Verdana" w:cs="Arial"/>
          <w:bCs/>
          <w:sz w:val="20"/>
          <w:szCs w:val="20"/>
          <w:lang w:val="en-US"/>
        </w:rPr>
        <w:t>imburse the</w:t>
      </w:r>
      <w:r w:rsidR="00F530F3" w:rsidRPr="008A3740">
        <w:rPr>
          <w:rFonts w:ascii="Verdana" w:hAnsi="Verdana" w:cs="Arial"/>
          <w:bCs/>
          <w:sz w:val="20"/>
          <w:szCs w:val="20"/>
          <w:lang w:val="en-US"/>
        </w:rPr>
        <w:t xml:space="preserve"> </w:t>
      </w:r>
      <w:r w:rsidR="00FA45BD" w:rsidRPr="008A3740">
        <w:rPr>
          <w:rFonts w:ascii="Verdana" w:hAnsi="Verdana" w:cs="Arial"/>
          <w:bCs/>
          <w:sz w:val="20"/>
          <w:szCs w:val="20"/>
          <w:lang w:val="en-US"/>
        </w:rPr>
        <w:t>said amount to</w:t>
      </w:r>
      <w:r w:rsidRPr="008A3740">
        <w:rPr>
          <w:rFonts w:ascii="Verdana" w:hAnsi="Verdana" w:cs="Arial"/>
          <w:bCs/>
          <w:sz w:val="20"/>
          <w:szCs w:val="20"/>
          <w:lang w:val="en-US"/>
        </w:rPr>
        <w:t xml:space="preserve"> the victim. The amounts ordered must be paid </w:t>
      </w:r>
      <w:r w:rsidR="00FA45BD" w:rsidRPr="008A3740">
        <w:rPr>
          <w:rFonts w:ascii="Verdana" w:hAnsi="Verdana" w:cs="Verdana"/>
          <w:sz w:val="20"/>
          <w:szCs w:val="20"/>
          <w:lang w:val="en-US" w:bidi="en-US"/>
        </w:rPr>
        <w:t xml:space="preserve">by the Ministry of </w:t>
      </w:r>
      <w:r w:rsidRPr="008A3740">
        <w:rPr>
          <w:rFonts w:ascii="Verdana" w:hAnsi="Verdana" w:cs="Verdana"/>
          <w:sz w:val="20"/>
          <w:szCs w:val="20"/>
          <w:lang w:val="en-US" w:bidi="en-US"/>
        </w:rPr>
        <w:t xml:space="preserve">Economy and Finance, or by any entity </w:t>
      </w:r>
      <w:r w:rsidR="00FA45BD" w:rsidRPr="008A3740">
        <w:rPr>
          <w:rFonts w:ascii="Verdana" w:hAnsi="Verdana" w:cs="Verdana"/>
          <w:sz w:val="20"/>
          <w:szCs w:val="20"/>
          <w:lang w:val="en-US" w:bidi="en-US"/>
        </w:rPr>
        <w:t xml:space="preserve">designated by </w:t>
      </w:r>
      <w:r w:rsidRPr="008A3740">
        <w:rPr>
          <w:rFonts w:ascii="Verdana" w:hAnsi="Verdana" w:cs="Verdana"/>
          <w:sz w:val="20"/>
          <w:szCs w:val="20"/>
          <w:lang w:val="en-US" w:bidi="en-US"/>
        </w:rPr>
        <w:t xml:space="preserve">the State, </w:t>
      </w:r>
      <w:r w:rsidR="00FA45BD" w:rsidRPr="008A3740">
        <w:rPr>
          <w:rFonts w:ascii="Verdana" w:hAnsi="Verdana" w:cs="Arial"/>
          <w:bCs/>
          <w:sz w:val="20"/>
          <w:szCs w:val="20"/>
          <w:lang w:val="en-US"/>
        </w:rPr>
        <w:t xml:space="preserve">within </w:t>
      </w:r>
      <w:r w:rsidR="00FA45BD" w:rsidRPr="008A3740">
        <w:rPr>
          <w:rFonts w:ascii="Verdana" w:hAnsi="Verdana" w:cs="Verdana"/>
          <w:sz w:val="20"/>
          <w:szCs w:val="20"/>
          <w:lang w:val="en-US" w:bidi="en-US"/>
        </w:rPr>
        <w:t xml:space="preserve">six months </w:t>
      </w:r>
      <w:r w:rsidR="005B4BEE" w:rsidRPr="008A3740">
        <w:rPr>
          <w:rFonts w:ascii="Verdana" w:hAnsi="Verdana" w:cs="Verdana"/>
          <w:sz w:val="20"/>
          <w:szCs w:val="20"/>
          <w:lang w:val="en-US" w:bidi="en-US"/>
        </w:rPr>
        <w:t xml:space="preserve">of </w:t>
      </w:r>
      <w:r w:rsidRPr="008A3740">
        <w:rPr>
          <w:rFonts w:ascii="Verdana" w:hAnsi="Verdana" w:cs="Verdana"/>
          <w:sz w:val="20"/>
          <w:szCs w:val="20"/>
          <w:lang w:val="en-US" w:bidi="en-US"/>
        </w:rPr>
        <w:t xml:space="preserve">notification of </w:t>
      </w:r>
      <w:r w:rsidR="00FA45BD" w:rsidRPr="008A3740">
        <w:rPr>
          <w:rFonts w:ascii="Verdana" w:hAnsi="Verdana" w:cs="Verdana"/>
          <w:sz w:val="20"/>
          <w:szCs w:val="20"/>
          <w:lang w:val="en-US" w:bidi="en-US"/>
        </w:rPr>
        <w:t>this</w:t>
      </w:r>
      <w:r w:rsidRPr="008A3740">
        <w:rPr>
          <w:rFonts w:ascii="Verdana" w:hAnsi="Verdana" w:cs="Verdana"/>
          <w:sz w:val="20"/>
          <w:szCs w:val="20"/>
          <w:lang w:val="en-US" w:bidi="en-US"/>
        </w:rPr>
        <w:t xml:space="preserve"> Judgment. The</w:t>
      </w:r>
      <w:r w:rsidR="009A38E3" w:rsidRPr="008A3740">
        <w:rPr>
          <w:rFonts w:ascii="Verdana" w:hAnsi="Verdana" w:cs="Verdana"/>
          <w:sz w:val="20"/>
          <w:szCs w:val="20"/>
          <w:lang w:val="en-US" w:bidi="en-US"/>
        </w:rPr>
        <w:t>se</w:t>
      </w:r>
      <w:r w:rsidRPr="008A3740">
        <w:rPr>
          <w:rFonts w:ascii="Verdana" w:hAnsi="Verdana" w:cs="Verdana"/>
          <w:sz w:val="20"/>
          <w:szCs w:val="20"/>
          <w:lang w:val="en-US" w:bidi="en-US"/>
        </w:rPr>
        <w:t xml:space="preserve"> amounts </w:t>
      </w:r>
      <w:r w:rsidR="008D18BE" w:rsidRPr="008A3740">
        <w:rPr>
          <w:rFonts w:ascii="Verdana" w:hAnsi="Verdana" w:cs="Verdana"/>
          <w:sz w:val="20"/>
          <w:szCs w:val="20"/>
          <w:lang w:val="en-US" w:bidi="en-US"/>
        </w:rPr>
        <w:t xml:space="preserve">must be </w:t>
      </w:r>
      <w:r w:rsidRPr="008A3740">
        <w:rPr>
          <w:rFonts w:ascii="Verdana" w:hAnsi="Verdana" w:cs="Verdana"/>
          <w:sz w:val="20"/>
          <w:szCs w:val="20"/>
          <w:lang w:val="en-US" w:bidi="en-US"/>
        </w:rPr>
        <w:t xml:space="preserve">paid </w:t>
      </w:r>
      <w:r w:rsidR="008D18BE" w:rsidRPr="008A3740">
        <w:rPr>
          <w:rFonts w:ascii="Verdana" w:hAnsi="Verdana" w:cs="Verdana"/>
          <w:sz w:val="20"/>
          <w:szCs w:val="20"/>
          <w:lang w:val="en-US" w:bidi="en-US"/>
        </w:rPr>
        <w:t xml:space="preserve">directly </w:t>
      </w:r>
      <w:r w:rsidRPr="008A3740">
        <w:rPr>
          <w:rFonts w:ascii="Verdana" w:hAnsi="Verdana" w:cs="Verdana"/>
          <w:sz w:val="20"/>
          <w:szCs w:val="20"/>
          <w:lang w:val="en-US" w:bidi="en-US"/>
        </w:rPr>
        <w:t xml:space="preserve">to Mr. Muelle Flores, or through a duly accredited representative, in the </w:t>
      </w:r>
      <w:r w:rsidR="00ED6D6B" w:rsidRPr="008A3740">
        <w:rPr>
          <w:rFonts w:ascii="Verdana" w:hAnsi="Verdana" w:cs="Verdana"/>
          <w:sz w:val="20"/>
          <w:szCs w:val="20"/>
          <w:lang w:val="en-US" w:bidi="en-US"/>
        </w:rPr>
        <w:t xml:space="preserve">event that he is unable to </w:t>
      </w:r>
      <w:r w:rsidR="00C01C44" w:rsidRPr="008A3740">
        <w:rPr>
          <w:rFonts w:ascii="Verdana" w:hAnsi="Verdana" w:cs="Verdana"/>
          <w:sz w:val="20"/>
          <w:szCs w:val="20"/>
          <w:lang w:val="en-US" w:bidi="en-US"/>
        </w:rPr>
        <w:t>attend</w:t>
      </w:r>
      <w:r w:rsidR="00257B80" w:rsidRPr="008A3740">
        <w:rPr>
          <w:rFonts w:ascii="Verdana" w:hAnsi="Verdana" w:cs="Verdana"/>
          <w:sz w:val="20"/>
          <w:szCs w:val="20"/>
          <w:lang w:val="en-US" w:bidi="en-US"/>
        </w:rPr>
        <w:t xml:space="preserve"> to the matter</w:t>
      </w:r>
      <w:r w:rsidR="00C01C44" w:rsidRPr="008A3740">
        <w:rPr>
          <w:rFonts w:ascii="Verdana" w:hAnsi="Verdana" w:cs="Verdana"/>
          <w:sz w:val="20"/>
          <w:szCs w:val="20"/>
          <w:lang w:val="en-US" w:bidi="en-US"/>
        </w:rPr>
        <w:t xml:space="preserve">, </w:t>
      </w:r>
      <w:r w:rsidR="008D18BE" w:rsidRPr="008A3740">
        <w:rPr>
          <w:rFonts w:ascii="Verdana" w:hAnsi="Verdana" w:cs="Verdana"/>
          <w:sz w:val="20"/>
          <w:szCs w:val="20"/>
          <w:lang w:val="en-US" w:bidi="en-US"/>
        </w:rPr>
        <w:t xml:space="preserve">owing </w:t>
      </w:r>
      <w:r w:rsidRPr="008A3740">
        <w:rPr>
          <w:rFonts w:ascii="Verdana" w:hAnsi="Verdana" w:cs="Verdana"/>
          <w:sz w:val="20"/>
          <w:szCs w:val="20"/>
          <w:lang w:val="en-US" w:bidi="en-US"/>
        </w:rPr>
        <w:t xml:space="preserve">to his health condition. </w:t>
      </w:r>
    </w:p>
    <w:p w14:paraId="4CD06A19" w14:textId="77777777" w:rsidR="008E6A56" w:rsidRPr="008A3740" w:rsidRDefault="008E6A56" w:rsidP="008E6A56">
      <w:pPr>
        <w:pStyle w:val="Ttulo3"/>
        <w:rPr>
          <w:lang w:val="en-US"/>
        </w:rPr>
      </w:pPr>
      <w:bookmarkStart w:id="136" w:name="_Toc495658703"/>
      <w:bookmarkStart w:id="137" w:name="_Toc476390744"/>
      <w:bookmarkStart w:id="138" w:name="_Toc514172671"/>
      <w:bookmarkStart w:id="139" w:name="_Toc5009903"/>
      <w:r w:rsidRPr="008A3740">
        <w:rPr>
          <w:lang w:val="en-US"/>
        </w:rPr>
        <w:t>D.2</w:t>
      </w:r>
      <w:r w:rsidRPr="008A3740">
        <w:rPr>
          <w:lang w:val="en-US"/>
        </w:rPr>
        <w:tab/>
        <w:t>Non-pecuniary damage</w:t>
      </w:r>
      <w:bookmarkEnd w:id="136"/>
      <w:bookmarkEnd w:id="137"/>
      <w:bookmarkEnd w:id="138"/>
      <w:bookmarkEnd w:id="139"/>
    </w:p>
    <w:p w14:paraId="72830F87" w14:textId="77777777" w:rsidR="008E6A56" w:rsidRPr="008A3740" w:rsidRDefault="008E6A56" w:rsidP="008E6A56">
      <w:pPr>
        <w:rPr>
          <w:rFonts w:ascii="Verdana" w:hAnsi="Verdana"/>
          <w:sz w:val="20"/>
          <w:szCs w:val="20"/>
          <w:lang w:val="en-US"/>
        </w:rPr>
      </w:pPr>
    </w:p>
    <w:p w14:paraId="28F7B511"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cs="Tahoma"/>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representatives</w:t>
      </w:r>
      <w:r w:rsidRPr="008A3740">
        <w:rPr>
          <w:rFonts w:ascii="Verdana" w:hAnsi="Verdana"/>
          <w:sz w:val="20"/>
          <w:szCs w:val="20"/>
          <w:lang w:val="en-US"/>
        </w:rPr>
        <w:t xml:space="preserve"> </w:t>
      </w:r>
      <w:r w:rsidR="003D1070" w:rsidRPr="008A3740">
        <w:rPr>
          <w:rFonts w:ascii="Verdana" w:hAnsi="Verdana"/>
          <w:sz w:val="20"/>
          <w:szCs w:val="20"/>
          <w:lang w:val="en-US"/>
        </w:rPr>
        <w:t xml:space="preserve">referred to </w:t>
      </w:r>
      <w:r w:rsidRPr="008A3740">
        <w:rPr>
          <w:rFonts w:ascii="Verdana" w:hAnsi="Verdana"/>
          <w:sz w:val="20"/>
          <w:szCs w:val="20"/>
          <w:lang w:val="en-US"/>
        </w:rPr>
        <w:t xml:space="preserve">“the continuous anguish suffered,” the “very long wait” and the “grave deterioration in the victim’s living conditions,” </w:t>
      </w:r>
      <w:r w:rsidR="003D1070" w:rsidRPr="008A3740">
        <w:rPr>
          <w:rFonts w:ascii="Verdana" w:hAnsi="Verdana"/>
          <w:sz w:val="20"/>
          <w:szCs w:val="20"/>
          <w:lang w:val="en-US"/>
        </w:rPr>
        <w:t xml:space="preserve">which they considered placed him </w:t>
      </w:r>
      <w:r w:rsidRPr="008A3740">
        <w:rPr>
          <w:rFonts w:ascii="Verdana" w:hAnsi="Verdana"/>
          <w:sz w:val="20"/>
          <w:szCs w:val="20"/>
          <w:lang w:val="en-US"/>
        </w:rPr>
        <w:t xml:space="preserve">in a “situation of </w:t>
      </w:r>
      <w:r w:rsidR="00257B80" w:rsidRPr="008A3740">
        <w:rPr>
          <w:rFonts w:ascii="Verdana" w:hAnsi="Verdana"/>
          <w:sz w:val="20"/>
          <w:szCs w:val="20"/>
          <w:lang w:val="en-US"/>
        </w:rPr>
        <w:t xml:space="preserve">particular </w:t>
      </w:r>
      <w:r w:rsidRPr="008A3740">
        <w:rPr>
          <w:rFonts w:ascii="Verdana" w:hAnsi="Verdana"/>
          <w:sz w:val="20"/>
          <w:szCs w:val="20"/>
          <w:lang w:val="en-US"/>
        </w:rPr>
        <w:t>social vulnerability,” aggravated by his advanced age (82 years) and by his chronic hearing disability. Th</w:t>
      </w:r>
      <w:r w:rsidR="00257B80" w:rsidRPr="008A3740">
        <w:rPr>
          <w:rFonts w:ascii="Verdana" w:hAnsi="Verdana"/>
          <w:sz w:val="20"/>
          <w:szCs w:val="20"/>
          <w:lang w:val="en-US"/>
        </w:rPr>
        <w:t>us, th</w:t>
      </w:r>
      <w:r w:rsidRPr="008A3740">
        <w:rPr>
          <w:rFonts w:ascii="Verdana" w:hAnsi="Verdana"/>
          <w:sz w:val="20"/>
          <w:szCs w:val="20"/>
          <w:lang w:val="en-US"/>
        </w:rPr>
        <w:t>ey requested</w:t>
      </w:r>
      <w:r w:rsidR="00257B80" w:rsidRPr="008A3740">
        <w:rPr>
          <w:rFonts w:ascii="Verdana" w:hAnsi="Verdana"/>
          <w:sz w:val="20"/>
          <w:szCs w:val="20"/>
          <w:lang w:val="en-US"/>
        </w:rPr>
        <w:t>, in equity,</w:t>
      </w:r>
      <w:r w:rsidRPr="008A3740">
        <w:rPr>
          <w:rFonts w:ascii="Verdana" w:hAnsi="Verdana"/>
          <w:sz w:val="20"/>
          <w:szCs w:val="20"/>
          <w:lang w:val="en-US"/>
        </w:rPr>
        <w:t xml:space="preserve"> </w:t>
      </w:r>
      <w:r w:rsidR="00257B80" w:rsidRPr="008A3740">
        <w:rPr>
          <w:rFonts w:ascii="Verdana" w:hAnsi="Verdana"/>
          <w:sz w:val="20"/>
          <w:szCs w:val="20"/>
          <w:lang w:val="en-US"/>
        </w:rPr>
        <w:t xml:space="preserve">the sum </w:t>
      </w:r>
      <w:r w:rsidR="00DC3C92" w:rsidRPr="008A3740">
        <w:rPr>
          <w:rFonts w:ascii="Verdana" w:hAnsi="Verdana"/>
          <w:sz w:val="20"/>
          <w:szCs w:val="20"/>
          <w:lang w:val="en-US"/>
        </w:rPr>
        <w:t>of no less than US$ 20,000.</w:t>
      </w:r>
      <w:r w:rsidRPr="008A3740">
        <w:rPr>
          <w:rFonts w:ascii="Verdana" w:hAnsi="Verdana"/>
          <w:sz w:val="20"/>
          <w:szCs w:val="20"/>
          <w:lang w:val="en-US"/>
        </w:rPr>
        <w:t>00 (twenty thousand United States dollars)</w:t>
      </w:r>
      <w:r w:rsidR="00257B80" w:rsidRPr="008A3740">
        <w:rPr>
          <w:rFonts w:ascii="Verdana" w:hAnsi="Verdana"/>
          <w:sz w:val="20"/>
          <w:szCs w:val="20"/>
          <w:lang w:val="en-US"/>
        </w:rPr>
        <w:t>,</w:t>
      </w:r>
      <w:r w:rsidRPr="008A3740">
        <w:rPr>
          <w:rFonts w:ascii="Verdana" w:hAnsi="Verdana"/>
          <w:sz w:val="20"/>
          <w:szCs w:val="20"/>
          <w:lang w:val="en-US"/>
        </w:rPr>
        <w:t xml:space="preserve"> </w:t>
      </w:r>
      <w:r w:rsidR="00257B80" w:rsidRPr="008A3740">
        <w:rPr>
          <w:rFonts w:ascii="Verdana" w:hAnsi="Verdana"/>
          <w:sz w:val="20"/>
          <w:szCs w:val="20"/>
          <w:lang w:val="en-US"/>
        </w:rPr>
        <w:t xml:space="preserve">in accordance </w:t>
      </w:r>
      <w:r w:rsidR="009A38E3" w:rsidRPr="008A3740">
        <w:rPr>
          <w:rFonts w:ascii="Verdana" w:hAnsi="Verdana"/>
          <w:sz w:val="20"/>
          <w:szCs w:val="20"/>
          <w:lang w:val="en-US"/>
        </w:rPr>
        <w:t>with</w:t>
      </w:r>
      <w:r w:rsidR="00DC3C92" w:rsidRPr="008A3740">
        <w:rPr>
          <w:rFonts w:ascii="Verdana" w:hAnsi="Verdana"/>
          <w:sz w:val="20"/>
          <w:szCs w:val="20"/>
          <w:lang w:val="en-US"/>
        </w:rPr>
        <w:t xml:space="preserve"> the provisions </w:t>
      </w:r>
      <w:r w:rsidRPr="008A3740">
        <w:rPr>
          <w:rFonts w:ascii="Verdana" w:hAnsi="Verdana"/>
          <w:sz w:val="20"/>
          <w:szCs w:val="20"/>
          <w:lang w:val="en-US"/>
        </w:rPr>
        <w:t xml:space="preserve">established in the </w:t>
      </w:r>
      <w:r w:rsidRPr="008A3740">
        <w:rPr>
          <w:rFonts w:ascii="Verdana" w:hAnsi="Verdana"/>
          <w:i/>
          <w:sz w:val="20"/>
          <w:szCs w:val="20"/>
          <w:lang w:val="en-US"/>
        </w:rPr>
        <w:t xml:space="preserve">Case </w:t>
      </w:r>
      <w:r w:rsidRPr="008A3740">
        <w:rPr>
          <w:rFonts w:ascii="Verdana" w:hAnsi="Verdana"/>
          <w:i/>
          <w:sz w:val="20"/>
          <w:szCs w:val="20"/>
          <w:lang w:val="en-US"/>
        </w:rPr>
        <w:lastRenderedPageBreak/>
        <w:t>of Lagos del Campo v. Peru</w:t>
      </w:r>
      <w:r w:rsidR="00DC3C92" w:rsidRPr="008A3740">
        <w:rPr>
          <w:rFonts w:ascii="Verdana" w:hAnsi="Verdana"/>
          <w:sz w:val="20"/>
          <w:szCs w:val="20"/>
          <w:lang w:val="en-US"/>
        </w:rPr>
        <w:t xml:space="preserve">, </w:t>
      </w:r>
      <w:r w:rsidR="003D1070" w:rsidRPr="008A3740">
        <w:rPr>
          <w:rFonts w:ascii="Verdana" w:hAnsi="Verdana"/>
          <w:sz w:val="20"/>
          <w:szCs w:val="20"/>
          <w:lang w:val="en-US"/>
        </w:rPr>
        <w:t xml:space="preserve">by virtue </w:t>
      </w:r>
      <w:r w:rsidRPr="008A3740">
        <w:rPr>
          <w:rFonts w:ascii="Verdana" w:hAnsi="Verdana"/>
          <w:sz w:val="20"/>
          <w:szCs w:val="20"/>
          <w:lang w:val="en-US"/>
        </w:rPr>
        <w:t>of the aggravating circumstances mentioned.</w:t>
      </w:r>
    </w:p>
    <w:p w14:paraId="41EA0CF1" w14:textId="77777777" w:rsidR="008E6A56" w:rsidRPr="008A3740" w:rsidRDefault="008E6A56" w:rsidP="008E6A56">
      <w:pPr>
        <w:tabs>
          <w:tab w:val="left" w:pos="567"/>
        </w:tabs>
        <w:textAlignment w:val="auto"/>
        <w:rPr>
          <w:rFonts w:ascii="Verdana" w:eastAsia="MS Mincho" w:hAnsi="Verdana" w:cs="Tahoma"/>
          <w:sz w:val="20"/>
          <w:szCs w:val="20"/>
          <w:lang w:val="en-US"/>
        </w:rPr>
      </w:pPr>
    </w:p>
    <w:p w14:paraId="4AFF4321"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Stat</w:t>
      </w:r>
      <w:r w:rsidR="00DC3C92" w:rsidRPr="008A3740">
        <w:rPr>
          <w:rFonts w:ascii="Verdana" w:hAnsi="Verdana"/>
          <w:b/>
          <w:i/>
          <w:sz w:val="20"/>
          <w:szCs w:val="20"/>
          <w:lang w:val="en-US"/>
        </w:rPr>
        <w:t>e</w:t>
      </w:r>
      <w:r w:rsidR="00956BEF" w:rsidRPr="008A3740">
        <w:rPr>
          <w:rFonts w:ascii="Verdana" w:hAnsi="Verdana"/>
          <w:sz w:val="20"/>
          <w:szCs w:val="20"/>
          <w:lang w:val="en-US"/>
        </w:rPr>
        <w:t xml:space="preserve"> argued </w:t>
      </w:r>
      <w:r w:rsidR="00DC3C92" w:rsidRPr="008A3740">
        <w:rPr>
          <w:rFonts w:ascii="Verdana" w:hAnsi="Verdana"/>
          <w:sz w:val="20"/>
          <w:szCs w:val="20"/>
          <w:lang w:val="en-US"/>
        </w:rPr>
        <w:t>that “</w:t>
      </w:r>
      <w:r w:rsidRPr="008A3740">
        <w:rPr>
          <w:rFonts w:ascii="Verdana" w:hAnsi="Verdana"/>
          <w:sz w:val="20"/>
          <w:szCs w:val="20"/>
          <w:lang w:val="en-US"/>
        </w:rPr>
        <w:t>the grave deterior</w:t>
      </w:r>
      <w:r w:rsidR="008D18BE" w:rsidRPr="008A3740">
        <w:rPr>
          <w:rFonts w:ascii="Verdana" w:hAnsi="Verdana"/>
          <w:sz w:val="20"/>
          <w:szCs w:val="20"/>
          <w:lang w:val="en-US"/>
        </w:rPr>
        <w:t xml:space="preserve">ation </w:t>
      </w:r>
      <w:r w:rsidRPr="008A3740">
        <w:rPr>
          <w:rFonts w:ascii="Verdana" w:hAnsi="Verdana"/>
          <w:sz w:val="20"/>
          <w:szCs w:val="20"/>
          <w:lang w:val="en-US"/>
        </w:rPr>
        <w:t>in the victim’s living conditions</w:t>
      </w:r>
      <w:r w:rsidR="00956BEF" w:rsidRPr="008A3740">
        <w:rPr>
          <w:rFonts w:ascii="Verdana" w:hAnsi="Verdana"/>
          <w:sz w:val="20"/>
          <w:szCs w:val="20"/>
          <w:lang w:val="en-US"/>
        </w:rPr>
        <w:t xml:space="preserve"> has not been explained in detail and precisely</w:t>
      </w:r>
      <w:r w:rsidRPr="008A3740">
        <w:rPr>
          <w:rFonts w:ascii="Verdana" w:hAnsi="Verdana"/>
          <w:sz w:val="20"/>
          <w:szCs w:val="20"/>
          <w:lang w:val="en-US"/>
        </w:rPr>
        <w:t xml:space="preserve">.” It added that this </w:t>
      </w:r>
      <w:r w:rsidR="00956BEF" w:rsidRPr="008A3740">
        <w:rPr>
          <w:rFonts w:ascii="Verdana" w:hAnsi="Verdana"/>
          <w:sz w:val="20"/>
          <w:szCs w:val="20"/>
          <w:lang w:val="en-US"/>
        </w:rPr>
        <w:t xml:space="preserve">fact </w:t>
      </w:r>
      <w:r w:rsidR="00F94DE5" w:rsidRPr="008A3740">
        <w:rPr>
          <w:rFonts w:ascii="Verdana" w:hAnsi="Verdana"/>
          <w:sz w:val="20"/>
          <w:szCs w:val="20"/>
          <w:lang w:val="en-US"/>
        </w:rPr>
        <w:t>has</w:t>
      </w:r>
      <w:r w:rsidRPr="008A3740">
        <w:rPr>
          <w:rFonts w:ascii="Verdana" w:hAnsi="Verdana"/>
          <w:sz w:val="20"/>
          <w:szCs w:val="20"/>
          <w:lang w:val="en-US"/>
        </w:rPr>
        <w:t xml:space="preserve"> not been demonstrated, and cannot be presumed. It also </w:t>
      </w:r>
      <w:r w:rsidR="00F94DE5" w:rsidRPr="008A3740">
        <w:rPr>
          <w:rFonts w:ascii="Verdana" w:hAnsi="Verdana"/>
          <w:sz w:val="20"/>
          <w:szCs w:val="20"/>
          <w:lang w:val="en-US"/>
        </w:rPr>
        <w:t xml:space="preserve">objected </w:t>
      </w:r>
      <w:r w:rsidRPr="008A3740">
        <w:rPr>
          <w:rFonts w:ascii="Verdana" w:hAnsi="Verdana"/>
          <w:sz w:val="20"/>
          <w:szCs w:val="20"/>
          <w:lang w:val="en-US"/>
        </w:rPr>
        <w:t xml:space="preserve">to the granting </w:t>
      </w:r>
      <w:r w:rsidR="00F94DE5" w:rsidRPr="008A3740">
        <w:rPr>
          <w:rFonts w:ascii="Verdana" w:hAnsi="Verdana"/>
          <w:sz w:val="20"/>
          <w:szCs w:val="20"/>
          <w:lang w:val="en-US"/>
        </w:rPr>
        <w:t xml:space="preserve">of </w:t>
      </w:r>
      <w:r w:rsidR="008D18BE" w:rsidRPr="008A3740">
        <w:rPr>
          <w:rFonts w:ascii="Verdana" w:hAnsi="Verdana"/>
          <w:sz w:val="20"/>
          <w:szCs w:val="20"/>
          <w:lang w:val="en-US"/>
        </w:rPr>
        <w:t xml:space="preserve">pecuniary compensation for </w:t>
      </w:r>
      <w:r w:rsidRPr="008A3740">
        <w:rPr>
          <w:rFonts w:ascii="Verdana" w:hAnsi="Verdana"/>
          <w:sz w:val="20"/>
          <w:szCs w:val="20"/>
          <w:lang w:val="en-US"/>
        </w:rPr>
        <w:t>damage to the life project, considering this a category “in disuse</w:t>
      </w:r>
      <w:r w:rsidR="003E237C" w:rsidRPr="008A3740">
        <w:rPr>
          <w:rFonts w:ascii="Verdana" w:hAnsi="Verdana"/>
          <w:sz w:val="20"/>
          <w:szCs w:val="20"/>
          <w:lang w:val="en-US"/>
        </w:rPr>
        <w:t>,”</w:t>
      </w:r>
      <w:r w:rsidRPr="008A3740">
        <w:rPr>
          <w:rFonts w:ascii="Verdana" w:hAnsi="Verdana"/>
          <w:sz w:val="20"/>
          <w:szCs w:val="20"/>
          <w:lang w:val="en-US"/>
        </w:rPr>
        <w:t xml:space="preserve"> </w:t>
      </w:r>
      <w:r w:rsidR="00F94DE5" w:rsidRPr="008A3740">
        <w:rPr>
          <w:rFonts w:ascii="Verdana" w:hAnsi="Verdana"/>
          <w:sz w:val="20"/>
          <w:szCs w:val="20"/>
          <w:lang w:val="en-US"/>
        </w:rPr>
        <w:t xml:space="preserve">and </w:t>
      </w:r>
      <w:r w:rsidRPr="008A3740">
        <w:rPr>
          <w:rFonts w:ascii="Verdana" w:hAnsi="Verdana"/>
          <w:sz w:val="20"/>
          <w:szCs w:val="20"/>
          <w:lang w:val="en-US"/>
        </w:rPr>
        <w:t xml:space="preserve">requesting that the Court reject it. </w:t>
      </w:r>
    </w:p>
    <w:p w14:paraId="3DBF3110" w14:textId="77777777" w:rsidR="008E6A56" w:rsidRPr="008A3740" w:rsidRDefault="008E6A56" w:rsidP="008E6A56">
      <w:pPr>
        <w:tabs>
          <w:tab w:val="left" w:pos="567"/>
        </w:tabs>
        <w:textAlignment w:val="auto"/>
        <w:rPr>
          <w:rFonts w:ascii="Verdana" w:eastAsia="MS Mincho" w:hAnsi="Verdana" w:cs="Tahoma"/>
          <w:sz w:val="20"/>
          <w:szCs w:val="20"/>
          <w:lang w:val="en-US"/>
        </w:rPr>
      </w:pPr>
    </w:p>
    <w:p w14:paraId="6ACA181D" w14:textId="77777777" w:rsidR="008E6A56" w:rsidRPr="008A3740" w:rsidRDefault="00F94DE5" w:rsidP="00D17A65">
      <w:pPr>
        <w:numPr>
          <w:ilvl w:val="0"/>
          <w:numId w:val="3"/>
        </w:numPr>
        <w:tabs>
          <w:tab w:val="left" w:pos="567"/>
          <w:tab w:val="num" w:pos="5057"/>
        </w:tabs>
        <w:ind w:left="0" w:firstLine="0"/>
        <w:textAlignment w:val="auto"/>
        <w:rPr>
          <w:rFonts w:ascii="Verdana" w:eastAsia="MS Mincho" w:hAnsi="Verdana" w:cs="Tahoma"/>
          <w:sz w:val="20"/>
          <w:szCs w:val="20"/>
          <w:lang w:val="en-US"/>
        </w:rPr>
      </w:pPr>
      <w:r w:rsidRPr="008A3740">
        <w:rPr>
          <w:rFonts w:ascii="Verdana" w:hAnsi="Verdana"/>
          <w:sz w:val="20"/>
          <w:szCs w:val="20"/>
          <w:lang w:val="en-US"/>
        </w:rPr>
        <w:t>I</w:t>
      </w:r>
      <w:r w:rsidR="008E6A56" w:rsidRPr="008A3740">
        <w:rPr>
          <w:rFonts w:ascii="Verdana" w:hAnsi="Verdana"/>
          <w:sz w:val="20"/>
          <w:szCs w:val="20"/>
          <w:lang w:val="en-US"/>
        </w:rPr>
        <w:t xml:space="preserve">n </w:t>
      </w:r>
      <w:r w:rsidR="00DC3C92" w:rsidRPr="008A3740">
        <w:rPr>
          <w:rFonts w:ascii="Verdana" w:hAnsi="Verdana"/>
          <w:sz w:val="20"/>
          <w:szCs w:val="20"/>
          <w:lang w:val="en-US"/>
        </w:rPr>
        <w:t>its case law</w:t>
      </w:r>
      <w:r w:rsidRPr="008A3740">
        <w:rPr>
          <w:rFonts w:ascii="Verdana" w:hAnsi="Verdana"/>
          <w:sz w:val="20"/>
          <w:szCs w:val="20"/>
          <w:lang w:val="en-US"/>
        </w:rPr>
        <w:t xml:space="preserve">, the </w:t>
      </w:r>
      <w:r w:rsidRPr="008A3740">
        <w:rPr>
          <w:rFonts w:ascii="Verdana" w:hAnsi="Verdana"/>
          <w:b/>
          <w:i/>
          <w:sz w:val="20"/>
          <w:szCs w:val="20"/>
          <w:lang w:val="en-US"/>
        </w:rPr>
        <w:t>Court</w:t>
      </w:r>
      <w:r w:rsidRPr="008A3740">
        <w:rPr>
          <w:rFonts w:ascii="Verdana" w:hAnsi="Verdana"/>
          <w:b/>
          <w:sz w:val="20"/>
          <w:szCs w:val="20"/>
          <w:lang w:val="en-US"/>
        </w:rPr>
        <w:t xml:space="preserve"> </w:t>
      </w:r>
      <w:r w:rsidRPr="008A3740">
        <w:rPr>
          <w:rFonts w:ascii="Verdana" w:hAnsi="Verdana"/>
          <w:sz w:val="20"/>
          <w:szCs w:val="20"/>
          <w:lang w:val="en-US"/>
        </w:rPr>
        <w:t>has established</w:t>
      </w:r>
      <w:r w:rsidR="00DC3C92" w:rsidRPr="008A3740">
        <w:rPr>
          <w:rFonts w:ascii="Verdana" w:hAnsi="Verdana"/>
          <w:sz w:val="20"/>
          <w:szCs w:val="20"/>
          <w:lang w:val="en-US"/>
        </w:rPr>
        <w:t xml:space="preserve"> </w:t>
      </w:r>
      <w:r w:rsidR="008E6A56" w:rsidRPr="008A3740">
        <w:rPr>
          <w:rFonts w:ascii="Verdana" w:hAnsi="Verdana"/>
          <w:sz w:val="20"/>
          <w:szCs w:val="20"/>
          <w:lang w:val="en-US"/>
        </w:rPr>
        <w:t xml:space="preserve">that non-pecuniary damage “may include both the suffering and </w:t>
      </w:r>
      <w:r w:rsidR="007E7025" w:rsidRPr="008A3740">
        <w:rPr>
          <w:rFonts w:ascii="Verdana" w:hAnsi="Verdana"/>
          <w:sz w:val="20"/>
          <w:szCs w:val="20"/>
          <w:lang w:val="en-US"/>
        </w:rPr>
        <w:t xml:space="preserve">distress </w:t>
      </w:r>
      <w:r w:rsidR="008E6A56" w:rsidRPr="008A3740">
        <w:rPr>
          <w:rFonts w:ascii="Verdana" w:hAnsi="Verdana"/>
          <w:sz w:val="20"/>
          <w:szCs w:val="20"/>
          <w:lang w:val="en-US"/>
        </w:rPr>
        <w:t xml:space="preserve">caused </w:t>
      </w:r>
      <w:r w:rsidR="007E7025" w:rsidRPr="008A3740">
        <w:rPr>
          <w:rFonts w:ascii="Verdana" w:hAnsi="Verdana"/>
          <w:sz w:val="20"/>
          <w:szCs w:val="20"/>
          <w:lang w:val="en-US"/>
        </w:rPr>
        <w:t>to victims and the impairment of values that are highly significant to them,</w:t>
      </w:r>
      <w:r w:rsidR="007E7025" w:rsidRPr="008A3740">
        <w:rPr>
          <w:lang w:val="en-US"/>
        </w:rPr>
        <w:t xml:space="preserve"> </w:t>
      </w:r>
      <w:r w:rsidR="007E7025" w:rsidRPr="008A3740">
        <w:rPr>
          <w:rFonts w:ascii="Verdana" w:hAnsi="Verdana"/>
          <w:sz w:val="20"/>
          <w:szCs w:val="20"/>
          <w:lang w:val="en-US"/>
        </w:rPr>
        <w:t>as well as suffering of a non-pecuniary nature that affects their living conditions.”</w:t>
      </w:r>
      <w:r w:rsidR="008E6A56" w:rsidRPr="008A3740">
        <w:rPr>
          <w:rFonts w:ascii="Verdana" w:hAnsi="Verdana"/>
          <w:sz w:val="20"/>
          <w:szCs w:val="20"/>
          <w:lang w:val="en-US"/>
        </w:rPr>
        <w:t xml:space="preserve"> </w:t>
      </w:r>
      <w:r w:rsidR="007E7025" w:rsidRPr="008A3740">
        <w:rPr>
          <w:rFonts w:ascii="Verdana" w:hAnsi="Verdana"/>
          <w:sz w:val="20"/>
          <w:szCs w:val="20"/>
          <w:lang w:val="en-US"/>
        </w:rPr>
        <w:t xml:space="preserve">Since </w:t>
      </w:r>
      <w:r w:rsidR="008E6A56" w:rsidRPr="008A3740">
        <w:rPr>
          <w:rFonts w:ascii="Verdana" w:hAnsi="Verdana"/>
          <w:sz w:val="20"/>
          <w:szCs w:val="20"/>
          <w:lang w:val="en-US"/>
        </w:rPr>
        <w:t xml:space="preserve">it is not </w:t>
      </w:r>
      <w:r w:rsidR="007E7025" w:rsidRPr="008A3740">
        <w:rPr>
          <w:rFonts w:ascii="Verdana" w:hAnsi="Verdana"/>
          <w:sz w:val="20"/>
          <w:szCs w:val="20"/>
          <w:lang w:val="en-US"/>
        </w:rPr>
        <w:t xml:space="preserve">possible to assign a precise monetary </w:t>
      </w:r>
      <w:r w:rsidRPr="008A3740">
        <w:rPr>
          <w:rFonts w:ascii="Verdana" w:hAnsi="Verdana"/>
          <w:sz w:val="20"/>
          <w:szCs w:val="20"/>
          <w:lang w:val="en-US"/>
        </w:rPr>
        <w:t xml:space="preserve">value </w:t>
      </w:r>
      <w:r w:rsidR="007E7025" w:rsidRPr="008A3740">
        <w:rPr>
          <w:rFonts w:ascii="Verdana" w:hAnsi="Verdana"/>
          <w:sz w:val="20"/>
          <w:szCs w:val="20"/>
          <w:lang w:val="en-US"/>
        </w:rPr>
        <w:t>to non-pecuniary damage, for the purposes of making integral reparation to the victims, they may only obtain compensation through the payment of a sum of money or through the delivery of goods and services that can be assessed monetarily</w:t>
      </w:r>
      <w:r w:rsidR="008E6A56" w:rsidRPr="008A3740">
        <w:rPr>
          <w:rFonts w:ascii="Verdana" w:hAnsi="Verdana"/>
          <w:sz w:val="20"/>
          <w:szCs w:val="20"/>
          <w:lang w:val="en-US"/>
        </w:rPr>
        <w:t xml:space="preserve">, </w:t>
      </w:r>
      <w:r w:rsidR="007E7025" w:rsidRPr="008A3740">
        <w:rPr>
          <w:rFonts w:ascii="Verdana" w:hAnsi="Verdana"/>
          <w:sz w:val="20"/>
          <w:szCs w:val="20"/>
          <w:lang w:val="en-US"/>
        </w:rPr>
        <w:t>as prudently determined by the Court, applying judicial discretion and the principle of equity</w:t>
      </w:r>
      <w:r w:rsidR="008E6A56" w:rsidRPr="008A3740">
        <w:rPr>
          <w:rFonts w:ascii="Verdana" w:hAnsi="Verdana"/>
          <w:sz w:val="20"/>
          <w:szCs w:val="20"/>
          <w:lang w:val="en-US"/>
        </w:rPr>
        <w:t>.</w:t>
      </w:r>
      <w:r w:rsidR="008E6A56" w:rsidRPr="008A3740">
        <w:rPr>
          <w:rStyle w:val="Refdenotaalpie"/>
          <w:szCs w:val="20"/>
          <w:lang w:val="en-US"/>
        </w:rPr>
        <w:footnoteReference w:id="241"/>
      </w:r>
    </w:p>
    <w:p w14:paraId="660C008D" w14:textId="77777777" w:rsidR="008E6A56" w:rsidRPr="008A3740" w:rsidRDefault="008E6A56" w:rsidP="008E6A56">
      <w:pPr>
        <w:pStyle w:val="Prrafodelista"/>
        <w:ind w:left="0"/>
        <w:rPr>
          <w:rFonts w:ascii="Verdana" w:eastAsia="MS Mincho" w:hAnsi="Verdana" w:cs="Tahoma"/>
          <w:sz w:val="20"/>
          <w:szCs w:val="20"/>
          <w:lang w:val="en-US"/>
        </w:rPr>
      </w:pPr>
    </w:p>
    <w:p w14:paraId="757E1057" w14:textId="77777777" w:rsidR="008E6A56" w:rsidRPr="008A3740" w:rsidRDefault="00B776B8" w:rsidP="00D17A65">
      <w:pPr>
        <w:numPr>
          <w:ilvl w:val="0"/>
          <w:numId w:val="3"/>
        </w:numPr>
        <w:tabs>
          <w:tab w:val="left" w:pos="567"/>
          <w:tab w:val="num" w:pos="5057"/>
        </w:tabs>
        <w:ind w:left="0" w:firstLine="0"/>
        <w:textAlignment w:val="auto"/>
        <w:rPr>
          <w:rFonts w:ascii="Verdana" w:eastAsia="MS Mincho" w:hAnsi="Verdana" w:cs="Tahoma"/>
          <w:sz w:val="20"/>
          <w:szCs w:val="20"/>
          <w:lang w:val="en-US"/>
        </w:rPr>
      </w:pPr>
      <w:r w:rsidRPr="008A3740">
        <w:rPr>
          <w:rFonts w:ascii="Verdana" w:hAnsi="Verdana"/>
          <w:sz w:val="20"/>
          <w:szCs w:val="20"/>
          <w:lang w:val="en-US"/>
        </w:rPr>
        <w:t xml:space="preserve">Thus, it is for the </w:t>
      </w:r>
      <w:r w:rsidR="00B25822" w:rsidRPr="008A3740">
        <w:rPr>
          <w:rFonts w:ascii="Verdana" w:hAnsi="Verdana"/>
          <w:sz w:val="20"/>
          <w:szCs w:val="20"/>
          <w:lang w:val="en-US"/>
        </w:rPr>
        <w:t xml:space="preserve">Court determine </w:t>
      </w:r>
      <w:r w:rsidR="00C74863" w:rsidRPr="008A3740">
        <w:rPr>
          <w:rFonts w:ascii="Verdana" w:hAnsi="Verdana"/>
          <w:sz w:val="20"/>
          <w:szCs w:val="20"/>
          <w:lang w:val="en-US"/>
        </w:rPr>
        <w:t>whether</w:t>
      </w:r>
      <w:r w:rsidR="008E6A56" w:rsidRPr="008A3740">
        <w:rPr>
          <w:rFonts w:ascii="Verdana" w:hAnsi="Verdana"/>
          <w:sz w:val="20"/>
          <w:szCs w:val="20"/>
          <w:lang w:val="en-US"/>
        </w:rPr>
        <w:t xml:space="preserve">, in the </w:t>
      </w:r>
      <w:r w:rsidR="00B25822" w:rsidRPr="008A3740">
        <w:rPr>
          <w:rFonts w:ascii="Verdana" w:hAnsi="Verdana"/>
          <w:sz w:val="20"/>
          <w:szCs w:val="20"/>
          <w:lang w:val="en-US"/>
        </w:rPr>
        <w:t>instant</w:t>
      </w:r>
      <w:r w:rsidR="007E7025" w:rsidRPr="008A3740">
        <w:rPr>
          <w:rFonts w:ascii="Verdana" w:hAnsi="Verdana"/>
          <w:sz w:val="20"/>
          <w:szCs w:val="20"/>
          <w:lang w:val="en-US"/>
        </w:rPr>
        <w:t xml:space="preserve"> case</w:t>
      </w:r>
      <w:r w:rsidR="008E6A56" w:rsidRPr="008A3740">
        <w:rPr>
          <w:rFonts w:ascii="Verdana" w:hAnsi="Verdana"/>
          <w:sz w:val="20"/>
          <w:szCs w:val="20"/>
          <w:lang w:val="en-US"/>
        </w:rPr>
        <w:t xml:space="preserve">, the </w:t>
      </w:r>
      <w:r w:rsidR="007E7025" w:rsidRPr="008A3740">
        <w:rPr>
          <w:rFonts w:ascii="Verdana" w:hAnsi="Verdana"/>
          <w:sz w:val="20"/>
          <w:szCs w:val="20"/>
          <w:lang w:val="en-US"/>
        </w:rPr>
        <w:t xml:space="preserve">failure to </w:t>
      </w:r>
      <w:r w:rsidR="008E6A56" w:rsidRPr="008A3740">
        <w:rPr>
          <w:rFonts w:ascii="Verdana" w:hAnsi="Verdana"/>
          <w:sz w:val="20"/>
          <w:szCs w:val="20"/>
          <w:lang w:val="en-US"/>
        </w:rPr>
        <w:t>compl</w:t>
      </w:r>
      <w:r w:rsidR="007E7025" w:rsidRPr="008A3740">
        <w:rPr>
          <w:rFonts w:ascii="Verdana" w:hAnsi="Verdana"/>
          <w:sz w:val="20"/>
          <w:szCs w:val="20"/>
          <w:lang w:val="en-US"/>
        </w:rPr>
        <w:t xml:space="preserve">y with </w:t>
      </w:r>
      <w:r w:rsidR="008E6A56" w:rsidRPr="008A3740">
        <w:rPr>
          <w:rFonts w:ascii="Verdana" w:hAnsi="Verdana"/>
          <w:sz w:val="20"/>
          <w:szCs w:val="20"/>
          <w:lang w:val="en-US"/>
        </w:rPr>
        <w:t>the judgments of the Supr</w:t>
      </w:r>
      <w:r w:rsidR="00C74863" w:rsidRPr="008A3740">
        <w:rPr>
          <w:rFonts w:ascii="Verdana" w:hAnsi="Verdana"/>
          <w:sz w:val="20"/>
          <w:szCs w:val="20"/>
          <w:lang w:val="en-US"/>
        </w:rPr>
        <w:t xml:space="preserve">eme Court of Justice and </w:t>
      </w:r>
      <w:r w:rsidR="008E6A56" w:rsidRPr="008A3740">
        <w:rPr>
          <w:rFonts w:ascii="Verdana" w:hAnsi="Verdana"/>
          <w:sz w:val="20"/>
          <w:szCs w:val="20"/>
          <w:lang w:val="en-US"/>
        </w:rPr>
        <w:t>the Constitutional Court</w:t>
      </w:r>
      <w:r w:rsidR="007E7025" w:rsidRPr="008A3740">
        <w:rPr>
          <w:rFonts w:ascii="Verdana" w:hAnsi="Verdana"/>
          <w:sz w:val="20"/>
          <w:szCs w:val="20"/>
          <w:lang w:val="en-US"/>
        </w:rPr>
        <w:t xml:space="preserve">, which resulted in </w:t>
      </w:r>
      <w:r w:rsidR="005D0D88" w:rsidRPr="008A3740">
        <w:rPr>
          <w:rFonts w:ascii="Verdana" w:hAnsi="Verdana"/>
          <w:sz w:val="20"/>
          <w:szCs w:val="20"/>
          <w:lang w:val="en-US"/>
        </w:rPr>
        <w:t>the impairment</w:t>
      </w:r>
      <w:r w:rsidR="007E7025" w:rsidRPr="008A3740">
        <w:rPr>
          <w:rFonts w:ascii="Verdana" w:hAnsi="Verdana"/>
          <w:sz w:val="20"/>
          <w:szCs w:val="20"/>
          <w:lang w:val="en-US"/>
        </w:rPr>
        <w:t xml:space="preserve"> of the </w:t>
      </w:r>
      <w:r w:rsidR="00C74863" w:rsidRPr="008A3740">
        <w:rPr>
          <w:rFonts w:ascii="Verdana" w:hAnsi="Verdana"/>
          <w:sz w:val="20"/>
          <w:szCs w:val="20"/>
          <w:lang w:val="en-US"/>
        </w:rPr>
        <w:t xml:space="preserve">victim’s </w:t>
      </w:r>
      <w:r w:rsidR="008E6A56" w:rsidRPr="008A3740">
        <w:rPr>
          <w:rFonts w:ascii="Verdana" w:hAnsi="Verdana"/>
          <w:sz w:val="20"/>
          <w:szCs w:val="20"/>
          <w:lang w:val="en-US"/>
        </w:rPr>
        <w:t>right</w:t>
      </w:r>
      <w:r w:rsidR="00C74863" w:rsidRPr="008A3740">
        <w:rPr>
          <w:rFonts w:ascii="Verdana" w:hAnsi="Verdana"/>
          <w:sz w:val="20"/>
          <w:szCs w:val="20"/>
          <w:lang w:val="en-US"/>
        </w:rPr>
        <w:t>s</w:t>
      </w:r>
      <w:r w:rsidR="008E6A56" w:rsidRPr="008A3740">
        <w:rPr>
          <w:rFonts w:ascii="Verdana" w:hAnsi="Verdana"/>
          <w:sz w:val="20"/>
          <w:szCs w:val="20"/>
          <w:lang w:val="en-US"/>
        </w:rPr>
        <w:t xml:space="preserve"> to so</w:t>
      </w:r>
      <w:r w:rsidR="007E7025" w:rsidRPr="008A3740">
        <w:rPr>
          <w:rFonts w:ascii="Verdana" w:hAnsi="Verdana"/>
          <w:sz w:val="20"/>
          <w:szCs w:val="20"/>
          <w:lang w:val="en-US"/>
        </w:rPr>
        <w:t xml:space="preserve">cial security and </w:t>
      </w:r>
      <w:r w:rsidR="008E6A56" w:rsidRPr="008A3740">
        <w:rPr>
          <w:rFonts w:ascii="Verdana" w:hAnsi="Verdana"/>
          <w:sz w:val="20"/>
          <w:szCs w:val="20"/>
          <w:lang w:val="en-US"/>
        </w:rPr>
        <w:t>property</w:t>
      </w:r>
      <w:r w:rsidR="007E7025" w:rsidRPr="008A3740">
        <w:rPr>
          <w:rFonts w:ascii="Verdana" w:hAnsi="Verdana"/>
          <w:sz w:val="20"/>
          <w:szCs w:val="20"/>
          <w:lang w:val="en-US"/>
        </w:rPr>
        <w:t>,</w:t>
      </w:r>
      <w:r w:rsidR="008E6A56" w:rsidRPr="008A3740">
        <w:rPr>
          <w:rFonts w:ascii="Verdana" w:hAnsi="Verdana"/>
          <w:sz w:val="20"/>
          <w:szCs w:val="20"/>
          <w:lang w:val="en-US"/>
        </w:rPr>
        <w:t xml:space="preserve"> </w:t>
      </w:r>
      <w:r w:rsidR="00C74863" w:rsidRPr="008A3740">
        <w:rPr>
          <w:rFonts w:ascii="Verdana" w:hAnsi="Verdana"/>
          <w:sz w:val="20"/>
          <w:szCs w:val="20"/>
          <w:lang w:val="en-US"/>
        </w:rPr>
        <w:t>owing to a</w:t>
      </w:r>
      <w:r w:rsidR="007E7025" w:rsidRPr="008A3740">
        <w:rPr>
          <w:rFonts w:ascii="Verdana" w:hAnsi="Verdana"/>
          <w:sz w:val="20"/>
          <w:szCs w:val="20"/>
          <w:lang w:val="en-US"/>
        </w:rPr>
        <w:t xml:space="preserve"> lack of </w:t>
      </w:r>
      <w:r w:rsidR="008E6A56" w:rsidRPr="008A3740">
        <w:rPr>
          <w:rFonts w:ascii="Verdana" w:hAnsi="Verdana"/>
          <w:sz w:val="20"/>
          <w:szCs w:val="20"/>
          <w:lang w:val="en-US"/>
        </w:rPr>
        <w:t>effective j</w:t>
      </w:r>
      <w:r w:rsidR="00C74863" w:rsidRPr="008A3740">
        <w:rPr>
          <w:rFonts w:ascii="Verdana" w:hAnsi="Verdana"/>
          <w:sz w:val="20"/>
          <w:szCs w:val="20"/>
          <w:lang w:val="en-US"/>
        </w:rPr>
        <w:t xml:space="preserve">udicial protection, produced </w:t>
      </w:r>
      <w:r w:rsidR="008E6A56" w:rsidRPr="008A3740">
        <w:rPr>
          <w:rFonts w:ascii="Verdana" w:hAnsi="Verdana"/>
          <w:sz w:val="20"/>
          <w:szCs w:val="20"/>
          <w:lang w:val="en-US"/>
        </w:rPr>
        <w:t>non-pecuniary damage to the detriment of the victim.</w:t>
      </w:r>
    </w:p>
    <w:p w14:paraId="0045C1C3" w14:textId="77777777" w:rsidR="008E6A56" w:rsidRPr="008A3740" w:rsidRDefault="008E6A56" w:rsidP="008E6A56">
      <w:pPr>
        <w:rPr>
          <w:rFonts w:ascii="Verdana" w:eastAsia="MS Mincho" w:hAnsi="Verdana" w:cs="Tahoma"/>
          <w:sz w:val="20"/>
          <w:szCs w:val="20"/>
          <w:lang w:val="en-US"/>
        </w:rPr>
      </w:pPr>
    </w:p>
    <w:p w14:paraId="0F26F58A" w14:textId="77777777" w:rsidR="008E6A56" w:rsidRPr="008A3740" w:rsidRDefault="007E7025" w:rsidP="00D17A65">
      <w:pPr>
        <w:numPr>
          <w:ilvl w:val="0"/>
          <w:numId w:val="3"/>
        </w:numPr>
        <w:tabs>
          <w:tab w:val="left" w:pos="567"/>
          <w:tab w:val="num" w:pos="5057"/>
        </w:tabs>
        <w:ind w:left="0" w:firstLine="0"/>
        <w:textAlignment w:val="auto"/>
        <w:rPr>
          <w:rFonts w:ascii="Verdana" w:eastAsia="MS Mincho" w:hAnsi="Verdana" w:cs="Tahoma"/>
          <w:sz w:val="20"/>
          <w:szCs w:val="20"/>
          <w:lang w:val="en-US"/>
        </w:rPr>
      </w:pPr>
      <w:r w:rsidRPr="008A3740">
        <w:rPr>
          <w:rFonts w:ascii="Verdana" w:hAnsi="Verdana"/>
          <w:sz w:val="20"/>
          <w:szCs w:val="20"/>
          <w:lang w:val="en-US"/>
        </w:rPr>
        <w:t>T</w:t>
      </w:r>
      <w:r w:rsidR="008E6A56" w:rsidRPr="008A3740">
        <w:rPr>
          <w:rFonts w:ascii="Verdana" w:hAnsi="Verdana"/>
          <w:sz w:val="20"/>
          <w:szCs w:val="20"/>
          <w:lang w:val="en-US"/>
        </w:rPr>
        <w:t>he Court notes that Mr. Muelle Flores was unabl</w:t>
      </w:r>
      <w:r w:rsidR="00C74863" w:rsidRPr="008A3740">
        <w:rPr>
          <w:rFonts w:ascii="Verdana" w:hAnsi="Verdana"/>
          <w:sz w:val="20"/>
          <w:szCs w:val="20"/>
          <w:lang w:val="en-US"/>
        </w:rPr>
        <w:t>e to submit his sworn statement</w:t>
      </w:r>
      <w:r w:rsidR="008E6A56" w:rsidRPr="008A3740">
        <w:rPr>
          <w:rFonts w:ascii="Verdana" w:hAnsi="Verdana"/>
          <w:sz w:val="20"/>
          <w:szCs w:val="20"/>
          <w:lang w:val="en-US"/>
        </w:rPr>
        <w:t xml:space="preserve"> due to his current health situation, since was diagnosed with “Alzheimer-type senile dementia.” In this </w:t>
      </w:r>
      <w:r w:rsidRPr="008A3740">
        <w:rPr>
          <w:rFonts w:ascii="Verdana" w:hAnsi="Verdana"/>
          <w:sz w:val="20"/>
          <w:szCs w:val="20"/>
          <w:lang w:val="en-US"/>
        </w:rPr>
        <w:t>regard</w:t>
      </w:r>
      <w:r w:rsidR="008E6A56" w:rsidRPr="008A3740">
        <w:rPr>
          <w:rFonts w:ascii="Verdana" w:hAnsi="Verdana"/>
          <w:sz w:val="20"/>
          <w:szCs w:val="20"/>
          <w:lang w:val="en-US"/>
        </w:rPr>
        <w:t xml:space="preserve">, the Court </w:t>
      </w:r>
      <w:r w:rsidR="005D0D88" w:rsidRPr="008A3740">
        <w:rPr>
          <w:rFonts w:ascii="Verdana" w:hAnsi="Verdana"/>
          <w:sz w:val="20"/>
          <w:szCs w:val="20"/>
          <w:lang w:val="en-US"/>
        </w:rPr>
        <w:t xml:space="preserve">has verified the deterioration of the victim’s physical condition </w:t>
      </w:r>
      <w:r w:rsidR="008E6A56" w:rsidRPr="008A3740">
        <w:rPr>
          <w:rFonts w:ascii="Verdana" w:hAnsi="Verdana"/>
          <w:sz w:val="20"/>
          <w:szCs w:val="20"/>
          <w:lang w:val="en-US"/>
        </w:rPr>
        <w:t xml:space="preserve">through two videos </w:t>
      </w:r>
      <w:r w:rsidR="00B25822" w:rsidRPr="008A3740">
        <w:rPr>
          <w:rFonts w:ascii="Verdana" w:hAnsi="Verdana"/>
          <w:sz w:val="20"/>
          <w:szCs w:val="20"/>
          <w:lang w:val="en-US"/>
        </w:rPr>
        <w:t>provided as supervening evidence by</w:t>
      </w:r>
      <w:r w:rsidR="005D0D88" w:rsidRPr="008A3740">
        <w:rPr>
          <w:rFonts w:ascii="Verdana" w:hAnsi="Verdana"/>
          <w:sz w:val="20"/>
          <w:szCs w:val="20"/>
          <w:lang w:val="en-US"/>
        </w:rPr>
        <w:t xml:space="preserve"> the representatives</w:t>
      </w:r>
      <w:r w:rsidR="008E6A56" w:rsidRPr="008A3740">
        <w:rPr>
          <w:rFonts w:ascii="Verdana" w:hAnsi="Verdana"/>
          <w:sz w:val="20"/>
          <w:szCs w:val="20"/>
          <w:lang w:val="en-US"/>
        </w:rPr>
        <w:t xml:space="preserve">. </w:t>
      </w:r>
    </w:p>
    <w:p w14:paraId="64A65C3D" w14:textId="77777777" w:rsidR="008E6A56" w:rsidRPr="008A3740" w:rsidRDefault="008E6A56" w:rsidP="008E6A56">
      <w:pPr>
        <w:tabs>
          <w:tab w:val="left" w:pos="567"/>
        </w:tabs>
        <w:textAlignment w:val="auto"/>
        <w:rPr>
          <w:rFonts w:ascii="Verdana" w:eastAsia="MS Mincho" w:hAnsi="Verdana" w:cs="Tahoma"/>
          <w:sz w:val="20"/>
          <w:szCs w:val="20"/>
          <w:lang w:val="en-US"/>
        </w:rPr>
      </w:pPr>
    </w:p>
    <w:p w14:paraId="5D2D85B4"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cs="Tahoma"/>
          <w:sz w:val="20"/>
          <w:szCs w:val="20"/>
          <w:lang w:val="en-US"/>
        </w:rPr>
      </w:pPr>
      <w:r w:rsidRPr="008A3740">
        <w:rPr>
          <w:rFonts w:ascii="Verdana" w:hAnsi="Verdana"/>
          <w:sz w:val="20"/>
          <w:szCs w:val="20"/>
          <w:lang w:val="en-US"/>
        </w:rPr>
        <w:t xml:space="preserve">However, his daughter </w:t>
      </w:r>
      <w:r w:rsidRPr="008A3740">
        <w:rPr>
          <w:rFonts w:ascii="Verdana" w:hAnsi="Verdana" w:cs="Arial"/>
          <w:bCs/>
          <w:sz w:val="20"/>
          <w:szCs w:val="20"/>
          <w:lang w:val="en-US"/>
        </w:rPr>
        <w:t xml:space="preserve">Vibeke Ann Muelle Jensen </w:t>
      </w:r>
      <w:r w:rsidRPr="008A3740">
        <w:rPr>
          <w:rFonts w:ascii="Verdana" w:hAnsi="Verdana"/>
          <w:sz w:val="20"/>
          <w:szCs w:val="20"/>
          <w:lang w:val="en-US"/>
        </w:rPr>
        <w:t xml:space="preserve">declared that her father </w:t>
      </w:r>
      <w:r w:rsidR="00C74863" w:rsidRPr="008A3740">
        <w:rPr>
          <w:rFonts w:ascii="Verdana" w:hAnsi="Verdana"/>
          <w:sz w:val="20"/>
          <w:szCs w:val="20"/>
          <w:lang w:val="en-US"/>
        </w:rPr>
        <w:t xml:space="preserve">had </w:t>
      </w:r>
      <w:r w:rsidRPr="008A3740">
        <w:rPr>
          <w:rFonts w:ascii="Verdana" w:hAnsi="Verdana"/>
          <w:sz w:val="20"/>
          <w:szCs w:val="20"/>
          <w:lang w:val="en-US"/>
        </w:rPr>
        <w:t xml:space="preserve">expressed </w:t>
      </w:r>
      <w:r w:rsidRPr="008A3740">
        <w:rPr>
          <w:rFonts w:ascii="Verdana" w:hAnsi="Verdana" w:cs="Arial"/>
          <w:bCs/>
          <w:sz w:val="20"/>
          <w:szCs w:val="20"/>
          <w:lang w:val="en-US"/>
        </w:rPr>
        <w:t xml:space="preserve">“his </w:t>
      </w:r>
      <w:r w:rsidR="005D0D88" w:rsidRPr="008A3740">
        <w:rPr>
          <w:rFonts w:ascii="Verdana" w:hAnsi="Verdana" w:cs="Arial"/>
          <w:bCs/>
          <w:sz w:val="20"/>
          <w:szCs w:val="20"/>
          <w:lang w:val="en-US"/>
        </w:rPr>
        <w:t>concern</w:t>
      </w:r>
      <w:r w:rsidRPr="008A3740">
        <w:rPr>
          <w:rFonts w:ascii="Verdana" w:hAnsi="Verdana" w:cs="Arial"/>
          <w:sz w:val="20"/>
          <w:szCs w:val="20"/>
          <w:lang w:val="en-US"/>
        </w:rPr>
        <w:t>” because of what “he was owed</w:t>
      </w:r>
      <w:r w:rsidR="005D0D88" w:rsidRPr="008A3740">
        <w:rPr>
          <w:rFonts w:ascii="Verdana" w:hAnsi="Verdana" w:cs="Arial"/>
          <w:sz w:val="20"/>
          <w:szCs w:val="20"/>
          <w:lang w:val="en-US"/>
        </w:rPr>
        <w:t>;”</w:t>
      </w:r>
      <w:r w:rsidRPr="008A3740">
        <w:rPr>
          <w:rFonts w:ascii="Verdana" w:hAnsi="Verdana" w:cs="Arial"/>
          <w:sz w:val="20"/>
          <w:szCs w:val="20"/>
          <w:lang w:val="en-US"/>
        </w:rPr>
        <w:t xml:space="preserve"> the “</w:t>
      </w:r>
      <w:r w:rsidR="005D0D88" w:rsidRPr="008A3740">
        <w:rPr>
          <w:rFonts w:ascii="Verdana" w:hAnsi="Verdana" w:cs="Arial"/>
          <w:sz w:val="20"/>
          <w:szCs w:val="20"/>
          <w:lang w:val="en-US"/>
        </w:rPr>
        <w:t>extreme need</w:t>
      </w:r>
      <w:r w:rsidRPr="008A3740">
        <w:rPr>
          <w:rFonts w:ascii="Verdana" w:hAnsi="Verdana" w:cs="Arial"/>
          <w:sz w:val="20"/>
          <w:szCs w:val="20"/>
          <w:lang w:val="en-US"/>
        </w:rPr>
        <w:t xml:space="preserve">” </w:t>
      </w:r>
      <w:r w:rsidR="005D0D88" w:rsidRPr="008A3740">
        <w:rPr>
          <w:rFonts w:ascii="Verdana" w:hAnsi="Verdana" w:cs="Arial"/>
          <w:sz w:val="20"/>
          <w:szCs w:val="20"/>
          <w:lang w:val="en-US"/>
        </w:rPr>
        <w:t>he suffered</w:t>
      </w:r>
      <w:r w:rsidRPr="008A3740">
        <w:rPr>
          <w:rFonts w:ascii="Verdana" w:hAnsi="Verdana" w:cs="Arial"/>
          <w:sz w:val="20"/>
          <w:szCs w:val="20"/>
          <w:lang w:val="en-US"/>
        </w:rPr>
        <w:t xml:space="preserve">, as </w:t>
      </w:r>
      <w:r w:rsidR="00732D14" w:rsidRPr="008A3740">
        <w:rPr>
          <w:rFonts w:ascii="Verdana" w:hAnsi="Verdana" w:cs="Arial"/>
          <w:sz w:val="20"/>
          <w:szCs w:val="20"/>
          <w:lang w:val="en-US"/>
        </w:rPr>
        <w:t xml:space="preserve">well as </w:t>
      </w:r>
      <w:r w:rsidRPr="008A3740">
        <w:rPr>
          <w:rFonts w:ascii="Verdana" w:hAnsi="Verdana" w:cs="Arial"/>
          <w:sz w:val="20"/>
          <w:szCs w:val="20"/>
          <w:lang w:val="en-US"/>
        </w:rPr>
        <w:t xml:space="preserve">“the problems </w:t>
      </w:r>
      <w:r w:rsidR="00F236D4" w:rsidRPr="008A3740">
        <w:rPr>
          <w:rFonts w:ascii="Verdana" w:hAnsi="Verdana" w:cs="Arial"/>
          <w:sz w:val="20"/>
          <w:szCs w:val="20"/>
          <w:lang w:val="en-US"/>
        </w:rPr>
        <w:t>derived from</w:t>
      </w:r>
      <w:r w:rsidR="005D0D88" w:rsidRPr="008A3740">
        <w:rPr>
          <w:rFonts w:ascii="Verdana" w:hAnsi="Verdana" w:cs="Arial"/>
          <w:sz w:val="20"/>
          <w:szCs w:val="20"/>
          <w:lang w:val="en-US"/>
        </w:rPr>
        <w:t xml:space="preserve"> </w:t>
      </w:r>
      <w:r w:rsidRPr="008A3740">
        <w:rPr>
          <w:rFonts w:ascii="Verdana" w:hAnsi="Verdana" w:cs="Arial"/>
          <w:sz w:val="20"/>
          <w:szCs w:val="20"/>
          <w:lang w:val="en-US"/>
        </w:rPr>
        <w:t>not having health care.” She also stressed the anguish he suffered because of “the [judicial</w:t>
      </w:r>
      <w:r w:rsidR="005D0D88" w:rsidRPr="008A3740">
        <w:rPr>
          <w:rFonts w:ascii="Verdana" w:hAnsi="Verdana" w:cs="Arial"/>
          <w:sz w:val="20"/>
          <w:szCs w:val="20"/>
          <w:lang w:val="en-US"/>
        </w:rPr>
        <w:t>] proceedings</w:t>
      </w:r>
      <w:r w:rsidRPr="008A3740">
        <w:rPr>
          <w:rFonts w:ascii="Verdana" w:hAnsi="Verdana" w:cs="Arial"/>
          <w:sz w:val="20"/>
          <w:szCs w:val="20"/>
          <w:lang w:val="en-US"/>
        </w:rPr>
        <w:t xml:space="preserve"> </w:t>
      </w:r>
      <w:r w:rsidR="005D0D88" w:rsidRPr="008A3740">
        <w:rPr>
          <w:rFonts w:ascii="Verdana" w:hAnsi="Verdana" w:cs="Arial"/>
          <w:sz w:val="20"/>
          <w:szCs w:val="20"/>
          <w:lang w:val="en-US"/>
        </w:rPr>
        <w:t>[</w:t>
      </w:r>
      <w:r w:rsidRPr="008A3740">
        <w:rPr>
          <w:rFonts w:ascii="Verdana" w:hAnsi="Verdana" w:cs="Arial"/>
          <w:sz w:val="20"/>
          <w:szCs w:val="20"/>
          <w:lang w:val="en-US"/>
        </w:rPr>
        <w:t>he</w:t>
      </w:r>
      <w:r w:rsidR="005D0D88" w:rsidRPr="008A3740">
        <w:rPr>
          <w:rFonts w:ascii="Verdana" w:hAnsi="Verdana" w:cs="Arial"/>
          <w:sz w:val="20"/>
          <w:szCs w:val="20"/>
          <w:lang w:val="en-US"/>
        </w:rPr>
        <w:t>]</w:t>
      </w:r>
      <w:r w:rsidRPr="008A3740">
        <w:rPr>
          <w:rFonts w:ascii="Verdana" w:hAnsi="Verdana" w:cs="Arial"/>
          <w:sz w:val="20"/>
          <w:szCs w:val="20"/>
          <w:lang w:val="en-US"/>
        </w:rPr>
        <w:t xml:space="preserve"> had to </w:t>
      </w:r>
      <w:r w:rsidR="005D0D88" w:rsidRPr="008A3740">
        <w:rPr>
          <w:rFonts w:ascii="Verdana" w:hAnsi="Verdana" w:cs="Arial"/>
          <w:sz w:val="20"/>
          <w:szCs w:val="20"/>
          <w:lang w:val="en-US"/>
        </w:rPr>
        <w:t xml:space="preserve">go through </w:t>
      </w:r>
      <w:r w:rsidRPr="008A3740">
        <w:rPr>
          <w:rFonts w:ascii="Verdana" w:hAnsi="Verdana" w:cs="Arial"/>
          <w:sz w:val="20"/>
          <w:szCs w:val="20"/>
          <w:lang w:val="en-US"/>
        </w:rPr>
        <w:t>to be able to” obtain his pension. Finally she described the consequence</w:t>
      </w:r>
      <w:r w:rsidR="005D0D88" w:rsidRPr="008A3740">
        <w:rPr>
          <w:rFonts w:ascii="Verdana" w:hAnsi="Verdana" w:cs="Arial"/>
          <w:sz w:val="20"/>
          <w:szCs w:val="20"/>
          <w:lang w:val="en-US"/>
        </w:rPr>
        <w:t>s</w:t>
      </w:r>
      <w:r w:rsidRPr="008A3740">
        <w:rPr>
          <w:rFonts w:ascii="Verdana" w:hAnsi="Verdana" w:cs="Arial"/>
          <w:sz w:val="20"/>
          <w:szCs w:val="20"/>
          <w:lang w:val="en-US"/>
        </w:rPr>
        <w:t xml:space="preserve"> </w:t>
      </w:r>
      <w:r w:rsidR="005D0D88" w:rsidRPr="008A3740">
        <w:rPr>
          <w:rFonts w:ascii="Verdana" w:hAnsi="Verdana" w:cs="Arial"/>
          <w:sz w:val="20"/>
          <w:szCs w:val="20"/>
          <w:lang w:val="en-US"/>
        </w:rPr>
        <w:t xml:space="preserve">of his </w:t>
      </w:r>
      <w:r w:rsidRPr="008A3740">
        <w:rPr>
          <w:rFonts w:ascii="Verdana" w:hAnsi="Verdana" w:cs="Arial"/>
          <w:sz w:val="20"/>
          <w:szCs w:val="20"/>
          <w:lang w:val="en-US"/>
        </w:rPr>
        <w:t>“limit</w:t>
      </w:r>
      <w:r w:rsidR="005D0D88" w:rsidRPr="008A3740">
        <w:rPr>
          <w:rFonts w:ascii="Verdana" w:hAnsi="Verdana" w:cs="Arial"/>
          <w:sz w:val="20"/>
          <w:szCs w:val="20"/>
          <w:lang w:val="en-US"/>
        </w:rPr>
        <w:t xml:space="preserve">ed ability to </w:t>
      </w:r>
      <w:r w:rsidRPr="008A3740">
        <w:rPr>
          <w:rFonts w:ascii="Verdana" w:hAnsi="Verdana" w:cs="Arial"/>
          <w:sz w:val="20"/>
          <w:szCs w:val="20"/>
          <w:lang w:val="en-US"/>
        </w:rPr>
        <w:t xml:space="preserve">cover his health needs and […] </w:t>
      </w:r>
      <w:r w:rsidR="005D0D88" w:rsidRPr="008A3740">
        <w:rPr>
          <w:rFonts w:ascii="Verdana" w:hAnsi="Verdana" w:cs="Arial"/>
          <w:sz w:val="20"/>
          <w:szCs w:val="20"/>
          <w:lang w:val="en-US"/>
        </w:rPr>
        <w:t xml:space="preserve">not </w:t>
      </w:r>
      <w:r w:rsidR="00C74863" w:rsidRPr="008A3740">
        <w:rPr>
          <w:rFonts w:ascii="Verdana" w:hAnsi="Verdana" w:cs="Arial"/>
          <w:sz w:val="20"/>
          <w:szCs w:val="20"/>
          <w:lang w:val="en-US"/>
        </w:rPr>
        <w:t xml:space="preserve">enjoying </w:t>
      </w:r>
      <w:r w:rsidR="005D0D88" w:rsidRPr="008A3740">
        <w:rPr>
          <w:rFonts w:ascii="Verdana" w:hAnsi="Verdana" w:cs="Arial"/>
          <w:sz w:val="20"/>
          <w:szCs w:val="20"/>
          <w:lang w:val="en-US"/>
        </w:rPr>
        <w:t xml:space="preserve">a </w:t>
      </w:r>
      <w:r w:rsidRPr="008A3740">
        <w:rPr>
          <w:rFonts w:ascii="Verdana" w:hAnsi="Verdana" w:cs="Arial"/>
          <w:sz w:val="20"/>
          <w:szCs w:val="20"/>
          <w:lang w:val="en-US"/>
        </w:rPr>
        <w:t>situation of wellbeing consistent with the professional status he had throughout his life.”</w:t>
      </w:r>
      <w:r w:rsidRPr="008A3740">
        <w:rPr>
          <w:rStyle w:val="Refdenotaalpie"/>
          <w:rFonts w:cs="Arial"/>
          <w:szCs w:val="20"/>
          <w:lang w:val="en-US"/>
        </w:rPr>
        <w:footnoteReference w:id="242"/>
      </w:r>
      <w:r w:rsidRPr="008A3740">
        <w:rPr>
          <w:rFonts w:ascii="Verdana" w:hAnsi="Verdana" w:cs="Arial"/>
          <w:sz w:val="20"/>
          <w:szCs w:val="20"/>
          <w:lang w:val="en-US"/>
        </w:rPr>
        <w:t xml:space="preserve"> For his part, </w:t>
      </w:r>
      <w:r w:rsidRPr="008A3740">
        <w:rPr>
          <w:rFonts w:ascii="Verdana" w:hAnsi="Verdana" w:cs="Verdana"/>
          <w:iCs/>
          <w:sz w:val="20"/>
          <w:szCs w:val="20"/>
          <w:lang w:val="en-US"/>
        </w:rPr>
        <w:t xml:space="preserve">Jesús Aníbal Delgado Flores, </w:t>
      </w:r>
      <w:r w:rsidR="005D0D88" w:rsidRPr="008A3740">
        <w:rPr>
          <w:rFonts w:ascii="Verdana" w:hAnsi="Verdana" w:cs="Verdana"/>
          <w:iCs/>
          <w:sz w:val="20"/>
          <w:szCs w:val="20"/>
          <w:lang w:val="en-US"/>
        </w:rPr>
        <w:t xml:space="preserve">the victim’s </w:t>
      </w:r>
      <w:r w:rsidRPr="008A3740">
        <w:rPr>
          <w:rFonts w:ascii="Verdana" w:hAnsi="Verdana" w:cs="Verdana"/>
          <w:iCs/>
          <w:sz w:val="20"/>
          <w:szCs w:val="20"/>
          <w:lang w:val="en-US"/>
        </w:rPr>
        <w:t xml:space="preserve">brother, indicated that </w:t>
      </w:r>
      <w:r w:rsidR="00C74863" w:rsidRPr="008A3740">
        <w:rPr>
          <w:rFonts w:ascii="Verdana" w:hAnsi="Verdana" w:cs="Verdana"/>
          <w:iCs/>
          <w:sz w:val="20"/>
          <w:szCs w:val="20"/>
          <w:lang w:val="en-US"/>
        </w:rPr>
        <w:t xml:space="preserve">Mr. Muelle Flores had </w:t>
      </w:r>
      <w:r w:rsidR="005D0D88" w:rsidRPr="008A3740">
        <w:rPr>
          <w:rFonts w:ascii="Verdana" w:hAnsi="Verdana" w:cs="Verdana"/>
          <w:iCs/>
          <w:sz w:val="20"/>
          <w:szCs w:val="20"/>
          <w:lang w:val="en-US"/>
        </w:rPr>
        <w:t xml:space="preserve">suffered </w:t>
      </w:r>
      <w:r w:rsidRPr="008A3740">
        <w:rPr>
          <w:rFonts w:ascii="Verdana" w:hAnsi="Verdana" w:cs="Verdana"/>
          <w:iCs/>
          <w:sz w:val="20"/>
          <w:szCs w:val="20"/>
          <w:lang w:val="en-US"/>
        </w:rPr>
        <w:t>“</w:t>
      </w:r>
      <w:r w:rsidRPr="008A3740">
        <w:rPr>
          <w:rFonts w:ascii="Verdana" w:hAnsi="Verdana" w:cs="Arial"/>
          <w:sz w:val="20"/>
          <w:szCs w:val="20"/>
          <w:lang w:val="en-US"/>
        </w:rPr>
        <w:t xml:space="preserve">a tremendous nervous depression” and </w:t>
      </w:r>
      <w:r w:rsidR="00C74863" w:rsidRPr="008A3740">
        <w:rPr>
          <w:rFonts w:ascii="Verdana" w:hAnsi="Verdana" w:cs="Arial"/>
          <w:sz w:val="20"/>
          <w:szCs w:val="20"/>
          <w:lang w:val="en-US"/>
        </w:rPr>
        <w:t xml:space="preserve">that </w:t>
      </w:r>
      <w:r w:rsidRPr="008A3740">
        <w:rPr>
          <w:rFonts w:ascii="Verdana" w:hAnsi="Verdana" w:cs="Arial"/>
          <w:sz w:val="20"/>
          <w:szCs w:val="20"/>
          <w:lang w:val="en-US"/>
        </w:rPr>
        <w:t xml:space="preserve">he had to “support him financially and </w:t>
      </w:r>
      <w:r w:rsidR="00C74863" w:rsidRPr="008A3740">
        <w:rPr>
          <w:rFonts w:ascii="Verdana" w:hAnsi="Verdana" w:cs="Arial"/>
          <w:sz w:val="20"/>
          <w:szCs w:val="20"/>
          <w:lang w:val="en-US"/>
        </w:rPr>
        <w:t xml:space="preserve">at home </w:t>
      </w:r>
      <w:r w:rsidRPr="008A3740">
        <w:rPr>
          <w:rFonts w:ascii="Verdana" w:hAnsi="Verdana" w:cs="Arial"/>
          <w:sz w:val="20"/>
          <w:szCs w:val="20"/>
          <w:lang w:val="en-US"/>
        </w:rPr>
        <w:t>[since] he has lost his hearing due to stress.”</w:t>
      </w:r>
      <w:r w:rsidRPr="008A3740">
        <w:rPr>
          <w:rStyle w:val="Refdenotaalpie"/>
          <w:rFonts w:cs="Arial"/>
          <w:szCs w:val="20"/>
          <w:lang w:val="en-US"/>
        </w:rPr>
        <w:footnoteReference w:id="243"/>
      </w:r>
    </w:p>
    <w:p w14:paraId="366F2BE0" w14:textId="77777777" w:rsidR="008E6A56" w:rsidRPr="008A3740" w:rsidRDefault="008E6A56" w:rsidP="008E6A56">
      <w:pPr>
        <w:pStyle w:val="Prrafodelista"/>
        <w:ind w:left="0"/>
        <w:rPr>
          <w:rFonts w:ascii="Verdana" w:eastAsia="MS Mincho" w:hAnsi="Verdana" w:cs="Tahoma"/>
          <w:sz w:val="20"/>
          <w:szCs w:val="20"/>
          <w:lang w:val="en-US"/>
        </w:rPr>
      </w:pPr>
    </w:p>
    <w:p w14:paraId="61F2EFEA" w14:textId="77777777" w:rsidR="008E6A56" w:rsidRPr="008A3740" w:rsidRDefault="005D0D88" w:rsidP="00D17A65">
      <w:pPr>
        <w:numPr>
          <w:ilvl w:val="0"/>
          <w:numId w:val="3"/>
        </w:numPr>
        <w:tabs>
          <w:tab w:val="left" w:pos="567"/>
          <w:tab w:val="num" w:pos="5057"/>
        </w:tabs>
        <w:ind w:left="0" w:firstLine="0"/>
        <w:textAlignment w:val="auto"/>
        <w:rPr>
          <w:rFonts w:ascii="Verdana" w:hAnsi="Verdana"/>
          <w:sz w:val="20"/>
          <w:szCs w:val="20"/>
          <w:lang w:val="en-US"/>
        </w:rPr>
      </w:pPr>
      <w:r w:rsidRPr="008A3740">
        <w:rPr>
          <w:rFonts w:ascii="Verdana" w:hAnsi="Verdana"/>
          <w:sz w:val="20"/>
          <w:szCs w:val="20"/>
          <w:lang w:val="en-US"/>
        </w:rPr>
        <w:t xml:space="preserve">From these </w:t>
      </w:r>
      <w:r w:rsidR="008E6A56" w:rsidRPr="008A3740">
        <w:rPr>
          <w:rFonts w:ascii="Verdana" w:hAnsi="Verdana"/>
          <w:sz w:val="20"/>
          <w:szCs w:val="20"/>
          <w:lang w:val="en-US"/>
        </w:rPr>
        <w:t xml:space="preserve">statements, </w:t>
      </w:r>
      <w:r w:rsidRPr="008A3740">
        <w:rPr>
          <w:rFonts w:ascii="Verdana" w:hAnsi="Verdana"/>
          <w:sz w:val="20"/>
          <w:szCs w:val="20"/>
          <w:lang w:val="en-US"/>
        </w:rPr>
        <w:t xml:space="preserve">it is clear </w:t>
      </w:r>
      <w:r w:rsidR="008E6A56" w:rsidRPr="008A3740">
        <w:rPr>
          <w:rFonts w:ascii="Verdana" w:hAnsi="Verdana"/>
          <w:sz w:val="20"/>
          <w:szCs w:val="20"/>
          <w:lang w:val="en-US"/>
        </w:rPr>
        <w:t xml:space="preserve">that the victim was unable to enjoy the financial security </w:t>
      </w:r>
      <w:r w:rsidRPr="008A3740">
        <w:rPr>
          <w:rFonts w:ascii="Verdana" w:hAnsi="Verdana"/>
          <w:sz w:val="20"/>
          <w:szCs w:val="20"/>
          <w:lang w:val="en-US"/>
        </w:rPr>
        <w:t xml:space="preserve">afforded by having the </w:t>
      </w:r>
      <w:r w:rsidR="008E6A56" w:rsidRPr="008A3740">
        <w:rPr>
          <w:rFonts w:ascii="Verdana" w:hAnsi="Verdana"/>
          <w:sz w:val="20"/>
          <w:szCs w:val="20"/>
          <w:lang w:val="en-US"/>
        </w:rPr>
        <w:t>full pension to which he was entitled</w:t>
      </w:r>
      <w:r w:rsidR="00C74863" w:rsidRPr="008A3740">
        <w:rPr>
          <w:rFonts w:ascii="Verdana" w:hAnsi="Verdana"/>
          <w:sz w:val="20"/>
          <w:szCs w:val="20"/>
          <w:lang w:val="en-US"/>
        </w:rPr>
        <w:t>, based on his contributions</w:t>
      </w:r>
      <w:r w:rsidR="008E6A56" w:rsidRPr="008A3740">
        <w:rPr>
          <w:rFonts w:ascii="Verdana" w:hAnsi="Verdana"/>
          <w:sz w:val="20"/>
          <w:szCs w:val="20"/>
          <w:lang w:val="en-US"/>
        </w:rPr>
        <w:t xml:space="preserve"> for more than 27 </w:t>
      </w:r>
      <w:r w:rsidRPr="008A3740">
        <w:rPr>
          <w:rFonts w:ascii="Verdana" w:hAnsi="Verdana"/>
          <w:sz w:val="20"/>
          <w:szCs w:val="20"/>
          <w:lang w:val="en-US"/>
        </w:rPr>
        <w:t>years</w:t>
      </w:r>
      <w:r w:rsidR="00C74863" w:rsidRPr="008A3740">
        <w:rPr>
          <w:rFonts w:ascii="Verdana" w:hAnsi="Verdana"/>
          <w:sz w:val="20"/>
          <w:szCs w:val="20"/>
          <w:lang w:val="en-US"/>
        </w:rPr>
        <w:t>,</w:t>
      </w:r>
      <w:r w:rsidRPr="008A3740">
        <w:rPr>
          <w:rFonts w:ascii="Verdana" w:hAnsi="Verdana"/>
          <w:sz w:val="20"/>
          <w:szCs w:val="20"/>
          <w:lang w:val="en-US"/>
        </w:rPr>
        <w:t xml:space="preserve"> and</w:t>
      </w:r>
      <w:r w:rsidR="008E6A56" w:rsidRPr="008A3740">
        <w:rPr>
          <w:rFonts w:ascii="Verdana" w:hAnsi="Verdana"/>
          <w:sz w:val="20"/>
          <w:szCs w:val="20"/>
          <w:lang w:val="en-US"/>
        </w:rPr>
        <w:t xml:space="preserve"> having to survive on the good will of his family, </w:t>
      </w:r>
      <w:r w:rsidR="00A30553" w:rsidRPr="008A3740">
        <w:rPr>
          <w:rFonts w:ascii="Verdana" w:hAnsi="Verdana"/>
          <w:sz w:val="20"/>
          <w:szCs w:val="20"/>
          <w:lang w:val="en-US"/>
        </w:rPr>
        <w:t xml:space="preserve">as a result of </w:t>
      </w:r>
      <w:r w:rsidR="008E6A56" w:rsidRPr="008A3740">
        <w:rPr>
          <w:rFonts w:ascii="Verdana" w:hAnsi="Verdana"/>
          <w:sz w:val="20"/>
          <w:szCs w:val="20"/>
          <w:lang w:val="en-US"/>
        </w:rPr>
        <w:t xml:space="preserve">the failure to execute the judgments </w:t>
      </w:r>
      <w:r w:rsidR="00A30553" w:rsidRPr="008A3740">
        <w:rPr>
          <w:rFonts w:ascii="Verdana" w:hAnsi="Verdana"/>
          <w:sz w:val="20"/>
          <w:szCs w:val="20"/>
          <w:lang w:val="en-US"/>
        </w:rPr>
        <w:t xml:space="preserve">in his favor </w:t>
      </w:r>
      <w:r w:rsidR="008E6A56" w:rsidRPr="008A3740">
        <w:rPr>
          <w:rFonts w:ascii="Verdana" w:hAnsi="Verdana"/>
          <w:sz w:val="20"/>
          <w:szCs w:val="20"/>
          <w:lang w:val="en-US"/>
        </w:rPr>
        <w:t xml:space="preserve">for more than 25 years. Consequently, the Court considers that the victim experienced frustration, anguish and suffering, together with the progressive deterioration </w:t>
      </w:r>
      <w:r w:rsidR="00A30553" w:rsidRPr="008A3740">
        <w:rPr>
          <w:rFonts w:ascii="Verdana" w:hAnsi="Verdana"/>
          <w:sz w:val="20"/>
          <w:szCs w:val="20"/>
          <w:lang w:val="en-US"/>
        </w:rPr>
        <w:t xml:space="preserve">and aggravation </w:t>
      </w:r>
      <w:r w:rsidR="008E6A56" w:rsidRPr="008A3740">
        <w:rPr>
          <w:rFonts w:ascii="Verdana" w:hAnsi="Verdana"/>
          <w:sz w:val="20"/>
          <w:szCs w:val="20"/>
          <w:lang w:val="en-US"/>
        </w:rPr>
        <w:t xml:space="preserve">of his </w:t>
      </w:r>
      <w:r w:rsidR="00A30553" w:rsidRPr="008A3740">
        <w:rPr>
          <w:rFonts w:ascii="Verdana" w:hAnsi="Verdana"/>
          <w:sz w:val="20"/>
          <w:szCs w:val="20"/>
          <w:lang w:val="en-US"/>
        </w:rPr>
        <w:t xml:space="preserve">state of </w:t>
      </w:r>
      <w:r w:rsidR="008E6A56" w:rsidRPr="008A3740">
        <w:rPr>
          <w:rFonts w:ascii="Verdana" w:hAnsi="Verdana"/>
          <w:sz w:val="20"/>
          <w:szCs w:val="20"/>
          <w:lang w:val="en-US"/>
        </w:rPr>
        <w:t>health.</w:t>
      </w:r>
    </w:p>
    <w:p w14:paraId="3FEABF0C" w14:textId="77777777" w:rsidR="008E6A56" w:rsidRPr="008A3740" w:rsidRDefault="008E6A56" w:rsidP="008E6A56">
      <w:pPr>
        <w:rPr>
          <w:rFonts w:ascii="Verdana" w:eastAsia="MS Mincho" w:hAnsi="Verdana" w:cs="Tahoma"/>
          <w:sz w:val="20"/>
          <w:szCs w:val="20"/>
          <w:lang w:val="en-US"/>
        </w:rPr>
      </w:pPr>
      <w:r w:rsidRPr="008A3740">
        <w:rPr>
          <w:rFonts w:ascii="Verdana" w:hAnsi="Verdana"/>
          <w:sz w:val="20"/>
          <w:szCs w:val="20"/>
          <w:lang w:val="en-US"/>
        </w:rPr>
        <w:t xml:space="preserve"> </w:t>
      </w:r>
    </w:p>
    <w:p w14:paraId="2BAFFD70" w14:textId="77777777" w:rsidR="008E6A56" w:rsidRPr="008A3740" w:rsidRDefault="00732D14" w:rsidP="00D17A65">
      <w:pPr>
        <w:numPr>
          <w:ilvl w:val="0"/>
          <w:numId w:val="3"/>
        </w:numPr>
        <w:tabs>
          <w:tab w:val="left" w:pos="567"/>
          <w:tab w:val="num" w:pos="5057"/>
        </w:tabs>
        <w:ind w:left="0" w:firstLine="0"/>
        <w:textAlignment w:val="auto"/>
        <w:rPr>
          <w:rFonts w:ascii="Verdana" w:eastAsia="MS Mincho" w:hAnsi="Verdana" w:cs="Tahoma"/>
          <w:sz w:val="20"/>
          <w:szCs w:val="20"/>
          <w:lang w:val="en-US"/>
        </w:rPr>
      </w:pPr>
      <w:r w:rsidRPr="008A3740">
        <w:rPr>
          <w:rFonts w:ascii="Verdana" w:hAnsi="Verdana"/>
          <w:sz w:val="20"/>
          <w:szCs w:val="20"/>
          <w:lang w:val="en-US"/>
        </w:rPr>
        <w:t xml:space="preserve">Although </w:t>
      </w:r>
      <w:r w:rsidR="008E6A56" w:rsidRPr="008A3740">
        <w:rPr>
          <w:rFonts w:ascii="Verdana" w:hAnsi="Verdana"/>
          <w:sz w:val="20"/>
          <w:szCs w:val="20"/>
          <w:lang w:val="en-US"/>
        </w:rPr>
        <w:t xml:space="preserve">this Court has established </w:t>
      </w:r>
      <w:r w:rsidRPr="008A3740">
        <w:rPr>
          <w:rFonts w:ascii="Verdana" w:hAnsi="Verdana"/>
          <w:sz w:val="20"/>
          <w:szCs w:val="20"/>
          <w:lang w:val="en-US"/>
        </w:rPr>
        <w:t xml:space="preserve">in its constant case law </w:t>
      </w:r>
      <w:r w:rsidR="008E6A56" w:rsidRPr="008A3740">
        <w:rPr>
          <w:rFonts w:ascii="Verdana" w:hAnsi="Verdana"/>
          <w:sz w:val="20"/>
          <w:szCs w:val="20"/>
          <w:lang w:val="en-US"/>
        </w:rPr>
        <w:t xml:space="preserve">that a </w:t>
      </w:r>
      <w:r w:rsidR="00EE023A" w:rsidRPr="008A3740">
        <w:rPr>
          <w:rFonts w:ascii="Verdana" w:hAnsi="Verdana"/>
          <w:sz w:val="20"/>
          <w:szCs w:val="20"/>
          <w:lang w:val="en-US"/>
        </w:rPr>
        <w:t>j</w:t>
      </w:r>
      <w:r w:rsidR="008E6A56" w:rsidRPr="008A3740">
        <w:rPr>
          <w:rFonts w:ascii="Verdana" w:hAnsi="Verdana"/>
          <w:sz w:val="20"/>
          <w:szCs w:val="20"/>
          <w:lang w:val="en-US"/>
        </w:rPr>
        <w:t xml:space="preserve">udgment declaring a violation of rights constitutes </w:t>
      </w:r>
      <w:r w:rsidR="008E6A56" w:rsidRPr="008A3740">
        <w:rPr>
          <w:rFonts w:ascii="Verdana" w:hAnsi="Verdana"/>
          <w:i/>
          <w:sz w:val="20"/>
          <w:szCs w:val="20"/>
          <w:lang w:val="en-US"/>
        </w:rPr>
        <w:t>per se</w:t>
      </w:r>
      <w:r w:rsidR="00EE023A" w:rsidRPr="008A3740">
        <w:rPr>
          <w:rFonts w:ascii="Verdana" w:hAnsi="Verdana"/>
          <w:sz w:val="20"/>
          <w:szCs w:val="20"/>
          <w:lang w:val="en-US"/>
        </w:rPr>
        <w:t xml:space="preserve"> a form of r</w:t>
      </w:r>
      <w:r w:rsidR="008E6A56" w:rsidRPr="008A3740">
        <w:rPr>
          <w:rFonts w:ascii="Verdana" w:hAnsi="Verdana"/>
          <w:sz w:val="20"/>
          <w:szCs w:val="20"/>
          <w:lang w:val="en-US"/>
        </w:rPr>
        <w:t>eparation,</w:t>
      </w:r>
      <w:r w:rsidR="008E6A56" w:rsidRPr="008A3740">
        <w:rPr>
          <w:rStyle w:val="Refdenotaalpie"/>
          <w:szCs w:val="20"/>
          <w:lang w:val="en-US"/>
        </w:rPr>
        <w:footnoteReference w:id="244"/>
      </w:r>
      <w:r w:rsidR="008E6A56" w:rsidRPr="008A3740">
        <w:rPr>
          <w:rFonts w:ascii="Verdana" w:hAnsi="Verdana"/>
          <w:sz w:val="20"/>
          <w:szCs w:val="20"/>
          <w:lang w:val="en-US"/>
        </w:rPr>
        <w:t xml:space="preserve"> and </w:t>
      </w:r>
      <w:r w:rsidR="00EE023A" w:rsidRPr="008A3740">
        <w:rPr>
          <w:rFonts w:ascii="Verdana" w:hAnsi="Verdana"/>
          <w:sz w:val="20"/>
          <w:szCs w:val="20"/>
          <w:lang w:val="en-US"/>
        </w:rPr>
        <w:t xml:space="preserve">reiterates this point </w:t>
      </w:r>
      <w:r w:rsidR="00A30553" w:rsidRPr="008A3740">
        <w:rPr>
          <w:rFonts w:ascii="Verdana" w:hAnsi="Verdana"/>
          <w:sz w:val="20"/>
          <w:szCs w:val="20"/>
          <w:lang w:val="en-US"/>
        </w:rPr>
        <w:t xml:space="preserve">once again </w:t>
      </w:r>
      <w:r w:rsidR="008E6A56" w:rsidRPr="008A3740">
        <w:rPr>
          <w:rFonts w:ascii="Verdana" w:hAnsi="Verdana"/>
          <w:sz w:val="20"/>
          <w:szCs w:val="20"/>
          <w:lang w:val="en-US"/>
        </w:rPr>
        <w:t>in the instant case</w:t>
      </w:r>
      <w:r w:rsidRPr="008A3740">
        <w:rPr>
          <w:rFonts w:ascii="Verdana" w:hAnsi="Verdana"/>
          <w:sz w:val="20"/>
          <w:szCs w:val="20"/>
          <w:lang w:val="en-US"/>
        </w:rPr>
        <w:t>, it</w:t>
      </w:r>
      <w:r w:rsidR="00EE023A" w:rsidRPr="008A3740">
        <w:rPr>
          <w:rFonts w:ascii="Verdana" w:hAnsi="Verdana"/>
          <w:sz w:val="20"/>
          <w:szCs w:val="20"/>
          <w:lang w:val="en-US"/>
        </w:rPr>
        <w:t xml:space="preserve"> </w:t>
      </w:r>
      <w:r w:rsidR="008E6A56" w:rsidRPr="008A3740">
        <w:rPr>
          <w:rFonts w:ascii="Verdana" w:hAnsi="Verdana"/>
          <w:sz w:val="20"/>
          <w:szCs w:val="20"/>
          <w:lang w:val="en-US"/>
        </w:rPr>
        <w:t xml:space="preserve">considers that the uncertainty, anguish and suffering </w:t>
      </w:r>
      <w:r w:rsidR="00EE023A" w:rsidRPr="008A3740">
        <w:rPr>
          <w:rFonts w:ascii="Verdana" w:hAnsi="Verdana"/>
          <w:sz w:val="20"/>
          <w:szCs w:val="20"/>
          <w:lang w:val="en-US"/>
        </w:rPr>
        <w:t>inflicted on Mr. Muelle Flores</w:t>
      </w:r>
      <w:r w:rsidR="008E6A56" w:rsidRPr="008A3740">
        <w:rPr>
          <w:rFonts w:ascii="Verdana" w:hAnsi="Verdana"/>
          <w:sz w:val="20"/>
          <w:szCs w:val="20"/>
          <w:lang w:val="en-US"/>
        </w:rPr>
        <w:t xml:space="preserve"> </w:t>
      </w:r>
      <w:r w:rsidR="00EE023A" w:rsidRPr="008A3740">
        <w:rPr>
          <w:rFonts w:ascii="Verdana" w:hAnsi="Verdana"/>
          <w:sz w:val="20"/>
          <w:szCs w:val="20"/>
          <w:lang w:val="en-US"/>
        </w:rPr>
        <w:lastRenderedPageBreak/>
        <w:t>by the failure to e</w:t>
      </w:r>
      <w:r w:rsidR="00A30553" w:rsidRPr="008A3740">
        <w:rPr>
          <w:rFonts w:ascii="Verdana" w:hAnsi="Verdana"/>
          <w:sz w:val="20"/>
          <w:szCs w:val="20"/>
          <w:lang w:val="en-US"/>
        </w:rPr>
        <w:t xml:space="preserve">xecute </w:t>
      </w:r>
      <w:r w:rsidR="008E6A56" w:rsidRPr="008A3740">
        <w:rPr>
          <w:rFonts w:ascii="Verdana" w:hAnsi="Verdana"/>
          <w:sz w:val="20"/>
          <w:szCs w:val="20"/>
          <w:lang w:val="en-US"/>
        </w:rPr>
        <w:t xml:space="preserve">the </w:t>
      </w:r>
      <w:r w:rsidR="00EE023A" w:rsidRPr="008A3740">
        <w:rPr>
          <w:rFonts w:ascii="Verdana" w:hAnsi="Verdana"/>
          <w:sz w:val="20"/>
          <w:szCs w:val="20"/>
          <w:lang w:val="en-US"/>
        </w:rPr>
        <w:t>judicial rulings issued in his favor</w:t>
      </w:r>
      <w:r w:rsidR="008E6A56" w:rsidRPr="008A3740">
        <w:rPr>
          <w:rFonts w:ascii="Verdana" w:hAnsi="Verdana"/>
          <w:sz w:val="20"/>
          <w:szCs w:val="20"/>
          <w:lang w:val="en-US"/>
        </w:rPr>
        <w:t xml:space="preserve"> </w:t>
      </w:r>
      <w:r w:rsidR="00766978" w:rsidRPr="008A3740">
        <w:rPr>
          <w:rFonts w:ascii="Verdana" w:hAnsi="Verdana"/>
          <w:sz w:val="20"/>
          <w:szCs w:val="20"/>
          <w:lang w:val="en-US"/>
        </w:rPr>
        <w:t xml:space="preserve">determines </w:t>
      </w:r>
      <w:r w:rsidR="00EE023A" w:rsidRPr="008A3740">
        <w:rPr>
          <w:rFonts w:ascii="Verdana" w:hAnsi="Verdana"/>
          <w:sz w:val="20"/>
          <w:szCs w:val="20"/>
          <w:lang w:val="en-US"/>
        </w:rPr>
        <w:t xml:space="preserve">the existence of </w:t>
      </w:r>
      <w:r w:rsidR="008E6A56" w:rsidRPr="008A3740">
        <w:rPr>
          <w:rFonts w:ascii="Verdana" w:hAnsi="Verdana"/>
          <w:sz w:val="20"/>
          <w:szCs w:val="20"/>
          <w:lang w:val="en-US"/>
        </w:rPr>
        <w:t xml:space="preserve">non-pecuniary damage </w:t>
      </w:r>
      <w:r w:rsidR="00041035" w:rsidRPr="008A3740">
        <w:rPr>
          <w:rFonts w:ascii="Verdana" w:hAnsi="Verdana"/>
          <w:sz w:val="20"/>
          <w:szCs w:val="20"/>
          <w:lang w:val="en-US"/>
        </w:rPr>
        <w:t xml:space="preserve">that can be repaired </w:t>
      </w:r>
      <w:r w:rsidR="00041035" w:rsidRPr="008A3740">
        <w:rPr>
          <w:rFonts w:ascii="Verdana" w:hAnsi="Verdana" w:cs="Verdana"/>
          <w:sz w:val="20"/>
          <w:szCs w:val="20"/>
          <w:lang w:val="en-US" w:eastAsia="es-CL"/>
        </w:rPr>
        <w:t xml:space="preserve">through </w:t>
      </w:r>
      <w:r w:rsidR="008E6A56" w:rsidRPr="008A3740">
        <w:rPr>
          <w:rFonts w:ascii="Verdana" w:hAnsi="Verdana" w:cs="Verdana"/>
          <w:sz w:val="20"/>
          <w:szCs w:val="20"/>
          <w:lang w:val="en-US" w:eastAsia="es-CL"/>
        </w:rPr>
        <w:t xml:space="preserve">compensation, </w:t>
      </w:r>
      <w:r w:rsidR="00766978" w:rsidRPr="008A3740">
        <w:rPr>
          <w:rFonts w:ascii="Verdana" w:hAnsi="Verdana" w:cs="Verdana"/>
          <w:sz w:val="20"/>
          <w:szCs w:val="20"/>
          <w:lang w:val="en-US" w:eastAsia="es-CL"/>
        </w:rPr>
        <w:t xml:space="preserve">in accordance with </w:t>
      </w:r>
      <w:r w:rsidR="008E6A56" w:rsidRPr="008A3740">
        <w:rPr>
          <w:rFonts w:ascii="Verdana" w:hAnsi="Verdana" w:cs="Verdana"/>
          <w:sz w:val="20"/>
          <w:szCs w:val="20"/>
          <w:lang w:val="en-US" w:eastAsia="es-CL"/>
        </w:rPr>
        <w:t>equity.</w:t>
      </w:r>
      <w:r w:rsidR="008E6A56" w:rsidRPr="008A3740">
        <w:rPr>
          <w:rStyle w:val="Refdenotaalpie"/>
          <w:rFonts w:cs="Verdana"/>
          <w:szCs w:val="20"/>
          <w:lang w:val="en-US" w:eastAsia="es-CL"/>
        </w:rPr>
        <w:footnoteReference w:id="245"/>
      </w:r>
      <w:r w:rsidR="008E6A56" w:rsidRPr="008A3740">
        <w:rPr>
          <w:rFonts w:ascii="Verdana" w:hAnsi="Verdana" w:cs="Verdana"/>
          <w:sz w:val="20"/>
          <w:szCs w:val="20"/>
          <w:lang w:val="en-US" w:eastAsia="es-CL"/>
        </w:rPr>
        <w:t xml:space="preserve"> Therefore, </w:t>
      </w:r>
      <w:r w:rsidR="00041035" w:rsidRPr="008A3740">
        <w:rPr>
          <w:rFonts w:ascii="Verdana" w:hAnsi="Verdana"/>
          <w:sz w:val="20"/>
          <w:szCs w:val="20"/>
          <w:lang w:val="en-US"/>
        </w:rPr>
        <w:t>the Court sets in equity</w:t>
      </w:r>
      <w:r w:rsidR="008E6A56" w:rsidRPr="008A3740">
        <w:rPr>
          <w:rFonts w:ascii="Verdana" w:hAnsi="Verdana"/>
          <w:sz w:val="20"/>
          <w:szCs w:val="20"/>
          <w:lang w:val="en-US"/>
        </w:rPr>
        <w:t xml:space="preserve"> the </w:t>
      </w:r>
      <w:r w:rsidR="00041035" w:rsidRPr="008A3740">
        <w:rPr>
          <w:rFonts w:ascii="Verdana" w:hAnsi="Verdana"/>
          <w:sz w:val="20"/>
          <w:szCs w:val="20"/>
          <w:lang w:val="en-US"/>
        </w:rPr>
        <w:t xml:space="preserve">sum </w:t>
      </w:r>
      <w:r w:rsidR="008E6A56" w:rsidRPr="008A3740">
        <w:rPr>
          <w:rFonts w:ascii="Verdana" w:hAnsi="Verdana"/>
          <w:sz w:val="20"/>
          <w:szCs w:val="20"/>
          <w:lang w:val="en-US"/>
        </w:rPr>
        <w:t>of US$ 7,000.00 (seven thousand United States dollars)</w:t>
      </w:r>
      <w:r w:rsidR="00041035" w:rsidRPr="008A3740">
        <w:rPr>
          <w:rFonts w:ascii="Verdana" w:hAnsi="Verdana"/>
          <w:sz w:val="20"/>
          <w:szCs w:val="20"/>
          <w:lang w:val="en-US"/>
        </w:rPr>
        <w:t>, as compensation for non-pecuniary damage, in</w:t>
      </w:r>
      <w:r w:rsidR="008E6A56" w:rsidRPr="008A3740">
        <w:rPr>
          <w:rFonts w:ascii="Verdana" w:hAnsi="Verdana"/>
          <w:sz w:val="20"/>
          <w:szCs w:val="20"/>
          <w:lang w:val="en-US"/>
        </w:rPr>
        <w:t xml:space="preserve"> favor of Mr. Oscar Muelle Flores. The State must pay this amount within six months </w:t>
      </w:r>
      <w:r w:rsidR="00766978" w:rsidRPr="008A3740">
        <w:rPr>
          <w:rFonts w:ascii="Verdana" w:hAnsi="Verdana"/>
          <w:sz w:val="20"/>
          <w:szCs w:val="20"/>
          <w:lang w:val="en-US"/>
        </w:rPr>
        <w:t xml:space="preserve">of </w:t>
      </w:r>
      <w:r w:rsidR="008E6A56" w:rsidRPr="008A3740">
        <w:rPr>
          <w:rFonts w:ascii="Verdana" w:hAnsi="Verdana"/>
          <w:sz w:val="20"/>
          <w:szCs w:val="20"/>
          <w:lang w:val="en-US"/>
        </w:rPr>
        <w:t xml:space="preserve">notification of this Judgment. </w:t>
      </w:r>
    </w:p>
    <w:p w14:paraId="199A6F82" w14:textId="77777777" w:rsidR="008E6A56" w:rsidRPr="008A3740" w:rsidRDefault="008E6A56" w:rsidP="008E6A56">
      <w:pPr>
        <w:tabs>
          <w:tab w:val="left" w:pos="567"/>
        </w:tabs>
        <w:textAlignment w:val="auto"/>
        <w:rPr>
          <w:rFonts w:ascii="Verdana" w:eastAsia="MS Mincho" w:hAnsi="Verdana" w:cs="Tahoma"/>
          <w:sz w:val="20"/>
          <w:szCs w:val="20"/>
          <w:lang w:val="en-US"/>
        </w:rPr>
      </w:pPr>
    </w:p>
    <w:p w14:paraId="54B47C15" w14:textId="77777777" w:rsidR="008E6A56" w:rsidRPr="008A3740" w:rsidRDefault="008E6A56" w:rsidP="008E6A56">
      <w:pPr>
        <w:pStyle w:val="Ttulo2"/>
        <w:tabs>
          <w:tab w:val="clear" w:pos="360"/>
        </w:tabs>
        <w:ind w:hanging="360"/>
        <w:rPr>
          <w:lang w:val="en-US"/>
        </w:rPr>
      </w:pPr>
      <w:r w:rsidRPr="008A3740">
        <w:rPr>
          <w:lang w:val="en-US"/>
        </w:rPr>
        <w:t>Costs and expenses</w:t>
      </w:r>
    </w:p>
    <w:p w14:paraId="2B0911C3" w14:textId="77777777" w:rsidR="008E6A56" w:rsidRPr="008A3740" w:rsidRDefault="008E6A56" w:rsidP="008E6A56">
      <w:pPr>
        <w:tabs>
          <w:tab w:val="left" w:pos="1995"/>
        </w:tabs>
        <w:ind w:left="142"/>
        <w:rPr>
          <w:rFonts w:ascii="Verdana" w:hAnsi="Verdana"/>
          <w:sz w:val="20"/>
          <w:szCs w:val="20"/>
          <w:lang w:val="en-US"/>
        </w:rPr>
      </w:pPr>
    </w:p>
    <w:p w14:paraId="15FB4168" w14:textId="77777777" w:rsidR="008E6A56" w:rsidRPr="008A3740" w:rsidRDefault="008E6A56" w:rsidP="00D17A65">
      <w:pPr>
        <w:numPr>
          <w:ilvl w:val="0"/>
          <w:numId w:val="3"/>
        </w:numPr>
        <w:tabs>
          <w:tab w:val="left" w:pos="567"/>
          <w:tab w:val="num" w:pos="5057"/>
        </w:tabs>
        <w:ind w:left="0" w:firstLine="0"/>
        <w:textAlignment w:val="auto"/>
        <w:rPr>
          <w:rFonts w:ascii="Verdana" w:hAnsi="Verdana"/>
          <w:sz w:val="20"/>
          <w:szCs w:val="20"/>
          <w:lang w:val="en-US"/>
        </w:rPr>
      </w:pPr>
      <w:r w:rsidRPr="008A3740">
        <w:rPr>
          <w:rFonts w:ascii="Verdana" w:eastAsia="MS Mincho" w:hAnsi="Verdana"/>
          <w:sz w:val="20"/>
          <w:szCs w:val="20"/>
          <w:lang w:val="en-US" w:bidi="en-US"/>
        </w:rPr>
        <w:t xml:space="preserve">The </w:t>
      </w:r>
      <w:r w:rsidRPr="008A3740">
        <w:rPr>
          <w:rFonts w:ascii="Verdana" w:eastAsia="MS Mincho" w:hAnsi="Verdana"/>
          <w:b/>
          <w:i/>
          <w:sz w:val="20"/>
          <w:szCs w:val="20"/>
          <w:lang w:val="en-US" w:bidi="en-US"/>
        </w:rPr>
        <w:t>representatives</w:t>
      </w:r>
      <w:r w:rsidRPr="008A3740">
        <w:rPr>
          <w:rFonts w:ascii="Verdana" w:eastAsia="MS Mincho" w:hAnsi="Verdana"/>
          <w:b/>
          <w:sz w:val="20"/>
          <w:szCs w:val="20"/>
          <w:lang w:val="en-US" w:bidi="en-US"/>
        </w:rPr>
        <w:t xml:space="preserve"> </w:t>
      </w:r>
      <w:r w:rsidRPr="008A3740">
        <w:rPr>
          <w:rFonts w:ascii="Verdana" w:hAnsi="Verdana"/>
          <w:sz w:val="20"/>
          <w:szCs w:val="20"/>
          <w:lang w:val="en-US"/>
        </w:rPr>
        <w:t>asked the Court to order</w:t>
      </w:r>
      <w:r w:rsidRPr="008A3740">
        <w:rPr>
          <w:rFonts w:ascii="Verdana" w:eastAsia="Verdana" w:hAnsi="Verdana" w:cs="Verdana"/>
          <w:sz w:val="20"/>
          <w:szCs w:val="20"/>
          <w:lang w:val="en-US"/>
        </w:rPr>
        <w:t xml:space="preserve"> the State to pay the costs and expenses </w:t>
      </w:r>
      <w:r w:rsidRPr="008A3740">
        <w:rPr>
          <w:rFonts w:ascii="Verdana" w:hAnsi="Verdana"/>
          <w:sz w:val="20"/>
          <w:szCs w:val="20"/>
          <w:lang w:val="en-US"/>
        </w:rPr>
        <w:t xml:space="preserve">incurred in bringing the case before </w:t>
      </w:r>
      <w:r w:rsidRPr="008A3740">
        <w:rPr>
          <w:rFonts w:ascii="Verdana" w:eastAsia="Verdana" w:hAnsi="Verdana" w:cs="Verdana"/>
          <w:sz w:val="20"/>
          <w:szCs w:val="20"/>
          <w:lang w:val="en-US"/>
        </w:rPr>
        <w:t>the domestic courts and before the inter-American system.</w:t>
      </w:r>
      <w:r w:rsidRPr="008A3740">
        <w:rPr>
          <w:rFonts w:ascii="Verdana" w:hAnsi="Verdana"/>
          <w:sz w:val="20"/>
          <w:szCs w:val="20"/>
          <w:lang w:val="en-US"/>
        </w:rPr>
        <w:t xml:space="preserve"> In particular, </w:t>
      </w:r>
      <w:r w:rsidR="00041035" w:rsidRPr="008A3740">
        <w:rPr>
          <w:rFonts w:ascii="Verdana" w:hAnsi="Verdana"/>
          <w:sz w:val="20"/>
          <w:szCs w:val="20"/>
          <w:lang w:val="en-US"/>
        </w:rPr>
        <w:t xml:space="preserve">they asked </w:t>
      </w:r>
      <w:r w:rsidRPr="008A3740">
        <w:rPr>
          <w:rFonts w:ascii="Verdana" w:hAnsi="Verdana"/>
          <w:sz w:val="20"/>
          <w:szCs w:val="20"/>
          <w:lang w:val="en-US"/>
        </w:rPr>
        <w:t xml:space="preserve">the Court </w:t>
      </w:r>
      <w:r w:rsidR="00041035" w:rsidRPr="008A3740">
        <w:rPr>
          <w:rFonts w:ascii="Verdana" w:hAnsi="Verdana"/>
          <w:sz w:val="20"/>
          <w:szCs w:val="20"/>
          <w:lang w:val="en-US"/>
        </w:rPr>
        <w:t xml:space="preserve">to </w:t>
      </w:r>
      <w:r w:rsidRPr="008A3740">
        <w:rPr>
          <w:rFonts w:ascii="Verdana" w:hAnsi="Verdana"/>
          <w:sz w:val="20"/>
          <w:szCs w:val="20"/>
          <w:lang w:val="en-US"/>
        </w:rPr>
        <w:t xml:space="preserve">order </w:t>
      </w:r>
      <w:r w:rsidR="00041035" w:rsidRPr="008A3740">
        <w:rPr>
          <w:rFonts w:ascii="Verdana" w:hAnsi="Verdana"/>
          <w:sz w:val="20"/>
          <w:szCs w:val="20"/>
          <w:lang w:val="en-US"/>
        </w:rPr>
        <w:t xml:space="preserve">the </w:t>
      </w:r>
      <w:r w:rsidRPr="008A3740">
        <w:rPr>
          <w:rFonts w:ascii="Verdana" w:hAnsi="Verdana"/>
          <w:sz w:val="20"/>
          <w:szCs w:val="20"/>
          <w:lang w:val="en-US"/>
        </w:rPr>
        <w:t xml:space="preserve">reimbursement of </w:t>
      </w:r>
      <w:r w:rsidR="00041035" w:rsidRPr="008A3740">
        <w:rPr>
          <w:rFonts w:ascii="Verdana" w:hAnsi="Verdana"/>
          <w:sz w:val="20"/>
          <w:szCs w:val="20"/>
          <w:lang w:val="en-US"/>
        </w:rPr>
        <w:t xml:space="preserve">expenses incurred by the victim </w:t>
      </w:r>
      <w:r w:rsidRPr="008A3740">
        <w:rPr>
          <w:rFonts w:ascii="Verdana" w:hAnsi="Verdana"/>
          <w:sz w:val="20"/>
          <w:szCs w:val="20"/>
          <w:lang w:val="en-US"/>
        </w:rPr>
        <w:t xml:space="preserve">in </w:t>
      </w:r>
      <w:r w:rsidR="00041035" w:rsidRPr="008A3740">
        <w:rPr>
          <w:rFonts w:ascii="Verdana" w:hAnsi="Verdana"/>
          <w:sz w:val="20"/>
          <w:szCs w:val="20"/>
          <w:lang w:val="en-US"/>
        </w:rPr>
        <w:t xml:space="preserve">the course of </w:t>
      </w:r>
      <w:r w:rsidRPr="008A3740">
        <w:rPr>
          <w:rFonts w:ascii="Verdana" w:hAnsi="Verdana"/>
          <w:sz w:val="20"/>
          <w:szCs w:val="20"/>
          <w:lang w:val="en-US"/>
        </w:rPr>
        <w:t xml:space="preserve">the domestic judicial proceedings, the </w:t>
      </w:r>
      <w:r w:rsidR="00041035" w:rsidRPr="008A3740">
        <w:rPr>
          <w:rFonts w:ascii="Verdana" w:hAnsi="Verdana"/>
          <w:sz w:val="20"/>
          <w:szCs w:val="20"/>
          <w:lang w:val="en-US"/>
        </w:rPr>
        <w:t>la</w:t>
      </w:r>
      <w:r w:rsidR="00766978" w:rsidRPr="008A3740">
        <w:rPr>
          <w:rFonts w:ascii="Verdana" w:hAnsi="Verdana"/>
          <w:sz w:val="20"/>
          <w:szCs w:val="20"/>
          <w:lang w:val="en-US"/>
        </w:rPr>
        <w:t>w</w:t>
      </w:r>
      <w:r w:rsidR="00041035" w:rsidRPr="008A3740">
        <w:rPr>
          <w:rFonts w:ascii="Verdana" w:hAnsi="Verdana"/>
          <w:sz w:val="20"/>
          <w:szCs w:val="20"/>
          <w:lang w:val="en-US"/>
        </w:rPr>
        <w:t xml:space="preserve">yers’ </w:t>
      </w:r>
      <w:r w:rsidRPr="008A3740">
        <w:rPr>
          <w:rFonts w:ascii="Verdana" w:hAnsi="Verdana"/>
          <w:sz w:val="20"/>
          <w:szCs w:val="20"/>
          <w:lang w:val="en-US"/>
        </w:rPr>
        <w:t xml:space="preserve">fees </w:t>
      </w:r>
      <w:r w:rsidR="00BC10C5" w:rsidRPr="008A3740">
        <w:rPr>
          <w:rFonts w:ascii="Verdana" w:hAnsi="Verdana"/>
          <w:sz w:val="20"/>
          <w:szCs w:val="20"/>
          <w:lang w:val="en-US"/>
        </w:rPr>
        <w:t xml:space="preserve">for </w:t>
      </w:r>
      <w:r w:rsidR="00041035" w:rsidRPr="008A3740">
        <w:rPr>
          <w:rFonts w:ascii="Verdana" w:hAnsi="Verdana"/>
          <w:sz w:val="20"/>
          <w:szCs w:val="20"/>
          <w:lang w:val="en-US"/>
        </w:rPr>
        <w:t>litigation</w:t>
      </w:r>
      <w:r w:rsidRPr="008A3740">
        <w:rPr>
          <w:rFonts w:ascii="Verdana" w:hAnsi="Verdana"/>
          <w:sz w:val="20"/>
          <w:szCs w:val="20"/>
          <w:lang w:val="en-US"/>
        </w:rPr>
        <w:t>, a</w:t>
      </w:r>
      <w:r w:rsidR="00041035" w:rsidRPr="008A3740">
        <w:rPr>
          <w:rFonts w:ascii="Verdana" w:hAnsi="Verdana"/>
          <w:sz w:val="20"/>
          <w:szCs w:val="20"/>
          <w:lang w:val="en-US"/>
        </w:rPr>
        <w:t xml:space="preserve">nd </w:t>
      </w:r>
      <w:r w:rsidRPr="008A3740">
        <w:rPr>
          <w:rFonts w:ascii="Verdana" w:hAnsi="Verdana"/>
          <w:sz w:val="20"/>
          <w:szCs w:val="20"/>
          <w:lang w:val="en-US"/>
        </w:rPr>
        <w:t xml:space="preserve">the costs of </w:t>
      </w:r>
      <w:r w:rsidR="00041035" w:rsidRPr="008A3740">
        <w:rPr>
          <w:rFonts w:ascii="Verdana" w:hAnsi="Verdana"/>
          <w:sz w:val="20"/>
          <w:szCs w:val="20"/>
          <w:lang w:val="en-US"/>
        </w:rPr>
        <w:t xml:space="preserve">sending </w:t>
      </w:r>
      <w:r w:rsidRPr="008A3740">
        <w:rPr>
          <w:rFonts w:ascii="Verdana" w:hAnsi="Verdana"/>
          <w:sz w:val="20"/>
          <w:szCs w:val="20"/>
          <w:lang w:val="en-US"/>
        </w:rPr>
        <w:t>doc</w:t>
      </w:r>
      <w:r w:rsidR="00041035" w:rsidRPr="008A3740">
        <w:rPr>
          <w:rFonts w:ascii="Verdana" w:hAnsi="Verdana"/>
          <w:sz w:val="20"/>
          <w:szCs w:val="20"/>
          <w:lang w:val="en-US"/>
        </w:rPr>
        <w:t>uments to</w:t>
      </w:r>
      <w:r w:rsidRPr="008A3740">
        <w:rPr>
          <w:rFonts w:ascii="Verdana" w:hAnsi="Verdana"/>
          <w:sz w:val="20"/>
          <w:szCs w:val="20"/>
          <w:lang w:val="en-US"/>
        </w:rPr>
        <w:t xml:space="preserve"> the Commission. </w:t>
      </w:r>
      <w:r w:rsidR="00041035" w:rsidRPr="008A3740">
        <w:rPr>
          <w:rFonts w:ascii="Verdana" w:hAnsi="Verdana"/>
          <w:sz w:val="20"/>
          <w:szCs w:val="20"/>
          <w:lang w:val="en-US"/>
        </w:rPr>
        <w:t xml:space="preserve">They explained that, given the long period </w:t>
      </w:r>
      <w:r w:rsidR="00766978" w:rsidRPr="008A3740">
        <w:rPr>
          <w:rFonts w:ascii="Verdana" w:hAnsi="Verdana"/>
          <w:sz w:val="20"/>
          <w:szCs w:val="20"/>
          <w:lang w:val="en-US"/>
        </w:rPr>
        <w:t xml:space="preserve">of time </w:t>
      </w:r>
      <w:r w:rsidR="00041035" w:rsidRPr="008A3740">
        <w:rPr>
          <w:rFonts w:ascii="Verdana" w:hAnsi="Verdana"/>
          <w:sz w:val="20"/>
          <w:szCs w:val="20"/>
          <w:lang w:val="en-US"/>
        </w:rPr>
        <w:t xml:space="preserve">that had </w:t>
      </w:r>
      <w:r w:rsidRPr="008A3740">
        <w:rPr>
          <w:rFonts w:ascii="Verdana" w:hAnsi="Verdana"/>
          <w:sz w:val="20"/>
          <w:szCs w:val="20"/>
          <w:lang w:val="en-US"/>
        </w:rPr>
        <w:t>elapsed</w:t>
      </w:r>
      <w:r w:rsidR="00041035" w:rsidRPr="008A3740">
        <w:rPr>
          <w:rFonts w:ascii="Verdana" w:hAnsi="Verdana"/>
          <w:sz w:val="20"/>
          <w:szCs w:val="20"/>
          <w:lang w:val="en-US"/>
        </w:rPr>
        <w:t xml:space="preserve">, it was not </w:t>
      </w:r>
      <w:r w:rsidRPr="008A3740">
        <w:rPr>
          <w:rFonts w:ascii="Verdana" w:hAnsi="Verdana"/>
          <w:sz w:val="20"/>
          <w:szCs w:val="20"/>
          <w:lang w:val="en-US"/>
        </w:rPr>
        <w:t xml:space="preserve">possible to specify the exact amount of those expenses </w:t>
      </w:r>
      <w:r w:rsidR="00041035" w:rsidRPr="008A3740">
        <w:rPr>
          <w:rFonts w:ascii="Verdana" w:hAnsi="Verdana"/>
          <w:sz w:val="20"/>
          <w:szCs w:val="20"/>
          <w:lang w:val="en-US"/>
        </w:rPr>
        <w:t xml:space="preserve">since </w:t>
      </w:r>
      <w:r w:rsidRPr="008A3740">
        <w:rPr>
          <w:rFonts w:ascii="Verdana" w:hAnsi="Verdana"/>
          <w:sz w:val="20"/>
          <w:szCs w:val="20"/>
          <w:lang w:val="en-US"/>
        </w:rPr>
        <w:t xml:space="preserve">the receipts </w:t>
      </w:r>
      <w:r w:rsidR="00041035" w:rsidRPr="008A3740">
        <w:rPr>
          <w:rFonts w:ascii="Verdana" w:hAnsi="Verdana"/>
          <w:sz w:val="20"/>
          <w:szCs w:val="20"/>
          <w:lang w:val="en-US"/>
        </w:rPr>
        <w:t xml:space="preserve">had been </w:t>
      </w:r>
      <w:r w:rsidRPr="008A3740">
        <w:rPr>
          <w:rFonts w:ascii="Verdana" w:hAnsi="Verdana"/>
          <w:sz w:val="20"/>
          <w:szCs w:val="20"/>
          <w:lang w:val="en-US"/>
        </w:rPr>
        <w:t xml:space="preserve">mislaid. Nevertheless, they requested that, </w:t>
      </w:r>
      <w:r w:rsidR="00041035" w:rsidRPr="008A3740">
        <w:rPr>
          <w:rFonts w:ascii="Verdana" w:hAnsi="Verdana"/>
          <w:sz w:val="20"/>
          <w:szCs w:val="20"/>
          <w:lang w:val="en-US"/>
        </w:rPr>
        <w:t xml:space="preserve">in light of the </w:t>
      </w:r>
      <w:r w:rsidRPr="008A3740">
        <w:rPr>
          <w:rFonts w:ascii="Verdana" w:hAnsi="Verdana"/>
          <w:sz w:val="20"/>
          <w:szCs w:val="20"/>
          <w:lang w:val="en-US"/>
        </w:rPr>
        <w:t>Court</w:t>
      </w:r>
      <w:r w:rsidR="00041035" w:rsidRPr="008A3740">
        <w:rPr>
          <w:rFonts w:ascii="Verdana" w:hAnsi="Verdana"/>
          <w:sz w:val="20"/>
          <w:szCs w:val="20"/>
          <w:lang w:val="en-US"/>
        </w:rPr>
        <w:t>’s rulings on</w:t>
      </w:r>
      <w:r w:rsidRPr="008A3740">
        <w:rPr>
          <w:rFonts w:ascii="Verdana" w:hAnsi="Verdana"/>
          <w:sz w:val="20"/>
          <w:szCs w:val="20"/>
          <w:lang w:val="en-US"/>
        </w:rPr>
        <w:t xml:space="preserve"> other o</w:t>
      </w:r>
      <w:r w:rsidR="00041035" w:rsidRPr="008A3740">
        <w:rPr>
          <w:rFonts w:ascii="Verdana" w:hAnsi="Verdana"/>
          <w:sz w:val="20"/>
          <w:szCs w:val="20"/>
          <w:lang w:val="en-US"/>
        </w:rPr>
        <w:t>ccasions</w:t>
      </w:r>
      <w:r w:rsidRPr="008A3740">
        <w:rPr>
          <w:rFonts w:ascii="Verdana" w:hAnsi="Verdana"/>
          <w:sz w:val="20"/>
          <w:szCs w:val="20"/>
          <w:lang w:val="en-US"/>
        </w:rPr>
        <w:t xml:space="preserve">, </w:t>
      </w:r>
      <w:r w:rsidR="00592F1B" w:rsidRPr="008A3740">
        <w:rPr>
          <w:rFonts w:ascii="Verdana" w:hAnsi="Verdana"/>
          <w:sz w:val="20"/>
          <w:szCs w:val="20"/>
          <w:lang w:val="en-US"/>
        </w:rPr>
        <w:t>the</w:t>
      </w:r>
      <w:r w:rsidR="00041035" w:rsidRPr="008A3740">
        <w:rPr>
          <w:rFonts w:ascii="Verdana" w:hAnsi="Verdana"/>
          <w:sz w:val="20"/>
          <w:szCs w:val="20"/>
          <w:lang w:val="en-US"/>
        </w:rPr>
        <w:t xml:space="preserve"> expenses </w:t>
      </w:r>
      <w:r w:rsidR="00592F1B" w:rsidRPr="008A3740">
        <w:rPr>
          <w:rFonts w:ascii="Verdana" w:hAnsi="Verdana"/>
          <w:sz w:val="20"/>
          <w:szCs w:val="20"/>
          <w:lang w:val="en-US"/>
        </w:rPr>
        <w:t xml:space="preserve">incurred </w:t>
      </w:r>
      <w:r w:rsidR="00041035" w:rsidRPr="008A3740">
        <w:rPr>
          <w:rFonts w:ascii="Verdana" w:hAnsi="Verdana"/>
          <w:sz w:val="20"/>
          <w:szCs w:val="20"/>
          <w:lang w:val="en-US"/>
        </w:rPr>
        <w:t xml:space="preserve">be </w:t>
      </w:r>
      <w:r w:rsidR="00592F1B" w:rsidRPr="008A3740">
        <w:rPr>
          <w:rFonts w:ascii="Verdana" w:hAnsi="Verdana"/>
          <w:sz w:val="20"/>
          <w:szCs w:val="20"/>
          <w:lang w:val="en-US"/>
        </w:rPr>
        <w:t xml:space="preserve">recognized, in </w:t>
      </w:r>
      <w:r w:rsidRPr="008A3740">
        <w:rPr>
          <w:rFonts w:ascii="Verdana" w:hAnsi="Verdana"/>
          <w:sz w:val="20"/>
          <w:szCs w:val="20"/>
          <w:lang w:val="en-US"/>
        </w:rPr>
        <w:t xml:space="preserve">equity. </w:t>
      </w:r>
    </w:p>
    <w:p w14:paraId="6308E4E8" w14:textId="77777777" w:rsidR="008E6A56" w:rsidRPr="008A3740" w:rsidRDefault="008E6A56" w:rsidP="008E6A56">
      <w:pPr>
        <w:pStyle w:val="Prrafodelista"/>
        <w:ind w:left="0"/>
        <w:rPr>
          <w:rFonts w:ascii="Verdana" w:hAnsi="Verdana"/>
          <w:b/>
          <w:sz w:val="20"/>
          <w:szCs w:val="20"/>
          <w:lang w:val="en-US"/>
        </w:rPr>
      </w:pPr>
    </w:p>
    <w:p w14:paraId="674285F9" w14:textId="77777777" w:rsidR="008E6A56" w:rsidRPr="008A3740" w:rsidRDefault="008E6A56" w:rsidP="00D17A65">
      <w:pPr>
        <w:numPr>
          <w:ilvl w:val="0"/>
          <w:numId w:val="3"/>
        </w:numPr>
        <w:tabs>
          <w:tab w:val="left" w:pos="567"/>
          <w:tab w:val="num" w:pos="5057"/>
        </w:tabs>
        <w:ind w:left="0" w:firstLine="0"/>
        <w:textAlignment w:val="auto"/>
        <w:rPr>
          <w:rFonts w:ascii="Verdana" w:hAnsi="Verdana"/>
          <w:b/>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State</w:t>
      </w:r>
      <w:r w:rsidRPr="008A3740">
        <w:rPr>
          <w:rFonts w:ascii="Verdana" w:hAnsi="Verdana"/>
          <w:sz w:val="20"/>
          <w:szCs w:val="20"/>
          <w:lang w:val="en-US"/>
        </w:rPr>
        <w:t xml:space="preserve"> </w:t>
      </w:r>
      <w:r w:rsidR="00142101" w:rsidRPr="008A3740">
        <w:rPr>
          <w:rFonts w:ascii="Verdana" w:hAnsi="Verdana"/>
          <w:sz w:val="20"/>
          <w:szCs w:val="20"/>
          <w:lang w:val="en-US"/>
        </w:rPr>
        <w:t xml:space="preserve">pointed out </w:t>
      </w:r>
      <w:r w:rsidRPr="008A3740">
        <w:rPr>
          <w:rFonts w:ascii="Verdana" w:hAnsi="Verdana"/>
          <w:sz w:val="20"/>
          <w:szCs w:val="20"/>
          <w:lang w:val="en-US"/>
        </w:rPr>
        <w:t xml:space="preserve">that </w:t>
      </w:r>
      <w:r w:rsidR="00142101" w:rsidRPr="008A3740">
        <w:rPr>
          <w:rFonts w:ascii="Verdana" w:hAnsi="Verdana"/>
          <w:sz w:val="20"/>
          <w:szCs w:val="20"/>
          <w:lang w:val="en-US"/>
        </w:rPr>
        <w:t xml:space="preserve">the </w:t>
      </w:r>
      <w:r w:rsidRPr="008A3740">
        <w:rPr>
          <w:rFonts w:ascii="Verdana" w:hAnsi="Verdana"/>
          <w:sz w:val="20"/>
          <w:szCs w:val="20"/>
          <w:lang w:val="en-US"/>
        </w:rPr>
        <w:t xml:space="preserve">expenses </w:t>
      </w:r>
      <w:r w:rsidR="00142101" w:rsidRPr="008A3740">
        <w:rPr>
          <w:rFonts w:ascii="Verdana" w:hAnsi="Verdana"/>
          <w:sz w:val="20"/>
          <w:szCs w:val="20"/>
          <w:lang w:val="en-US"/>
        </w:rPr>
        <w:t xml:space="preserve">requested </w:t>
      </w:r>
      <w:r w:rsidR="00591F4E" w:rsidRPr="008A3740">
        <w:rPr>
          <w:rFonts w:ascii="Verdana" w:hAnsi="Verdana"/>
          <w:sz w:val="20"/>
          <w:szCs w:val="20"/>
          <w:lang w:val="en-US"/>
        </w:rPr>
        <w:t xml:space="preserve">in relation to </w:t>
      </w:r>
      <w:r w:rsidR="00142101" w:rsidRPr="008A3740">
        <w:rPr>
          <w:rFonts w:ascii="Verdana" w:hAnsi="Verdana"/>
          <w:sz w:val="20"/>
          <w:szCs w:val="20"/>
          <w:lang w:val="en-US"/>
        </w:rPr>
        <w:t xml:space="preserve">the </w:t>
      </w:r>
      <w:r w:rsidRPr="008A3740">
        <w:rPr>
          <w:rFonts w:ascii="Verdana" w:hAnsi="Verdana"/>
          <w:sz w:val="20"/>
          <w:szCs w:val="20"/>
          <w:lang w:val="en-US"/>
        </w:rPr>
        <w:t xml:space="preserve">domestic </w:t>
      </w:r>
      <w:r w:rsidR="00142101" w:rsidRPr="008A3740">
        <w:rPr>
          <w:rFonts w:ascii="Verdana" w:hAnsi="Verdana"/>
          <w:sz w:val="20"/>
          <w:szCs w:val="20"/>
          <w:lang w:val="en-US"/>
        </w:rPr>
        <w:t xml:space="preserve">proceedings were </w:t>
      </w:r>
      <w:r w:rsidR="00BC10C5" w:rsidRPr="008A3740">
        <w:rPr>
          <w:rFonts w:ascii="Verdana" w:hAnsi="Verdana"/>
          <w:sz w:val="20"/>
          <w:szCs w:val="20"/>
          <w:lang w:val="en-US"/>
        </w:rPr>
        <w:t xml:space="preserve">filed </w:t>
      </w:r>
      <w:r w:rsidRPr="008A3740">
        <w:rPr>
          <w:rFonts w:ascii="Verdana" w:hAnsi="Verdana"/>
          <w:sz w:val="20"/>
          <w:szCs w:val="20"/>
          <w:lang w:val="en-US"/>
        </w:rPr>
        <w:t>as consequential damages</w:t>
      </w:r>
      <w:r w:rsidR="00142101" w:rsidRPr="008A3740">
        <w:rPr>
          <w:rFonts w:ascii="Verdana" w:hAnsi="Verdana"/>
          <w:sz w:val="20"/>
          <w:szCs w:val="20"/>
          <w:lang w:val="en-US"/>
        </w:rPr>
        <w:t xml:space="preserve"> by the representatives</w:t>
      </w:r>
      <w:r w:rsidRPr="008A3740">
        <w:rPr>
          <w:rFonts w:ascii="Verdana" w:hAnsi="Verdana"/>
          <w:sz w:val="20"/>
          <w:szCs w:val="20"/>
          <w:lang w:val="en-US"/>
        </w:rPr>
        <w:t>, when</w:t>
      </w:r>
      <w:r w:rsidR="00142101" w:rsidRPr="008A3740">
        <w:rPr>
          <w:rFonts w:ascii="Verdana" w:hAnsi="Verdana"/>
          <w:sz w:val="20"/>
          <w:szCs w:val="20"/>
          <w:lang w:val="en-US"/>
        </w:rPr>
        <w:t xml:space="preserve"> they should have been requested</w:t>
      </w:r>
      <w:r w:rsidRPr="008A3740">
        <w:rPr>
          <w:rFonts w:ascii="Verdana" w:hAnsi="Verdana"/>
          <w:sz w:val="20"/>
          <w:szCs w:val="20"/>
          <w:lang w:val="en-US"/>
        </w:rPr>
        <w:t xml:space="preserve"> under the heading of costs and expenses</w:t>
      </w:r>
      <w:r w:rsidR="00142101" w:rsidRPr="008A3740">
        <w:rPr>
          <w:rFonts w:ascii="Verdana" w:hAnsi="Verdana"/>
          <w:sz w:val="20"/>
          <w:szCs w:val="20"/>
          <w:lang w:val="en-US"/>
        </w:rPr>
        <w:t xml:space="preserve">. It also indicated </w:t>
      </w:r>
      <w:r w:rsidRPr="008A3740">
        <w:rPr>
          <w:rFonts w:ascii="Verdana" w:hAnsi="Verdana"/>
          <w:sz w:val="20"/>
          <w:szCs w:val="20"/>
          <w:lang w:val="en-US"/>
        </w:rPr>
        <w:t>that the representatives did not provide documentation to accredit such expenses.</w:t>
      </w:r>
    </w:p>
    <w:p w14:paraId="7E1A9EA9" w14:textId="77777777" w:rsidR="008E6A56" w:rsidRPr="008A3740" w:rsidRDefault="008E6A56" w:rsidP="008E6A56">
      <w:pPr>
        <w:tabs>
          <w:tab w:val="left" w:pos="567"/>
        </w:tabs>
        <w:textAlignment w:val="auto"/>
        <w:rPr>
          <w:rFonts w:ascii="Verdana" w:hAnsi="Verdana"/>
          <w:b/>
          <w:sz w:val="20"/>
          <w:szCs w:val="20"/>
          <w:lang w:val="en-US"/>
        </w:rPr>
      </w:pPr>
    </w:p>
    <w:p w14:paraId="5E45A73D" w14:textId="77777777" w:rsidR="008E6A56" w:rsidRPr="008A3740" w:rsidRDefault="008E6A56" w:rsidP="00D17A65">
      <w:pPr>
        <w:numPr>
          <w:ilvl w:val="0"/>
          <w:numId w:val="3"/>
        </w:numPr>
        <w:tabs>
          <w:tab w:val="left" w:pos="567"/>
          <w:tab w:val="num" w:pos="5057"/>
        </w:tabs>
        <w:ind w:left="0" w:firstLine="0"/>
        <w:textAlignment w:val="auto"/>
        <w:rPr>
          <w:rFonts w:ascii="Verdana" w:hAnsi="Verdana"/>
          <w:sz w:val="20"/>
          <w:szCs w:val="20"/>
          <w:lang w:val="en-US"/>
        </w:rPr>
      </w:pPr>
      <w:r w:rsidRPr="008A3740">
        <w:rPr>
          <w:rFonts w:ascii="Verdana" w:hAnsi="Verdana"/>
          <w:sz w:val="20"/>
          <w:szCs w:val="20"/>
          <w:lang w:val="en-US"/>
        </w:rPr>
        <w:t xml:space="preserve">The </w:t>
      </w:r>
      <w:r w:rsidRPr="008A3740">
        <w:rPr>
          <w:rFonts w:ascii="Verdana" w:hAnsi="Verdana"/>
          <w:b/>
          <w:i/>
          <w:sz w:val="20"/>
          <w:szCs w:val="20"/>
          <w:lang w:val="en-US"/>
        </w:rPr>
        <w:t>Commission</w:t>
      </w:r>
      <w:r w:rsidRPr="008A3740">
        <w:rPr>
          <w:rFonts w:ascii="Verdana" w:hAnsi="Verdana"/>
          <w:b/>
          <w:sz w:val="20"/>
          <w:szCs w:val="20"/>
          <w:lang w:val="en-US"/>
        </w:rPr>
        <w:t xml:space="preserve"> </w:t>
      </w:r>
      <w:r w:rsidR="00591F4E" w:rsidRPr="008A3740">
        <w:rPr>
          <w:rFonts w:ascii="Verdana" w:hAnsi="Verdana"/>
          <w:sz w:val="20"/>
          <w:szCs w:val="20"/>
          <w:lang w:val="en-US"/>
        </w:rPr>
        <w:t>did not</w:t>
      </w:r>
      <w:r w:rsidR="00591F4E" w:rsidRPr="008A3740">
        <w:rPr>
          <w:rFonts w:ascii="Verdana" w:hAnsi="Verdana"/>
          <w:b/>
          <w:sz w:val="20"/>
          <w:szCs w:val="20"/>
          <w:lang w:val="en-US"/>
        </w:rPr>
        <w:t xml:space="preserve"> </w:t>
      </w:r>
      <w:r w:rsidRPr="008A3740">
        <w:rPr>
          <w:rFonts w:ascii="Verdana" w:hAnsi="Verdana"/>
          <w:sz w:val="20"/>
          <w:szCs w:val="20"/>
          <w:lang w:val="en-US"/>
        </w:rPr>
        <w:t>comment</w:t>
      </w:r>
      <w:r w:rsidRPr="008A3740">
        <w:rPr>
          <w:rFonts w:ascii="Verdana" w:hAnsi="Verdana"/>
          <w:b/>
          <w:sz w:val="20"/>
          <w:szCs w:val="20"/>
          <w:lang w:val="en-US"/>
        </w:rPr>
        <w:t xml:space="preserve"> </w:t>
      </w:r>
      <w:r w:rsidRPr="008A3740">
        <w:rPr>
          <w:rFonts w:ascii="Verdana" w:hAnsi="Verdana"/>
          <w:sz w:val="20"/>
          <w:szCs w:val="20"/>
          <w:lang w:val="en-US"/>
        </w:rPr>
        <w:t>on the costs and expenses.</w:t>
      </w:r>
    </w:p>
    <w:p w14:paraId="312DB417" w14:textId="77777777" w:rsidR="008E6A56" w:rsidRPr="008A3740" w:rsidRDefault="008E6A56" w:rsidP="008E6A56">
      <w:pPr>
        <w:rPr>
          <w:rFonts w:ascii="Verdana" w:hAnsi="Verdana"/>
          <w:sz w:val="20"/>
          <w:szCs w:val="20"/>
          <w:lang w:val="en-US"/>
        </w:rPr>
      </w:pPr>
    </w:p>
    <w:p w14:paraId="4162A388" w14:textId="77777777" w:rsidR="008E6A56" w:rsidRPr="008A3740" w:rsidRDefault="008E6A56" w:rsidP="00D17A65">
      <w:pPr>
        <w:numPr>
          <w:ilvl w:val="0"/>
          <w:numId w:val="3"/>
        </w:numPr>
        <w:tabs>
          <w:tab w:val="left" w:pos="567"/>
          <w:tab w:val="num" w:pos="5057"/>
        </w:tabs>
        <w:ind w:left="0" w:firstLine="0"/>
        <w:textAlignment w:val="auto"/>
        <w:rPr>
          <w:rFonts w:ascii="Verdana" w:hAnsi="Verdana"/>
          <w:sz w:val="20"/>
          <w:szCs w:val="20"/>
          <w:lang w:val="en-US"/>
        </w:rPr>
      </w:pPr>
      <w:r w:rsidRPr="008A3740">
        <w:rPr>
          <w:rFonts w:ascii="Verdana" w:hAnsi="Verdana" w:cs="Verdana"/>
          <w:bCs/>
          <w:iCs/>
          <w:sz w:val="20"/>
          <w:szCs w:val="20"/>
          <w:lang w:val="en-US"/>
        </w:rPr>
        <w:t xml:space="preserve">The Court reiterates that, </w:t>
      </w:r>
      <w:r w:rsidRPr="008A3740">
        <w:rPr>
          <w:rFonts w:ascii="Verdana" w:hAnsi="Verdana"/>
          <w:sz w:val="20"/>
          <w:szCs w:val="20"/>
          <w:lang w:val="en-US"/>
        </w:rPr>
        <w:t>pursuant to its case law</w:t>
      </w:r>
      <w:r w:rsidR="00142101" w:rsidRPr="008A3740">
        <w:rPr>
          <w:rFonts w:ascii="Verdana" w:hAnsi="Verdana" w:cs="Verdana"/>
          <w:bCs/>
          <w:iCs/>
          <w:sz w:val="20"/>
          <w:szCs w:val="20"/>
          <w:lang w:val="en-US"/>
        </w:rPr>
        <w:t xml:space="preserve">, </w:t>
      </w:r>
      <w:r w:rsidRPr="008A3740">
        <w:rPr>
          <w:rFonts w:ascii="Verdana" w:hAnsi="Verdana" w:cs="Verdana"/>
          <w:bCs/>
          <w:iCs/>
          <w:sz w:val="20"/>
          <w:szCs w:val="20"/>
          <w:lang w:val="en-US"/>
        </w:rPr>
        <w:t xml:space="preserve">costs and expenses </w:t>
      </w:r>
      <w:r w:rsidRPr="008A3740">
        <w:rPr>
          <w:rFonts w:ascii="Verdana" w:hAnsi="Verdana"/>
          <w:sz w:val="20"/>
          <w:szCs w:val="20"/>
          <w:lang w:val="en-US"/>
        </w:rPr>
        <w:t>form part of the concept of reparation, because the actions taken by victims to obtain justice, in both the domestic and the international sphere, entail disbursements that should be compensated when the international responsibility of the State has been declared in a judgment against it</w:t>
      </w:r>
      <w:r w:rsidRPr="008A3740">
        <w:rPr>
          <w:rFonts w:ascii="Verdana" w:hAnsi="Verdana" w:cs="Verdana"/>
          <w:bCs/>
          <w:iCs/>
          <w:sz w:val="20"/>
          <w:szCs w:val="20"/>
          <w:lang w:val="en-US"/>
        </w:rPr>
        <w:t>.</w:t>
      </w:r>
      <w:r w:rsidRPr="008A3740">
        <w:rPr>
          <w:rStyle w:val="Refdenotaalpie"/>
          <w:bCs/>
          <w:iCs/>
          <w:szCs w:val="20"/>
          <w:lang w:val="en-US"/>
        </w:rPr>
        <w:footnoteReference w:id="246"/>
      </w:r>
      <w:r w:rsidRPr="008A3740">
        <w:rPr>
          <w:rFonts w:ascii="Verdana" w:hAnsi="Verdana" w:cs="Verdana"/>
          <w:bCs/>
          <w:iCs/>
          <w:sz w:val="20"/>
          <w:szCs w:val="20"/>
          <w:lang w:val="en-US"/>
        </w:rPr>
        <w:t xml:space="preserve"> </w:t>
      </w:r>
      <w:r w:rsidRPr="008A3740">
        <w:rPr>
          <w:rFonts w:ascii="Verdana" w:hAnsi="Verdana"/>
          <w:sz w:val="20"/>
          <w:szCs w:val="20"/>
          <w:lang w:val="en-US"/>
        </w:rPr>
        <w:t>Regarding the reimbursement of expenses, it is for the Court to prudently assess their scope, and this includes the expenses generated during the proceedings before the Inter-American System, taking into account the circumstances of the specific case and the nature of the international jurisdiction for the protection of human rights</w:t>
      </w:r>
      <w:r w:rsidRPr="008A3740">
        <w:rPr>
          <w:rFonts w:ascii="Verdana" w:hAnsi="Verdana" w:cs="Verdana"/>
          <w:bCs/>
          <w:iCs/>
          <w:sz w:val="20"/>
          <w:szCs w:val="20"/>
          <w:lang w:val="en-US"/>
        </w:rPr>
        <w:t xml:space="preserve">. </w:t>
      </w:r>
      <w:r w:rsidRPr="008A3740">
        <w:rPr>
          <w:rFonts w:ascii="Verdana" w:hAnsi="Verdana"/>
          <w:sz w:val="20"/>
          <w:szCs w:val="20"/>
          <w:lang w:val="en-US"/>
        </w:rPr>
        <w:t xml:space="preserve">This assessment may be based on the principle of equity, taking into account the expenses </w:t>
      </w:r>
      <w:r w:rsidRPr="008A3740">
        <w:rPr>
          <w:rFonts w:ascii="Verdana" w:hAnsi="Verdana" w:cs="Verdana"/>
          <w:bCs/>
          <w:iCs/>
          <w:sz w:val="20"/>
          <w:szCs w:val="20"/>
          <w:lang w:val="en-US"/>
        </w:rPr>
        <w:t xml:space="preserve">indicated by the parties, provided that their </w:t>
      </w:r>
      <w:r w:rsidRPr="008A3740">
        <w:rPr>
          <w:rFonts w:ascii="Verdana" w:hAnsi="Verdana" w:cs="Verdana"/>
          <w:bCs/>
          <w:i/>
          <w:iCs/>
          <w:sz w:val="20"/>
          <w:szCs w:val="20"/>
          <w:lang w:val="en-US"/>
        </w:rPr>
        <w:t xml:space="preserve">quantum </w:t>
      </w:r>
      <w:r w:rsidRPr="008A3740">
        <w:rPr>
          <w:rFonts w:ascii="Verdana" w:hAnsi="Verdana" w:cs="Verdana"/>
          <w:bCs/>
          <w:iCs/>
          <w:sz w:val="20"/>
          <w:szCs w:val="20"/>
          <w:lang w:val="en-US"/>
        </w:rPr>
        <w:t>is reasonable.</w:t>
      </w:r>
      <w:r w:rsidRPr="008A3740">
        <w:rPr>
          <w:rFonts w:ascii="Verdana" w:hAnsi="Verdana" w:cs="Verdana"/>
          <w:bCs/>
          <w:iCs/>
          <w:sz w:val="20"/>
          <w:szCs w:val="20"/>
          <w:vertAlign w:val="superscript"/>
          <w:lang w:val="en-US"/>
        </w:rPr>
        <w:footnoteReference w:id="247"/>
      </w:r>
    </w:p>
    <w:p w14:paraId="002875B2" w14:textId="77777777" w:rsidR="008E6A56" w:rsidRPr="008A3740" w:rsidRDefault="008E6A56" w:rsidP="008E6A56">
      <w:pPr>
        <w:pStyle w:val="Prrafodelista"/>
        <w:ind w:left="0"/>
        <w:rPr>
          <w:rFonts w:ascii="Verdana" w:hAnsi="Verdana"/>
          <w:sz w:val="20"/>
          <w:szCs w:val="20"/>
          <w:lang w:val="en-US"/>
        </w:rPr>
      </w:pPr>
    </w:p>
    <w:p w14:paraId="2B37E69C" w14:textId="77777777" w:rsidR="008E6A56" w:rsidRPr="008A3740" w:rsidRDefault="008E6A56" w:rsidP="00D17A65">
      <w:pPr>
        <w:numPr>
          <w:ilvl w:val="0"/>
          <w:numId w:val="3"/>
        </w:numPr>
        <w:tabs>
          <w:tab w:val="left" w:pos="567"/>
          <w:tab w:val="num" w:pos="5057"/>
        </w:tabs>
        <w:ind w:left="0" w:firstLine="0"/>
        <w:rPr>
          <w:rFonts w:ascii="Verdana" w:eastAsia="MS Mincho" w:hAnsi="Verdana"/>
          <w:sz w:val="20"/>
          <w:szCs w:val="20"/>
          <w:lang w:val="en-US" w:bidi="en-US"/>
        </w:rPr>
      </w:pPr>
      <w:r w:rsidRPr="008A3740">
        <w:rPr>
          <w:rFonts w:ascii="Verdana" w:eastAsia="MS Mincho" w:hAnsi="Verdana"/>
          <w:sz w:val="20"/>
          <w:szCs w:val="20"/>
          <w:lang w:val="en-US" w:bidi="en-US"/>
        </w:rPr>
        <w:t>The Court has indicated that “the claims of the victims or their representatives for costs and expenses, and the evidence that supports them, must be submitted to the Court at the first procedural opportunity granted to them, that is, in the pleadings and motions brief, without prejudice to such claims being subsequently updated, in keeping with the new costs and expenses incurred during the proceedings before this Court.”</w:t>
      </w:r>
      <w:r w:rsidRPr="008A3740">
        <w:rPr>
          <w:rFonts w:ascii="Verdana" w:eastAsia="MS Mincho" w:hAnsi="Verdana"/>
          <w:sz w:val="20"/>
          <w:szCs w:val="20"/>
          <w:vertAlign w:val="superscript"/>
          <w:lang w:val="en-US" w:bidi="en-US"/>
        </w:rPr>
        <w:footnoteReference w:id="248"/>
      </w:r>
      <w:r w:rsidRPr="008A3740">
        <w:rPr>
          <w:rFonts w:ascii="Verdana" w:eastAsia="MS Mincho" w:hAnsi="Verdana"/>
          <w:sz w:val="20"/>
          <w:szCs w:val="20"/>
          <w:lang w:val="en-US" w:bidi="en-US"/>
        </w:rPr>
        <w:t xml:space="preserve"> </w:t>
      </w:r>
      <w:r w:rsidRPr="008A3740">
        <w:rPr>
          <w:rFonts w:ascii="Verdana" w:hAnsi="Verdana"/>
          <w:sz w:val="20"/>
          <w:szCs w:val="20"/>
          <w:lang w:val="en-US"/>
        </w:rPr>
        <w:t>In addition, the Court reiterates that it is not sufficient merely to forward probative documents; rather</w:t>
      </w:r>
      <w:r w:rsidR="0027115E" w:rsidRPr="008A3740">
        <w:rPr>
          <w:rFonts w:ascii="Verdana" w:hAnsi="Verdana"/>
          <w:sz w:val="20"/>
          <w:szCs w:val="20"/>
          <w:lang w:val="en-US"/>
        </w:rPr>
        <w:t>,</w:t>
      </w:r>
      <w:r w:rsidRPr="008A3740">
        <w:rPr>
          <w:rFonts w:ascii="Verdana" w:hAnsi="Verdana"/>
          <w:sz w:val="20"/>
          <w:szCs w:val="20"/>
          <w:lang w:val="en-US"/>
        </w:rPr>
        <w:t xml:space="preserve"> the parties must include arguments that relate the </w:t>
      </w:r>
      <w:r w:rsidRPr="008A3740">
        <w:rPr>
          <w:rFonts w:ascii="Verdana" w:hAnsi="Verdana"/>
          <w:sz w:val="20"/>
          <w:szCs w:val="20"/>
          <w:lang w:val="en-US"/>
        </w:rPr>
        <w:lastRenderedPageBreak/>
        <w:t>evidence to the fact it is meant to represent and, in the case of alleged financial disbursements, the items and their justification must be clearly established</w:t>
      </w:r>
      <w:r w:rsidRPr="008A3740">
        <w:rPr>
          <w:rFonts w:ascii="Verdana" w:eastAsia="MS Mincho" w:hAnsi="Verdana"/>
          <w:sz w:val="20"/>
          <w:szCs w:val="20"/>
          <w:lang w:val="en-US" w:bidi="en-US"/>
        </w:rPr>
        <w:t>.</w:t>
      </w:r>
      <w:r w:rsidRPr="008A3740">
        <w:rPr>
          <w:rFonts w:ascii="Verdana" w:eastAsia="MS Mincho" w:hAnsi="Verdana"/>
          <w:sz w:val="20"/>
          <w:szCs w:val="20"/>
          <w:vertAlign w:val="superscript"/>
          <w:lang w:val="en-US" w:bidi="en-US"/>
        </w:rPr>
        <w:footnoteReference w:id="249"/>
      </w:r>
    </w:p>
    <w:p w14:paraId="1A96CA50" w14:textId="77777777" w:rsidR="008E6A56" w:rsidRPr="008A3740" w:rsidRDefault="008E6A56" w:rsidP="008E6A56">
      <w:pPr>
        <w:tabs>
          <w:tab w:val="left" w:pos="720"/>
        </w:tabs>
        <w:rPr>
          <w:rFonts w:ascii="Verdana" w:eastAsia="Times" w:hAnsi="Verdana"/>
          <w:sz w:val="20"/>
          <w:szCs w:val="20"/>
          <w:lang w:val="en-US"/>
        </w:rPr>
      </w:pPr>
    </w:p>
    <w:p w14:paraId="25DC268C" w14:textId="77777777" w:rsidR="008E6A56" w:rsidRPr="008A3740" w:rsidRDefault="008E6A56" w:rsidP="00D17A65">
      <w:pPr>
        <w:numPr>
          <w:ilvl w:val="0"/>
          <w:numId w:val="3"/>
        </w:numPr>
        <w:tabs>
          <w:tab w:val="left" w:pos="567"/>
          <w:tab w:val="num" w:pos="5057"/>
        </w:tabs>
        <w:ind w:left="0" w:firstLine="0"/>
        <w:rPr>
          <w:rFonts w:ascii="Verdana" w:eastAsia="Batang" w:hAnsi="Verdana"/>
          <w:sz w:val="20"/>
          <w:szCs w:val="20"/>
          <w:lang w:val="en-US"/>
        </w:rPr>
      </w:pPr>
      <w:r w:rsidRPr="008A3740">
        <w:rPr>
          <w:rFonts w:ascii="Verdana" w:hAnsi="Verdana"/>
          <w:sz w:val="20"/>
          <w:szCs w:val="20"/>
          <w:lang w:val="en-US"/>
        </w:rPr>
        <w:t xml:space="preserve">Although the reimbursement of expenses </w:t>
      </w:r>
      <w:r w:rsidR="0027115E" w:rsidRPr="008A3740">
        <w:rPr>
          <w:rFonts w:ascii="Verdana" w:hAnsi="Verdana"/>
          <w:sz w:val="20"/>
          <w:szCs w:val="20"/>
          <w:lang w:val="en-US"/>
        </w:rPr>
        <w:t xml:space="preserve">arising from the </w:t>
      </w:r>
      <w:r w:rsidRPr="008A3740">
        <w:rPr>
          <w:rFonts w:ascii="Verdana" w:hAnsi="Verdana"/>
          <w:sz w:val="20"/>
          <w:szCs w:val="20"/>
          <w:lang w:val="en-US"/>
        </w:rPr>
        <w:t xml:space="preserve">domestic proceedings, as well as expenses for </w:t>
      </w:r>
      <w:r w:rsidR="00142101" w:rsidRPr="008A3740">
        <w:rPr>
          <w:rFonts w:ascii="Verdana" w:hAnsi="Verdana"/>
          <w:sz w:val="20"/>
          <w:szCs w:val="20"/>
          <w:lang w:val="en-US"/>
        </w:rPr>
        <w:t xml:space="preserve">sending </w:t>
      </w:r>
      <w:r w:rsidRPr="008A3740">
        <w:rPr>
          <w:rFonts w:ascii="Verdana" w:hAnsi="Verdana"/>
          <w:sz w:val="20"/>
          <w:szCs w:val="20"/>
          <w:lang w:val="en-US"/>
        </w:rPr>
        <w:t xml:space="preserve">documents to the Commission, was requested under the heading of consequential damages, given their nature, </w:t>
      </w:r>
      <w:r w:rsidR="0027115E" w:rsidRPr="008A3740">
        <w:rPr>
          <w:rFonts w:ascii="Verdana" w:hAnsi="Verdana"/>
          <w:sz w:val="20"/>
          <w:szCs w:val="20"/>
          <w:lang w:val="en-US"/>
        </w:rPr>
        <w:t xml:space="preserve">these </w:t>
      </w:r>
      <w:r w:rsidRPr="008A3740">
        <w:rPr>
          <w:rFonts w:ascii="Verdana" w:hAnsi="Verdana"/>
          <w:sz w:val="20"/>
          <w:szCs w:val="20"/>
          <w:lang w:val="en-US"/>
        </w:rPr>
        <w:t>will be analyzed as costs and expenses (</w:t>
      </w:r>
      <w:r w:rsidRPr="008A3740">
        <w:rPr>
          <w:rFonts w:ascii="Verdana" w:hAnsi="Verdana"/>
          <w:i/>
          <w:sz w:val="20"/>
          <w:szCs w:val="20"/>
          <w:lang w:val="en-US"/>
        </w:rPr>
        <w:t>supra</w:t>
      </w:r>
      <w:r w:rsidRPr="008A3740">
        <w:rPr>
          <w:rFonts w:ascii="Verdana" w:hAnsi="Verdana"/>
          <w:sz w:val="20"/>
          <w:szCs w:val="20"/>
          <w:lang w:val="en-US"/>
        </w:rPr>
        <w:t>, para. 246).</w:t>
      </w:r>
      <w:r w:rsidRPr="008A3740">
        <w:rPr>
          <w:rFonts w:ascii="Verdana" w:eastAsia="Batang" w:hAnsi="Verdana"/>
          <w:sz w:val="20"/>
          <w:szCs w:val="20"/>
          <w:lang w:val="en-US"/>
        </w:rPr>
        <w:t xml:space="preserve"> </w:t>
      </w:r>
      <w:r w:rsidRPr="008A3740">
        <w:rPr>
          <w:rFonts w:ascii="Verdana" w:hAnsi="Verdana"/>
          <w:sz w:val="20"/>
          <w:szCs w:val="20"/>
          <w:lang w:val="en-US"/>
        </w:rPr>
        <w:t xml:space="preserve">The Court notes that no receipts were provided for expenses </w:t>
      </w:r>
      <w:r w:rsidRPr="008A3740">
        <w:rPr>
          <w:rFonts w:ascii="Verdana" w:eastAsia="MS Mincho" w:hAnsi="Verdana" w:cs="Arial"/>
          <w:sz w:val="20"/>
          <w:szCs w:val="20"/>
          <w:lang w:val="en-US" w:bidi="en-US"/>
        </w:rPr>
        <w:t xml:space="preserve">derived from the </w:t>
      </w:r>
      <w:r w:rsidR="0027115E" w:rsidRPr="008A3740">
        <w:rPr>
          <w:rFonts w:ascii="Verdana" w:eastAsia="MS Mincho" w:hAnsi="Verdana" w:cs="Arial"/>
          <w:sz w:val="20"/>
          <w:szCs w:val="20"/>
          <w:lang w:val="en-US" w:bidi="en-US"/>
        </w:rPr>
        <w:t xml:space="preserve">quest </w:t>
      </w:r>
      <w:r w:rsidRPr="008A3740">
        <w:rPr>
          <w:rFonts w:ascii="Verdana" w:eastAsia="MS Mincho" w:hAnsi="Verdana" w:cs="Arial"/>
          <w:sz w:val="20"/>
          <w:szCs w:val="20"/>
          <w:lang w:val="en-US" w:bidi="en-US"/>
        </w:rPr>
        <w:t xml:space="preserve">for justice at the domestic level, </w:t>
      </w:r>
      <w:r w:rsidR="0027115E" w:rsidRPr="008A3740">
        <w:rPr>
          <w:rFonts w:ascii="Verdana" w:eastAsia="MS Mincho" w:hAnsi="Verdana" w:cs="Arial"/>
          <w:sz w:val="20"/>
          <w:szCs w:val="20"/>
          <w:lang w:val="en-US" w:bidi="en-US"/>
        </w:rPr>
        <w:t xml:space="preserve">or </w:t>
      </w:r>
      <w:r w:rsidRPr="008A3740">
        <w:rPr>
          <w:rFonts w:ascii="Verdana" w:eastAsia="MS Mincho" w:hAnsi="Verdana" w:cs="Arial"/>
          <w:sz w:val="20"/>
          <w:szCs w:val="20"/>
          <w:lang w:val="en-US" w:bidi="en-US"/>
        </w:rPr>
        <w:t xml:space="preserve">before </w:t>
      </w:r>
      <w:r w:rsidR="0027115E" w:rsidRPr="008A3740">
        <w:rPr>
          <w:rFonts w:ascii="Verdana" w:eastAsia="MS Mincho" w:hAnsi="Verdana" w:cs="Arial"/>
          <w:sz w:val="20"/>
          <w:szCs w:val="20"/>
          <w:lang w:val="en-US" w:bidi="en-US"/>
        </w:rPr>
        <w:t xml:space="preserve">the Inter-American Commission, </w:t>
      </w:r>
      <w:r w:rsidRPr="008A3740">
        <w:rPr>
          <w:rFonts w:ascii="Verdana" w:eastAsia="MS Mincho" w:hAnsi="Verdana" w:cs="Arial"/>
          <w:sz w:val="20"/>
          <w:szCs w:val="20"/>
          <w:lang w:val="en-US" w:bidi="en-US"/>
        </w:rPr>
        <w:t xml:space="preserve">or regarding the fees of the lawyers </w:t>
      </w:r>
      <w:r w:rsidR="0027115E" w:rsidRPr="008A3740">
        <w:rPr>
          <w:rFonts w:ascii="Verdana" w:eastAsia="MS Mincho" w:hAnsi="Verdana" w:cs="Arial"/>
          <w:sz w:val="20"/>
          <w:szCs w:val="20"/>
          <w:lang w:val="en-US" w:bidi="en-US"/>
        </w:rPr>
        <w:t>who</w:t>
      </w:r>
      <w:r w:rsidR="005E3A15" w:rsidRPr="008A3740">
        <w:rPr>
          <w:rFonts w:ascii="Verdana" w:eastAsia="MS Mincho" w:hAnsi="Verdana" w:cs="Arial"/>
          <w:sz w:val="20"/>
          <w:szCs w:val="20"/>
          <w:lang w:val="en-US" w:bidi="en-US"/>
        </w:rPr>
        <w:t xml:space="preserve"> </w:t>
      </w:r>
      <w:r w:rsidRPr="008A3740">
        <w:rPr>
          <w:rFonts w:ascii="Verdana" w:eastAsia="MS Mincho" w:hAnsi="Verdana" w:cs="Arial"/>
          <w:sz w:val="20"/>
          <w:szCs w:val="20"/>
          <w:lang w:val="en-US" w:bidi="en-US"/>
        </w:rPr>
        <w:t xml:space="preserve">represented Mr. Muelle Flores before those bodies. Nevertheless, the Court considers that it must be presumed that the victim incurred additional expenses </w:t>
      </w:r>
      <w:r w:rsidR="00BC10C5" w:rsidRPr="008A3740">
        <w:rPr>
          <w:rFonts w:ascii="Verdana" w:eastAsia="MS Mincho" w:hAnsi="Verdana" w:cs="Arial"/>
          <w:sz w:val="20"/>
          <w:szCs w:val="20"/>
          <w:lang w:val="en-US" w:bidi="en-US"/>
        </w:rPr>
        <w:t xml:space="preserve">arising from </w:t>
      </w:r>
      <w:r w:rsidRPr="008A3740">
        <w:rPr>
          <w:rFonts w:ascii="Verdana" w:eastAsia="MS Mincho" w:hAnsi="Verdana" w:cs="Arial"/>
          <w:sz w:val="20"/>
          <w:szCs w:val="20"/>
          <w:lang w:val="en-US" w:bidi="en-US"/>
        </w:rPr>
        <w:t xml:space="preserve">the different </w:t>
      </w:r>
      <w:r w:rsidR="00142101" w:rsidRPr="008A3740">
        <w:rPr>
          <w:rFonts w:ascii="Verdana" w:eastAsia="MS Mincho" w:hAnsi="Verdana" w:cs="Arial"/>
          <w:sz w:val="20"/>
          <w:szCs w:val="20"/>
          <w:lang w:val="en-US" w:bidi="en-US"/>
        </w:rPr>
        <w:t xml:space="preserve">remedies he </w:t>
      </w:r>
      <w:r w:rsidR="005E3A15" w:rsidRPr="008A3740">
        <w:rPr>
          <w:rFonts w:ascii="Verdana" w:eastAsia="MS Mincho" w:hAnsi="Verdana" w:cs="Arial"/>
          <w:sz w:val="20"/>
          <w:szCs w:val="20"/>
          <w:lang w:val="en-US" w:bidi="en-US"/>
        </w:rPr>
        <w:t>pursued</w:t>
      </w:r>
      <w:r w:rsidR="00BC10C5" w:rsidRPr="008A3740">
        <w:rPr>
          <w:rFonts w:ascii="Verdana" w:eastAsia="MS Mincho" w:hAnsi="Verdana" w:cs="Arial"/>
          <w:sz w:val="20"/>
          <w:szCs w:val="20"/>
          <w:lang w:val="en-US" w:bidi="en-US"/>
        </w:rPr>
        <w:t>,</w:t>
      </w:r>
      <w:r w:rsidR="005E3A15" w:rsidRPr="008A3740">
        <w:rPr>
          <w:rFonts w:ascii="Verdana" w:eastAsia="MS Mincho" w:hAnsi="Verdana" w:cs="Arial"/>
          <w:sz w:val="20"/>
          <w:szCs w:val="20"/>
          <w:lang w:val="en-US" w:bidi="en-US"/>
        </w:rPr>
        <w:t xml:space="preserve"> </w:t>
      </w:r>
      <w:r w:rsidR="00BC10C5" w:rsidRPr="008A3740">
        <w:rPr>
          <w:rFonts w:ascii="Verdana" w:eastAsia="MS Mincho" w:hAnsi="Verdana" w:cs="Arial"/>
          <w:sz w:val="20"/>
          <w:szCs w:val="20"/>
          <w:lang w:val="en-US" w:bidi="en-US"/>
        </w:rPr>
        <w:t xml:space="preserve">during 25 years, </w:t>
      </w:r>
      <w:r w:rsidR="005E3A15" w:rsidRPr="008A3740">
        <w:rPr>
          <w:rFonts w:ascii="Verdana" w:eastAsia="MS Mincho" w:hAnsi="Verdana" w:cs="Arial"/>
          <w:sz w:val="20"/>
          <w:szCs w:val="20"/>
          <w:lang w:val="en-US" w:bidi="en-US"/>
        </w:rPr>
        <w:t xml:space="preserve">in order </w:t>
      </w:r>
      <w:r w:rsidR="00142101" w:rsidRPr="008A3740">
        <w:rPr>
          <w:rFonts w:ascii="Verdana" w:eastAsia="MS Mincho" w:hAnsi="Verdana" w:cs="Arial"/>
          <w:sz w:val="20"/>
          <w:szCs w:val="20"/>
          <w:lang w:val="en-US" w:bidi="en-US"/>
        </w:rPr>
        <w:t xml:space="preserve">to </w:t>
      </w:r>
      <w:r w:rsidR="005E3A15" w:rsidRPr="008A3740">
        <w:rPr>
          <w:rFonts w:ascii="Verdana" w:eastAsia="MS Mincho" w:hAnsi="Verdana" w:cs="Arial"/>
          <w:sz w:val="20"/>
          <w:szCs w:val="20"/>
          <w:lang w:val="en-US" w:bidi="en-US"/>
        </w:rPr>
        <w:t xml:space="preserve">obtain </w:t>
      </w:r>
      <w:r w:rsidRPr="008A3740">
        <w:rPr>
          <w:rFonts w:ascii="Verdana" w:eastAsia="MS Mincho" w:hAnsi="Verdana" w:cs="Arial"/>
          <w:sz w:val="20"/>
          <w:szCs w:val="20"/>
          <w:lang w:val="en-US" w:bidi="en-US"/>
        </w:rPr>
        <w:t xml:space="preserve">compliance </w:t>
      </w:r>
      <w:r w:rsidR="00142101" w:rsidRPr="008A3740">
        <w:rPr>
          <w:rFonts w:ascii="Verdana" w:eastAsia="MS Mincho" w:hAnsi="Verdana" w:cs="Arial"/>
          <w:sz w:val="20"/>
          <w:szCs w:val="20"/>
          <w:lang w:val="en-US" w:bidi="en-US"/>
        </w:rPr>
        <w:t xml:space="preserve">with </w:t>
      </w:r>
      <w:r w:rsidRPr="008A3740">
        <w:rPr>
          <w:rFonts w:ascii="Verdana" w:eastAsia="MS Mincho" w:hAnsi="Verdana" w:cs="Arial"/>
          <w:sz w:val="20"/>
          <w:szCs w:val="20"/>
          <w:lang w:val="en-US" w:bidi="en-US"/>
        </w:rPr>
        <w:t>and e</w:t>
      </w:r>
      <w:r w:rsidR="005E3A15" w:rsidRPr="008A3740">
        <w:rPr>
          <w:rFonts w:ascii="Verdana" w:eastAsia="MS Mincho" w:hAnsi="Verdana" w:cs="Arial"/>
          <w:sz w:val="20"/>
          <w:szCs w:val="20"/>
          <w:lang w:val="en-US" w:bidi="en-US"/>
        </w:rPr>
        <w:t xml:space="preserve">xecution </w:t>
      </w:r>
      <w:r w:rsidRPr="008A3740">
        <w:rPr>
          <w:rFonts w:ascii="Verdana" w:eastAsia="MS Mincho" w:hAnsi="Verdana" w:cs="Arial"/>
          <w:sz w:val="20"/>
          <w:szCs w:val="20"/>
          <w:lang w:val="en-US" w:bidi="en-US"/>
        </w:rPr>
        <w:t xml:space="preserve">of the judgments issued </w:t>
      </w:r>
      <w:r w:rsidR="00142101" w:rsidRPr="008A3740">
        <w:rPr>
          <w:rFonts w:ascii="Verdana" w:eastAsia="MS Mincho" w:hAnsi="Verdana" w:cs="Arial"/>
          <w:sz w:val="20"/>
          <w:szCs w:val="20"/>
          <w:lang w:val="en-US" w:bidi="en-US"/>
        </w:rPr>
        <w:t xml:space="preserve">in his </w:t>
      </w:r>
      <w:r w:rsidRPr="008A3740">
        <w:rPr>
          <w:rFonts w:ascii="Verdana" w:eastAsia="MS Mincho" w:hAnsi="Verdana" w:cs="Arial"/>
          <w:sz w:val="20"/>
          <w:szCs w:val="20"/>
          <w:lang w:val="en-US" w:bidi="en-US"/>
        </w:rPr>
        <w:t xml:space="preserve">favor </w:t>
      </w:r>
      <w:r w:rsidR="00142101" w:rsidRPr="008A3740">
        <w:rPr>
          <w:rFonts w:ascii="Verdana" w:eastAsia="MS Mincho" w:hAnsi="Verdana" w:cs="Arial"/>
          <w:sz w:val="20"/>
          <w:szCs w:val="20"/>
          <w:lang w:val="en-US" w:bidi="en-US"/>
        </w:rPr>
        <w:t>in the domestic courts, as well as his</w:t>
      </w:r>
      <w:r w:rsidRPr="008A3740">
        <w:rPr>
          <w:rFonts w:ascii="Verdana" w:eastAsia="MS Mincho" w:hAnsi="Verdana" w:cs="Arial"/>
          <w:sz w:val="20"/>
          <w:szCs w:val="20"/>
          <w:lang w:val="en-US" w:bidi="en-US"/>
        </w:rPr>
        <w:t xml:space="preserve"> search for justice before the Inter-American Commission. </w:t>
      </w:r>
      <w:r w:rsidRPr="008A3740">
        <w:rPr>
          <w:rFonts w:ascii="Verdana" w:hAnsi="Verdana"/>
          <w:sz w:val="20"/>
          <w:szCs w:val="20"/>
          <w:lang w:val="en-US"/>
        </w:rPr>
        <w:t xml:space="preserve">The Court considers </w:t>
      </w:r>
      <w:r w:rsidR="00142101" w:rsidRPr="008A3740">
        <w:rPr>
          <w:rFonts w:ascii="Verdana" w:hAnsi="Verdana"/>
          <w:sz w:val="20"/>
          <w:szCs w:val="20"/>
          <w:lang w:val="en-US"/>
        </w:rPr>
        <w:t xml:space="preserve">it important to </w:t>
      </w:r>
      <w:r w:rsidR="00FA45BD" w:rsidRPr="008A3740">
        <w:rPr>
          <w:rFonts w:ascii="Verdana" w:hAnsi="Verdana"/>
          <w:sz w:val="20"/>
          <w:szCs w:val="20"/>
          <w:lang w:val="en-US"/>
        </w:rPr>
        <w:t xml:space="preserve">point out </w:t>
      </w:r>
      <w:r w:rsidRPr="008A3740">
        <w:rPr>
          <w:rFonts w:ascii="Verdana" w:hAnsi="Verdana"/>
          <w:sz w:val="20"/>
          <w:szCs w:val="20"/>
          <w:lang w:val="en-US"/>
        </w:rPr>
        <w:t xml:space="preserve">that </w:t>
      </w:r>
      <w:r w:rsidR="00FA45BD" w:rsidRPr="008A3740">
        <w:rPr>
          <w:rFonts w:ascii="Verdana" w:hAnsi="Verdana"/>
          <w:sz w:val="20"/>
          <w:szCs w:val="20"/>
          <w:lang w:val="en-US"/>
        </w:rPr>
        <w:t xml:space="preserve">this </w:t>
      </w:r>
      <w:r w:rsidRPr="008A3740">
        <w:rPr>
          <w:rFonts w:ascii="Verdana" w:hAnsi="Verdana"/>
          <w:sz w:val="20"/>
          <w:szCs w:val="20"/>
          <w:lang w:val="en-US"/>
        </w:rPr>
        <w:t xml:space="preserve">amount does not include payment of </w:t>
      </w:r>
      <w:r w:rsidR="00FA45BD" w:rsidRPr="008A3740">
        <w:rPr>
          <w:rFonts w:ascii="Verdana" w:hAnsi="Verdana"/>
          <w:sz w:val="20"/>
          <w:szCs w:val="20"/>
          <w:lang w:val="en-US"/>
        </w:rPr>
        <w:t xml:space="preserve">the </w:t>
      </w:r>
      <w:r w:rsidRPr="008A3740">
        <w:rPr>
          <w:rFonts w:ascii="Verdana" w:hAnsi="Verdana"/>
          <w:sz w:val="20"/>
          <w:szCs w:val="20"/>
          <w:lang w:val="en-US"/>
        </w:rPr>
        <w:t>expenses incurred in the proceeding before this Court, which were covered by the Victims’ Legal Assistance Fund (</w:t>
      </w:r>
      <w:r w:rsidRPr="008A3740">
        <w:rPr>
          <w:rFonts w:ascii="Verdana" w:hAnsi="Verdana"/>
          <w:i/>
          <w:sz w:val="20"/>
          <w:szCs w:val="20"/>
          <w:lang w:val="en-US"/>
        </w:rPr>
        <w:t>infra</w:t>
      </w:r>
      <w:r w:rsidRPr="008A3740">
        <w:rPr>
          <w:rFonts w:ascii="Verdana" w:hAnsi="Verdana"/>
          <w:sz w:val="20"/>
          <w:szCs w:val="20"/>
          <w:lang w:val="en-US"/>
        </w:rPr>
        <w:t xml:space="preserve"> para. 276).</w:t>
      </w:r>
    </w:p>
    <w:p w14:paraId="09BF8747" w14:textId="77777777" w:rsidR="008E6A56" w:rsidRPr="008A3740" w:rsidRDefault="008E6A56" w:rsidP="008E6A56">
      <w:pPr>
        <w:tabs>
          <w:tab w:val="left" w:pos="567"/>
        </w:tabs>
        <w:rPr>
          <w:rFonts w:ascii="Verdana" w:eastAsia="Batang" w:hAnsi="Verdana"/>
          <w:sz w:val="20"/>
          <w:szCs w:val="20"/>
          <w:lang w:val="en-US"/>
        </w:rPr>
      </w:pPr>
    </w:p>
    <w:p w14:paraId="13B56E09" w14:textId="77777777" w:rsidR="008E6A56" w:rsidRPr="008A3740" w:rsidRDefault="008E6A56" w:rsidP="00D17A65">
      <w:pPr>
        <w:numPr>
          <w:ilvl w:val="0"/>
          <w:numId w:val="3"/>
        </w:numPr>
        <w:tabs>
          <w:tab w:val="left" w:pos="567"/>
          <w:tab w:val="num" w:pos="5057"/>
          <w:tab w:val="num" w:pos="11028"/>
        </w:tabs>
        <w:ind w:left="0" w:firstLine="0"/>
        <w:rPr>
          <w:rFonts w:ascii="Verdana" w:hAnsi="Verdana"/>
          <w:sz w:val="20"/>
          <w:szCs w:val="20"/>
          <w:lang w:val="en-US"/>
        </w:rPr>
      </w:pPr>
      <w:bookmarkStart w:id="140" w:name="_Ref455680884"/>
      <w:r w:rsidRPr="008A3740">
        <w:rPr>
          <w:rFonts w:ascii="Verdana" w:eastAsia="MS Mincho" w:hAnsi="Verdana"/>
          <w:sz w:val="20"/>
          <w:szCs w:val="20"/>
          <w:lang w:val="en-US" w:bidi="en-US"/>
        </w:rPr>
        <w:t xml:space="preserve">Consequently, the Court decides to order the </w:t>
      </w:r>
      <w:r w:rsidRPr="008A3740">
        <w:rPr>
          <w:rFonts w:ascii="Verdana" w:eastAsia="MS Mincho" w:hAnsi="Verdana" w:cs="Verdana"/>
          <w:sz w:val="20"/>
          <w:szCs w:val="20"/>
          <w:lang w:val="en-US" w:bidi="en-US"/>
        </w:rPr>
        <w:t xml:space="preserve">payment of a reasonable </w:t>
      </w:r>
      <w:r w:rsidR="00FA45BD" w:rsidRPr="008A3740">
        <w:rPr>
          <w:rFonts w:ascii="Verdana" w:eastAsia="MS Mincho" w:hAnsi="Verdana" w:cs="Verdana"/>
          <w:sz w:val="20"/>
          <w:szCs w:val="20"/>
          <w:lang w:val="en-US" w:bidi="en-US"/>
        </w:rPr>
        <w:t xml:space="preserve">sum </w:t>
      </w:r>
      <w:r w:rsidRPr="008A3740">
        <w:rPr>
          <w:rFonts w:ascii="Verdana" w:eastAsia="MS Mincho" w:hAnsi="Verdana" w:cs="Verdana"/>
          <w:sz w:val="20"/>
          <w:szCs w:val="20"/>
          <w:lang w:val="en-US" w:bidi="en-US"/>
        </w:rPr>
        <w:t xml:space="preserve">of </w:t>
      </w:r>
      <w:r w:rsidRPr="008A3740">
        <w:rPr>
          <w:rFonts w:ascii="Verdana" w:hAnsi="Verdana"/>
          <w:sz w:val="20"/>
          <w:szCs w:val="20"/>
          <w:lang w:val="en-US"/>
        </w:rPr>
        <w:t xml:space="preserve">US$ </w:t>
      </w:r>
      <w:r w:rsidR="00FA45BD" w:rsidRPr="008A3740">
        <w:rPr>
          <w:rFonts w:ascii="Verdana" w:hAnsi="Verdana" w:cs="Verdana"/>
          <w:sz w:val="20"/>
          <w:szCs w:val="20"/>
          <w:lang w:val="en-US"/>
        </w:rPr>
        <w:t>10,000.00 (ten thousand</w:t>
      </w:r>
      <w:r w:rsidRPr="008A3740">
        <w:rPr>
          <w:rFonts w:ascii="Verdana" w:hAnsi="Verdana" w:cs="Verdana"/>
          <w:sz w:val="20"/>
          <w:szCs w:val="20"/>
          <w:lang w:val="en-US"/>
        </w:rPr>
        <w:t xml:space="preserve"> United States dollars)</w:t>
      </w:r>
      <w:r w:rsidRPr="008A3740">
        <w:rPr>
          <w:rFonts w:ascii="Verdana" w:eastAsia="MS Mincho" w:hAnsi="Verdana" w:cs="Verdana"/>
          <w:sz w:val="20"/>
          <w:szCs w:val="20"/>
          <w:lang w:val="en-US" w:bidi="en-US"/>
        </w:rPr>
        <w:t xml:space="preserve"> for </w:t>
      </w:r>
      <w:r w:rsidRPr="008A3740">
        <w:rPr>
          <w:rFonts w:ascii="Verdana" w:eastAsia="MS Mincho" w:hAnsi="Verdana"/>
          <w:bCs/>
          <w:sz w:val="20"/>
          <w:szCs w:val="20"/>
          <w:lang w:val="en-US" w:eastAsia="en-US" w:bidi="en-US"/>
        </w:rPr>
        <w:t xml:space="preserve">costs and expenses. This amount </w:t>
      </w:r>
      <w:r w:rsidR="00FA45BD" w:rsidRPr="008A3740">
        <w:rPr>
          <w:rFonts w:ascii="Verdana" w:eastAsia="MS Mincho" w:hAnsi="Verdana"/>
          <w:bCs/>
          <w:sz w:val="20"/>
          <w:szCs w:val="20"/>
          <w:lang w:val="en-US" w:eastAsia="en-US" w:bidi="en-US"/>
        </w:rPr>
        <w:t xml:space="preserve">must be </w:t>
      </w:r>
      <w:r w:rsidR="00FA45BD" w:rsidRPr="008A3740">
        <w:rPr>
          <w:rFonts w:ascii="Verdana" w:eastAsia="MS Mincho" w:hAnsi="Verdana" w:cs="Verdana"/>
          <w:sz w:val="20"/>
          <w:szCs w:val="20"/>
          <w:lang w:val="en-US" w:bidi="en-US"/>
        </w:rPr>
        <w:t xml:space="preserve">paid </w:t>
      </w:r>
      <w:r w:rsidRPr="008A3740">
        <w:rPr>
          <w:rFonts w:ascii="Verdana" w:eastAsia="MS Mincho" w:hAnsi="Verdana" w:cs="Verdana"/>
          <w:sz w:val="20"/>
          <w:szCs w:val="20"/>
          <w:lang w:val="en-US" w:bidi="en-US"/>
        </w:rPr>
        <w:t xml:space="preserve">to Mr. Oscar Muelle Flores. In the </w:t>
      </w:r>
      <w:r w:rsidRPr="008A3740">
        <w:rPr>
          <w:rFonts w:ascii="Verdana" w:hAnsi="Verdana"/>
          <w:sz w:val="20"/>
          <w:szCs w:val="20"/>
          <w:lang w:val="en-US"/>
        </w:rPr>
        <w:t>monitoring compliance with judgment</w:t>
      </w:r>
      <w:r w:rsidR="009E13E5" w:rsidRPr="008A3740">
        <w:rPr>
          <w:rFonts w:ascii="Verdana" w:hAnsi="Verdana"/>
          <w:sz w:val="20"/>
          <w:szCs w:val="20"/>
          <w:lang w:val="en-US"/>
        </w:rPr>
        <w:t xml:space="preserve"> proceeding</w:t>
      </w:r>
      <w:r w:rsidRPr="008A3740">
        <w:rPr>
          <w:rFonts w:ascii="Verdana" w:hAnsi="Verdana"/>
          <w:sz w:val="20"/>
          <w:szCs w:val="20"/>
          <w:lang w:val="en-US"/>
        </w:rPr>
        <w:t>, the Court may order the State to reimburse the victim or his representatives for reasonable expenses duly proven in that procedural stage</w:t>
      </w:r>
      <w:bookmarkEnd w:id="140"/>
      <w:r w:rsidRPr="008A3740">
        <w:rPr>
          <w:rFonts w:ascii="Verdana" w:hAnsi="Verdana"/>
          <w:sz w:val="20"/>
          <w:szCs w:val="20"/>
          <w:lang w:val="en-US"/>
        </w:rPr>
        <w:t>.</w:t>
      </w:r>
      <w:r w:rsidRPr="008A3740">
        <w:rPr>
          <w:rStyle w:val="Refdenotaalpie"/>
          <w:szCs w:val="20"/>
          <w:lang w:val="en-US"/>
        </w:rPr>
        <w:footnoteReference w:id="250"/>
      </w:r>
    </w:p>
    <w:p w14:paraId="324B0E6F" w14:textId="77777777" w:rsidR="008E6A56" w:rsidRPr="008A3740" w:rsidRDefault="008E6A56" w:rsidP="008E6A56">
      <w:pPr>
        <w:tabs>
          <w:tab w:val="left" w:pos="567"/>
        </w:tabs>
        <w:textAlignment w:val="auto"/>
        <w:rPr>
          <w:rFonts w:ascii="Verdana" w:hAnsi="Verdana"/>
          <w:sz w:val="20"/>
          <w:szCs w:val="20"/>
          <w:lang w:val="en-US"/>
        </w:rPr>
      </w:pPr>
    </w:p>
    <w:p w14:paraId="047596E3" w14:textId="77777777" w:rsidR="008E6A56" w:rsidRPr="008A3740" w:rsidRDefault="008E6A56" w:rsidP="008E6A56">
      <w:pPr>
        <w:pStyle w:val="Ttulo2"/>
        <w:tabs>
          <w:tab w:val="clear" w:pos="360"/>
        </w:tabs>
        <w:ind w:hanging="360"/>
        <w:rPr>
          <w:lang w:val="en-US"/>
        </w:rPr>
      </w:pPr>
      <w:bookmarkStart w:id="141" w:name="_Toc495658705"/>
      <w:bookmarkStart w:id="142" w:name="_Toc476390747"/>
      <w:bookmarkStart w:id="143" w:name="_Toc514172673"/>
      <w:bookmarkStart w:id="144" w:name="_Toc5009905"/>
      <w:r w:rsidRPr="008A3740">
        <w:rPr>
          <w:lang w:val="en-US"/>
        </w:rPr>
        <w:t>Reimbursement of expenses to the Victims’ Legal Assistance Fund</w:t>
      </w:r>
      <w:bookmarkEnd w:id="141"/>
      <w:bookmarkEnd w:id="142"/>
      <w:bookmarkEnd w:id="143"/>
      <w:bookmarkEnd w:id="144"/>
    </w:p>
    <w:p w14:paraId="2E2A3EC9" w14:textId="77777777" w:rsidR="008E6A56" w:rsidRPr="008A3740" w:rsidRDefault="008E6A56" w:rsidP="008E6A56">
      <w:pPr>
        <w:tabs>
          <w:tab w:val="left" w:pos="720"/>
        </w:tabs>
        <w:ind w:left="142"/>
        <w:rPr>
          <w:rFonts w:ascii="Verdana" w:hAnsi="Verdana"/>
          <w:sz w:val="20"/>
          <w:szCs w:val="20"/>
          <w:lang w:val="en-US" w:bidi="en-US"/>
        </w:rPr>
      </w:pPr>
    </w:p>
    <w:p w14:paraId="25B760F7" w14:textId="77777777" w:rsidR="008E6A56" w:rsidRPr="008A3740" w:rsidRDefault="00675FF4" w:rsidP="00D17A65">
      <w:pPr>
        <w:numPr>
          <w:ilvl w:val="0"/>
          <w:numId w:val="3"/>
        </w:numPr>
        <w:tabs>
          <w:tab w:val="left" w:pos="567"/>
          <w:tab w:val="num" w:pos="5057"/>
        </w:tabs>
        <w:ind w:left="0" w:firstLine="0"/>
        <w:textAlignment w:val="auto"/>
        <w:rPr>
          <w:rFonts w:ascii="Verdana" w:eastAsia="MS Mincho" w:hAnsi="Verdana" w:cs="Verdana"/>
          <w:snapToGrid w:val="0"/>
          <w:sz w:val="20"/>
          <w:szCs w:val="20"/>
          <w:lang w:val="en-US" w:eastAsia="es-ES" w:bidi="en-US"/>
        </w:rPr>
      </w:pPr>
      <w:r w:rsidRPr="008A3740">
        <w:rPr>
          <w:rFonts w:ascii="Verdana" w:hAnsi="Verdana"/>
          <w:sz w:val="20"/>
          <w:szCs w:val="20"/>
          <w:lang w:val="en-US"/>
        </w:rPr>
        <w:t xml:space="preserve">In the instant </w:t>
      </w:r>
      <w:r w:rsidR="008E6A56" w:rsidRPr="008A3740">
        <w:rPr>
          <w:rFonts w:ascii="Verdana" w:hAnsi="Verdana"/>
          <w:sz w:val="20"/>
          <w:szCs w:val="20"/>
          <w:lang w:val="en-US"/>
        </w:rPr>
        <w:t xml:space="preserve">case, </w:t>
      </w:r>
      <w:r w:rsidR="009E13E5" w:rsidRPr="008A3740">
        <w:rPr>
          <w:rFonts w:ascii="Verdana" w:hAnsi="Verdana"/>
          <w:sz w:val="20"/>
          <w:szCs w:val="20"/>
          <w:lang w:val="en-US"/>
        </w:rPr>
        <w:t>the President of the Court,</w:t>
      </w:r>
      <w:r w:rsidRPr="008A3740">
        <w:rPr>
          <w:rFonts w:ascii="Verdana" w:hAnsi="Verdana"/>
          <w:sz w:val="20"/>
          <w:szCs w:val="20"/>
          <w:lang w:val="en-US"/>
        </w:rPr>
        <w:t xml:space="preserve"> in an O</w:t>
      </w:r>
      <w:r w:rsidR="008E6A56" w:rsidRPr="008A3740">
        <w:rPr>
          <w:rFonts w:ascii="Verdana" w:hAnsi="Verdana"/>
          <w:sz w:val="20"/>
          <w:szCs w:val="20"/>
          <w:lang w:val="en-US"/>
        </w:rPr>
        <w:t xml:space="preserve">rder </w:t>
      </w:r>
      <w:r w:rsidRPr="008A3740">
        <w:rPr>
          <w:rFonts w:ascii="Verdana" w:hAnsi="Verdana"/>
          <w:sz w:val="20"/>
          <w:szCs w:val="20"/>
          <w:lang w:val="en-US"/>
        </w:rPr>
        <w:t xml:space="preserve">of </w:t>
      </w:r>
      <w:r w:rsidR="008E6A56" w:rsidRPr="008A3740">
        <w:rPr>
          <w:rFonts w:ascii="Verdana" w:hAnsi="Verdana"/>
          <w:sz w:val="20"/>
          <w:szCs w:val="20"/>
          <w:lang w:val="en-US"/>
        </w:rPr>
        <w:t>July 27,2018</w:t>
      </w:r>
      <w:r w:rsidRPr="008A3740">
        <w:rPr>
          <w:rFonts w:ascii="Verdana" w:hAnsi="Verdana"/>
          <w:sz w:val="20"/>
          <w:szCs w:val="20"/>
          <w:lang w:val="en-US"/>
        </w:rPr>
        <w:t>,</w:t>
      </w:r>
      <w:r w:rsidR="008E6A56" w:rsidRPr="008A3740">
        <w:rPr>
          <w:rStyle w:val="Refdenotaalpie"/>
          <w:szCs w:val="20"/>
          <w:lang w:val="en-US"/>
        </w:rPr>
        <w:footnoteReference w:id="251"/>
      </w:r>
      <w:r w:rsidR="008E6A56" w:rsidRPr="008A3740">
        <w:rPr>
          <w:rFonts w:ascii="Verdana" w:hAnsi="Verdana"/>
          <w:sz w:val="20"/>
          <w:szCs w:val="20"/>
          <w:lang w:val="en-US"/>
        </w:rPr>
        <w:t xml:space="preserve"> </w:t>
      </w:r>
      <w:r w:rsidRPr="008A3740">
        <w:rPr>
          <w:rFonts w:ascii="Verdana" w:hAnsi="Verdana"/>
          <w:sz w:val="20"/>
          <w:szCs w:val="20"/>
          <w:lang w:val="en-US"/>
        </w:rPr>
        <w:t xml:space="preserve">granted financial </w:t>
      </w:r>
      <w:r w:rsidR="008E6A56" w:rsidRPr="008A3740">
        <w:rPr>
          <w:rFonts w:ascii="Verdana" w:hAnsi="Verdana"/>
          <w:sz w:val="20"/>
          <w:szCs w:val="20"/>
          <w:lang w:val="en-US"/>
        </w:rPr>
        <w:t>as</w:t>
      </w:r>
      <w:r w:rsidRPr="008A3740">
        <w:rPr>
          <w:rFonts w:ascii="Verdana" w:hAnsi="Verdana"/>
          <w:sz w:val="20"/>
          <w:szCs w:val="20"/>
          <w:lang w:val="en-US"/>
        </w:rPr>
        <w:t>sistance</w:t>
      </w:r>
      <w:r w:rsidR="008E6A56" w:rsidRPr="008A3740">
        <w:rPr>
          <w:rFonts w:ascii="Verdana" w:hAnsi="Verdana"/>
          <w:sz w:val="20"/>
          <w:szCs w:val="20"/>
          <w:lang w:val="en-US"/>
        </w:rPr>
        <w:t xml:space="preserve"> </w:t>
      </w:r>
      <w:r w:rsidRPr="008A3740">
        <w:rPr>
          <w:rFonts w:ascii="Verdana" w:hAnsi="Verdana"/>
          <w:sz w:val="20"/>
          <w:szCs w:val="20"/>
          <w:lang w:val="en-US"/>
        </w:rPr>
        <w:t xml:space="preserve">from the Fund to cover the following </w:t>
      </w:r>
      <w:r w:rsidR="008E6A56" w:rsidRPr="008A3740">
        <w:rPr>
          <w:rFonts w:ascii="Verdana" w:hAnsi="Verdana"/>
          <w:sz w:val="20"/>
          <w:szCs w:val="20"/>
          <w:lang w:val="en-US"/>
        </w:rPr>
        <w:t xml:space="preserve">expenses: i) </w:t>
      </w:r>
      <w:r w:rsidRPr="008A3740">
        <w:rPr>
          <w:rFonts w:ascii="Verdana" w:hAnsi="Verdana"/>
          <w:sz w:val="20"/>
          <w:szCs w:val="20"/>
          <w:lang w:val="en-US"/>
        </w:rPr>
        <w:t xml:space="preserve">travel, transfers and accommodation costs </w:t>
      </w:r>
      <w:r w:rsidR="009E13E5" w:rsidRPr="008A3740">
        <w:rPr>
          <w:rFonts w:ascii="Verdana" w:hAnsi="Verdana"/>
          <w:sz w:val="20"/>
          <w:szCs w:val="20"/>
          <w:lang w:val="en-US"/>
        </w:rPr>
        <w:t>required to meet</w:t>
      </w:r>
      <w:r w:rsidRPr="008A3740">
        <w:rPr>
          <w:rFonts w:ascii="Verdana" w:hAnsi="Verdana"/>
          <w:sz w:val="20"/>
          <w:szCs w:val="20"/>
          <w:lang w:val="en-US"/>
        </w:rPr>
        <w:t xml:space="preserve"> with the presumed victim in </w:t>
      </w:r>
      <w:r w:rsidR="008E6A56" w:rsidRPr="008A3740">
        <w:rPr>
          <w:rFonts w:ascii="Verdana" w:hAnsi="Verdana"/>
          <w:sz w:val="20"/>
          <w:szCs w:val="20"/>
          <w:lang w:val="en-US"/>
        </w:rPr>
        <w:t xml:space="preserve">Lima in October 2017; ii) </w:t>
      </w:r>
      <w:r w:rsidRPr="008A3740">
        <w:rPr>
          <w:rFonts w:ascii="Verdana" w:hAnsi="Verdana"/>
          <w:sz w:val="20"/>
          <w:szCs w:val="20"/>
          <w:lang w:val="en-US"/>
        </w:rPr>
        <w:t xml:space="preserve">expenses incurred </w:t>
      </w:r>
      <w:r w:rsidR="008E6A56" w:rsidRPr="008A3740">
        <w:rPr>
          <w:rFonts w:ascii="Verdana" w:hAnsi="Verdana"/>
          <w:sz w:val="20"/>
          <w:szCs w:val="20"/>
          <w:lang w:val="en-US"/>
        </w:rPr>
        <w:t xml:space="preserve">in obtaining the </w:t>
      </w:r>
      <w:r w:rsidRPr="008A3740">
        <w:rPr>
          <w:rFonts w:ascii="Verdana" w:hAnsi="Verdana"/>
          <w:sz w:val="20"/>
          <w:szCs w:val="20"/>
          <w:lang w:val="en-US"/>
        </w:rPr>
        <w:t xml:space="preserve">affidavits of </w:t>
      </w:r>
      <w:r w:rsidR="008E6A56" w:rsidRPr="008A3740">
        <w:rPr>
          <w:rFonts w:ascii="Verdana" w:hAnsi="Verdana"/>
          <w:sz w:val="20"/>
          <w:szCs w:val="20"/>
          <w:lang w:val="en-US"/>
        </w:rPr>
        <w:t>the presumed victim, two witnesses and an expert witness, all proposed by the defens</w:t>
      </w:r>
      <w:r w:rsidRPr="008A3740">
        <w:rPr>
          <w:rFonts w:ascii="Verdana" w:hAnsi="Verdana"/>
          <w:sz w:val="20"/>
          <w:szCs w:val="20"/>
          <w:lang w:val="en-US"/>
        </w:rPr>
        <w:t>e attorneys</w:t>
      </w:r>
      <w:r w:rsidR="008E6A56" w:rsidRPr="008A3740">
        <w:rPr>
          <w:rFonts w:ascii="Verdana" w:hAnsi="Verdana"/>
          <w:sz w:val="20"/>
          <w:szCs w:val="20"/>
          <w:lang w:val="en-US"/>
        </w:rPr>
        <w:t xml:space="preserve">, </w:t>
      </w:r>
      <w:r w:rsidRPr="008A3740">
        <w:rPr>
          <w:rFonts w:ascii="Verdana" w:hAnsi="Verdana"/>
          <w:sz w:val="20"/>
          <w:szCs w:val="20"/>
          <w:lang w:val="en-US"/>
        </w:rPr>
        <w:t xml:space="preserve">as specified in the </w:t>
      </w:r>
      <w:r w:rsidR="00FA45BD" w:rsidRPr="008A3740">
        <w:rPr>
          <w:rFonts w:ascii="Verdana" w:hAnsi="Verdana"/>
          <w:sz w:val="20"/>
          <w:szCs w:val="20"/>
          <w:lang w:val="en-US"/>
        </w:rPr>
        <w:t xml:space="preserve">operative paragraphs </w:t>
      </w:r>
      <w:r w:rsidR="008E6A56" w:rsidRPr="008A3740">
        <w:rPr>
          <w:rFonts w:ascii="Verdana" w:hAnsi="Verdana"/>
          <w:sz w:val="20"/>
          <w:szCs w:val="20"/>
          <w:lang w:val="en-US"/>
        </w:rPr>
        <w:t xml:space="preserve">of this </w:t>
      </w:r>
      <w:r w:rsidRPr="008A3740">
        <w:rPr>
          <w:rFonts w:ascii="Verdana" w:hAnsi="Verdana"/>
          <w:sz w:val="20"/>
          <w:szCs w:val="20"/>
          <w:lang w:val="en-US"/>
        </w:rPr>
        <w:t>Order</w:t>
      </w:r>
      <w:r w:rsidR="008E6A56" w:rsidRPr="008A3740">
        <w:rPr>
          <w:rFonts w:ascii="Verdana" w:hAnsi="Verdana"/>
          <w:sz w:val="20"/>
          <w:szCs w:val="20"/>
          <w:lang w:val="en-US"/>
        </w:rPr>
        <w:t>, and iii) any other reasonable and necessary expenses that the representat</w:t>
      </w:r>
      <w:r w:rsidRPr="008A3740">
        <w:rPr>
          <w:rFonts w:ascii="Verdana" w:hAnsi="Verdana"/>
          <w:sz w:val="20"/>
          <w:szCs w:val="20"/>
          <w:lang w:val="en-US"/>
        </w:rPr>
        <w:t>ives have incurred or may incur, and for which</w:t>
      </w:r>
      <w:r w:rsidR="008E6A56" w:rsidRPr="008A3740">
        <w:rPr>
          <w:rFonts w:ascii="Verdana" w:eastAsia="MS Mincho" w:hAnsi="Verdana" w:cs="Verdana"/>
          <w:sz w:val="20"/>
          <w:szCs w:val="20"/>
          <w:lang w:val="en-US" w:bidi="en-US"/>
        </w:rPr>
        <w:t xml:space="preserve"> </w:t>
      </w:r>
      <w:r w:rsidRPr="008A3740">
        <w:rPr>
          <w:rFonts w:ascii="Verdana" w:eastAsia="MS Mincho" w:hAnsi="Verdana" w:cs="Verdana"/>
          <w:sz w:val="20"/>
          <w:szCs w:val="20"/>
          <w:lang w:val="en-US" w:bidi="en-US"/>
        </w:rPr>
        <w:t xml:space="preserve">they must submit to the </w:t>
      </w:r>
      <w:r w:rsidR="008E6A56" w:rsidRPr="008A3740">
        <w:rPr>
          <w:rFonts w:ascii="Verdana" w:eastAsia="MS Mincho" w:hAnsi="Verdana" w:cs="Verdana"/>
          <w:sz w:val="20"/>
          <w:szCs w:val="20"/>
          <w:lang w:val="en-US" w:bidi="en-US"/>
        </w:rPr>
        <w:t xml:space="preserve">Court both the justification </w:t>
      </w:r>
      <w:r w:rsidRPr="008A3740">
        <w:rPr>
          <w:rFonts w:ascii="Verdana" w:eastAsia="MS Mincho" w:hAnsi="Verdana" w:cs="Verdana"/>
          <w:sz w:val="20"/>
          <w:szCs w:val="20"/>
          <w:lang w:val="en-US" w:bidi="en-US"/>
        </w:rPr>
        <w:t xml:space="preserve">for such </w:t>
      </w:r>
      <w:r w:rsidR="008E6A56" w:rsidRPr="008A3740">
        <w:rPr>
          <w:rFonts w:ascii="Verdana" w:eastAsia="MS Mincho" w:hAnsi="Verdana" w:cs="Verdana"/>
          <w:sz w:val="20"/>
          <w:szCs w:val="20"/>
          <w:lang w:val="en-US" w:bidi="en-US"/>
        </w:rPr>
        <w:t xml:space="preserve">expenses </w:t>
      </w:r>
      <w:r w:rsidRPr="008A3740">
        <w:rPr>
          <w:rFonts w:ascii="Verdana" w:eastAsia="MS Mincho" w:hAnsi="Verdana" w:cs="Verdana"/>
          <w:sz w:val="20"/>
          <w:szCs w:val="20"/>
          <w:lang w:val="en-US" w:bidi="en-US"/>
        </w:rPr>
        <w:t>and the relevant receipts</w:t>
      </w:r>
      <w:r w:rsidR="008E6A56" w:rsidRPr="008A3740">
        <w:rPr>
          <w:rFonts w:ascii="Verdana" w:eastAsia="MS Mincho" w:hAnsi="Verdana" w:cs="Verdana"/>
          <w:sz w:val="20"/>
          <w:szCs w:val="20"/>
          <w:lang w:val="en-US" w:bidi="en-US"/>
        </w:rPr>
        <w:t>.</w:t>
      </w:r>
    </w:p>
    <w:p w14:paraId="070FA333" w14:textId="77777777" w:rsidR="008E6A56" w:rsidRPr="008A3740" w:rsidRDefault="008E6A56" w:rsidP="008E6A56">
      <w:pPr>
        <w:tabs>
          <w:tab w:val="left" w:pos="567"/>
        </w:tabs>
        <w:textAlignment w:val="auto"/>
        <w:rPr>
          <w:rFonts w:ascii="Verdana" w:eastAsia="MS Mincho" w:hAnsi="Verdana" w:cs="Verdana"/>
          <w:snapToGrid w:val="0"/>
          <w:sz w:val="20"/>
          <w:szCs w:val="20"/>
          <w:lang w:val="en-US" w:eastAsia="es-ES" w:bidi="en-US"/>
        </w:rPr>
      </w:pPr>
    </w:p>
    <w:p w14:paraId="7DF4893B" w14:textId="77777777" w:rsidR="008E6A56" w:rsidRPr="008A3740" w:rsidRDefault="008E6A56" w:rsidP="00D17A65">
      <w:pPr>
        <w:numPr>
          <w:ilvl w:val="0"/>
          <w:numId w:val="3"/>
        </w:numPr>
        <w:tabs>
          <w:tab w:val="left" w:pos="567"/>
          <w:tab w:val="num" w:pos="12305"/>
        </w:tabs>
        <w:ind w:left="0" w:firstLine="0"/>
        <w:rPr>
          <w:rFonts w:ascii="Verdana" w:hAnsi="Verdana"/>
          <w:snapToGrid w:val="0"/>
          <w:sz w:val="20"/>
          <w:szCs w:val="20"/>
          <w:lang w:val="en-US"/>
        </w:rPr>
      </w:pPr>
      <w:r w:rsidRPr="008A3740">
        <w:rPr>
          <w:rFonts w:ascii="Verdana" w:hAnsi="Verdana" w:cs="Verdana"/>
          <w:snapToGrid w:val="0"/>
          <w:sz w:val="20"/>
          <w:szCs w:val="20"/>
          <w:lang w:val="en-US" w:eastAsia="es-ES"/>
        </w:rPr>
        <w:t xml:space="preserve">The State had an opportunity to present its observations on the disbursements made in this case; however, in its brief of November 28, 2018, it stated that it had no </w:t>
      </w:r>
      <w:r w:rsidRPr="008A3740">
        <w:rPr>
          <w:rFonts w:ascii="Verdana" w:hAnsi="Verdana"/>
          <w:snapToGrid w:val="0"/>
          <w:sz w:val="20"/>
          <w:szCs w:val="20"/>
          <w:lang w:val="en-US"/>
        </w:rPr>
        <w:t xml:space="preserve">observations to make in that regard. </w:t>
      </w:r>
    </w:p>
    <w:p w14:paraId="294194FF" w14:textId="77777777" w:rsidR="008E6A56" w:rsidRPr="008A3740" w:rsidRDefault="008E6A56" w:rsidP="008E6A56">
      <w:pPr>
        <w:tabs>
          <w:tab w:val="left" w:pos="567"/>
        </w:tabs>
        <w:rPr>
          <w:rFonts w:ascii="Verdana" w:hAnsi="Verdana"/>
          <w:snapToGrid w:val="0"/>
          <w:sz w:val="20"/>
          <w:szCs w:val="20"/>
          <w:lang w:val="en-US"/>
        </w:rPr>
      </w:pPr>
    </w:p>
    <w:p w14:paraId="53FDB827"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cs="Verdana"/>
          <w:snapToGrid w:val="0"/>
          <w:sz w:val="20"/>
          <w:szCs w:val="20"/>
          <w:lang w:val="en-US" w:eastAsia="es-ES" w:bidi="en-US"/>
        </w:rPr>
      </w:pPr>
      <w:r w:rsidRPr="008A3740">
        <w:rPr>
          <w:rFonts w:ascii="Verdana" w:eastAsia="MS Mincho" w:hAnsi="Verdana" w:cs="Verdana"/>
          <w:snapToGrid w:val="0"/>
          <w:sz w:val="20"/>
          <w:szCs w:val="20"/>
          <w:lang w:val="en-US" w:eastAsia="es-ES" w:bidi="en-US"/>
        </w:rPr>
        <w:t xml:space="preserve">Therefore, </w:t>
      </w:r>
      <w:r w:rsidR="00DF4EC2" w:rsidRPr="008A3740">
        <w:rPr>
          <w:rFonts w:ascii="Verdana" w:eastAsia="MS Mincho" w:hAnsi="Verdana" w:cs="Verdana"/>
          <w:snapToGrid w:val="0"/>
          <w:sz w:val="20"/>
          <w:szCs w:val="20"/>
          <w:lang w:val="en-US" w:eastAsia="es-ES" w:bidi="en-US"/>
        </w:rPr>
        <w:t xml:space="preserve">considering </w:t>
      </w:r>
      <w:r w:rsidRPr="008A3740">
        <w:rPr>
          <w:rFonts w:ascii="Verdana" w:eastAsia="MS Mincho" w:hAnsi="Verdana" w:cs="Verdana"/>
          <w:snapToGrid w:val="0"/>
          <w:sz w:val="20"/>
          <w:szCs w:val="20"/>
          <w:lang w:val="en-US" w:eastAsia="es-ES" w:bidi="en-US"/>
        </w:rPr>
        <w:t xml:space="preserve">the violations declared in this Judgment and </w:t>
      </w:r>
      <w:r w:rsidR="00DF4EC2" w:rsidRPr="008A3740">
        <w:rPr>
          <w:rFonts w:ascii="Verdana" w:eastAsia="MS Mincho" w:hAnsi="Verdana" w:cs="Verdana"/>
          <w:snapToGrid w:val="0"/>
          <w:sz w:val="20"/>
          <w:szCs w:val="20"/>
          <w:lang w:val="en-US" w:eastAsia="es-ES" w:bidi="en-US"/>
        </w:rPr>
        <w:t xml:space="preserve">that the petitioners </w:t>
      </w:r>
      <w:r w:rsidR="009E13E5" w:rsidRPr="008A3740">
        <w:rPr>
          <w:rFonts w:ascii="Verdana" w:eastAsia="MS Mincho" w:hAnsi="Verdana" w:cs="Verdana"/>
          <w:snapToGrid w:val="0"/>
          <w:sz w:val="20"/>
          <w:szCs w:val="20"/>
          <w:lang w:val="en-US" w:eastAsia="es-ES" w:bidi="en-US"/>
        </w:rPr>
        <w:t xml:space="preserve">complied </w:t>
      </w:r>
      <w:r w:rsidR="00DF4EC2" w:rsidRPr="008A3740">
        <w:rPr>
          <w:rFonts w:ascii="Verdana" w:eastAsia="MS Mincho" w:hAnsi="Verdana" w:cs="Verdana"/>
          <w:snapToGrid w:val="0"/>
          <w:sz w:val="20"/>
          <w:szCs w:val="20"/>
          <w:lang w:val="en-US" w:eastAsia="es-ES" w:bidi="en-US"/>
        </w:rPr>
        <w:t xml:space="preserve">with the requirements for accessing the </w:t>
      </w:r>
      <w:r w:rsidRPr="008A3740">
        <w:rPr>
          <w:rFonts w:ascii="Verdana" w:eastAsia="MS Mincho" w:hAnsi="Verdana" w:cs="Verdana"/>
          <w:snapToGrid w:val="0"/>
          <w:sz w:val="20"/>
          <w:szCs w:val="20"/>
          <w:lang w:val="en-US" w:eastAsia="es-ES" w:bidi="en-US"/>
        </w:rPr>
        <w:t>Fund, the Court orders the State to reimburse th</w:t>
      </w:r>
      <w:r w:rsidR="00DF4EC2" w:rsidRPr="008A3740">
        <w:rPr>
          <w:rFonts w:ascii="Verdana" w:eastAsia="MS Mincho" w:hAnsi="Verdana" w:cs="Verdana"/>
          <w:snapToGrid w:val="0"/>
          <w:sz w:val="20"/>
          <w:szCs w:val="20"/>
          <w:lang w:val="en-US" w:eastAsia="es-ES" w:bidi="en-US"/>
        </w:rPr>
        <w:t xml:space="preserve">is </w:t>
      </w:r>
      <w:r w:rsidRPr="008A3740">
        <w:rPr>
          <w:rFonts w:ascii="Verdana" w:eastAsia="MS Mincho" w:hAnsi="Verdana" w:cs="Verdana"/>
          <w:snapToGrid w:val="0"/>
          <w:sz w:val="20"/>
          <w:szCs w:val="20"/>
          <w:lang w:val="en-US" w:eastAsia="es-ES" w:bidi="en-US"/>
        </w:rPr>
        <w:t xml:space="preserve">Fund </w:t>
      </w:r>
      <w:r w:rsidR="009E13E5" w:rsidRPr="008A3740">
        <w:rPr>
          <w:rFonts w:ascii="Verdana" w:eastAsia="MS Mincho" w:hAnsi="Verdana" w:cs="Verdana"/>
          <w:snapToGrid w:val="0"/>
          <w:sz w:val="20"/>
          <w:szCs w:val="20"/>
          <w:lang w:val="en-US" w:eastAsia="es-ES" w:bidi="en-US"/>
        </w:rPr>
        <w:t xml:space="preserve">in </w:t>
      </w:r>
      <w:r w:rsidR="00DF4EC2" w:rsidRPr="008A3740">
        <w:rPr>
          <w:rFonts w:ascii="Verdana" w:eastAsia="MS Mincho" w:hAnsi="Verdana" w:cs="Verdana"/>
          <w:snapToGrid w:val="0"/>
          <w:sz w:val="20"/>
          <w:szCs w:val="20"/>
          <w:lang w:val="en-US" w:eastAsia="es-ES" w:bidi="en-US"/>
        </w:rPr>
        <w:t xml:space="preserve">the </w:t>
      </w:r>
      <w:r w:rsidR="009E13E5" w:rsidRPr="008A3740">
        <w:rPr>
          <w:rFonts w:ascii="Verdana" w:eastAsia="MS Mincho" w:hAnsi="Verdana" w:cs="Verdana"/>
          <w:snapToGrid w:val="0"/>
          <w:sz w:val="20"/>
          <w:szCs w:val="20"/>
          <w:lang w:val="en-US" w:eastAsia="es-ES" w:bidi="en-US"/>
        </w:rPr>
        <w:t xml:space="preserve">amount </w:t>
      </w:r>
      <w:r w:rsidR="00DF4EC2" w:rsidRPr="008A3740">
        <w:rPr>
          <w:rFonts w:ascii="Verdana" w:eastAsia="MS Mincho" w:hAnsi="Verdana" w:cs="Verdana"/>
          <w:snapToGrid w:val="0"/>
          <w:sz w:val="20"/>
          <w:szCs w:val="20"/>
          <w:lang w:val="en-US" w:eastAsia="es-ES" w:bidi="en-US"/>
        </w:rPr>
        <w:t xml:space="preserve">of </w:t>
      </w:r>
      <w:r w:rsidRPr="008A3740">
        <w:rPr>
          <w:rFonts w:ascii="Verdana" w:eastAsia="MS Mincho" w:hAnsi="Verdana" w:cs="Verdana"/>
          <w:snapToGrid w:val="0"/>
          <w:sz w:val="20"/>
          <w:szCs w:val="20"/>
          <w:lang w:val="en-US" w:eastAsia="es-ES" w:bidi="en-US"/>
        </w:rPr>
        <w:t>US$ 2,334.04 (</w:t>
      </w:r>
      <w:r w:rsidR="00DF4EC2" w:rsidRPr="008A3740">
        <w:rPr>
          <w:rFonts w:ascii="Verdana" w:eastAsia="MS Mincho" w:hAnsi="Verdana" w:cs="Verdana"/>
          <w:snapToGrid w:val="0"/>
          <w:sz w:val="20"/>
          <w:szCs w:val="20"/>
          <w:lang w:val="en-US" w:eastAsia="es-ES" w:bidi="en-US"/>
        </w:rPr>
        <w:t>two thousand, three hundred and thirty-four</w:t>
      </w:r>
      <w:r w:rsidRPr="008A3740">
        <w:rPr>
          <w:rFonts w:ascii="Verdana" w:eastAsia="MS Mincho" w:hAnsi="Verdana" w:cs="Verdana"/>
          <w:snapToGrid w:val="0"/>
          <w:sz w:val="20"/>
          <w:szCs w:val="20"/>
          <w:lang w:val="en-US" w:eastAsia="es-ES" w:bidi="en-US"/>
        </w:rPr>
        <w:t xml:space="preserve"> United States dollars</w:t>
      </w:r>
      <w:r w:rsidR="00DF4EC2" w:rsidRPr="008A3740">
        <w:rPr>
          <w:rFonts w:ascii="Verdana" w:eastAsia="MS Mincho" w:hAnsi="Verdana" w:cs="Verdana"/>
          <w:snapToGrid w:val="0"/>
          <w:sz w:val="20"/>
          <w:szCs w:val="20"/>
          <w:lang w:val="en-US" w:eastAsia="es-ES" w:bidi="en-US"/>
        </w:rPr>
        <w:t xml:space="preserve"> and 04/100 cents</w:t>
      </w:r>
      <w:r w:rsidRPr="008A3740">
        <w:rPr>
          <w:rFonts w:ascii="Verdana" w:hAnsi="Verdana" w:cs="Verdana"/>
          <w:snapToGrid w:val="0"/>
          <w:sz w:val="20"/>
          <w:szCs w:val="20"/>
          <w:lang w:val="en-US" w:eastAsia="es-ES"/>
        </w:rPr>
        <w:t xml:space="preserve">). </w:t>
      </w:r>
      <w:r w:rsidR="00DF4EC2" w:rsidRPr="008A3740">
        <w:rPr>
          <w:rFonts w:ascii="Verdana" w:hAnsi="Verdana" w:cs="Verdana"/>
          <w:snapToGrid w:val="0"/>
          <w:sz w:val="20"/>
          <w:szCs w:val="20"/>
          <w:lang w:val="en-US" w:eastAsia="es-ES"/>
        </w:rPr>
        <w:t xml:space="preserve">This </w:t>
      </w:r>
      <w:r w:rsidRPr="008A3740">
        <w:rPr>
          <w:rFonts w:ascii="Verdana" w:eastAsia="MS Mincho" w:hAnsi="Verdana" w:cs="Verdana"/>
          <w:snapToGrid w:val="0"/>
          <w:sz w:val="20"/>
          <w:szCs w:val="20"/>
          <w:lang w:val="en-US" w:eastAsia="es-ES" w:bidi="en-US"/>
        </w:rPr>
        <w:t xml:space="preserve">amount </w:t>
      </w:r>
      <w:r w:rsidR="00DF4EC2" w:rsidRPr="008A3740">
        <w:rPr>
          <w:rFonts w:ascii="Verdana" w:eastAsia="MS Mincho" w:hAnsi="Verdana" w:cs="Verdana"/>
          <w:snapToGrid w:val="0"/>
          <w:sz w:val="20"/>
          <w:szCs w:val="20"/>
          <w:lang w:val="en-US" w:eastAsia="es-ES" w:bidi="en-US"/>
        </w:rPr>
        <w:t xml:space="preserve">must be reimbursed within </w:t>
      </w:r>
      <w:r w:rsidRPr="008A3740">
        <w:rPr>
          <w:rFonts w:ascii="Verdana" w:eastAsia="MS Mincho" w:hAnsi="Verdana" w:cs="Verdana"/>
          <w:snapToGrid w:val="0"/>
          <w:sz w:val="20"/>
          <w:szCs w:val="20"/>
          <w:lang w:val="en-US" w:eastAsia="es-ES" w:bidi="en-US"/>
        </w:rPr>
        <w:t xml:space="preserve">six months </w:t>
      </w:r>
      <w:r w:rsidR="00DF4EC2" w:rsidRPr="008A3740">
        <w:rPr>
          <w:rFonts w:ascii="Verdana" w:eastAsia="MS Mincho" w:hAnsi="Verdana" w:cs="Verdana"/>
          <w:snapToGrid w:val="0"/>
          <w:sz w:val="20"/>
          <w:szCs w:val="20"/>
          <w:lang w:val="en-US" w:eastAsia="es-ES" w:bidi="en-US"/>
        </w:rPr>
        <w:t xml:space="preserve">of </w:t>
      </w:r>
      <w:r w:rsidRPr="008A3740">
        <w:rPr>
          <w:rFonts w:ascii="Verdana" w:eastAsia="MS Mincho" w:hAnsi="Verdana" w:cs="Verdana"/>
          <w:snapToGrid w:val="0"/>
          <w:sz w:val="20"/>
          <w:szCs w:val="20"/>
          <w:lang w:val="en-US" w:eastAsia="es-ES" w:bidi="en-US"/>
        </w:rPr>
        <w:t>notification of this Judgment.</w:t>
      </w:r>
    </w:p>
    <w:p w14:paraId="478E8EE1" w14:textId="77777777" w:rsidR="008E6A56" w:rsidRPr="008A3740" w:rsidRDefault="008E6A56" w:rsidP="008E6A56">
      <w:pPr>
        <w:ind w:left="142"/>
        <w:rPr>
          <w:rFonts w:ascii="Verdana" w:hAnsi="Verdana"/>
          <w:sz w:val="20"/>
          <w:szCs w:val="20"/>
          <w:lang w:val="en-US"/>
        </w:rPr>
      </w:pPr>
    </w:p>
    <w:p w14:paraId="430C17FE" w14:textId="77777777" w:rsidR="008E6A56" w:rsidRPr="008A3740" w:rsidRDefault="008E6A56" w:rsidP="008E6A56">
      <w:pPr>
        <w:pStyle w:val="Ttulo2"/>
        <w:tabs>
          <w:tab w:val="clear" w:pos="360"/>
        </w:tabs>
        <w:ind w:hanging="360"/>
        <w:rPr>
          <w:lang w:val="en-US"/>
        </w:rPr>
      </w:pPr>
      <w:bookmarkStart w:id="145" w:name="_Toc495658706"/>
      <w:bookmarkStart w:id="146" w:name="_Toc476390748"/>
      <w:bookmarkStart w:id="147" w:name="_Toc514172674"/>
      <w:bookmarkStart w:id="148" w:name="_Toc5009906"/>
      <w:r w:rsidRPr="008A3740">
        <w:rPr>
          <w:lang w:val="en-US"/>
        </w:rPr>
        <w:t xml:space="preserve">Method of compliance with the payments ordered </w:t>
      </w:r>
      <w:bookmarkEnd w:id="145"/>
      <w:bookmarkEnd w:id="146"/>
      <w:bookmarkEnd w:id="147"/>
      <w:bookmarkEnd w:id="148"/>
    </w:p>
    <w:p w14:paraId="42014556" w14:textId="77777777" w:rsidR="008E6A56" w:rsidRPr="008A3740" w:rsidRDefault="008E6A56" w:rsidP="008E6A56">
      <w:pPr>
        <w:tabs>
          <w:tab w:val="left" w:pos="720"/>
          <w:tab w:val="left" w:pos="840"/>
          <w:tab w:val="left" w:pos="1680"/>
          <w:tab w:val="left" w:pos="2240"/>
          <w:tab w:val="left" w:pos="2800"/>
          <w:tab w:val="left" w:pos="3360"/>
          <w:tab w:val="left" w:pos="3920"/>
          <w:tab w:val="left" w:pos="4480"/>
          <w:tab w:val="left" w:pos="5040"/>
          <w:tab w:val="left" w:pos="5600"/>
          <w:tab w:val="left" w:pos="6160"/>
          <w:tab w:val="left" w:pos="6720"/>
        </w:tabs>
        <w:autoSpaceDE w:val="0"/>
        <w:autoSpaceDN w:val="0"/>
        <w:ind w:right="-90"/>
        <w:rPr>
          <w:rFonts w:ascii="Verdana" w:hAnsi="Verdana"/>
          <w:bCs/>
          <w:sz w:val="20"/>
          <w:szCs w:val="20"/>
          <w:lang w:val="en-US"/>
        </w:rPr>
      </w:pPr>
    </w:p>
    <w:p w14:paraId="45CDDAD2"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eastAsia="MS Mincho" w:hAnsi="Verdana"/>
          <w:sz w:val="20"/>
          <w:szCs w:val="20"/>
          <w:lang w:val="en-US" w:bidi="en-US"/>
        </w:rPr>
        <w:lastRenderedPageBreak/>
        <w:t xml:space="preserve">The State </w:t>
      </w:r>
      <w:r w:rsidR="00DF4EC2" w:rsidRPr="008A3740">
        <w:rPr>
          <w:rFonts w:ascii="Verdana" w:eastAsia="MS Mincho" w:hAnsi="Verdana"/>
          <w:sz w:val="20"/>
          <w:szCs w:val="20"/>
          <w:lang w:val="en-US" w:bidi="en-US"/>
        </w:rPr>
        <w:t xml:space="preserve">must </w:t>
      </w:r>
      <w:r w:rsidR="00DF4EC2" w:rsidRPr="008A3740">
        <w:rPr>
          <w:rFonts w:ascii="Verdana" w:hAnsi="Verdana"/>
          <w:sz w:val="20"/>
          <w:szCs w:val="20"/>
          <w:lang w:val="en-US"/>
        </w:rPr>
        <w:t>pay the amounts</w:t>
      </w:r>
      <w:r w:rsidRPr="008A3740">
        <w:rPr>
          <w:rFonts w:ascii="Verdana" w:eastAsia="MS Mincho" w:hAnsi="Verdana"/>
          <w:sz w:val="20"/>
          <w:szCs w:val="20"/>
          <w:lang w:val="en-US" w:bidi="en-US"/>
        </w:rPr>
        <w:t xml:space="preserve"> ordered </w:t>
      </w:r>
      <w:r w:rsidRPr="008A3740">
        <w:rPr>
          <w:rFonts w:ascii="Verdana" w:hAnsi="Verdana"/>
          <w:sz w:val="20"/>
          <w:szCs w:val="20"/>
          <w:lang w:val="en-US"/>
        </w:rPr>
        <w:t xml:space="preserve">in this Judgment </w:t>
      </w:r>
      <w:r w:rsidRPr="008A3740">
        <w:rPr>
          <w:rFonts w:ascii="Verdana" w:eastAsia="MS Mincho" w:hAnsi="Verdana"/>
          <w:sz w:val="20"/>
          <w:szCs w:val="20"/>
          <w:lang w:val="en-US" w:bidi="en-US"/>
        </w:rPr>
        <w:t xml:space="preserve">as compensation for pecuniary and non-pecuniary damage and to reimburse costs and expenses, directly to </w:t>
      </w:r>
      <w:r w:rsidRPr="008A3740">
        <w:rPr>
          <w:rFonts w:ascii="Verdana" w:hAnsi="Verdana" w:cs="Verdana"/>
          <w:sz w:val="20"/>
          <w:szCs w:val="20"/>
          <w:lang w:val="en-US" w:bidi="en-US"/>
        </w:rPr>
        <w:t xml:space="preserve">Mr. Muelle Flores, or through a duly accredited representative, </w:t>
      </w:r>
      <w:r w:rsidR="00DF4EC2" w:rsidRPr="008A3740">
        <w:rPr>
          <w:rFonts w:ascii="Verdana" w:hAnsi="Verdana" w:cs="Verdana"/>
          <w:sz w:val="20"/>
          <w:szCs w:val="20"/>
          <w:lang w:val="en-US" w:bidi="en-US"/>
        </w:rPr>
        <w:t>if he is unable to receive it</w:t>
      </w:r>
      <w:r w:rsidRPr="008A3740">
        <w:rPr>
          <w:rFonts w:ascii="Verdana" w:hAnsi="Verdana" w:cs="Verdana"/>
          <w:sz w:val="20"/>
          <w:szCs w:val="20"/>
          <w:lang w:val="en-US" w:bidi="en-US"/>
        </w:rPr>
        <w:t xml:space="preserve"> owing to his health condition, </w:t>
      </w:r>
      <w:r w:rsidRPr="008A3740">
        <w:rPr>
          <w:rFonts w:ascii="Verdana" w:eastAsia="MS Mincho" w:hAnsi="Verdana"/>
          <w:sz w:val="20"/>
          <w:szCs w:val="20"/>
          <w:lang w:val="en-US" w:bidi="en-US"/>
        </w:rPr>
        <w:t xml:space="preserve">within six months </w:t>
      </w:r>
      <w:r w:rsidR="00DF4EC2" w:rsidRPr="008A3740">
        <w:rPr>
          <w:rFonts w:ascii="Verdana" w:eastAsia="MS Mincho" w:hAnsi="Verdana"/>
          <w:sz w:val="20"/>
          <w:szCs w:val="20"/>
          <w:lang w:val="en-US" w:bidi="en-US"/>
        </w:rPr>
        <w:t xml:space="preserve">of </w:t>
      </w:r>
      <w:r w:rsidRPr="008A3740">
        <w:rPr>
          <w:rFonts w:ascii="Verdana" w:eastAsia="MS Mincho" w:hAnsi="Verdana"/>
          <w:sz w:val="20"/>
          <w:szCs w:val="20"/>
          <w:lang w:val="en-US" w:bidi="en-US"/>
        </w:rPr>
        <w:t>notification of this Judgment</w:t>
      </w:r>
      <w:r w:rsidR="00DF4EC2" w:rsidRPr="008A3740">
        <w:rPr>
          <w:rFonts w:ascii="Verdana" w:eastAsia="MS Mincho" w:hAnsi="Verdana"/>
          <w:sz w:val="20"/>
          <w:szCs w:val="20"/>
          <w:lang w:val="en-US" w:bidi="en-US"/>
        </w:rPr>
        <w:t>,</w:t>
      </w:r>
      <w:r w:rsidRPr="008A3740">
        <w:rPr>
          <w:rFonts w:ascii="Verdana" w:eastAsia="MS Mincho" w:hAnsi="Verdana"/>
          <w:sz w:val="20"/>
          <w:szCs w:val="20"/>
          <w:lang w:val="en-US" w:bidi="en-US"/>
        </w:rPr>
        <w:t xml:space="preserve"> </w:t>
      </w:r>
      <w:r w:rsidR="00DF4EC2" w:rsidRPr="008A3740">
        <w:rPr>
          <w:rFonts w:ascii="Verdana" w:eastAsia="MS Mincho" w:hAnsi="Verdana"/>
          <w:sz w:val="20"/>
          <w:szCs w:val="20"/>
          <w:lang w:val="en-US" w:bidi="en-US"/>
        </w:rPr>
        <w:t>in the terms specifi</w:t>
      </w:r>
      <w:r w:rsidR="00E9088B" w:rsidRPr="008A3740">
        <w:rPr>
          <w:rFonts w:ascii="Verdana" w:eastAsia="MS Mincho" w:hAnsi="Verdana"/>
          <w:sz w:val="20"/>
          <w:szCs w:val="20"/>
          <w:lang w:val="en-US" w:bidi="en-US"/>
        </w:rPr>
        <w:t xml:space="preserve">ed </w:t>
      </w:r>
      <w:r w:rsidRPr="008A3740">
        <w:rPr>
          <w:rFonts w:ascii="Verdana" w:hAnsi="Verdana"/>
          <w:sz w:val="20"/>
          <w:szCs w:val="20"/>
          <w:lang w:val="en-US"/>
        </w:rPr>
        <w:t>in the correspondi</w:t>
      </w:r>
      <w:r w:rsidR="00DF4EC2" w:rsidRPr="008A3740">
        <w:rPr>
          <w:rFonts w:ascii="Verdana" w:hAnsi="Verdana"/>
          <w:sz w:val="20"/>
          <w:szCs w:val="20"/>
          <w:lang w:val="en-US"/>
        </w:rPr>
        <w:t xml:space="preserve">ng paragraph. </w:t>
      </w:r>
      <w:r w:rsidRPr="008A3740">
        <w:rPr>
          <w:rFonts w:ascii="Verdana" w:hAnsi="Verdana"/>
          <w:sz w:val="20"/>
          <w:szCs w:val="20"/>
          <w:lang w:val="en-US"/>
        </w:rPr>
        <w:t>(</w:t>
      </w:r>
      <w:r w:rsidR="008A3740" w:rsidRPr="008A3740">
        <w:rPr>
          <w:rFonts w:ascii="Verdana" w:hAnsi="Verdana"/>
          <w:i/>
          <w:sz w:val="20"/>
          <w:szCs w:val="20"/>
          <w:lang w:val="en-US"/>
        </w:rPr>
        <w:t>Supra</w:t>
      </w:r>
      <w:r w:rsidRPr="008A3740">
        <w:rPr>
          <w:rFonts w:ascii="Verdana" w:hAnsi="Verdana"/>
          <w:sz w:val="20"/>
          <w:szCs w:val="20"/>
          <w:lang w:val="en-US"/>
        </w:rPr>
        <w:t xml:space="preserve"> para. 232).</w:t>
      </w:r>
    </w:p>
    <w:p w14:paraId="05507752" w14:textId="77777777" w:rsidR="008E6A56" w:rsidRPr="008A3740" w:rsidRDefault="008E6A56" w:rsidP="008E6A56">
      <w:pPr>
        <w:tabs>
          <w:tab w:val="left" w:pos="720"/>
        </w:tabs>
        <w:ind w:right="-90"/>
        <w:contextualSpacing/>
        <w:rPr>
          <w:rFonts w:ascii="Verdana" w:eastAsia="MS Mincho" w:hAnsi="Verdana"/>
          <w:sz w:val="20"/>
          <w:szCs w:val="20"/>
          <w:lang w:val="en-US"/>
        </w:rPr>
      </w:pPr>
    </w:p>
    <w:p w14:paraId="7AFE2DC6"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eastAsia="MS Mincho" w:hAnsi="Verdana"/>
          <w:sz w:val="20"/>
          <w:szCs w:val="20"/>
          <w:lang w:val="en-US" w:bidi="en-US"/>
        </w:rPr>
        <w:t xml:space="preserve">In the event that the beneficiary has died or dies </w:t>
      </w:r>
      <w:r w:rsidRPr="008A3740">
        <w:rPr>
          <w:rFonts w:ascii="Verdana" w:hAnsi="Verdana"/>
          <w:sz w:val="20"/>
          <w:szCs w:val="20"/>
          <w:lang w:val="en-US"/>
        </w:rPr>
        <w:t xml:space="preserve">before the </w:t>
      </w:r>
      <w:r w:rsidR="00F219D6" w:rsidRPr="008A3740">
        <w:rPr>
          <w:rFonts w:ascii="Verdana" w:hAnsi="Verdana"/>
          <w:sz w:val="20"/>
          <w:szCs w:val="20"/>
          <w:lang w:val="en-US"/>
        </w:rPr>
        <w:t xml:space="preserve">respective </w:t>
      </w:r>
      <w:r w:rsidRPr="008A3740">
        <w:rPr>
          <w:rFonts w:ascii="Verdana" w:hAnsi="Verdana"/>
          <w:sz w:val="20"/>
          <w:szCs w:val="20"/>
          <w:lang w:val="en-US"/>
        </w:rPr>
        <w:t xml:space="preserve">compensation has been received, payment shall be made directly to </w:t>
      </w:r>
      <w:r w:rsidRPr="008A3740">
        <w:rPr>
          <w:rFonts w:ascii="Verdana" w:eastAsia="MS Mincho" w:hAnsi="Verdana"/>
          <w:sz w:val="20"/>
          <w:szCs w:val="20"/>
          <w:lang w:val="en-US" w:bidi="en-US"/>
        </w:rPr>
        <w:t>his heirs, in accordance with applicable domestic law.</w:t>
      </w:r>
    </w:p>
    <w:p w14:paraId="042EEC7C" w14:textId="77777777" w:rsidR="008E6A56" w:rsidRPr="008A3740" w:rsidRDefault="008E6A56" w:rsidP="008E6A56">
      <w:pPr>
        <w:pStyle w:val="Prrafodelista"/>
        <w:rPr>
          <w:rFonts w:ascii="Verdana" w:eastAsia="MS Mincho" w:hAnsi="Verdana"/>
          <w:sz w:val="20"/>
          <w:szCs w:val="20"/>
          <w:lang w:val="en-US" w:bidi="en-US"/>
        </w:rPr>
      </w:pPr>
    </w:p>
    <w:p w14:paraId="173305B9"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hAnsi="Verdana" w:cs="Verdana"/>
          <w:bCs/>
          <w:iCs/>
          <w:sz w:val="20"/>
          <w:szCs w:val="20"/>
          <w:lang w:val="en-US"/>
        </w:rPr>
        <w:t xml:space="preserve">The State must </w:t>
      </w:r>
      <w:r w:rsidR="00DF4EC2" w:rsidRPr="008A3740">
        <w:rPr>
          <w:rFonts w:ascii="Verdana" w:hAnsi="Verdana" w:cs="Verdana"/>
          <w:bCs/>
          <w:iCs/>
          <w:sz w:val="20"/>
          <w:szCs w:val="20"/>
          <w:lang w:val="en-US"/>
        </w:rPr>
        <w:t xml:space="preserve">comply with </w:t>
      </w:r>
      <w:r w:rsidRPr="008A3740">
        <w:rPr>
          <w:rFonts w:ascii="Verdana" w:hAnsi="Verdana" w:cs="Verdana"/>
          <w:bCs/>
          <w:iCs/>
          <w:sz w:val="20"/>
          <w:szCs w:val="20"/>
          <w:lang w:val="en-US"/>
        </w:rPr>
        <w:t xml:space="preserve">its pecuniary obligations through payment in </w:t>
      </w:r>
      <w:r w:rsidRPr="008A3740">
        <w:rPr>
          <w:rFonts w:ascii="Verdana" w:eastAsia="MS Mincho" w:hAnsi="Verdana"/>
          <w:sz w:val="20"/>
          <w:szCs w:val="20"/>
          <w:lang w:val="en-US" w:bidi="en-US"/>
        </w:rPr>
        <w:t>United States dollars</w:t>
      </w:r>
      <w:r w:rsidRPr="008A3740">
        <w:rPr>
          <w:rFonts w:ascii="Verdana" w:hAnsi="Verdana" w:cs="Verdana"/>
          <w:bCs/>
          <w:iCs/>
          <w:sz w:val="20"/>
          <w:szCs w:val="20"/>
          <w:lang w:val="en-US"/>
        </w:rPr>
        <w:t xml:space="preserve"> or its equivalent in national currency, </w:t>
      </w:r>
      <w:r w:rsidR="007A6D7D" w:rsidRPr="008A3740">
        <w:rPr>
          <w:rFonts w:ascii="Verdana" w:hAnsi="Verdana" w:cs="Verdana"/>
          <w:bCs/>
          <w:iCs/>
          <w:sz w:val="20"/>
          <w:szCs w:val="20"/>
          <w:lang w:val="en-US"/>
        </w:rPr>
        <w:t xml:space="preserve">based on the </w:t>
      </w:r>
      <w:r w:rsidR="007A6D7D" w:rsidRPr="008A3740">
        <w:rPr>
          <w:rFonts w:ascii="Verdana" w:hAnsi="Verdana"/>
          <w:sz w:val="20"/>
          <w:szCs w:val="20"/>
          <w:lang w:val="en-US"/>
        </w:rPr>
        <w:t>releva</w:t>
      </w:r>
      <w:r w:rsidR="00A409A3" w:rsidRPr="008A3740">
        <w:rPr>
          <w:rFonts w:ascii="Verdana" w:hAnsi="Verdana"/>
          <w:sz w:val="20"/>
          <w:szCs w:val="20"/>
          <w:lang w:val="en-US"/>
        </w:rPr>
        <w:t>nt rate of exchange indicated by</w:t>
      </w:r>
      <w:r w:rsidR="007A6D7D" w:rsidRPr="008A3740">
        <w:rPr>
          <w:rFonts w:ascii="Verdana" w:hAnsi="Verdana"/>
          <w:sz w:val="20"/>
          <w:szCs w:val="20"/>
          <w:lang w:val="en-US"/>
        </w:rPr>
        <w:t xml:space="preserve"> the New York Stock Exchange, United States of America, on the day prior to payment</w:t>
      </w:r>
      <w:r w:rsidRPr="008A3740">
        <w:rPr>
          <w:rFonts w:ascii="Verdana" w:hAnsi="Verdana" w:cs="Verdana"/>
          <w:bCs/>
          <w:iCs/>
          <w:sz w:val="20"/>
          <w:szCs w:val="20"/>
          <w:lang w:val="en-US"/>
        </w:rPr>
        <w:t xml:space="preserve">. </w:t>
      </w:r>
    </w:p>
    <w:p w14:paraId="1B6F5849" w14:textId="77777777" w:rsidR="008E6A56" w:rsidRPr="008A3740" w:rsidRDefault="008E6A56" w:rsidP="008E6A56">
      <w:pPr>
        <w:tabs>
          <w:tab w:val="left" w:pos="567"/>
        </w:tabs>
        <w:textAlignment w:val="auto"/>
        <w:rPr>
          <w:rFonts w:ascii="Verdana" w:eastAsia="MS Mincho" w:hAnsi="Verdana"/>
          <w:sz w:val="20"/>
          <w:szCs w:val="20"/>
          <w:lang w:val="en-US" w:bidi="en-US"/>
        </w:rPr>
      </w:pPr>
    </w:p>
    <w:p w14:paraId="199AA657"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eastAsia="MS Mincho" w:hAnsi="Verdana"/>
          <w:sz w:val="20"/>
          <w:szCs w:val="20"/>
          <w:lang w:val="en-US" w:bidi="en-US"/>
        </w:rPr>
        <w:t xml:space="preserve">If, </w:t>
      </w:r>
      <w:r w:rsidRPr="008A3740">
        <w:rPr>
          <w:rFonts w:ascii="Verdana" w:hAnsi="Verdana"/>
          <w:sz w:val="20"/>
          <w:szCs w:val="20"/>
          <w:lang w:val="en-US"/>
        </w:rPr>
        <w:t xml:space="preserve">for reasons that can be attributed to the </w:t>
      </w:r>
      <w:r w:rsidRPr="008A3740">
        <w:rPr>
          <w:rFonts w:ascii="Verdana" w:eastAsia="MS Mincho" w:hAnsi="Verdana"/>
          <w:sz w:val="20"/>
          <w:szCs w:val="20"/>
          <w:lang w:val="en-US" w:bidi="en-US"/>
        </w:rPr>
        <w:t xml:space="preserve">beneficiary of the compensation, or to his heirs, </w:t>
      </w:r>
      <w:r w:rsidRPr="008A3740">
        <w:rPr>
          <w:rFonts w:ascii="Verdana" w:hAnsi="Verdana"/>
          <w:sz w:val="20"/>
          <w:szCs w:val="20"/>
          <w:lang w:val="en-US"/>
        </w:rPr>
        <w:t xml:space="preserve">it is not possible to pay the amounts established within the </w:t>
      </w:r>
      <w:r w:rsidRPr="008A3740">
        <w:rPr>
          <w:rFonts w:ascii="Verdana" w:eastAsia="MS Mincho" w:hAnsi="Verdana"/>
          <w:sz w:val="20"/>
          <w:szCs w:val="20"/>
          <w:lang w:val="en-US" w:bidi="en-US"/>
        </w:rPr>
        <w:t xml:space="preserve">term indicated, the State </w:t>
      </w:r>
      <w:r w:rsidRPr="008A3740">
        <w:rPr>
          <w:rFonts w:ascii="Verdana" w:hAnsi="Verdana"/>
          <w:sz w:val="20"/>
          <w:szCs w:val="20"/>
          <w:lang w:val="en-US"/>
        </w:rPr>
        <w:t>shall deposit said amount in an account or certificate of deposit in a solvent Peruvian financial institution, in United States dollars, and on the most favorable financial terms permitted by law and banking practice</w:t>
      </w:r>
      <w:r w:rsidRPr="008A3740">
        <w:rPr>
          <w:rFonts w:ascii="Verdana" w:eastAsia="MS Mincho" w:hAnsi="Verdana"/>
          <w:sz w:val="20"/>
          <w:szCs w:val="20"/>
          <w:lang w:val="en-US" w:bidi="en-US"/>
        </w:rPr>
        <w:t xml:space="preserve">. </w:t>
      </w:r>
      <w:r w:rsidRPr="008A3740">
        <w:rPr>
          <w:rFonts w:ascii="Verdana" w:hAnsi="Verdana"/>
          <w:sz w:val="20"/>
          <w:szCs w:val="20"/>
          <w:lang w:val="en-US"/>
        </w:rPr>
        <w:t>If, after ten years, the amount assigned has not been claimed, the amounts shall be returned to the State with the accrued interest</w:t>
      </w:r>
      <w:r w:rsidRPr="008A3740">
        <w:rPr>
          <w:rFonts w:ascii="Verdana" w:eastAsia="MS Mincho" w:hAnsi="Verdana"/>
          <w:sz w:val="20"/>
          <w:szCs w:val="20"/>
          <w:lang w:val="en-US" w:bidi="en-US"/>
        </w:rPr>
        <w:t>.</w:t>
      </w:r>
    </w:p>
    <w:p w14:paraId="5CEC0576" w14:textId="77777777" w:rsidR="008E6A56" w:rsidRPr="008A3740" w:rsidRDefault="008E6A56" w:rsidP="008E6A56">
      <w:pPr>
        <w:ind w:left="720"/>
        <w:rPr>
          <w:rFonts w:ascii="Verdana" w:hAnsi="Verdana"/>
          <w:sz w:val="20"/>
          <w:szCs w:val="20"/>
          <w:lang w:val="en-US"/>
        </w:rPr>
      </w:pPr>
    </w:p>
    <w:p w14:paraId="659A6000"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eastAsia="MS Mincho" w:hAnsi="Verdana"/>
          <w:sz w:val="20"/>
          <w:szCs w:val="20"/>
          <w:lang w:val="en-US" w:bidi="en-US"/>
        </w:rPr>
        <w:t>The amounts allocated in this Judgment as compensation and as reimbursement of costs and expenses must be delivered in full to the individuals and organizations indicated, as established in this Judgment, without any deductions derived from possible taxes or charges.</w:t>
      </w:r>
    </w:p>
    <w:p w14:paraId="6E61BB8F" w14:textId="77777777" w:rsidR="008E6A56" w:rsidRPr="008A3740" w:rsidRDefault="008E6A56" w:rsidP="008E6A56">
      <w:pPr>
        <w:ind w:left="720"/>
        <w:rPr>
          <w:rFonts w:ascii="Verdana" w:hAnsi="Verdana"/>
          <w:sz w:val="20"/>
          <w:szCs w:val="20"/>
          <w:lang w:val="en-US"/>
        </w:rPr>
      </w:pPr>
    </w:p>
    <w:p w14:paraId="36655BCE" w14:textId="77777777" w:rsidR="008E6A56" w:rsidRPr="008A3740" w:rsidRDefault="008E6A56" w:rsidP="00D17A65">
      <w:pPr>
        <w:numPr>
          <w:ilvl w:val="0"/>
          <w:numId w:val="3"/>
        </w:numPr>
        <w:tabs>
          <w:tab w:val="left" w:pos="567"/>
          <w:tab w:val="num" w:pos="5057"/>
        </w:tabs>
        <w:ind w:left="0" w:firstLine="0"/>
        <w:textAlignment w:val="auto"/>
        <w:rPr>
          <w:rFonts w:ascii="Verdana" w:eastAsia="MS Mincho" w:hAnsi="Verdana"/>
          <w:sz w:val="20"/>
          <w:szCs w:val="20"/>
          <w:lang w:val="en-US" w:bidi="en-US"/>
        </w:rPr>
      </w:pPr>
      <w:r w:rsidRPr="008A3740">
        <w:rPr>
          <w:rFonts w:ascii="Verdana" w:eastAsia="MS Mincho" w:hAnsi="Verdana"/>
          <w:sz w:val="20"/>
          <w:szCs w:val="20"/>
          <w:lang w:val="en-US" w:bidi="en-US"/>
        </w:rPr>
        <w:t>If the State should fall into arrears</w:t>
      </w:r>
      <w:r w:rsidRPr="008A3740">
        <w:rPr>
          <w:rFonts w:ascii="Verdana" w:eastAsia="MS Mincho" w:hAnsi="Verdana" w:cs="Verdana"/>
          <w:sz w:val="20"/>
          <w:szCs w:val="20"/>
          <w:lang w:val="en-US" w:bidi="en-US"/>
        </w:rPr>
        <w:t>, including with the reimbursement of expenses to the Victims’ Legal Assistance Fund</w:t>
      </w:r>
      <w:r w:rsidRPr="008A3740">
        <w:rPr>
          <w:rFonts w:ascii="Verdana" w:eastAsia="MS Mincho" w:hAnsi="Verdana"/>
          <w:sz w:val="20"/>
          <w:szCs w:val="20"/>
          <w:lang w:val="en-US" w:bidi="en-US"/>
        </w:rPr>
        <w:t>, it must pay interest on the amount owed, corresponding to bank interest on arrears in the Republic of Peru.</w:t>
      </w:r>
    </w:p>
    <w:p w14:paraId="697FB53E" w14:textId="77777777" w:rsidR="008E6A56" w:rsidRPr="008A3740" w:rsidRDefault="008E6A56" w:rsidP="008E6A56">
      <w:pPr>
        <w:tabs>
          <w:tab w:val="left" w:pos="567"/>
        </w:tabs>
        <w:rPr>
          <w:rFonts w:ascii="Verdana" w:eastAsia="MS Mincho" w:hAnsi="Verdana"/>
          <w:sz w:val="20"/>
          <w:szCs w:val="20"/>
          <w:lang w:val="en-US" w:bidi="en-US"/>
        </w:rPr>
      </w:pPr>
    </w:p>
    <w:p w14:paraId="6358E955" w14:textId="77777777" w:rsidR="008E6A56" w:rsidRPr="008A3740" w:rsidRDefault="008E6A56" w:rsidP="008E6A56">
      <w:pPr>
        <w:pStyle w:val="Ttulo1"/>
        <w:tabs>
          <w:tab w:val="left" w:pos="567"/>
        </w:tabs>
        <w:spacing w:after="120"/>
        <w:rPr>
          <w:rFonts w:eastAsia="Calibri"/>
          <w:spacing w:val="-4"/>
          <w:lang w:val="en-US"/>
        </w:rPr>
      </w:pPr>
      <w:bookmarkStart w:id="149" w:name="_Toc531172587"/>
      <w:bookmarkStart w:id="150" w:name="_Toc5009907"/>
      <w:r w:rsidRPr="008A3740">
        <w:rPr>
          <w:rFonts w:eastAsia="Calibri"/>
          <w:spacing w:val="-4"/>
          <w:lang w:val="en-US"/>
        </w:rPr>
        <w:t>IX</w:t>
      </w:r>
      <w:r w:rsidRPr="008A3740">
        <w:rPr>
          <w:rFonts w:eastAsia="Calibri"/>
          <w:spacing w:val="-4"/>
          <w:lang w:val="en-US"/>
        </w:rPr>
        <w:br/>
        <w:t>OPERATIVE PARAGRAPHS</w:t>
      </w:r>
      <w:bookmarkEnd w:id="149"/>
      <w:bookmarkEnd w:id="150"/>
    </w:p>
    <w:p w14:paraId="64FC4B9A" w14:textId="77777777" w:rsidR="008E6A56" w:rsidRPr="008A3740" w:rsidRDefault="008E6A56" w:rsidP="008E6A56">
      <w:pPr>
        <w:tabs>
          <w:tab w:val="left" w:pos="567"/>
        </w:tabs>
        <w:rPr>
          <w:rFonts w:ascii="Verdana" w:hAnsi="Verdana"/>
          <w:spacing w:val="-4"/>
          <w:sz w:val="20"/>
          <w:szCs w:val="20"/>
          <w:lang w:val="en-US" w:eastAsia="es-MX"/>
        </w:rPr>
      </w:pPr>
    </w:p>
    <w:p w14:paraId="3DED3819" w14:textId="77777777" w:rsidR="008E6A56" w:rsidRPr="008A3740" w:rsidRDefault="008E6A56" w:rsidP="00D17A65">
      <w:pPr>
        <w:pStyle w:val="Numberedparagraphs"/>
        <w:numPr>
          <w:ilvl w:val="0"/>
          <w:numId w:val="3"/>
        </w:numPr>
        <w:tabs>
          <w:tab w:val="left" w:pos="567"/>
        </w:tabs>
        <w:ind w:left="142" w:hanging="142"/>
        <w:rPr>
          <w:lang w:val="en-US"/>
        </w:rPr>
      </w:pPr>
      <w:r w:rsidRPr="008A3740">
        <w:rPr>
          <w:lang w:val="en-US"/>
        </w:rPr>
        <w:t xml:space="preserve">Therefore, </w:t>
      </w:r>
    </w:p>
    <w:p w14:paraId="508DF92A"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p>
    <w:p w14:paraId="719C912D"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r w:rsidRPr="008A3740">
        <w:rPr>
          <w:rFonts w:ascii="Verdana" w:hAnsi="Verdana"/>
          <w:b/>
          <w:bCs/>
          <w:color w:val="auto"/>
          <w:spacing w:val="-4"/>
          <w:sz w:val="20"/>
          <w:szCs w:val="20"/>
          <w:lang w:val="en-US"/>
        </w:rPr>
        <w:t xml:space="preserve">THE COURT </w:t>
      </w:r>
    </w:p>
    <w:p w14:paraId="1E7A7225" w14:textId="77777777" w:rsidR="008E6A56" w:rsidRPr="008A3740" w:rsidRDefault="008E6A56" w:rsidP="008E6A56">
      <w:pPr>
        <w:pStyle w:val="Default"/>
        <w:tabs>
          <w:tab w:val="left" w:pos="567"/>
        </w:tabs>
        <w:jc w:val="both"/>
        <w:rPr>
          <w:rFonts w:ascii="Verdana" w:hAnsi="Verdana"/>
          <w:b/>
          <w:bCs/>
          <w:color w:val="auto"/>
          <w:spacing w:val="-4"/>
          <w:sz w:val="20"/>
          <w:szCs w:val="20"/>
          <w:lang w:val="en-US"/>
        </w:rPr>
      </w:pPr>
    </w:p>
    <w:p w14:paraId="5A79C696"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r w:rsidRPr="008A3740">
        <w:rPr>
          <w:rFonts w:ascii="Verdana" w:hAnsi="Verdana"/>
          <w:b/>
          <w:bCs/>
          <w:color w:val="auto"/>
          <w:spacing w:val="-4"/>
          <w:sz w:val="20"/>
          <w:szCs w:val="20"/>
          <w:lang w:val="en-US"/>
        </w:rPr>
        <w:t xml:space="preserve">DECIDES, </w:t>
      </w:r>
    </w:p>
    <w:p w14:paraId="0CC45DD5"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p>
    <w:p w14:paraId="64507916"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r w:rsidRPr="008A3740">
        <w:rPr>
          <w:rFonts w:ascii="Verdana" w:hAnsi="Verdana"/>
          <w:color w:val="auto"/>
          <w:spacing w:val="-4"/>
          <w:sz w:val="20"/>
          <w:szCs w:val="20"/>
          <w:lang w:val="en-US"/>
        </w:rPr>
        <w:t xml:space="preserve">Unanimously, </w:t>
      </w:r>
    </w:p>
    <w:p w14:paraId="7E42307B" w14:textId="77777777" w:rsidR="008E6A56" w:rsidRPr="008A3740" w:rsidRDefault="008E6A56" w:rsidP="008E6A56">
      <w:pPr>
        <w:tabs>
          <w:tab w:val="left" w:pos="567"/>
        </w:tabs>
        <w:rPr>
          <w:rFonts w:ascii="Verdana" w:hAnsi="Verdana"/>
          <w:sz w:val="20"/>
          <w:szCs w:val="20"/>
          <w:lang w:val="en-US"/>
        </w:rPr>
      </w:pPr>
    </w:p>
    <w:p w14:paraId="4C4AE9AD" w14:textId="77777777" w:rsidR="008E6A56" w:rsidRPr="008A3740" w:rsidRDefault="008E6A56" w:rsidP="00D17A65">
      <w:pPr>
        <w:pStyle w:val="Prrafodelista"/>
        <w:numPr>
          <w:ilvl w:val="0"/>
          <w:numId w:val="11"/>
        </w:numPr>
        <w:ind w:left="0" w:firstLine="0"/>
        <w:rPr>
          <w:rFonts w:ascii="Verdana" w:hAnsi="Verdana"/>
          <w:sz w:val="20"/>
          <w:szCs w:val="20"/>
          <w:lang w:val="en-US"/>
        </w:rPr>
      </w:pPr>
      <w:r w:rsidRPr="008A3740">
        <w:rPr>
          <w:rFonts w:ascii="Verdana" w:hAnsi="Verdana"/>
          <w:sz w:val="20"/>
          <w:szCs w:val="20"/>
          <w:lang w:val="en-US"/>
        </w:rPr>
        <w:t xml:space="preserve">To </w:t>
      </w:r>
      <w:r w:rsidR="007C29C5" w:rsidRPr="008A3740">
        <w:rPr>
          <w:rFonts w:ascii="Verdana" w:hAnsi="Verdana"/>
          <w:sz w:val="20"/>
          <w:szCs w:val="20"/>
          <w:lang w:val="en-US"/>
        </w:rPr>
        <w:t xml:space="preserve">reject </w:t>
      </w:r>
      <w:r w:rsidRPr="008A3740">
        <w:rPr>
          <w:rFonts w:ascii="Verdana" w:hAnsi="Verdana"/>
          <w:sz w:val="20"/>
          <w:szCs w:val="20"/>
          <w:lang w:val="en-US"/>
        </w:rPr>
        <w:t xml:space="preserve">the preliminary objection filed by the State </w:t>
      </w:r>
      <w:r w:rsidR="001A51F9" w:rsidRPr="008A3740">
        <w:rPr>
          <w:rFonts w:ascii="Verdana" w:hAnsi="Verdana"/>
          <w:sz w:val="20"/>
          <w:szCs w:val="20"/>
          <w:lang w:val="en-US"/>
        </w:rPr>
        <w:t xml:space="preserve">regarding </w:t>
      </w:r>
      <w:r w:rsidRPr="008A3740">
        <w:rPr>
          <w:rFonts w:ascii="Verdana" w:hAnsi="Verdana"/>
          <w:sz w:val="20"/>
          <w:szCs w:val="20"/>
          <w:lang w:val="en-US"/>
        </w:rPr>
        <w:t xml:space="preserve">the alleged failure to exhaust domestic remedies in the terms of paragraphs 25 to 28 of this Judgment. </w:t>
      </w:r>
    </w:p>
    <w:p w14:paraId="70F36996" w14:textId="77777777" w:rsidR="008E6A56" w:rsidRPr="008A3740" w:rsidRDefault="008E6A56" w:rsidP="008E6A56">
      <w:pPr>
        <w:pStyle w:val="Prrafodelista"/>
        <w:ind w:left="0"/>
        <w:rPr>
          <w:rFonts w:ascii="Verdana" w:hAnsi="Verdana"/>
          <w:sz w:val="20"/>
          <w:szCs w:val="20"/>
          <w:lang w:val="en-US"/>
        </w:rPr>
      </w:pPr>
    </w:p>
    <w:p w14:paraId="4526943B" w14:textId="77777777" w:rsidR="008E6A56" w:rsidRPr="008A3740" w:rsidRDefault="00685CE1" w:rsidP="008E6A56">
      <w:pPr>
        <w:pStyle w:val="Default"/>
        <w:tabs>
          <w:tab w:val="left" w:pos="567"/>
        </w:tabs>
        <w:jc w:val="both"/>
        <w:rPr>
          <w:rFonts w:ascii="Verdana" w:hAnsi="Verdana"/>
          <w:color w:val="auto"/>
          <w:spacing w:val="-4"/>
          <w:sz w:val="20"/>
          <w:szCs w:val="20"/>
          <w:lang w:val="en-US"/>
        </w:rPr>
      </w:pPr>
      <w:r w:rsidRPr="008A3740">
        <w:rPr>
          <w:rFonts w:ascii="Verdana" w:hAnsi="Verdana"/>
          <w:color w:val="auto"/>
          <w:spacing w:val="-4"/>
          <w:sz w:val="20"/>
          <w:szCs w:val="20"/>
          <w:lang w:val="en-US"/>
        </w:rPr>
        <w:t>By four votes in favor and two</w:t>
      </w:r>
      <w:r w:rsidR="008E6A56" w:rsidRPr="008A3740">
        <w:rPr>
          <w:rFonts w:ascii="Verdana" w:hAnsi="Verdana"/>
          <w:color w:val="auto"/>
          <w:spacing w:val="-4"/>
          <w:sz w:val="20"/>
          <w:szCs w:val="20"/>
          <w:lang w:val="en-US"/>
        </w:rPr>
        <w:t xml:space="preserve"> against, </w:t>
      </w:r>
    </w:p>
    <w:p w14:paraId="74117545" w14:textId="77777777" w:rsidR="008E6A56" w:rsidRPr="008A3740" w:rsidRDefault="008E6A56" w:rsidP="008E6A56">
      <w:pPr>
        <w:pStyle w:val="Prrafodelista"/>
        <w:ind w:left="0"/>
        <w:rPr>
          <w:rFonts w:ascii="Verdana" w:hAnsi="Verdana"/>
          <w:sz w:val="20"/>
          <w:szCs w:val="20"/>
          <w:lang w:val="en-US"/>
        </w:rPr>
      </w:pPr>
    </w:p>
    <w:p w14:paraId="5CCCD01A" w14:textId="77777777" w:rsidR="008E6A56" w:rsidRPr="008A3740" w:rsidRDefault="008E6A56" w:rsidP="00D17A65">
      <w:pPr>
        <w:pStyle w:val="Prrafodelista"/>
        <w:numPr>
          <w:ilvl w:val="0"/>
          <w:numId w:val="11"/>
        </w:numPr>
        <w:ind w:left="0" w:hanging="11"/>
        <w:rPr>
          <w:rFonts w:ascii="Verdana" w:hAnsi="Verdana"/>
          <w:sz w:val="20"/>
          <w:szCs w:val="20"/>
          <w:lang w:val="en-US"/>
        </w:rPr>
      </w:pPr>
      <w:r w:rsidRPr="008A3740">
        <w:rPr>
          <w:rFonts w:ascii="Verdana" w:hAnsi="Verdana"/>
          <w:sz w:val="20"/>
          <w:szCs w:val="20"/>
          <w:lang w:val="en-US"/>
        </w:rPr>
        <w:t xml:space="preserve">To </w:t>
      </w:r>
      <w:r w:rsidR="007C29C5" w:rsidRPr="008A3740">
        <w:rPr>
          <w:rFonts w:ascii="Verdana" w:hAnsi="Verdana"/>
          <w:sz w:val="20"/>
          <w:szCs w:val="20"/>
          <w:lang w:val="en-US"/>
        </w:rPr>
        <w:t xml:space="preserve">reject </w:t>
      </w:r>
      <w:r w:rsidRPr="008A3740">
        <w:rPr>
          <w:rFonts w:ascii="Verdana" w:hAnsi="Verdana"/>
          <w:sz w:val="20"/>
          <w:szCs w:val="20"/>
          <w:lang w:val="en-US"/>
        </w:rPr>
        <w:t xml:space="preserve">the preliminary objection filed by the State regarding the alleged lack of </w:t>
      </w:r>
      <w:r w:rsidR="00BC10C5" w:rsidRPr="008A3740">
        <w:rPr>
          <w:rFonts w:ascii="Verdana" w:hAnsi="Verdana"/>
          <w:sz w:val="20"/>
          <w:szCs w:val="20"/>
          <w:lang w:val="en-US"/>
        </w:rPr>
        <w:t xml:space="preserve">jurisdiction </w:t>
      </w:r>
      <w:r w:rsidR="00761210" w:rsidRPr="008A3740">
        <w:rPr>
          <w:rFonts w:ascii="Verdana" w:hAnsi="Verdana"/>
          <w:i/>
          <w:sz w:val="20"/>
          <w:szCs w:val="20"/>
          <w:lang w:val="en-US"/>
        </w:rPr>
        <w:t>ratione materiae</w:t>
      </w:r>
      <w:r w:rsidR="00761210" w:rsidRPr="008A3740">
        <w:rPr>
          <w:rFonts w:ascii="Verdana" w:hAnsi="Verdana"/>
          <w:sz w:val="20"/>
          <w:szCs w:val="20"/>
          <w:lang w:val="en-US"/>
        </w:rPr>
        <w:t xml:space="preserve"> </w:t>
      </w:r>
      <w:r w:rsidRPr="008A3740">
        <w:rPr>
          <w:rFonts w:ascii="Verdana" w:hAnsi="Verdana"/>
          <w:sz w:val="20"/>
          <w:szCs w:val="20"/>
          <w:lang w:val="en-US"/>
        </w:rPr>
        <w:t xml:space="preserve">and </w:t>
      </w:r>
      <w:r w:rsidR="001A51F9" w:rsidRPr="008A3740">
        <w:rPr>
          <w:rFonts w:ascii="Verdana" w:hAnsi="Verdana"/>
          <w:sz w:val="20"/>
          <w:szCs w:val="20"/>
          <w:lang w:val="en-US"/>
        </w:rPr>
        <w:t xml:space="preserve">the </w:t>
      </w:r>
      <w:r w:rsidRPr="008A3740">
        <w:rPr>
          <w:rFonts w:ascii="Verdana" w:hAnsi="Verdana"/>
          <w:sz w:val="20"/>
          <w:szCs w:val="20"/>
          <w:lang w:val="en-US"/>
        </w:rPr>
        <w:t xml:space="preserve">direct justiciability of Article 26 of the Convention in the terms of paragraphs 33 to 37 of this Judgment. </w:t>
      </w:r>
    </w:p>
    <w:p w14:paraId="38584EFC" w14:textId="77777777" w:rsidR="008E6A56" w:rsidRPr="008A3740" w:rsidRDefault="008E6A56" w:rsidP="008E6A56">
      <w:pPr>
        <w:tabs>
          <w:tab w:val="left" w:pos="567"/>
        </w:tabs>
        <w:rPr>
          <w:rFonts w:ascii="Verdana" w:hAnsi="Verdana"/>
          <w:sz w:val="20"/>
          <w:szCs w:val="20"/>
          <w:lang w:val="en-US"/>
        </w:rPr>
      </w:pPr>
    </w:p>
    <w:p w14:paraId="2EDAF5B6" w14:textId="77777777" w:rsidR="008E6A56" w:rsidRPr="008A3740" w:rsidRDefault="008E6A56" w:rsidP="008E6A56">
      <w:pPr>
        <w:tabs>
          <w:tab w:val="left" w:pos="567"/>
        </w:tabs>
        <w:rPr>
          <w:rFonts w:ascii="Verdana" w:hAnsi="Verdana"/>
          <w:sz w:val="20"/>
          <w:szCs w:val="20"/>
          <w:lang w:val="en-US"/>
        </w:rPr>
      </w:pPr>
      <w:r w:rsidRPr="008A3740">
        <w:rPr>
          <w:rFonts w:ascii="Verdana" w:hAnsi="Verdana"/>
          <w:sz w:val="20"/>
          <w:szCs w:val="20"/>
          <w:lang w:val="en-US"/>
        </w:rPr>
        <w:t>Judges Eduardo Vio Grossi and Humberto Antonio Sierra Porto</w:t>
      </w:r>
      <w:r w:rsidR="00ED074B" w:rsidRPr="008A3740">
        <w:rPr>
          <w:rFonts w:ascii="Verdana" w:hAnsi="Verdana"/>
          <w:sz w:val="20"/>
          <w:szCs w:val="20"/>
          <w:lang w:val="en-US"/>
        </w:rPr>
        <w:t xml:space="preserve"> dissenting</w:t>
      </w:r>
      <w:r w:rsidRPr="008A3740">
        <w:rPr>
          <w:rFonts w:ascii="Verdana" w:hAnsi="Verdana"/>
          <w:sz w:val="20"/>
          <w:szCs w:val="20"/>
          <w:lang w:val="en-US"/>
        </w:rPr>
        <w:t>.</w:t>
      </w:r>
    </w:p>
    <w:p w14:paraId="21110AA1" w14:textId="77777777" w:rsidR="008E6A56" w:rsidRPr="008A3740" w:rsidRDefault="008E6A56" w:rsidP="008E6A56">
      <w:pPr>
        <w:tabs>
          <w:tab w:val="left" w:pos="567"/>
        </w:tabs>
        <w:rPr>
          <w:rFonts w:ascii="Verdana" w:hAnsi="Verdana"/>
          <w:sz w:val="20"/>
          <w:szCs w:val="20"/>
          <w:lang w:val="en-US"/>
        </w:rPr>
      </w:pPr>
    </w:p>
    <w:p w14:paraId="25D18F37" w14:textId="77777777" w:rsidR="008E6A56" w:rsidRPr="008A3740" w:rsidRDefault="008E6A56" w:rsidP="008E6A56">
      <w:pPr>
        <w:tabs>
          <w:tab w:val="left" w:pos="567"/>
          <w:tab w:val="num" w:pos="630"/>
          <w:tab w:val="left" w:pos="720"/>
        </w:tabs>
        <w:rPr>
          <w:rFonts w:ascii="Verdana" w:hAnsi="Verdana" w:cs="Verdana"/>
          <w:b/>
          <w:spacing w:val="-4"/>
          <w:sz w:val="20"/>
          <w:szCs w:val="20"/>
          <w:lang w:val="en-US"/>
        </w:rPr>
      </w:pPr>
      <w:r w:rsidRPr="008A3740">
        <w:rPr>
          <w:rFonts w:ascii="Verdana" w:hAnsi="Verdana" w:cs="Verdana"/>
          <w:b/>
          <w:spacing w:val="-4"/>
          <w:sz w:val="20"/>
          <w:szCs w:val="20"/>
          <w:lang w:val="en-US"/>
        </w:rPr>
        <w:t>DECLARES,</w:t>
      </w:r>
    </w:p>
    <w:p w14:paraId="73700AD1" w14:textId="77777777" w:rsidR="008E6A56" w:rsidRPr="008A3740" w:rsidRDefault="008E6A56" w:rsidP="008E6A56">
      <w:pPr>
        <w:tabs>
          <w:tab w:val="left" w:pos="567"/>
        </w:tabs>
        <w:rPr>
          <w:rFonts w:ascii="Verdana" w:hAnsi="Verdana"/>
          <w:sz w:val="20"/>
          <w:szCs w:val="20"/>
          <w:lang w:val="en-US"/>
        </w:rPr>
      </w:pPr>
    </w:p>
    <w:p w14:paraId="2C5BEBF6"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r w:rsidRPr="008A3740">
        <w:rPr>
          <w:rFonts w:ascii="Verdana" w:hAnsi="Verdana"/>
          <w:color w:val="auto"/>
          <w:spacing w:val="-4"/>
          <w:sz w:val="20"/>
          <w:szCs w:val="20"/>
          <w:lang w:val="en-US"/>
        </w:rPr>
        <w:lastRenderedPageBreak/>
        <w:t xml:space="preserve">Unanimously, that </w:t>
      </w:r>
    </w:p>
    <w:p w14:paraId="5D7815E8" w14:textId="77777777" w:rsidR="008E6A56" w:rsidRPr="008A3740" w:rsidRDefault="008E6A56" w:rsidP="008E6A56">
      <w:pPr>
        <w:tabs>
          <w:tab w:val="left" w:pos="567"/>
        </w:tabs>
        <w:rPr>
          <w:rFonts w:ascii="Verdana" w:hAnsi="Verdana"/>
          <w:sz w:val="20"/>
          <w:szCs w:val="20"/>
          <w:lang w:val="en-US"/>
        </w:rPr>
      </w:pPr>
    </w:p>
    <w:p w14:paraId="62ED4171"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The State</w:t>
      </w:r>
      <w:r w:rsidRPr="008A3740">
        <w:rPr>
          <w:rFonts w:ascii="Verdana" w:eastAsia="Times" w:hAnsi="Verdana"/>
          <w:sz w:val="20"/>
          <w:szCs w:val="20"/>
          <w:lang w:val="en-US"/>
        </w:rPr>
        <w:t xml:space="preserve"> is responsible for the violation of the right to the effective judicial protection established</w:t>
      </w:r>
      <w:r w:rsidRPr="008A3740">
        <w:rPr>
          <w:rFonts w:ascii="Verdana" w:hAnsi="Verdana"/>
          <w:sz w:val="20"/>
          <w:szCs w:val="20"/>
          <w:lang w:val="en-US"/>
        </w:rPr>
        <w:t xml:space="preserve"> in Articles 25(1) and 25(2)(c) of the American Convention, in relation to Article 1(1) thereof, as well as Article 2 of the American Convention, to the detriment of Mr. Oscar Muelle Flores pursuant to the provisions of paragraphs 123 to 149 of this Judgment. </w:t>
      </w:r>
    </w:p>
    <w:p w14:paraId="42F475ED"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p>
    <w:p w14:paraId="375CD1D3"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r w:rsidRPr="008A3740">
        <w:rPr>
          <w:rFonts w:ascii="Verdana" w:hAnsi="Verdana"/>
          <w:color w:val="auto"/>
          <w:spacing w:val="-4"/>
          <w:sz w:val="20"/>
          <w:szCs w:val="20"/>
          <w:lang w:val="en-US"/>
        </w:rPr>
        <w:t xml:space="preserve">Unanimously, </w:t>
      </w:r>
      <w:r w:rsidR="00FB23E9" w:rsidRPr="008A3740">
        <w:rPr>
          <w:rFonts w:ascii="Verdana" w:hAnsi="Verdana"/>
          <w:color w:val="auto"/>
          <w:spacing w:val="-4"/>
          <w:sz w:val="20"/>
          <w:szCs w:val="20"/>
          <w:lang w:val="en-US"/>
        </w:rPr>
        <w:t>that</w:t>
      </w:r>
    </w:p>
    <w:p w14:paraId="7EEA657D" w14:textId="77777777" w:rsidR="008E6A56" w:rsidRPr="008A3740" w:rsidRDefault="008E6A56" w:rsidP="008E6A56">
      <w:pPr>
        <w:tabs>
          <w:tab w:val="left" w:pos="567"/>
        </w:tabs>
        <w:rPr>
          <w:rFonts w:ascii="Verdana" w:hAnsi="Verdana"/>
          <w:sz w:val="20"/>
          <w:szCs w:val="20"/>
          <w:lang w:val="en-US"/>
        </w:rPr>
      </w:pPr>
    </w:p>
    <w:p w14:paraId="01446473"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 xml:space="preserve">The State is responsible for the violation of </w:t>
      </w:r>
      <w:r w:rsidR="005E5FED" w:rsidRPr="008A3740">
        <w:rPr>
          <w:rFonts w:ascii="Verdana" w:eastAsia="Batang" w:hAnsi="Verdana" w:cs="Arial"/>
          <w:sz w:val="20"/>
          <w:szCs w:val="20"/>
          <w:lang w:val="en-US" w:eastAsia="es-MX"/>
        </w:rPr>
        <w:t>reasonable time</w:t>
      </w:r>
      <w:r w:rsidRPr="008A3740">
        <w:rPr>
          <w:rFonts w:ascii="Verdana" w:eastAsia="Batang" w:hAnsi="Verdana" w:cs="Arial"/>
          <w:sz w:val="20"/>
          <w:szCs w:val="20"/>
          <w:lang w:val="en-US" w:eastAsia="es-MX"/>
        </w:rPr>
        <w:t xml:space="preserve"> </w:t>
      </w:r>
      <w:r w:rsidRPr="008A3740">
        <w:rPr>
          <w:rFonts w:ascii="Verdana" w:hAnsi="Verdana"/>
          <w:sz w:val="20"/>
          <w:szCs w:val="20"/>
          <w:lang w:val="en-US"/>
        </w:rPr>
        <w:t>recognized in Article 8(1) of the American Convention, in relation to</w:t>
      </w:r>
      <w:r w:rsidRPr="008A3740">
        <w:rPr>
          <w:rFonts w:ascii="Verdana" w:hAnsi="Verdana" w:cs="Arial"/>
          <w:sz w:val="20"/>
          <w:szCs w:val="20"/>
          <w:lang w:val="en-US" w:eastAsia="es-MX"/>
        </w:rPr>
        <w:t xml:space="preserve"> Article 1(1)</w:t>
      </w:r>
      <w:r w:rsidRPr="008A3740">
        <w:rPr>
          <w:rFonts w:ascii="Verdana" w:eastAsia="Batang" w:hAnsi="Verdana" w:cs="Arial"/>
          <w:sz w:val="20"/>
          <w:szCs w:val="20"/>
          <w:lang w:val="en-US" w:eastAsia="es-MX"/>
        </w:rPr>
        <w:t xml:space="preserve"> </w:t>
      </w:r>
      <w:r w:rsidRPr="008A3740">
        <w:rPr>
          <w:rFonts w:ascii="Verdana" w:hAnsi="Verdana" w:cs="Arial"/>
          <w:sz w:val="20"/>
          <w:szCs w:val="20"/>
          <w:lang w:val="en-US" w:eastAsia="es-MX"/>
        </w:rPr>
        <w:t>thereof, to the detriment of Oscar Muelle Flores</w:t>
      </w:r>
      <w:r w:rsidRPr="008A3740">
        <w:rPr>
          <w:rFonts w:ascii="Verdana" w:hAnsi="Verdana"/>
          <w:sz w:val="20"/>
          <w:szCs w:val="20"/>
          <w:lang w:val="en-US"/>
        </w:rPr>
        <w:t xml:space="preserve">, as established in paragraphs 154 to 166 of this Judgment. </w:t>
      </w:r>
    </w:p>
    <w:p w14:paraId="37CE42F4" w14:textId="77777777" w:rsidR="008E6A56" w:rsidRPr="008A3740" w:rsidRDefault="008E6A56" w:rsidP="008E6A56">
      <w:pPr>
        <w:pStyle w:val="Default"/>
        <w:tabs>
          <w:tab w:val="left" w:pos="567"/>
        </w:tabs>
        <w:jc w:val="both"/>
        <w:rPr>
          <w:rFonts w:ascii="Verdana" w:hAnsi="Verdana"/>
          <w:color w:val="auto"/>
          <w:spacing w:val="-4"/>
          <w:sz w:val="20"/>
          <w:szCs w:val="20"/>
          <w:lang w:val="en-US"/>
        </w:rPr>
      </w:pPr>
    </w:p>
    <w:p w14:paraId="7EEB66CD" w14:textId="77777777" w:rsidR="008E6A56" w:rsidRPr="008A3740" w:rsidRDefault="00685CE1" w:rsidP="008E6A56">
      <w:pPr>
        <w:pStyle w:val="Default"/>
        <w:tabs>
          <w:tab w:val="left" w:pos="567"/>
        </w:tabs>
        <w:jc w:val="both"/>
        <w:rPr>
          <w:rFonts w:ascii="Verdana" w:hAnsi="Verdana"/>
          <w:color w:val="auto"/>
          <w:spacing w:val="-4"/>
          <w:sz w:val="20"/>
          <w:szCs w:val="20"/>
          <w:lang w:val="en-US"/>
        </w:rPr>
      </w:pPr>
      <w:r w:rsidRPr="008A3740">
        <w:rPr>
          <w:rFonts w:ascii="Verdana" w:hAnsi="Verdana"/>
          <w:color w:val="auto"/>
          <w:spacing w:val="-4"/>
          <w:sz w:val="20"/>
          <w:szCs w:val="20"/>
          <w:lang w:val="en-US"/>
        </w:rPr>
        <w:t>By four votes in favor and two</w:t>
      </w:r>
      <w:r w:rsidR="008E6A56" w:rsidRPr="008A3740">
        <w:rPr>
          <w:rFonts w:ascii="Verdana" w:hAnsi="Verdana"/>
          <w:color w:val="auto"/>
          <w:spacing w:val="-4"/>
          <w:sz w:val="20"/>
          <w:szCs w:val="20"/>
          <w:lang w:val="en-US"/>
        </w:rPr>
        <w:t xml:space="preserve"> against, </w:t>
      </w:r>
      <w:r w:rsidR="002C0D5B" w:rsidRPr="008A3740">
        <w:rPr>
          <w:rFonts w:ascii="Verdana" w:hAnsi="Verdana"/>
          <w:color w:val="auto"/>
          <w:spacing w:val="-4"/>
          <w:sz w:val="20"/>
          <w:szCs w:val="20"/>
          <w:lang w:val="en-US"/>
        </w:rPr>
        <w:t>that</w:t>
      </w:r>
    </w:p>
    <w:p w14:paraId="27D3BBD0" w14:textId="77777777" w:rsidR="008E6A56" w:rsidRPr="008A3740" w:rsidRDefault="008E6A56" w:rsidP="008E6A56">
      <w:pPr>
        <w:rPr>
          <w:rFonts w:ascii="Verdana" w:hAnsi="Verdana"/>
          <w:sz w:val="20"/>
          <w:szCs w:val="20"/>
          <w:lang w:val="en-US"/>
        </w:rPr>
      </w:pPr>
    </w:p>
    <w:p w14:paraId="00D8DF6D"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The State is responsible for the violation of the right to social security, pursuant to Article 26 of the American Convention, in relation to Articles 5, 8(1), 11(1), 25(1), 25(2)(c) and 1(1) thereof, as well as Article 2 of the American Convention, to the detriment of Mr. Oscar Muelle Flores, as established in paragraphs 170 to 208 of this Judgment.</w:t>
      </w:r>
    </w:p>
    <w:p w14:paraId="1B00094E" w14:textId="77777777" w:rsidR="00620820" w:rsidRPr="008A3740" w:rsidRDefault="00620820" w:rsidP="008E6A56">
      <w:pPr>
        <w:tabs>
          <w:tab w:val="left" w:pos="567"/>
        </w:tabs>
        <w:rPr>
          <w:rFonts w:ascii="Verdana" w:hAnsi="Verdana"/>
          <w:sz w:val="20"/>
          <w:szCs w:val="20"/>
          <w:lang w:val="en-US"/>
        </w:rPr>
      </w:pPr>
    </w:p>
    <w:p w14:paraId="6B71AB5C" w14:textId="77777777" w:rsidR="008E6A56" w:rsidRPr="008A3740" w:rsidRDefault="00620820" w:rsidP="008E6A56">
      <w:pPr>
        <w:tabs>
          <w:tab w:val="left" w:pos="567"/>
        </w:tabs>
        <w:rPr>
          <w:rFonts w:ascii="Verdana" w:hAnsi="Verdana"/>
          <w:sz w:val="20"/>
          <w:szCs w:val="20"/>
          <w:lang w:val="en-US"/>
        </w:rPr>
      </w:pPr>
      <w:r w:rsidRPr="008A3740">
        <w:rPr>
          <w:rFonts w:ascii="Verdana" w:hAnsi="Verdana"/>
          <w:sz w:val="20"/>
          <w:szCs w:val="20"/>
          <w:lang w:val="en-US"/>
        </w:rPr>
        <w:t>J</w:t>
      </w:r>
      <w:r w:rsidR="008E6A56" w:rsidRPr="008A3740">
        <w:rPr>
          <w:rFonts w:ascii="Verdana" w:hAnsi="Verdana"/>
          <w:sz w:val="20"/>
          <w:szCs w:val="20"/>
          <w:lang w:val="en-US"/>
        </w:rPr>
        <w:t>udges Eduardo Vio Grossi an</w:t>
      </w:r>
      <w:r w:rsidR="00ED074B" w:rsidRPr="008A3740">
        <w:rPr>
          <w:rFonts w:ascii="Verdana" w:hAnsi="Verdana"/>
          <w:sz w:val="20"/>
          <w:szCs w:val="20"/>
          <w:lang w:val="en-US"/>
        </w:rPr>
        <w:t>d Humberto Antonio Sierra Porto dissenting</w:t>
      </w:r>
    </w:p>
    <w:p w14:paraId="02C7CC58" w14:textId="77777777" w:rsidR="008E6A56" w:rsidRPr="008A3740" w:rsidRDefault="008E6A56" w:rsidP="008E6A56">
      <w:pPr>
        <w:rPr>
          <w:rFonts w:ascii="Verdana" w:hAnsi="Verdana"/>
          <w:sz w:val="20"/>
          <w:szCs w:val="20"/>
          <w:lang w:val="en-US"/>
        </w:rPr>
      </w:pPr>
    </w:p>
    <w:p w14:paraId="45F6F4A8" w14:textId="77777777" w:rsidR="008E6A56" w:rsidRPr="008A3740" w:rsidRDefault="00685CE1" w:rsidP="008E6A56">
      <w:pPr>
        <w:pStyle w:val="Default"/>
        <w:tabs>
          <w:tab w:val="left" w:pos="567"/>
        </w:tabs>
        <w:jc w:val="both"/>
        <w:rPr>
          <w:rFonts w:ascii="Verdana" w:hAnsi="Verdana"/>
          <w:color w:val="auto"/>
          <w:spacing w:val="-4"/>
          <w:sz w:val="20"/>
          <w:szCs w:val="20"/>
          <w:lang w:val="en-US"/>
        </w:rPr>
      </w:pPr>
      <w:r w:rsidRPr="008A3740">
        <w:rPr>
          <w:rFonts w:ascii="Verdana" w:hAnsi="Verdana"/>
          <w:color w:val="auto"/>
          <w:spacing w:val="-4"/>
          <w:sz w:val="20"/>
          <w:szCs w:val="20"/>
          <w:lang w:val="en-US"/>
        </w:rPr>
        <w:t>By four votes in favor and two</w:t>
      </w:r>
      <w:r w:rsidR="008E6A56" w:rsidRPr="008A3740">
        <w:rPr>
          <w:rFonts w:ascii="Verdana" w:hAnsi="Verdana"/>
          <w:color w:val="auto"/>
          <w:spacing w:val="-4"/>
          <w:sz w:val="20"/>
          <w:szCs w:val="20"/>
          <w:lang w:val="en-US"/>
        </w:rPr>
        <w:t xml:space="preserve"> against, </w:t>
      </w:r>
      <w:r w:rsidR="009A649F" w:rsidRPr="008A3740">
        <w:rPr>
          <w:rFonts w:ascii="Verdana" w:hAnsi="Verdana"/>
          <w:color w:val="auto"/>
          <w:spacing w:val="-4"/>
          <w:sz w:val="20"/>
          <w:szCs w:val="20"/>
          <w:lang w:val="en-US"/>
        </w:rPr>
        <w:t>that</w:t>
      </w:r>
    </w:p>
    <w:p w14:paraId="2E149CB6" w14:textId="77777777" w:rsidR="008E6A56" w:rsidRPr="008A3740" w:rsidRDefault="008E6A56" w:rsidP="008E6A56">
      <w:pPr>
        <w:rPr>
          <w:rFonts w:ascii="Verdana" w:hAnsi="Verdana"/>
          <w:sz w:val="20"/>
          <w:szCs w:val="20"/>
          <w:lang w:val="en-US"/>
        </w:rPr>
      </w:pPr>
    </w:p>
    <w:p w14:paraId="67CCCE21"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kern w:val="2"/>
          <w:sz w:val="20"/>
          <w:szCs w:val="20"/>
          <w:lang w:val="en-US" w:eastAsia="en-US"/>
        </w:rPr>
      </w:pPr>
      <w:r w:rsidRPr="008A3740">
        <w:rPr>
          <w:rFonts w:ascii="Verdana" w:hAnsi="Verdana"/>
          <w:sz w:val="20"/>
          <w:szCs w:val="20"/>
          <w:lang w:val="en-US"/>
        </w:rPr>
        <w:t>The State is</w:t>
      </w:r>
      <w:r w:rsidRPr="008A3740">
        <w:rPr>
          <w:rFonts w:ascii="Verdana" w:hAnsi="Verdana"/>
          <w:kern w:val="2"/>
          <w:sz w:val="20"/>
          <w:szCs w:val="20"/>
          <w:lang w:val="en-US" w:eastAsia="en-US"/>
        </w:rPr>
        <w:t xml:space="preserve"> responsible for the violation </w:t>
      </w:r>
      <w:r w:rsidR="009E3080" w:rsidRPr="008A3740">
        <w:rPr>
          <w:rFonts w:ascii="Verdana" w:hAnsi="Verdana"/>
          <w:sz w:val="20"/>
          <w:lang w:val="en-US"/>
        </w:rPr>
        <w:t xml:space="preserve">of the right to </w:t>
      </w:r>
      <w:r w:rsidRPr="008A3740">
        <w:rPr>
          <w:rFonts w:ascii="Verdana" w:hAnsi="Verdana"/>
          <w:sz w:val="20"/>
          <w:lang w:val="en-US"/>
        </w:rPr>
        <w:t>property recognized in Article 21(1) and 21(2), in</w:t>
      </w:r>
      <w:r w:rsidR="007A6D7D" w:rsidRPr="008A3740">
        <w:rPr>
          <w:rFonts w:ascii="Verdana" w:hAnsi="Verdana"/>
          <w:sz w:val="20"/>
          <w:lang w:val="en-US"/>
        </w:rPr>
        <w:t xml:space="preserve"> relation to Articles 25(1), 25(</w:t>
      </w:r>
      <w:r w:rsidRPr="008A3740">
        <w:rPr>
          <w:rFonts w:ascii="Verdana" w:hAnsi="Verdana"/>
          <w:sz w:val="20"/>
          <w:lang w:val="en-US"/>
        </w:rPr>
        <w:t>2</w:t>
      </w:r>
      <w:r w:rsidR="007A6D7D" w:rsidRPr="008A3740">
        <w:rPr>
          <w:rFonts w:ascii="Verdana" w:hAnsi="Verdana"/>
          <w:sz w:val="20"/>
          <w:lang w:val="en-US"/>
        </w:rPr>
        <w:t>)(</w:t>
      </w:r>
      <w:r w:rsidRPr="008A3740">
        <w:rPr>
          <w:rFonts w:ascii="Verdana" w:hAnsi="Verdana"/>
          <w:sz w:val="20"/>
          <w:lang w:val="en-US"/>
        </w:rPr>
        <w:t xml:space="preserve">c), 26 and 1(1) of the American Convention, to the detriment of </w:t>
      </w:r>
      <w:r w:rsidRPr="008A3740">
        <w:rPr>
          <w:rFonts w:ascii="Verdana" w:hAnsi="Verdana"/>
          <w:kern w:val="2"/>
          <w:sz w:val="20"/>
          <w:szCs w:val="20"/>
          <w:lang w:val="en-US" w:eastAsia="en-US"/>
        </w:rPr>
        <w:t xml:space="preserve">Oscar Muelle Flores, as established </w:t>
      </w:r>
      <w:r w:rsidRPr="008A3740">
        <w:rPr>
          <w:rFonts w:ascii="Verdana" w:hAnsi="Verdana"/>
          <w:sz w:val="20"/>
          <w:szCs w:val="20"/>
          <w:lang w:val="en-US"/>
        </w:rPr>
        <w:t xml:space="preserve">in paragraphs 212 to 218 of this Judgment. </w:t>
      </w:r>
    </w:p>
    <w:p w14:paraId="370CA3ED" w14:textId="77777777" w:rsidR="008E6A56" w:rsidRPr="008A3740" w:rsidRDefault="008E6A56" w:rsidP="008E6A56">
      <w:pPr>
        <w:tabs>
          <w:tab w:val="left" w:pos="567"/>
        </w:tabs>
        <w:rPr>
          <w:rFonts w:ascii="Verdana" w:hAnsi="Verdana"/>
          <w:sz w:val="20"/>
          <w:szCs w:val="20"/>
          <w:lang w:val="en-US"/>
        </w:rPr>
      </w:pPr>
    </w:p>
    <w:p w14:paraId="7AF99010" w14:textId="77777777" w:rsidR="008E6A56" w:rsidRPr="008A3740" w:rsidRDefault="00620820" w:rsidP="008E6A56">
      <w:pPr>
        <w:tabs>
          <w:tab w:val="left" w:pos="567"/>
        </w:tabs>
        <w:rPr>
          <w:rFonts w:ascii="Verdana" w:hAnsi="Verdana"/>
          <w:sz w:val="20"/>
          <w:szCs w:val="20"/>
          <w:lang w:val="en-US"/>
        </w:rPr>
      </w:pPr>
      <w:r w:rsidRPr="008A3740">
        <w:rPr>
          <w:rFonts w:ascii="Verdana" w:hAnsi="Verdana"/>
          <w:sz w:val="20"/>
          <w:szCs w:val="20"/>
          <w:lang w:val="en-US"/>
        </w:rPr>
        <w:t>J</w:t>
      </w:r>
      <w:r w:rsidR="008E6A56" w:rsidRPr="008A3740">
        <w:rPr>
          <w:rFonts w:ascii="Verdana" w:hAnsi="Verdana"/>
          <w:sz w:val="20"/>
          <w:szCs w:val="20"/>
          <w:lang w:val="en-US"/>
        </w:rPr>
        <w:t>udges Eduardo Vio Grossi an</w:t>
      </w:r>
      <w:r w:rsidR="00ED074B" w:rsidRPr="008A3740">
        <w:rPr>
          <w:rFonts w:ascii="Verdana" w:hAnsi="Verdana"/>
          <w:sz w:val="20"/>
          <w:szCs w:val="20"/>
          <w:lang w:val="en-US"/>
        </w:rPr>
        <w:t>d Humberto Antonio Sierra Porto dissenting</w:t>
      </w:r>
    </w:p>
    <w:p w14:paraId="5318B544" w14:textId="77777777" w:rsidR="008E6A56" w:rsidRPr="008A3740" w:rsidRDefault="008E6A56" w:rsidP="008E6A56">
      <w:pPr>
        <w:tabs>
          <w:tab w:val="left" w:pos="567"/>
        </w:tabs>
        <w:rPr>
          <w:rFonts w:ascii="Verdana" w:hAnsi="Verdana"/>
          <w:sz w:val="20"/>
          <w:szCs w:val="20"/>
          <w:lang w:val="en-US"/>
        </w:rPr>
      </w:pPr>
    </w:p>
    <w:p w14:paraId="75EECA7D" w14:textId="77777777" w:rsidR="008E6A56" w:rsidRPr="008A3740" w:rsidRDefault="008E6A56" w:rsidP="008E6A56">
      <w:pPr>
        <w:tabs>
          <w:tab w:val="left" w:pos="567"/>
        </w:tabs>
        <w:rPr>
          <w:rFonts w:ascii="Verdana" w:hAnsi="Verdana"/>
          <w:sz w:val="20"/>
          <w:szCs w:val="20"/>
          <w:lang w:val="en-US"/>
        </w:rPr>
      </w:pPr>
    </w:p>
    <w:p w14:paraId="64DB26FA" w14:textId="77777777" w:rsidR="008E6A56" w:rsidRPr="008A3740" w:rsidRDefault="008E6A56" w:rsidP="008E6A56">
      <w:pPr>
        <w:tabs>
          <w:tab w:val="left" w:pos="567"/>
          <w:tab w:val="left" w:pos="720"/>
        </w:tabs>
        <w:rPr>
          <w:rFonts w:ascii="Verdana" w:hAnsi="Verdana" w:cs="Verdana"/>
          <w:b/>
          <w:color w:val="000000"/>
          <w:sz w:val="20"/>
          <w:szCs w:val="20"/>
          <w:lang w:val="en-US"/>
        </w:rPr>
      </w:pPr>
      <w:r w:rsidRPr="008A3740">
        <w:rPr>
          <w:rFonts w:ascii="Verdana" w:hAnsi="Verdana" w:cs="Verdana"/>
          <w:b/>
          <w:color w:val="000000"/>
          <w:sz w:val="20"/>
          <w:szCs w:val="20"/>
          <w:lang w:val="en-US"/>
        </w:rPr>
        <w:t>AND DECIDES,</w:t>
      </w:r>
    </w:p>
    <w:p w14:paraId="4673318B" w14:textId="77777777" w:rsidR="008E6A56" w:rsidRPr="008A3740" w:rsidRDefault="008E6A56" w:rsidP="008E6A56">
      <w:pPr>
        <w:tabs>
          <w:tab w:val="left" w:pos="567"/>
          <w:tab w:val="left" w:pos="720"/>
        </w:tabs>
        <w:rPr>
          <w:rFonts w:ascii="Verdana" w:hAnsi="Verdana" w:cs="Verdana"/>
          <w:b/>
          <w:color w:val="000000"/>
          <w:sz w:val="20"/>
          <w:szCs w:val="20"/>
          <w:lang w:val="en-US"/>
        </w:rPr>
      </w:pPr>
    </w:p>
    <w:p w14:paraId="4C406A7A" w14:textId="77777777" w:rsidR="008E6A56" w:rsidRPr="008A3740" w:rsidRDefault="008E6A56" w:rsidP="008E6A56">
      <w:pPr>
        <w:tabs>
          <w:tab w:val="left" w:pos="567"/>
          <w:tab w:val="left" w:pos="720"/>
        </w:tabs>
        <w:rPr>
          <w:rFonts w:ascii="Verdana" w:hAnsi="Verdana" w:cs="Verdana"/>
          <w:color w:val="000000"/>
          <w:sz w:val="20"/>
          <w:szCs w:val="20"/>
          <w:lang w:val="en-US"/>
        </w:rPr>
      </w:pPr>
      <w:r w:rsidRPr="008A3740">
        <w:rPr>
          <w:rFonts w:ascii="Verdana" w:hAnsi="Verdana"/>
          <w:spacing w:val="-4"/>
          <w:sz w:val="20"/>
          <w:szCs w:val="20"/>
          <w:lang w:val="en-US"/>
        </w:rPr>
        <w:t>Unanimously, that</w:t>
      </w:r>
      <w:r w:rsidRPr="008A3740">
        <w:rPr>
          <w:rFonts w:ascii="Verdana" w:hAnsi="Verdana" w:cs="Verdana"/>
          <w:color w:val="000000"/>
          <w:sz w:val="20"/>
          <w:szCs w:val="20"/>
          <w:lang w:val="en-US"/>
        </w:rPr>
        <w:t>:</w:t>
      </w:r>
    </w:p>
    <w:p w14:paraId="5E41A103" w14:textId="77777777" w:rsidR="008E6A56" w:rsidRPr="008A3740" w:rsidRDefault="008E6A56" w:rsidP="008E6A56">
      <w:pPr>
        <w:tabs>
          <w:tab w:val="left" w:pos="567"/>
        </w:tabs>
        <w:rPr>
          <w:rFonts w:ascii="Verdana" w:hAnsi="Verdana"/>
          <w:sz w:val="20"/>
          <w:szCs w:val="20"/>
          <w:lang w:val="en-US"/>
        </w:rPr>
      </w:pPr>
    </w:p>
    <w:p w14:paraId="16CAD000"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 xml:space="preserve">This Judgment constitutes </w:t>
      </w:r>
      <w:r w:rsidRPr="008A3740">
        <w:rPr>
          <w:rFonts w:ascii="Verdana" w:hAnsi="Verdana"/>
          <w:i/>
          <w:sz w:val="20"/>
          <w:szCs w:val="20"/>
          <w:lang w:val="en-US"/>
        </w:rPr>
        <w:t>per se</w:t>
      </w:r>
      <w:r w:rsidRPr="008A3740">
        <w:rPr>
          <w:rFonts w:ascii="Verdana" w:hAnsi="Verdana"/>
          <w:sz w:val="20"/>
          <w:szCs w:val="20"/>
          <w:lang w:val="en-US"/>
        </w:rPr>
        <w:t xml:space="preserve"> a form of reparation. </w:t>
      </w:r>
    </w:p>
    <w:p w14:paraId="7D9A56A7" w14:textId="77777777" w:rsidR="008E6A56" w:rsidRPr="008A3740" w:rsidRDefault="008E6A56" w:rsidP="008E6A56">
      <w:pPr>
        <w:tabs>
          <w:tab w:val="left" w:pos="567"/>
        </w:tabs>
        <w:rPr>
          <w:rFonts w:ascii="Verdana" w:hAnsi="Verdana"/>
          <w:sz w:val="20"/>
          <w:szCs w:val="20"/>
          <w:lang w:val="en-US"/>
        </w:rPr>
      </w:pPr>
    </w:p>
    <w:p w14:paraId="24FB4FE3"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cs="Cambria"/>
          <w:sz w:val="20"/>
          <w:szCs w:val="20"/>
          <w:lang w:val="en-US"/>
        </w:rPr>
        <w:t>The State must e</w:t>
      </w:r>
      <w:r w:rsidR="009A649F" w:rsidRPr="008A3740">
        <w:rPr>
          <w:rFonts w:ascii="Verdana" w:hAnsi="Verdana" w:cs="Cambria"/>
          <w:sz w:val="20"/>
          <w:szCs w:val="20"/>
          <w:lang w:val="en-US"/>
        </w:rPr>
        <w:t xml:space="preserve">xecute </w:t>
      </w:r>
      <w:r w:rsidRPr="008A3740">
        <w:rPr>
          <w:rFonts w:ascii="Verdana" w:hAnsi="Verdana" w:cs="Cambria"/>
          <w:sz w:val="20"/>
          <w:szCs w:val="20"/>
          <w:lang w:val="en-US"/>
        </w:rPr>
        <w:t>the domestic judgments adopted in favor of the vi</w:t>
      </w:r>
      <w:r w:rsidR="00620820" w:rsidRPr="008A3740">
        <w:rPr>
          <w:rFonts w:ascii="Verdana" w:hAnsi="Verdana" w:cs="Cambria"/>
          <w:sz w:val="20"/>
          <w:szCs w:val="20"/>
          <w:lang w:val="en-US"/>
        </w:rPr>
        <w:t xml:space="preserve">ctim and </w:t>
      </w:r>
      <w:r w:rsidRPr="008A3740">
        <w:rPr>
          <w:rFonts w:ascii="Verdana" w:hAnsi="Verdana" w:cs="Cambria"/>
          <w:sz w:val="20"/>
          <w:szCs w:val="20"/>
          <w:lang w:val="en-US"/>
        </w:rPr>
        <w:t xml:space="preserve">ensure the </w:t>
      </w:r>
      <w:r w:rsidR="009A649F" w:rsidRPr="008A3740">
        <w:rPr>
          <w:rFonts w:ascii="Verdana" w:hAnsi="Verdana" w:cs="Cambria"/>
          <w:sz w:val="20"/>
          <w:szCs w:val="20"/>
          <w:lang w:val="en-US"/>
        </w:rPr>
        <w:t xml:space="preserve">effective </w:t>
      </w:r>
      <w:r w:rsidRPr="008A3740">
        <w:rPr>
          <w:rFonts w:ascii="Verdana" w:hAnsi="Verdana" w:cs="Cambria"/>
          <w:sz w:val="20"/>
          <w:szCs w:val="20"/>
          <w:lang w:val="en-US"/>
        </w:rPr>
        <w:t>payment of the pen</w:t>
      </w:r>
      <w:r w:rsidR="002C0D5B" w:rsidRPr="008A3740">
        <w:rPr>
          <w:rFonts w:ascii="Verdana" w:hAnsi="Verdana" w:cs="Cambria"/>
          <w:sz w:val="20"/>
          <w:szCs w:val="20"/>
          <w:lang w:val="en-US"/>
        </w:rPr>
        <w:t>sion of Mr. Oscar Muelle Flores,</w:t>
      </w:r>
      <w:r w:rsidRPr="008A3740">
        <w:rPr>
          <w:rFonts w:ascii="Verdana" w:hAnsi="Verdana" w:cs="Cambria"/>
          <w:sz w:val="20"/>
          <w:szCs w:val="20"/>
          <w:lang w:val="en-US"/>
        </w:rPr>
        <w:t xml:space="preserve"> within a maximum period of six months from notification of this Judgment, a</w:t>
      </w:r>
      <w:r w:rsidR="009A649F" w:rsidRPr="008A3740">
        <w:rPr>
          <w:rFonts w:ascii="Verdana" w:hAnsi="Verdana" w:cs="Cambria"/>
          <w:sz w:val="20"/>
          <w:szCs w:val="20"/>
          <w:lang w:val="en-US"/>
        </w:rPr>
        <w:t>nd maintain his</w:t>
      </w:r>
      <w:r w:rsidR="00620820" w:rsidRPr="008A3740">
        <w:rPr>
          <w:rFonts w:ascii="Verdana" w:hAnsi="Verdana" w:cs="Cambria"/>
          <w:sz w:val="20"/>
          <w:szCs w:val="20"/>
          <w:lang w:val="en-US"/>
        </w:rPr>
        <w:t xml:space="preserve"> </w:t>
      </w:r>
      <w:r w:rsidRPr="008A3740">
        <w:rPr>
          <w:rFonts w:ascii="Verdana" w:hAnsi="Verdana" w:cs="Cambria"/>
          <w:sz w:val="20"/>
          <w:szCs w:val="20"/>
          <w:lang w:val="en-US"/>
        </w:rPr>
        <w:t xml:space="preserve">provisional </w:t>
      </w:r>
      <w:r w:rsidR="009A649F" w:rsidRPr="008A3740">
        <w:rPr>
          <w:rFonts w:ascii="Verdana" w:hAnsi="Verdana" w:cs="Cambria"/>
          <w:sz w:val="20"/>
          <w:szCs w:val="20"/>
          <w:lang w:val="en-US"/>
        </w:rPr>
        <w:t xml:space="preserve">pension </w:t>
      </w:r>
      <w:r w:rsidR="00620820" w:rsidRPr="008A3740">
        <w:rPr>
          <w:rFonts w:ascii="Verdana" w:hAnsi="Verdana" w:cs="Cambria"/>
          <w:sz w:val="20"/>
          <w:szCs w:val="20"/>
          <w:lang w:val="en-US"/>
        </w:rPr>
        <w:t>payment</w:t>
      </w:r>
      <w:r w:rsidR="009A649F" w:rsidRPr="008A3740">
        <w:rPr>
          <w:rFonts w:ascii="Verdana" w:hAnsi="Verdana" w:cs="Cambria"/>
          <w:sz w:val="20"/>
          <w:szCs w:val="20"/>
          <w:lang w:val="en-US"/>
        </w:rPr>
        <w:t>s</w:t>
      </w:r>
      <w:r w:rsidRPr="008A3740">
        <w:rPr>
          <w:rFonts w:ascii="Verdana" w:hAnsi="Verdana" w:cs="Cambria"/>
          <w:sz w:val="20"/>
          <w:szCs w:val="20"/>
          <w:lang w:val="en-US"/>
        </w:rPr>
        <w:t xml:space="preserve"> and </w:t>
      </w:r>
      <w:r w:rsidR="009A649F" w:rsidRPr="008A3740">
        <w:rPr>
          <w:rFonts w:ascii="Verdana" w:hAnsi="Verdana" w:cs="Cambria"/>
          <w:sz w:val="20"/>
          <w:szCs w:val="20"/>
          <w:lang w:val="en-US"/>
        </w:rPr>
        <w:t xml:space="preserve">his </w:t>
      </w:r>
      <w:r w:rsidRPr="008A3740">
        <w:rPr>
          <w:rFonts w:ascii="Verdana" w:hAnsi="Verdana" w:cs="Cambria"/>
          <w:sz w:val="20"/>
          <w:szCs w:val="20"/>
          <w:lang w:val="en-US"/>
        </w:rPr>
        <w:t xml:space="preserve">access to social </w:t>
      </w:r>
      <w:r w:rsidR="009A649F" w:rsidRPr="008A3740">
        <w:rPr>
          <w:rFonts w:ascii="Verdana" w:hAnsi="Verdana" w:cs="Cambria"/>
          <w:sz w:val="20"/>
          <w:szCs w:val="20"/>
          <w:lang w:val="en-US"/>
        </w:rPr>
        <w:t>health insurance</w:t>
      </w:r>
      <w:r w:rsidRPr="008A3740">
        <w:rPr>
          <w:rFonts w:ascii="Verdana" w:hAnsi="Verdana" w:cs="Cambria"/>
          <w:sz w:val="20"/>
          <w:szCs w:val="20"/>
          <w:lang w:val="en-US"/>
        </w:rPr>
        <w:t xml:space="preserve">, </w:t>
      </w:r>
      <w:r w:rsidR="009A649F" w:rsidRPr="008A3740">
        <w:rPr>
          <w:rFonts w:ascii="Verdana" w:hAnsi="Verdana" w:cs="Cambria"/>
          <w:sz w:val="20"/>
          <w:szCs w:val="20"/>
          <w:lang w:val="en-US"/>
        </w:rPr>
        <w:t xml:space="preserve">as established in </w:t>
      </w:r>
      <w:r w:rsidRPr="008A3740">
        <w:rPr>
          <w:rFonts w:ascii="Verdana" w:hAnsi="Verdana"/>
          <w:sz w:val="20"/>
          <w:szCs w:val="20"/>
          <w:lang w:val="en-US"/>
        </w:rPr>
        <w:t xml:space="preserve">paragraphs 230 to 236 of this Judgment. </w:t>
      </w:r>
    </w:p>
    <w:p w14:paraId="58347DD2" w14:textId="77777777" w:rsidR="008E6A56" w:rsidRPr="008A3740" w:rsidRDefault="008E6A56" w:rsidP="008E6A56">
      <w:pPr>
        <w:tabs>
          <w:tab w:val="left" w:pos="567"/>
        </w:tabs>
        <w:rPr>
          <w:rFonts w:ascii="Verdana" w:hAnsi="Verdana"/>
          <w:sz w:val="20"/>
          <w:szCs w:val="20"/>
          <w:lang w:val="en-US"/>
        </w:rPr>
      </w:pPr>
    </w:p>
    <w:p w14:paraId="70CBD0A1"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 xml:space="preserve">The State must publish, within six months of notification of this Judgment, the publications </w:t>
      </w:r>
      <w:r w:rsidR="009A649F" w:rsidRPr="008A3740">
        <w:rPr>
          <w:rFonts w:ascii="Verdana" w:hAnsi="Verdana"/>
          <w:sz w:val="20"/>
          <w:szCs w:val="20"/>
          <w:lang w:val="en-US"/>
        </w:rPr>
        <w:t xml:space="preserve">required </w:t>
      </w:r>
      <w:r w:rsidR="00620820" w:rsidRPr="008A3740">
        <w:rPr>
          <w:rFonts w:ascii="Verdana" w:hAnsi="Verdana"/>
          <w:sz w:val="20"/>
          <w:szCs w:val="20"/>
          <w:lang w:val="en-US"/>
        </w:rPr>
        <w:t>in paragraph 239 of this</w:t>
      </w:r>
      <w:r w:rsidRPr="008A3740">
        <w:rPr>
          <w:rFonts w:ascii="Verdana" w:hAnsi="Verdana"/>
          <w:sz w:val="20"/>
          <w:szCs w:val="20"/>
          <w:lang w:val="en-US"/>
        </w:rPr>
        <w:t xml:space="preserve"> Judgment, in the terms </w:t>
      </w:r>
      <w:r w:rsidR="00620820" w:rsidRPr="008A3740">
        <w:rPr>
          <w:rFonts w:ascii="Verdana" w:hAnsi="Verdana"/>
          <w:sz w:val="20"/>
          <w:szCs w:val="20"/>
          <w:lang w:val="en-US"/>
        </w:rPr>
        <w:t>established therein</w:t>
      </w:r>
      <w:r w:rsidRPr="008A3740">
        <w:rPr>
          <w:rFonts w:ascii="Verdana" w:hAnsi="Verdana"/>
          <w:sz w:val="20"/>
          <w:szCs w:val="20"/>
          <w:lang w:val="en-US"/>
        </w:rPr>
        <w:t xml:space="preserve">. </w:t>
      </w:r>
    </w:p>
    <w:p w14:paraId="560FAD8B" w14:textId="77777777" w:rsidR="008E6A56" w:rsidRPr="008A3740" w:rsidRDefault="008E6A56" w:rsidP="008E6A56">
      <w:pPr>
        <w:rPr>
          <w:rFonts w:ascii="Verdana" w:hAnsi="Verdana"/>
          <w:sz w:val="20"/>
          <w:szCs w:val="20"/>
          <w:lang w:val="en-US"/>
        </w:rPr>
      </w:pPr>
    </w:p>
    <w:p w14:paraId="32818D7B"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cs="Verdana"/>
          <w:sz w:val="20"/>
          <w:szCs w:val="20"/>
          <w:lang w:val="en-US"/>
        </w:rPr>
        <w:t xml:space="preserve">The State </w:t>
      </w:r>
      <w:r w:rsidR="00620820" w:rsidRPr="008A3740">
        <w:rPr>
          <w:rFonts w:ascii="Verdana" w:hAnsi="Verdana" w:cs="Verdana"/>
          <w:sz w:val="20"/>
          <w:szCs w:val="20"/>
          <w:lang w:val="en-US"/>
        </w:rPr>
        <w:t xml:space="preserve">must </w:t>
      </w:r>
      <w:r w:rsidRPr="008A3740">
        <w:rPr>
          <w:rFonts w:ascii="Verdana" w:hAnsi="Verdana" w:cs="Verdana"/>
          <w:sz w:val="20"/>
          <w:szCs w:val="20"/>
          <w:lang w:val="en-US"/>
        </w:rPr>
        <w:t>pay</w:t>
      </w:r>
      <w:r w:rsidR="009A649F" w:rsidRPr="008A3740">
        <w:rPr>
          <w:rFonts w:ascii="Verdana" w:hAnsi="Verdana" w:cs="Verdana"/>
          <w:sz w:val="20"/>
          <w:szCs w:val="20"/>
          <w:lang w:val="en-US"/>
        </w:rPr>
        <w:t xml:space="preserve">, within the time stipulated, </w:t>
      </w:r>
      <w:r w:rsidRPr="008A3740">
        <w:rPr>
          <w:rFonts w:ascii="Verdana" w:hAnsi="Verdana" w:cs="Verdana"/>
          <w:sz w:val="20"/>
          <w:szCs w:val="20"/>
          <w:lang w:val="en-US"/>
        </w:rPr>
        <w:t xml:space="preserve">the amounts </w:t>
      </w:r>
      <w:r w:rsidR="009A649F" w:rsidRPr="008A3740">
        <w:rPr>
          <w:rFonts w:ascii="Verdana" w:hAnsi="Verdana" w:cs="Verdana"/>
          <w:sz w:val="20"/>
          <w:szCs w:val="20"/>
          <w:lang w:val="en-US"/>
        </w:rPr>
        <w:t xml:space="preserve">ordered </w:t>
      </w:r>
      <w:r w:rsidRPr="008A3740">
        <w:rPr>
          <w:rFonts w:ascii="Verdana" w:hAnsi="Verdana" w:cs="Verdana"/>
          <w:sz w:val="20"/>
          <w:szCs w:val="20"/>
          <w:lang w:val="en-US"/>
        </w:rPr>
        <w:t>in paragraphs 251, 259, 267 and 274 of this Ju</w:t>
      </w:r>
      <w:r w:rsidR="00136943" w:rsidRPr="008A3740">
        <w:rPr>
          <w:rFonts w:ascii="Verdana" w:hAnsi="Verdana" w:cs="Verdana"/>
          <w:sz w:val="20"/>
          <w:szCs w:val="20"/>
          <w:lang w:val="en-US"/>
        </w:rPr>
        <w:t xml:space="preserve">dgment for compensation and </w:t>
      </w:r>
      <w:r w:rsidRPr="008A3740">
        <w:rPr>
          <w:rFonts w:ascii="Verdana" w:hAnsi="Verdana"/>
          <w:sz w:val="20"/>
          <w:szCs w:val="20"/>
          <w:lang w:val="en-US"/>
        </w:rPr>
        <w:t xml:space="preserve">reimbursement of </w:t>
      </w:r>
      <w:r w:rsidR="002C0D5B" w:rsidRPr="008A3740">
        <w:rPr>
          <w:rFonts w:ascii="Verdana" w:hAnsi="Verdana"/>
          <w:sz w:val="20"/>
          <w:szCs w:val="20"/>
          <w:lang w:val="en-US"/>
        </w:rPr>
        <w:t xml:space="preserve">costs and </w:t>
      </w:r>
      <w:r w:rsidRPr="008A3740">
        <w:rPr>
          <w:rFonts w:ascii="Verdana" w:hAnsi="Verdana"/>
          <w:sz w:val="20"/>
          <w:szCs w:val="20"/>
          <w:lang w:val="en-US"/>
        </w:rPr>
        <w:t>expenses,</w:t>
      </w:r>
      <w:r w:rsidRPr="008A3740">
        <w:rPr>
          <w:rFonts w:ascii="Verdana" w:hAnsi="Verdana" w:cs="Verdana"/>
          <w:sz w:val="20"/>
          <w:szCs w:val="20"/>
          <w:lang w:val="en-US"/>
        </w:rPr>
        <w:t xml:space="preserve"> in the t</w:t>
      </w:r>
      <w:r w:rsidR="00620820" w:rsidRPr="008A3740">
        <w:rPr>
          <w:rFonts w:ascii="Verdana" w:hAnsi="Verdana" w:cs="Verdana"/>
          <w:sz w:val="20"/>
          <w:szCs w:val="20"/>
          <w:lang w:val="en-US"/>
        </w:rPr>
        <w:t xml:space="preserve">erms </w:t>
      </w:r>
      <w:r w:rsidR="009A649F" w:rsidRPr="008A3740">
        <w:rPr>
          <w:rFonts w:ascii="Verdana" w:hAnsi="Verdana" w:cs="Verdana"/>
          <w:sz w:val="20"/>
          <w:szCs w:val="20"/>
          <w:lang w:val="en-US"/>
        </w:rPr>
        <w:t xml:space="preserve">established in those </w:t>
      </w:r>
      <w:r w:rsidRPr="008A3740">
        <w:rPr>
          <w:rFonts w:ascii="Verdana" w:hAnsi="Verdana" w:cs="Verdana"/>
          <w:sz w:val="20"/>
          <w:szCs w:val="20"/>
          <w:lang w:val="en-US"/>
        </w:rPr>
        <w:t xml:space="preserve">paragraphs </w:t>
      </w:r>
      <w:r w:rsidR="009A649F" w:rsidRPr="008A3740">
        <w:rPr>
          <w:rFonts w:ascii="Verdana" w:hAnsi="Verdana" w:cs="Verdana"/>
          <w:sz w:val="20"/>
          <w:szCs w:val="20"/>
          <w:lang w:val="en-US"/>
        </w:rPr>
        <w:t>and in</w:t>
      </w:r>
      <w:r w:rsidR="00136943" w:rsidRPr="008A3740">
        <w:rPr>
          <w:rFonts w:ascii="Verdana" w:hAnsi="Verdana" w:cs="Verdana"/>
          <w:sz w:val="20"/>
          <w:szCs w:val="20"/>
          <w:lang w:val="en-US"/>
        </w:rPr>
        <w:t xml:space="preserve"> paragraphs </w:t>
      </w:r>
      <w:r w:rsidRPr="008A3740">
        <w:rPr>
          <w:rFonts w:ascii="Verdana" w:hAnsi="Verdana" w:cs="Verdana"/>
          <w:sz w:val="20"/>
          <w:szCs w:val="20"/>
          <w:lang w:val="en-US"/>
        </w:rPr>
        <w:t>278 to 283 of this Judgment.</w:t>
      </w:r>
    </w:p>
    <w:p w14:paraId="2F1D7550" w14:textId="77777777" w:rsidR="008E6A56" w:rsidRPr="008A3740" w:rsidRDefault="008E6A56" w:rsidP="008E6A56">
      <w:pPr>
        <w:pStyle w:val="Prrafodelista"/>
        <w:tabs>
          <w:tab w:val="left" w:pos="567"/>
        </w:tabs>
        <w:autoSpaceDE w:val="0"/>
        <w:autoSpaceDN w:val="0"/>
        <w:ind w:left="0" w:right="22"/>
        <w:contextualSpacing w:val="0"/>
        <w:textAlignment w:val="auto"/>
        <w:rPr>
          <w:rFonts w:ascii="Verdana" w:hAnsi="Verdana"/>
          <w:sz w:val="20"/>
          <w:szCs w:val="20"/>
          <w:lang w:val="en-US"/>
        </w:rPr>
      </w:pPr>
    </w:p>
    <w:p w14:paraId="182A386F"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 xml:space="preserve">The State must reimburse the Victims’ Legal Assistance Fund of the Inter-American Court of Human Rights </w:t>
      </w:r>
      <w:r w:rsidR="009A649F" w:rsidRPr="008A3740">
        <w:rPr>
          <w:rFonts w:ascii="Verdana" w:hAnsi="Verdana"/>
          <w:sz w:val="20"/>
          <w:szCs w:val="20"/>
          <w:lang w:val="en-US"/>
        </w:rPr>
        <w:t xml:space="preserve">for </w:t>
      </w:r>
      <w:r w:rsidRPr="008A3740">
        <w:rPr>
          <w:rFonts w:ascii="Verdana" w:hAnsi="Verdana"/>
          <w:sz w:val="20"/>
          <w:szCs w:val="20"/>
          <w:lang w:val="en-US"/>
        </w:rPr>
        <w:t>the amount</w:t>
      </w:r>
      <w:r w:rsidR="009A649F" w:rsidRPr="008A3740">
        <w:rPr>
          <w:rFonts w:ascii="Verdana" w:hAnsi="Verdana"/>
          <w:sz w:val="20"/>
          <w:szCs w:val="20"/>
          <w:lang w:val="en-US"/>
        </w:rPr>
        <w:t>s</w:t>
      </w:r>
      <w:r w:rsidRPr="008A3740">
        <w:rPr>
          <w:rFonts w:ascii="Verdana" w:hAnsi="Verdana"/>
          <w:sz w:val="20"/>
          <w:szCs w:val="20"/>
          <w:lang w:val="en-US"/>
        </w:rPr>
        <w:t xml:space="preserve"> disbursed during the processing of this case, in the terms </w:t>
      </w:r>
      <w:r w:rsidR="009A649F" w:rsidRPr="008A3740">
        <w:rPr>
          <w:rFonts w:ascii="Verdana" w:hAnsi="Verdana"/>
          <w:sz w:val="20"/>
          <w:szCs w:val="20"/>
          <w:lang w:val="en-US"/>
        </w:rPr>
        <w:t xml:space="preserve">established in </w:t>
      </w:r>
      <w:r w:rsidRPr="008A3740">
        <w:rPr>
          <w:rFonts w:ascii="Verdana" w:hAnsi="Verdana"/>
          <w:sz w:val="20"/>
          <w:szCs w:val="20"/>
          <w:lang w:val="en-US"/>
        </w:rPr>
        <w:t>paragraph 277 of this Judgment.</w:t>
      </w:r>
    </w:p>
    <w:p w14:paraId="26C3C0E9" w14:textId="77777777" w:rsidR="008E6A56" w:rsidRPr="008A3740" w:rsidRDefault="008E6A56" w:rsidP="008E6A56">
      <w:pPr>
        <w:tabs>
          <w:tab w:val="left" w:pos="567"/>
        </w:tabs>
        <w:rPr>
          <w:rFonts w:ascii="Verdana" w:hAnsi="Verdana"/>
          <w:sz w:val="20"/>
          <w:szCs w:val="20"/>
          <w:lang w:val="en-US"/>
        </w:rPr>
      </w:pPr>
    </w:p>
    <w:p w14:paraId="3ECC622B"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lastRenderedPageBreak/>
        <w:t xml:space="preserve">The State must submit to the Court a report, within one year of notification of this Judgment, on the measures adopted in compliance therewith. </w:t>
      </w:r>
    </w:p>
    <w:p w14:paraId="41DED5F3" w14:textId="77777777" w:rsidR="008E6A56" w:rsidRPr="008A3740" w:rsidRDefault="008E6A56" w:rsidP="008E6A56">
      <w:pPr>
        <w:tabs>
          <w:tab w:val="left" w:pos="567"/>
        </w:tabs>
        <w:rPr>
          <w:rFonts w:ascii="Verdana" w:hAnsi="Verdana"/>
          <w:sz w:val="20"/>
          <w:szCs w:val="20"/>
          <w:lang w:val="en-US"/>
        </w:rPr>
      </w:pPr>
    </w:p>
    <w:p w14:paraId="1CC2AC50" w14:textId="77777777" w:rsidR="008E6A56" w:rsidRPr="008A3740" w:rsidRDefault="008E6A56" w:rsidP="00D17A65">
      <w:pPr>
        <w:pStyle w:val="Prrafodelista"/>
        <w:numPr>
          <w:ilvl w:val="0"/>
          <w:numId w:val="11"/>
        </w:numPr>
        <w:tabs>
          <w:tab w:val="left" w:pos="567"/>
        </w:tabs>
        <w:autoSpaceDE w:val="0"/>
        <w:autoSpaceDN w:val="0"/>
        <w:ind w:left="0" w:right="22" w:firstLine="0"/>
        <w:contextualSpacing w:val="0"/>
        <w:textAlignment w:val="auto"/>
        <w:rPr>
          <w:rFonts w:ascii="Verdana" w:hAnsi="Verdana"/>
          <w:sz w:val="20"/>
          <w:szCs w:val="20"/>
          <w:lang w:val="en-US"/>
        </w:rPr>
      </w:pPr>
      <w:r w:rsidRPr="008A3740">
        <w:rPr>
          <w:rFonts w:ascii="Verdana" w:hAnsi="Verdana"/>
          <w:sz w:val="20"/>
          <w:szCs w:val="20"/>
          <w:lang w:val="en-US"/>
        </w:rPr>
        <w:t xml:space="preserve">The Court will monitor full compliance with this Judgment, in exercise of its attributions and in compliance </w:t>
      </w:r>
      <w:r w:rsidR="00605A7E" w:rsidRPr="008A3740">
        <w:rPr>
          <w:rFonts w:ascii="Verdana" w:hAnsi="Verdana"/>
          <w:sz w:val="20"/>
          <w:szCs w:val="20"/>
          <w:lang w:val="en-US"/>
        </w:rPr>
        <w:t>with its</w:t>
      </w:r>
      <w:r w:rsidR="00620820" w:rsidRPr="008A3740">
        <w:rPr>
          <w:rFonts w:ascii="Verdana" w:hAnsi="Verdana"/>
          <w:sz w:val="20"/>
          <w:szCs w:val="20"/>
          <w:lang w:val="en-US"/>
        </w:rPr>
        <w:t xml:space="preserve"> </w:t>
      </w:r>
      <w:r w:rsidRPr="008A3740">
        <w:rPr>
          <w:rFonts w:ascii="Verdana" w:hAnsi="Verdana"/>
          <w:sz w:val="20"/>
          <w:szCs w:val="20"/>
          <w:lang w:val="en-US"/>
        </w:rPr>
        <w:t xml:space="preserve">duties in accordance with the American Convention on Human Rights, and will consider </w:t>
      </w:r>
      <w:r w:rsidR="00605A7E" w:rsidRPr="008A3740">
        <w:rPr>
          <w:rFonts w:ascii="Verdana" w:hAnsi="Verdana"/>
          <w:sz w:val="20"/>
          <w:szCs w:val="20"/>
          <w:lang w:val="en-US"/>
        </w:rPr>
        <w:t>this case closed when the State has complied fully with its provisions</w:t>
      </w:r>
      <w:r w:rsidR="00605A7E" w:rsidRPr="008A3740">
        <w:t>.</w:t>
      </w:r>
      <w:r w:rsidRPr="008A3740">
        <w:rPr>
          <w:rFonts w:ascii="Verdana" w:hAnsi="Verdana"/>
          <w:sz w:val="20"/>
          <w:szCs w:val="20"/>
          <w:lang w:val="en-US"/>
        </w:rPr>
        <w:t xml:space="preserve"> </w:t>
      </w:r>
    </w:p>
    <w:p w14:paraId="73593527" w14:textId="77777777" w:rsidR="008E6A56" w:rsidRPr="008A3740" w:rsidRDefault="008E6A56" w:rsidP="008E6A56">
      <w:pPr>
        <w:pStyle w:val="Prrafodelista"/>
        <w:tabs>
          <w:tab w:val="left" w:pos="567"/>
        </w:tabs>
        <w:ind w:left="0"/>
        <w:rPr>
          <w:rFonts w:ascii="Verdana" w:hAnsi="Verdana"/>
          <w:sz w:val="20"/>
          <w:szCs w:val="20"/>
          <w:lang w:val="en-US"/>
        </w:rPr>
      </w:pPr>
      <w:r w:rsidRPr="008A3740">
        <w:rPr>
          <w:rFonts w:ascii="Verdana" w:hAnsi="Verdana"/>
          <w:sz w:val="20"/>
          <w:szCs w:val="20"/>
          <w:lang w:val="en-US"/>
        </w:rPr>
        <w:t xml:space="preserve"> </w:t>
      </w:r>
    </w:p>
    <w:p w14:paraId="40590CEF" w14:textId="77777777" w:rsidR="008E6A56" w:rsidRPr="008A3740" w:rsidRDefault="008E6A56" w:rsidP="008E6A56">
      <w:pPr>
        <w:tabs>
          <w:tab w:val="left" w:pos="567"/>
        </w:tabs>
        <w:rPr>
          <w:rFonts w:ascii="Verdana" w:hAnsi="Verdana"/>
          <w:color w:val="000000"/>
          <w:sz w:val="20"/>
          <w:szCs w:val="20"/>
          <w:lang w:val="en-US"/>
        </w:rPr>
      </w:pPr>
      <w:r w:rsidRPr="008A3740">
        <w:rPr>
          <w:rFonts w:ascii="Verdana" w:hAnsi="Verdana"/>
          <w:color w:val="000000"/>
          <w:sz w:val="20"/>
          <w:szCs w:val="20"/>
          <w:lang w:val="en-US"/>
        </w:rPr>
        <w:t xml:space="preserve">Judge Eduardo Ferrer Mac-Gregor Poisot advised the Court </w:t>
      </w:r>
      <w:r w:rsidR="00605A7E" w:rsidRPr="008A3740">
        <w:rPr>
          <w:rFonts w:ascii="Verdana" w:hAnsi="Verdana"/>
          <w:color w:val="000000"/>
          <w:sz w:val="20"/>
          <w:szCs w:val="20"/>
          <w:lang w:val="en-US"/>
        </w:rPr>
        <w:t xml:space="preserve">of his </w:t>
      </w:r>
      <w:r w:rsidR="00136943" w:rsidRPr="008A3740">
        <w:rPr>
          <w:rFonts w:ascii="Verdana" w:hAnsi="Verdana"/>
          <w:color w:val="000000"/>
          <w:sz w:val="20"/>
          <w:szCs w:val="20"/>
          <w:lang w:val="en-US"/>
        </w:rPr>
        <w:t>S</w:t>
      </w:r>
      <w:r w:rsidR="00605A7E" w:rsidRPr="008A3740">
        <w:rPr>
          <w:rFonts w:ascii="Verdana" w:hAnsi="Verdana"/>
          <w:color w:val="000000"/>
          <w:sz w:val="20"/>
          <w:szCs w:val="20"/>
          <w:lang w:val="en-US"/>
        </w:rPr>
        <w:t xml:space="preserve">eparate </w:t>
      </w:r>
      <w:r w:rsidR="00136943" w:rsidRPr="008A3740">
        <w:rPr>
          <w:rFonts w:ascii="Verdana" w:hAnsi="Verdana"/>
          <w:color w:val="000000"/>
          <w:sz w:val="20"/>
          <w:szCs w:val="20"/>
          <w:lang w:val="en-US"/>
        </w:rPr>
        <w:t>O</w:t>
      </w:r>
      <w:r w:rsidR="00605A7E" w:rsidRPr="008A3740">
        <w:rPr>
          <w:rFonts w:ascii="Verdana" w:hAnsi="Verdana"/>
          <w:color w:val="000000"/>
          <w:sz w:val="20"/>
          <w:szCs w:val="20"/>
          <w:lang w:val="en-US"/>
        </w:rPr>
        <w:t>pinion</w:t>
      </w:r>
      <w:r w:rsidRPr="008A3740">
        <w:rPr>
          <w:rFonts w:ascii="Verdana" w:hAnsi="Verdana"/>
          <w:color w:val="000000"/>
          <w:sz w:val="20"/>
          <w:szCs w:val="20"/>
          <w:lang w:val="en-US"/>
        </w:rPr>
        <w:t xml:space="preserve">, and </w:t>
      </w:r>
      <w:r w:rsidR="00605A7E" w:rsidRPr="008A3740">
        <w:rPr>
          <w:rFonts w:ascii="Verdana" w:hAnsi="Verdana"/>
          <w:color w:val="000000"/>
          <w:sz w:val="20"/>
          <w:szCs w:val="20"/>
          <w:lang w:val="en-US"/>
        </w:rPr>
        <w:t>J</w:t>
      </w:r>
      <w:r w:rsidRPr="008A3740">
        <w:rPr>
          <w:rFonts w:ascii="Verdana" w:hAnsi="Verdana"/>
          <w:color w:val="000000"/>
          <w:sz w:val="20"/>
          <w:szCs w:val="20"/>
          <w:lang w:val="en-US"/>
        </w:rPr>
        <w:t xml:space="preserve">udges Eduardo Vio Grossi and Humberto Sierra Porto </w:t>
      </w:r>
      <w:r w:rsidR="00605A7E" w:rsidRPr="008A3740">
        <w:rPr>
          <w:rFonts w:ascii="Verdana" w:hAnsi="Verdana"/>
          <w:color w:val="000000"/>
          <w:sz w:val="20"/>
          <w:szCs w:val="20"/>
          <w:lang w:val="en-US"/>
        </w:rPr>
        <w:t xml:space="preserve">advised the Court </w:t>
      </w:r>
      <w:r w:rsidR="00136943" w:rsidRPr="008A3740">
        <w:rPr>
          <w:rFonts w:ascii="Verdana" w:hAnsi="Verdana"/>
          <w:color w:val="000000"/>
          <w:sz w:val="20"/>
          <w:szCs w:val="20"/>
          <w:lang w:val="en-US"/>
        </w:rPr>
        <w:t>of their P</w:t>
      </w:r>
      <w:r w:rsidRPr="008A3740">
        <w:rPr>
          <w:rFonts w:ascii="Verdana" w:hAnsi="Verdana"/>
          <w:color w:val="000000"/>
          <w:sz w:val="20"/>
          <w:szCs w:val="20"/>
          <w:lang w:val="en-US"/>
        </w:rPr>
        <w:t>artially</w:t>
      </w:r>
      <w:r w:rsidR="00136943" w:rsidRPr="008A3740">
        <w:rPr>
          <w:rFonts w:ascii="Verdana" w:hAnsi="Verdana"/>
          <w:color w:val="000000"/>
          <w:sz w:val="20"/>
          <w:szCs w:val="20"/>
          <w:lang w:val="en-US"/>
        </w:rPr>
        <w:t xml:space="preserve"> D</w:t>
      </w:r>
      <w:r w:rsidRPr="008A3740">
        <w:rPr>
          <w:rFonts w:ascii="Verdana" w:hAnsi="Verdana"/>
          <w:color w:val="000000"/>
          <w:sz w:val="20"/>
          <w:szCs w:val="20"/>
          <w:lang w:val="en-US"/>
        </w:rPr>
        <w:t>is</w:t>
      </w:r>
      <w:r w:rsidR="00605A7E" w:rsidRPr="008A3740">
        <w:rPr>
          <w:rFonts w:ascii="Verdana" w:hAnsi="Verdana"/>
          <w:color w:val="000000"/>
          <w:sz w:val="20"/>
          <w:szCs w:val="20"/>
          <w:lang w:val="en-US"/>
        </w:rPr>
        <w:t xml:space="preserve">senting </w:t>
      </w:r>
      <w:r w:rsidR="00136943" w:rsidRPr="008A3740">
        <w:rPr>
          <w:rFonts w:ascii="Verdana" w:hAnsi="Verdana"/>
          <w:color w:val="000000"/>
          <w:sz w:val="20"/>
          <w:szCs w:val="20"/>
          <w:lang w:val="en-US"/>
        </w:rPr>
        <w:t>O</w:t>
      </w:r>
      <w:r w:rsidR="00605A7E" w:rsidRPr="008A3740">
        <w:rPr>
          <w:rFonts w:ascii="Verdana" w:hAnsi="Verdana"/>
          <w:color w:val="000000"/>
          <w:sz w:val="20"/>
          <w:szCs w:val="20"/>
          <w:lang w:val="en-US"/>
        </w:rPr>
        <w:t>pinions</w:t>
      </w:r>
      <w:r w:rsidRPr="008A3740">
        <w:rPr>
          <w:rFonts w:ascii="Verdana" w:hAnsi="Verdana"/>
          <w:color w:val="000000"/>
          <w:sz w:val="20"/>
          <w:szCs w:val="20"/>
          <w:lang w:val="en-US"/>
        </w:rPr>
        <w:t xml:space="preserve">, which </w:t>
      </w:r>
      <w:r w:rsidR="00620820" w:rsidRPr="008A3740">
        <w:rPr>
          <w:rFonts w:ascii="Verdana" w:hAnsi="Verdana"/>
          <w:color w:val="000000"/>
          <w:sz w:val="20"/>
          <w:szCs w:val="20"/>
          <w:lang w:val="en-US"/>
        </w:rPr>
        <w:t xml:space="preserve">accompany </w:t>
      </w:r>
      <w:r w:rsidRPr="008A3740">
        <w:rPr>
          <w:rFonts w:ascii="Verdana" w:hAnsi="Verdana"/>
          <w:color w:val="000000"/>
          <w:sz w:val="20"/>
          <w:szCs w:val="20"/>
          <w:lang w:val="en-US"/>
        </w:rPr>
        <w:t>this Judgment.</w:t>
      </w:r>
    </w:p>
    <w:p w14:paraId="3351F8BA" w14:textId="77777777" w:rsidR="008E6A56" w:rsidRPr="008A3740" w:rsidRDefault="008E6A56" w:rsidP="008E6A56">
      <w:pPr>
        <w:tabs>
          <w:tab w:val="left" w:pos="567"/>
        </w:tabs>
        <w:rPr>
          <w:rFonts w:ascii="Verdana" w:hAnsi="Verdana"/>
          <w:color w:val="000000"/>
          <w:sz w:val="20"/>
          <w:szCs w:val="20"/>
          <w:lang w:val="en-US"/>
        </w:rPr>
      </w:pPr>
    </w:p>
    <w:p w14:paraId="6ABFD17B" w14:textId="77777777" w:rsidR="008E6A56" w:rsidRPr="008A3740" w:rsidRDefault="008E6A56" w:rsidP="008E6A56">
      <w:pPr>
        <w:tabs>
          <w:tab w:val="left" w:pos="567"/>
        </w:tabs>
        <w:rPr>
          <w:rFonts w:ascii="Verdana" w:hAnsi="Verdana"/>
          <w:color w:val="000000"/>
          <w:sz w:val="20"/>
          <w:szCs w:val="20"/>
          <w:lang w:val="en-US"/>
        </w:rPr>
      </w:pPr>
    </w:p>
    <w:p w14:paraId="5BD45AB0" w14:textId="77777777" w:rsidR="008E6A56" w:rsidRPr="008A3740" w:rsidRDefault="008E6A56" w:rsidP="008E6A56">
      <w:pPr>
        <w:tabs>
          <w:tab w:val="left" w:pos="567"/>
        </w:tabs>
        <w:rPr>
          <w:rFonts w:ascii="Verdana" w:hAnsi="Verdana"/>
          <w:color w:val="000000"/>
          <w:sz w:val="20"/>
          <w:szCs w:val="20"/>
          <w:lang w:val="en-US"/>
        </w:rPr>
      </w:pPr>
      <w:r w:rsidRPr="008A3740">
        <w:rPr>
          <w:rFonts w:ascii="Verdana" w:hAnsi="Verdana"/>
          <w:color w:val="000000"/>
          <w:sz w:val="20"/>
          <w:szCs w:val="20"/>
          <w:lang w:val="en-US"/>
        </w:rPr>
        <w:t>Done in Spanish at San José, Costa Rica, on March 6, 2019.</w:t>
      </w:r>
    </w:p>
    <w:p w14:paraId="7CA7E734" w14:textId="77777777" w:rsidR="008E6A56" w:rsidRPr="008A3740" w:rsidRDefault="008E6A56" w:rsidP="008E6A56">
      <w:pPr>
        <w:tabs>
          <w:tab w:val="left" w:pos="567"/>
        </w:tabs>
        <w:textAlignment w:val="auto"/>
        <w:rPr>
          <w:rFonts w:ascii="Verdana" w:eastAsia="MS Mincho" w:hAnsi="Verdana"/>
          <w:sz w:val="20"/>
          <w:szCs w:val="20"/>
          <w:lang w:val="en-US" w:bidi="en-US"/>
        </w:rPr>
      </w:pPr>
    </w:p>
    <w:p w14:paraId="505DAADA" w14:textId="77777777" w:rsidR="008E6A56" w:rsidRPr="008A3740" w:rsidRDefault="008E6A56" w:rsidP="008E6A56">
      <w:pPr>
        <w:tabs>
          <w:tab w:val="left" w:pos="567"/>
        </w:tabs>
        <w:rPr>
          <w:rFonts w:ascii="Verdana" w:eastAsia="MS Mincho" w:hAnsi="Verdana"/>
          <w:sz w:val="20"/>
          <w:szCs w:val="20"/>
          <w:lang w:val="en-US" w:bidi="en-US"/>
        </w:rPr>
      </w:pPr>
    </w:p>
    <w:p w14:paraId="34705BDE" w14:textId="77777777" w:rsidR="008E6A56" w:rsidRPr="008A3740" w:rsidRDefault="008E6A56" w:rsidP="008E6A56">
      <w:pPr>
        <w:rPr>
          <w:rFonts w:ascii="Verdana" w:hAnsi="Verdana"/>
          <w:sz w:val="20"/>
          <w:szCs w:val="20"/>
          <w:lang w:val="en-US"/>
        </w:rPr>
      </w:pPr>
    </w:p>
    <w:p w14:paraId="558111FD" w14:textId="77777777" w:rsidR="008E6A56" w:rsidRPr="008A3740" w:rsidRDefault="008E6A56" w:rsidP="008E6A56">
      <w:pPr>
        <w:widowControl/>
        <w:adjustRightInd/>
        <w:spacing w:after="200" w:line="276" w:lineRule="auto"/>
        <w:jc w:val="left"/>
        <w:textAlignment w:val="auto"/>
        <w:rPr>
          <w:rFonts w:ascii="Verdana" w:eastAsia="Times New Roman" w:hAnsi="Verdana" w:cs="Verdana"/>
          <w:b/>
          <w:bCs/>
          <w:caps/>
          <w:snapToGrid w:val="0"/>
          <w:sz w:val="20"/>
          <w:szCs w:val="20"/>
          <w:lang w:val="en-US"/>
        </w:rPr>
      </w:pPr>
      <w:r w:rsidRPr="008A3740">
        <w:rPr>
          <w:lang w:val="en-US"/>
        </w:rPr>
        <w:br w:type="page"/>
      </w:r>
    </w:p>
    <w:p w14:paraId="539BF58B" w14:textId="77777777" w:rsidR="008E6A56" w:rsidRPr="008A3740" w:rsidRDefault="008E6A56" w:rsidP="008E6A56">
      <w:pPr>
        <w:keepNext/>
        <w:outlineLvl w:val="0"/>
        <w:rPr>
          <w:rFonts w:ascii="Verdana" w:hAnsi="Verdana"/>
          <w:sz w:val="20"/>
          <w:lang w:val="en-US"/>
        </w:rPr>
      </w:pPr>
      <w:r w:rsidRPr="008A3740">
        <w:rPr>
          <w:rFonts w:ascii="Verdana" w:hAnsi="Verdana" w:cs="Courier New"/>
          <w:sz w:val="20"/>
          <w:lang w:val="en-US"/>
        </w:rPr>
        <w:lastRenderedPageBreak/>
        <w:t xml:space="preserve">Inter-American Court of Human Rights. </w:t>
      </w:r>
      <w:r w:rsidRPr="008A3740">
        <w:rPr>
          <w:rFonts w:ascii="Verdana" w:hAnsi="Verdana"/>
          <w:bCs/>
          <w:i/>
          <w:sz w:val="20"/>
          <w:lang w:val="en-US"/>
        </w:rPr>
        <w:t>Case of Muelle Flores v. Peru</w:t>
      </w:r>
      <w:r w:rsidRPr="008A3740">
        <w:rPr>
          <w:rFonts w:ascii="Verdana" w:hAnsi="Verdana" w:cs="Arial"/>
          <w:i/>
          <w:sz w:val="20"/>
          <w:lang w:val="en-US"/>
        </w:rPr>
        <w:t xml:space="preserve">. </w:t>
      </w:r>
      <w:r w:rsidRPr="008A3740">
        <w:rPr>
          <w:rFonts w:ascii="Verdana" w:hAnsi="Verdana"/>
          <w:sz w:val="20"/>
          <w:lang w:val="en-US"/>
        </w:rPr>
        <w:t xml:space="preserve">Preliminary objections, merits, reparations and costs. Judgment of March 6, 2019. </w:t>
      </w:r>
    </w:p>
    <w:p w14:paraId="2127BF26" w14:textId="77777777" w:rsidR="008E6A56" w:rsidRPr="008A3740" w:rsidRDefault="008E6A56" w:rsidP="008E6A56">
      <w:pPr>
        <w:jc w:val="center"/>
        <w:rPr>
          <w:rFonts w:ascii="Verdana" w:hAnsi="Verdana"/>
          <w:sz w:val="20"/>
          <w:lang w:val="en-US"/>
        </w:rPr>
      </w:pPr>
    </w:p>
    <w:p w14:paraId="0CDCCCA1" w14:textId="77777777" w:rsidR="008E6A56" w:rsidRPr="008A3740" w:rsidRDefault="008E6A56" w:rsidP="008E6A56">
      <w:pPr>
        <w:jc w:val="center"/>
        <w:rPr>
          <w:rFonts w:ascii="Verdana" w:hAnsi="Verdana"/>
          <w:sz w:val="20"/>
          <w:lang w:val="en-US"/>
        </w:rPr>
      </w:pPr>
    </w:p>
    <w:p w14:paraId="0DA2FC55" w14:textId="77777777" w:rsidR="008E6A56" w:rsidRPr="008A3740" w:rsidRDefault="008E6A56" w:rsidP="008E6A56">
      <w:pPr>
        <w:jc w:val="center"/>
        <w:rPr>
          <w:rFonts w:ascii="Verdana" w:hAnsi="Verdana"/>
          <w:sz w:val="20"/>
          <w:lang w:val="en-US"/>
        </w:rPr>
      </w:pPr>
    </w:p>
    <w:p w14:paraId="40B6F310" w14:textId="77777777" w:rsidR="008E6A56" w:rsidRPr="008A3740" w:rsidRDefault="008E6A56" w:rsidP="008E6A56">
      <w:pPr>
        <w:jc w:val="center"/>
        <w:rPr>
          <w:rFonts w:ascii="Verdana" w:hAnsi="Verdana"/>
          <w:sz w:val="20"/>
          <w:lang w:val="en-US"/>
        </w:rPr>
      </w:pPr>
    </w:p>
    <w:p w14:paraId="459790C4" w14:textId="77777777" w:rsidR="008E6A56" w:rsidRPr="008A3740" w:rsidRDefault="008E6A56" w:rsidP="008E6A56">
      <w:pPr>
        <w:rPr>
          <w:rFonts w:ascii="Verdana" w:hAnsi="Verdana"/>
          <w:sz w:val="20"/>
          <w:lang w:val="en-US"/>
        </w:rPr>
      </w:pPr>
    </w:p>
    <w:p w14:paraId="629994E1" w14:textId="77777777" w:rsidR="008E6A56" w:rsidRPr="008A3740" w:rsidRDefault="008E6A56" w:rsidP="008E6A56">
      <w:pPr>
        <w:jc w:val="center"/>
        <w:rPr>
          <w:rFonts w:ascii="Verdana" w:hAnsi="Verdana"/>
          <w:sz w:val="20"/>
          <w:lang w:val="en-US"/>
        </w:rPr>
      </w:pPr>
      <w:r w:rsidRPr="008A3740">
        <w:rPr>
          <w:rFonts w:ascii="Verdana" w:hAnsi="Verdana"/>
          <w:sz w:val="20"/>
          <w:lang w:val="en-US"/>
        </w:rPr>
        <w:t>Eduardo Ferrer Mac-Gregor Poisot</w:t>
      </w:r>
    </w:p>
    <w:p w14:paraId="38F1683C" w14:textId="77777777" w:rsidR="008E6A56" w:rsidRPr="008A3740" w:rsidRDefault="008E6A56" w:rsidP="008E6A56">
      <w:pPr>
        <w:jc w:val="center"/>
        <w:rPr>
          <w:rFonts w:ascii="Verdana" w:hAnsi="Verdana"/>
          <w:sz w:val="20"/>
          <w:lang w:val="en-US"/>
        </w:rPr>
      </w:pPr>
      <w:r w:rsidRPr="008A3740">
        <w:rPr>
          <w:rFonts w:ascii="Verdana" w:hAnsi="Verdana"/>
          <w:sz w:val="20"/>
          <w:lang w:val="en-US"/>
        </w:rPr>
        <w:t xml:space="preserve">President </w:t>
      </w:r>
    </w:p>
    <w:p w14:paraId="2038A03D" w14:textId="77777777" w:rsidR="008E6A56" w:rsidRPr="008A3740" w:rsidRDefault="008E6A56" w:rsidP="008E6A56">
      <w:pPr>
        <w:rPr>
          <w:rFonts w:ascii="Verdana" w:hAnsi="Verdana"/>
          <w:sz w:val="20"/>
          <w:lang w:val="en-US"/>
        </w:rPr>
      </w:pPr>
    </w:p>
    <w:p w14:paraId="376800DA" w14:textId="77777777" w:rsidR="008E6A56" w:rsidRPr="008A3740" w:rsidRDefault="008E6A56" w:rsidP="008E6A56">
      <w:pPr>
        <w:rPr>
          <w:rFonts w:ascii="Verdana" w:hAnsi="Verdana"/>
          <w:sz w:val="20"/>
          <w:lang w:val="en-US"/>
        </w:rPr>
      </w:pPr>
    </w:p>
    <w:p w14:paraId="2BF589FB" w14:textId="77777777" w:rsidR="008E6A56" w:rsidRPr="008A3740" w:rsidRDefault="008E6A56" w:rsidP="008E6A56">
      <w:pPr>
        <w:rPr>
          <w:rFonts w:ascii="Verdana" w:hAnsi="Verdana"/>
          <w:sz w:val="20"/>
          <w:lang w:val="en-US"/>
        </w:rPr>
      </w:pPr>
    </w:p>
    <w:p w14:paraId="05BB3369" w14:textId="77777777" w:rsidR="008E6A56" w:rsidRPr="008A3740" w:rsidRDefault="008E6A56" w:rsidP="008E6A56">
      <w:pPr>
        <w:rPr>
          <w:rFonts w:ascii="Verdana" w:hAnsi="Verdana"/>
          <w:sz w:val="20"/>
          <w:lang w:val="en-US"/>
        </w:rPr>
      </w:pPr>
    </w:p>
    <w:p w14:paraId="79AFF2B9" w14:textId="77777777" w:rsidR="008E6A56" w:rsidRPr="008A3740" w:rsidRDefault="008E6A56" w:rsidP="008E6A56">
      <w:pPr>
        <w:rPr>
          <w:rFonts w:ascii="Verdana" w:hAnsi="Verdana"/>
          <w:sz w:val="20"/>
          <w:lang w:val="en-US"/>
        </w:rPr>
      </w:pPr>
    </w:p>
    <w:p w14:paraId="6DFF8A28" w14:textId="77777777" w:rsidR="008E6A56" w:rsidRPr="008A3740" w:rsidRDefault="008E6A56" w:rsidP="008E6A56">
      <w:pPr>
        <w:rPr>
          <w:rFonts w:ascii="Verdana" w:hAnsi="Verdana"/>
          <w:sz w:val="20"/>
          <w:lang w:val="en-US"/>
        </w:rPr>
      </w:pPr>
      <w:r w:rsidRPr="008A3740">
        <w:rPr>
          <w:rFonts w:ascii="Verdana" w:hAnsi="Verdana"/>
          <w:sz w:val="20"/>
          <w:lang w:val="en-US"/>
        </w:rPr>
        <w:t xml:space="preserve"> Eduardo Vio Grossi</w:t>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t xml:space="preserve">       Humberto A. Sierra Porto</w:t>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p>
    <w:p w14:paraId="7F64108C" w14:textId="77777777" w:rsidR="008E6A56" w:rsidRPr="008A3740" w:rsidRDefault="008E6A56" w:rsidP="008E6A56">
      <w:pPr>
        <w:rPr>
          <w:rFonts w:ascii="Verdana" w:hAnsi="Verdana"/>
          <w:sz w:val="20"/>
          <w:lang w:val="en-US"/>
        </w:rPr>
      </w:pPr>
    </w:p>
    <w:p w14:paraId="3CDBB9FB" w14:textId="77777777" w:rsidR="008E6A56" w:rsidRPr="008A3740" w:rsidRDefault="008E6A56" w:rsidP="008E6A56">
      <w:pPr>
        <w:rPr>
          <w:rFonts w:ascii="Verdana" w:hAnsi="Verdana"/>
          <w:sz w:val="20"/>
          <w:lang w:val="en-US"/>
        </w:rPr>
      </w:pPr>
    </w:p>
    <w:p w14:paraId="547A940B" w14:textId="77777777" w:rsidR="008E6A56" w:rsidRPr="008A3740" w:rsidRDefault="008E6A56" w:rsidP="008E6A56">
      <w:pPr>
        <w:rPr>
          <w:rFonts w:ascii="Verdana" w:hAnsi="Verdana"/>
          <w:sz w:val="20"/>
          <w:lang w:val="en-US"/>
        </w:rPr>
      </w:pPr>
    </w:p>
    <w:p w14:paraId="7D8E5D3B" w14:textId="77777777" w:rsidR="008E6A56" w:rsidRPr="008A3740" w:rsidRDefault="008E6A56" w:rsidP="008E6A56">
      <w:pPr>
        <w:rPr>
          <w:rFonts w:ascii="Verdana" w:hAnsi="Verdana"/>
          <w:sz w:val="20"/>
          <w:lang w:val="en-US"/>
        </w:rPr>
      </w:pPr>
    </w:p>
    <w:p w14:paraId="599BAE92" w14:textId="77777777" w:rsidR="008E6A56" w:rsidRPr="008A3740" w:rsidRDefault="008E6A56" w:rsidP="008E6A56">
      <w:pPr>
        <w:rPr>
          <w:rFonts w:ascii="Verdana" w:hAnsi="Verdana"/>
          <w:sz w:val="20"/>
          <w:lang w:val="en-US"/>
        </w:rPr>
      </w:pPr>
    </w:p>
    <w:p w14:paraId="448506E8" w14:textId="77777777" w:rsidR="008E6A56" w:rsidRPr="008A3740" w:rsidRDefault="008E6A56" w:rsidP="008E6A56">
      <w:pPr>
        <w:rPr>
          <w:rFonts w:ascii="Verdana" w:hAnsi="Verdana"/>
          <w:sz w:val="20"/>
          <w:lang w:val="en-US"/>
        </w:rPr>
      </w:pPr>
      <w:r w:rsidRPr="008A3740">
        <w:rPr>
          <w:rFonts w:ascii="Verdana" w:hAnsi="Verdana"/>
          <w:sz w:val="20"/>
          <w:lang w:val="en-US"/>
        </w:rPr>
        <w:t>Elizabeth Odio Benito</w:t>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t xml:space="preserve">           Eugenio Raúl Zaffaroni</w:t>
      </w:r>
    </w:p>
    <w:p w14:paraId="3E66D364" w14:textId="77777777" w:rsidR="008E6A56" w:rsidRPr="008A3740" w:rsidRDefault="008E6A56" w:rsidP="008E6A56">
      <w:pPr>
        <w:rPr>
          <w:rFonts w:ascii="Verdana" w:hAnsi="Verdana"/>
          <w:sz w:val="20"/>
          <w:lang w:val="en-US"/>
        </w:rPr>
      </w:pPr>
    </w:p>
    <w:p w14:paraId="09C86665" w14:textId="77777777" w:rsidR="008E6A56" w:rsidRPr="008A3740" w:rsidRDefault="008E6A56" w:rsidP="008E6A56">
      <w:pPr>
        <w:rPr>
          <w:rFonts w:ascii="Verdana" w:hAnsi="Verdana"/>
          <w:sz w:val="20"/>
          <w:lang w:val="en-US"/>
        </w:rPr>
      </w:pPr>
    </w:p>
    <w:p w14:paraId="680CD39B" w14:textId="77777777" w:rsidR="008E6A56" w:rsidRPr="008A3740" w:rsidRDefault="008E6A56" w:rsidP="008E6A56">
      <w:pPr>
        <w:rPr>
          <w:rFonts w:ascii="Verdana" w:hAnsi="Verdana"/>
          <w:sz w:val="20"/>
          <w:lang w:val="en-US"/>
        </w:rPr>
      </w:pPr>
    </w:p>
    <w:p w14:paraId="4F1ED3E0" w14:textId="77777777" w:rsidR="008E6A56" w:rsidRPr="008A3740" w:rsidRDefault="008E6A56" w:rsidP="008E6A56">
      <w:pPr>
        <w:rPr>
          <w:rFonts w:ascii="Verdana" w:hAnsi="Verdana"/>
          <w:sz w:val="20"/>
          <w:lang w:val="en-US"/>
        </w:rPr>
      </w:pPr>
    </w:p>
    <w:p w14:paraId="6CB307CC" w14:textId="77777777" w:rsidR="008E6A56" w:rsidRPr="008A3740" w:rsidRDefault="008E6A56" w:rsidP="008E6A56">
      <w:pPr>
        <w:rPr>
          <w:rFonts w:ascii="Verdana" w:hAnsi="Verdana"/>
          <w:sz w:val="20"/>
          <w:lang w:val="en-US"/>
        </w:rPr>
      </w:pPr>
    </w:p>
    <w:p w14:paraId="2B3F0BA1" w14:textId="77777777" w:rsidR="008E6A56" w:rsidRPr="008A3740" w:rsidRDefault="008E6A56" w:rsidP="008E6A56">
      <w:pPr>
        <w:jc w:val="center"/>
        <w:rPr>
          <w:rFonts w:ascii="Verdana" w:hAnsi="Verdana"/>
          <w:sz w:val="20"/>
          <w:lang w:val="en-US"/>
        </w:rPr>
      </w:pPr>
      <w:r w:rsidRPr="008A3740">
        <w:rPr>
          <w:rFonts w:ascii="Verdana" w:hAnsi="Verdana"/>
          <w:sz w:val="20"/>
          <w:lang w:val="en-US"/>
        </w:rPr>
        <w:t>L. Patricio Pazmiño Freire</w:t>
      </w:r>
    </w:p>
    <w:p w14:paraId="2CADF655" w14:textId="77777777" w:rsidR="008E6A56" w:rsidRPr="008A3740" w:rsidRDefault="008E6A56" w:rsidP="008E6A56">
      <w:pPr>
        <w:rPr>
          <w:rFonts w:ascii="Verdana" w:hAnsi="Verdana"/>
          <w:sz w:val="20"/>
          <w:lang w:val="en-US"/>
        </w:rPr>
      </w:pP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r>
      <w:r w:rsidRPr="008A3740">
        <w:rPr>
          <w:rFonts w:ascii="Verdana" w:hAnsi="Verdana"/>
          <w:sz w:val="20"/>
          <w:lang w:val="en-US"/>
        </w:rPr>
        <w:tab/>
        <w:t xml:space="preserve">        </w:t>
      </w:r>
    </w:p>
    <w:p w14:paraId="28CFE25D" w14:textId="77777777" w:rsidR="008E6A56" w:rsidRPr="008A3740" w:rsidRDefault="008E6A56" w:rsidP="008E6A56">
      <w:pPr>
        <w:rPr>
          <w:rFonts w:ascii="Verdana" w:hAnsi="Verdana"/>
          <w:sz w:val="20"/>
          <w:lang w:val="en-US"/>
        </w:rPr>
      </w:pPr>
    </w:p>
    <w:p w14:paraId="4A2BC833" w14:textId="77777777" w:rsidR="008E6A56" w:rsidRPr="008A3740" w:rsidRDefault="008E6A56" w:rsidP="008E6A56">
      <w:pPr>
        <w:rPr>
          <w:rFonts w:ascii="Verdana" w:hAnsi="Verdana"/>
          <w:sz w:val="20"/>
          <w:lang w:val="en-US"/>
        </w:rPr>
      </w:pPr>
    </w:p>
    <w:p w14:paraId="0CAC3222" w14:textId="77777777" w:rsidR="008E6A56" w:rsidRPr="008A3740" w:rsidRDefault="008E6A56" w:rsidP="008E6A56">
      <w:pPr>
        <w:rPr>
          <w:rFonts w:ascii="Verdana" w:hAnsi="Verdana"/>
          <w:sz w:val="20"/>
          <w:lang w:val="en-US"/>
        </w:rPr>
      </w:pPr>
    </w:p>
    <w:p w14:paraId="450C0184" w14:textId="77777777" w:rsidR="008E6A56" w:rsidRPr="008A3740" w:rsidRDefault="008E6A56" w:rsidP="008E6A56">
      <w:pPr>
        <w:rPr>
          <w:rFonts w:ascii="Verdana" w:hAnsi="Verdana"/>
          <w:sz w:val="20"/>
          <w:lang w:val="en-US"/>
        </w:rPr>
      </w:pPr>
    </w:p>
    <w:p w14:paraId="78A30382" w14:textId="77777777" w:rsidR="008E6A56" w:rsidRPr="008A3740" w:rsidRDefault="008E6A56" w:rsidP="008E6A56">
      <w:pPr>
        <w:jc w:val="center"/>
        <w:rPr>
          <w:rFonts w:ascii="Verdana" w:hAnsi="Verdana"/>
          <w:sz w:val="20"/>
          <w:lang w:val="en-US"/>
        </w:rPr>
      </w:pPr>
    </w:p>
    <w:p w14:paraId="20CA9B46" w14:textId="77777777" w:rsidR="008E6A56" w:rsidRPr="008A3740" w:rsidRDefault="008E6A56" w:rsidP="008E6A56">
      <w:pPr>
        <w:jc w:val="center"/>
        <w:rPr>
          <w:rFonts w:ascii="Verdana" w:hAnsi="Verdana"/>
          <w:sz w:val="20"/>
          <w:lang w:val="en-US"/>
        </w:rPr>
      </w:pPr>
      <w:r w:rsidRPr="008A3740">
        <w:rPr>
          <w:rFonts w:ascii="Verdana" w:hAnsi="Verdana"/>
          <w:sz w:val="20"/>
          <w:lang w:val="en-US"/>
        </w:rPr>
        <w:t>Pablo Saavedra Alessandri</w:t>
      </w:r>
    </w:p>
    <w:p w14:paraId="17B38873" w14:textId="77777777" w:rsidR="008E6A56" w:rsidRPr="008A3740" w:rsidRDefault="008E6A56" w:rsidP="008E6A56">
      <w:pPr>
        <w:jc w:val="center"/>
        <w:rPr>
          <w:rFonts w:ascii="Verdana" w:hAnsi="Verdana"/>
          <w:sz w:val="20"/>
          <w:lang w:val="en-US"/>
        </w:rPr>
      </w:pPr>
      <w:r w:rsidRPr="008A3740">
        <w:rPr>
          <w:rFonts w:ascii="Verdana" w:hAnsi="Verdana"/>
          <w:sz w:val="20"/>
          <w:lang w:val="en-US"/>
        </w:rPr>
        <w:t>Secretary</w:t>
      </w:r>
    </w:p>
    <w:p w14:paraId="5D866A35" w14:textId="77777777" w:rsidR="008E6A56" w:rsidRPr="008A3740" w:rsidRDefault="008E6A56" w:rsidP="008E6A56">
      <w:pPr>
        <w:rPr>
          <w:rFonts w:ascii="Verdana" w:hAnsi="Verdana"/>
          <w:sz w:val="20"/>
          <w:lang w:val="en-US"/>
        </w:rPr>
      </w:pPr>
    </w:p>
    <w:p w14:paraId="08A56992" w14:textId="77777777" w:rsidR="008E6A56" w:rsidRPr="008A3740" w:rsidRDefault="008E6A56" w:rsidP="008E6A56">
      <w:pPr>
        <w:rPr>
          <w:rFonts w:ascii="Verdana" w:hAnsi="Verdana"/>
          <w:sz w:val="20"/>
          <w:lang w:val="en-US"/>
        </w:rPr>
      </w:pPr>
    </w:p>
    <w:p w14:paraId="4CCFB23F" w14:textId="77777777" w:rsidR="008E6A56" w:rsidRPr="008A3740" w:rsidRDefault="008E6A56" w:rsidP="00CD2B15">
      <w:pPr>
        <w:pStyle w:val="Textonotapie"/>
      </w:pPr>
    </w:p>
    <w:p w14:paraId="56F5FB2B" w14:textId="77777777" w:rsidR="008E6A56" w:rsidRPr="008A3740" w:rsidRDefault="008E6A56" w:rsidP="008E6A56">
      <w:pPr>
        <w:rPr>
          <w:rFonts w:ascii="Verdana" w:hAnsi="Verdana"/>
          <w:sz w:val="20"/>
          <w:lang w:val="en-US"/>
        </w:rPr>
      </w:pPr>
      <w:r w:rsidRPr="008A3740">
        <w:rPr>
          <w:rFonts w:ascii="Verdana" w:hAnsi="Verdana"/>
          <w:sz w:val="20"/>
          <w:lang w:val="en-US"/>
        </w:rPr>
        <w:t>So ordered,</w:t>
      </w:r>
    </w:p>
    <w:p w14:paraId="35B18A1F" w14:textId="77777777" w:rsidR="008E6A56" w:rsidRPr="008A3740" w:rsidRDefault="008E6A56" w:rsidP="008E6A56">
      <w:pPr>
        <w:rPr>
          <w:rFonts w:ascii="Verdana" w:hAnsi="Verdana"/>
          <w:sz w:val="20"/>
          <w:lang w:val="en-US"/>
        </w:rPr>
      </w:pPr>
    </w:p>
    <w:p w14:paraId="770C9782" w14:textId="77777777" w:rsidR="008E6A56" w:rsidRPr="008A3740" w:rsidRDefault="008E6A56" w:rsidP="008E6A56">
      <w:pPr>
        <w:rPr>
          <w:rFonts w:ascii="Verdana" w:hAnsi="Verdana"/>
          <w:sz w:val="20"/>
          <w:lang w:val="en-US"/>
        </w:rPr>
      </w:pPr>
    </w:p>
    <w:p w14:paraId="391D44AC" w14:textId="77777777" w:rsidR="008E6A56" w:rsidRPr="008A3740" w:rsidRDefault="008E6A56" w:rsidP="008E6A56">
      <w:pPr>
        <w:rPr>
          <w:rFonts w:ascii="Verdana" w:hAnsi="Verdana"/>
          <w:sz w:val="20"/>
          <w:lang w:val="en-US"/>
        </w:rPr>
      </w:pPr>
    </w:p>
    <w:p w14:paraId="32E04A6F" w14:textId="77777777" w:rsidR="008E6A56" w:rsidRPr="008A3740" w:rsidRDefault="008E6A56" w:rsidP="008E6A56">
      <w:pPr>
        <w:ind w:left="4956"/>
        <w:jc w:val="center"/>
        <w:rPr>
          <w:rFonts w:ascii="Verdana" w:hAnsi="Verdana"/>
          <w:sz w:val="20"/>
          <w:lang w:val="en-US"/>
        </w:rPr>
      </w:pPr>
      <w:r w:rsidRPr="008A3740">
        <w:rPr>
          <w:rFonts w:ascii="Verdana" w:hAnsi="Verdana"/>
          <w:sz w:val="20"/>
          <w:lang w:val="en-US"/>
        </w:rPr>
        <w:t xml:space="preserve">Eduardo Ferrer Mac-Gregor Poisot </w:t>
      </w:r>
    </w:p>
    <w:p w14:paraId="619456E5" w14:textId="77777777" w:rsidR="008E6A56" w:rsidRPr="008A3740" w:rsidRDefault="008E6A56" w:rsidP="008E6A56">
      <w:pPr>
        <w:ind w:left="4956"/>
        <w:jc w:val="center"/>
        <w:rPr>
          <w:rFonts w:ascii="Verdana" w:hAnsi="Verdana"/>
          <w:sz w:val="20"/>
          <w:lang w:val="en-US"/>
        </w:rPr>
      </w:pPr>
      <w:r w:rsidRPr="008A3740">
        <w:rPr>
          <w:rFonts w:ascii="Verdana" w:hAnsi="Verdana"/>
          <w:sz w:val="20"/>
          <w:lang w:val="en-US"/>
        </w:rPr>
        <w:t>President</w:t>
      </w:r>
    </w:p>
    <w:p w14:paraId="12D66F7A" w14:textId="77777777" w:rsidR="008E6A56" w:rsidRPr="008A3740" w:rsidRDefault="008E6A56" w:rsidP="008E6A56">
      <w:pPr>
        <w:ind w:left="4956"/>
        <w:jc w:val="center"/>
        <w:rPr>
          <w:rFonts w:ascii="Verdana" w:hAnsi="Verdana"/>
          <w:sz w:val="20"/>
          <w:lang w:val="en-US"/>
        </w:rPr>
      </w:pPr>
    </w:p>
    <w:p w14:paraId="477F5E75" w14:textId="77777777" w:rsidR="008E6A56" w:rsidRPr="008A3740" w:rsidRDefault="008E6A56" w:rsidP="008E6A56">
      <w:pPr>
        <w:rPr>
          <w:rFonts w:ascii="Verdana" w:hAnsi="Verdana"/>
          <w:sz w:val="20"/>
          <w:lang w:val="en-US"/>
        </w:rPr>
      </w:pPr>
    </w:p>
    <w:p w14:paraId="7C577EC0" w14:textId="77777777" w:rsidR="008E6A56" w:rsidRPr="008A3740" w:rsidRDefault="008E6A56" w:rsidP="008E6A56">
      <w:pPr>
        <w:rPr>
          <w:rFonts w:ascii="Verdana" w:hAnsi="Verdana"/>
          <w:sz w:val="20"/>
          <w:lang w:val="en-US"/>
        </w:rPr>
      </w:pPr>
      <w:r w:rsidRPr="008A3740">
        <w:rPr>
          <w:rFonts w:ascii="Verdana" w:hAnsi="Verdana"/>
          <w:sz w:val="20"/>
          <w:lang w:val="en-US"/>
        </w:rPr>
        <w:t>Pablo Saavedra Alessandri</w:t>
      </w:r>
    </w:p>
    <w:p w14:paraId="4960B0BC" w14:textId="77777777" w:rsidR="000C43D3" w:rsidRDefault="008E6A56" w:rsidP="008E6A56">
      <w:pPr>
        <w:rPr>
          <w:rFonts w:ascii="Verdana" w:hAnsi="Verdana"/>
          <w:sz w:val="20"/>
          <w:lang w:val="en-US"/>
        </w:rPr>
        <w:sectPr w:rsidR="000C43D3" w:rsidSect="00B44D4F">
          <w:headerReference w:type="default" r:id="rId7"/>
          <w:footerReference w:type="even" r:id="rId8"/>
          <w:footerReference w:type="default" r:id="rId9"/>
          <w:footerReference w:type="first" r:id="rId10"/>
          <w:footnotePr>
            <w:numRestart w:val="eachSect"/>
          </w:footnotePr>
          <w:pgSz w:w="12240" w:h="15840" w:code="1"/>
          <w:pgMar w:top="1440" w:right="1080" w:bottom="1440" w:left="1080" w:header="709" w:footer="709" w:gutter="0"/>
          <w:pgNumType w:start="1"/>
          <w:cols w:space="708"/>
          <w:titlePg/>
          <w:docGrid w:linePitch="360"/>
        </w:sectPr>
      </w:pPr>
      <w:r w:rsidRPr="008A3740">
        <w:rPr>
          <w:rFonts w:ascii="Verdana" w:hAnsi="Verdana"/>
          <w:sz w:val="20"/>
          <w:lang w:val="en-US"/>
        </w:rPr>
        <w:tab/>
        <w:t>Secretary</w:t>
      </w:r>
    </w:p>
    <w:p w14:paraId="31161CE1" w14:textId="77777777" w:rsidR="00CD2B15" w:rsidRPr="00F91FF8" w:rsidRDefault="00CD2B15" w:rsidP="00CD2B15">
      <w:pPr>
        <w:ind w:left="708" w:hanging="708"/>
        <w:rPr>
          <w:rFonts w:ascii="Verdana" w:hAnsi="Verdana"/>
          <w:b/>
          <w:sz w:val="20"/>
          <w:szCs w:val="20"/>
          <w:lang w:val="en-US"/>
        </w:rPr>
      </w:pPr>
    </w:p>
    <w:p w14:paraId="385E9E68" w14:textId="77777777" w:rsidR="00CD2B15" w:rsidRPr="00F91FF8" w:rsidRDefault="00CD2B15" w:rsidP="00CD2B15">
      <w:pPr>
        <w:jc w:val="center"/>
        <w:rPr>
          <w:rFonts w:ascii="Verdana" w:hAnsi="Verdana"/>
          <w:b/>
          <w:sz w:val="20"/>
          <w:szCs w:val="20"/>
          <w:lang w:val="en-US"/>
        </w:rPr>
      </w:pPr>
    </w:p>
    <w:p w14:paraId="20EFDE3D" w14:textId="77777777" w:rsidR="00CD2B15" w:rsidRPr="00F91FF8" w:rsidRDefault="00CD2B15" w:rsidP="00CD2B15">
      <w:pPr>
        <w:rPr>
          <w:rFonts w:ascii="Verdana" w:hAnsi="Verdana"/>
          <w:b/>
          <w:sz w:val="20"/>
          <w:szCs w:val="20"/>
          <w:lang w:val="en-US"/>
        </w:rPr>
      </w:pPr>
    </w:p>
    <w:p w14:paraId="2D2D9790" w14:textId="77777777" w:rsidR="00CD2B15" w:rsidRPr="00F91FF8" w:rsidRDefault="00CD2B15" w:rsidP="00CD2B15">
      <w:pPr>
        <w:jc w:val="center"/>
        <w:rPr>
          <w:rFonts w:ascii="Verdana" w:hAnsi="Verdana"/>
          <w:b/>
          <w:sz w:val="20"/>
          <w:szCs w:val="20"/>
          <w:lang w:val="en-US"/>
        </w:rPr>
      </w:pPr>
    </w:p>
    <w:p w14:paraId="491C3B24" w14:textId="77777777" w:rsidR="00CD2B15" w:rsidRPr="0056383C" w:rsidRDefault="00CD2B15" w:rsidP="00CD2B15">
      <w:pPr>
        <w:jc w:val="center"/>
        <w:rPr>
          <w:rFonts w:ascii="Verdana" w:hAnsi="Verdana"/>
          <w:b/>
          <w:sz w:val="20"/>
          <w:szCs w:val="20"/>
          <w:lang w:val="en-US"/>
        </w:rPr>
      </w:pPr>
      <w:r w:rsidRPr="0056383C">
        <w:rPr>
          <w:rFonts w:ascii="Verdana" w:hAnsi="Verdana"/>
          <w:b/>
          <w:sz w:val="20"/>
          <w:szCs w:val="20"/>
          <w:lang w:val="en-US"/>
        </w:rPr>
        <w:t>SEPARATE OPINION OF</w:t>
      </w:r>
    </w:p>
    <w:p w14:paraId="5B15A706" w14:textId="77777777" w:rsidR="00CD2B15" w:rsidRPr="0056383C" w:rsidRDefault="00CD2B15" w:rsidP="00CD2B15">
      <w:pPr>
        <w:jc w:val="center"/>
        <w:rPr>
          <w:rFonts w:ascii="Verdana" w:hAnsi="Verdana"/>
          <w:b/>
          <w:sz w:val="20"/>
          <w:szCs w:val="20"/>
          <w:lang w:val="en-US"/>
        </w:rPr>
      </w:pPr>
      <w:r w:rsidRPr="0056383C">
        <w:rPr>
          <w:rFonts w:ascii="Verdana" w:hAnsi="Verdana"/>
          <w:b/>
          <w:sz w:val="20"/>
          <w:szCs w:val="20"/>
          <w:lang w:val="en-US"/>
        </w:rPr>
        <w:t xml:space="preserve">JUDGE EDUARDO FERRER MAC-GREGOR POISOT </w:t>
      </w:r>
    </w:p>
    <w:p w14:paraId="68B56DF0" w14:textId="77777777" w:rsidR="00CD2B15" w:rsidRPr="0056383C" w:rsidRDefault="00CD2B15" w:rsidP="00CD2B15">
      <w:pPr>
        <w:jc w:val="center"/>
        <w:rPr>
          <w:rFonts w:ascii="Verdana" w:hAnsi="Verdana"/>
          <w:b/>
          <w:sz w:val="20"/>
          <w:szCs w:val="20"/>
          <w:lang w:val="en-US"/>
        </w:rPr>
      </w:pPr>
    </w:p>
    <w:p w14:paraId="13478B73" w14:textId="77777777" w:rsidR="00CD2B15" w:rsidRPr="0056383C" w:rsidRDefault="00CD2B15" w:rsidP="00CD2B15">
      <w:pPr>
        <w:tabs>
          <w:tab w:val="left" w:pos="851"/>
          <w:tab w:val="left" w:pos="1701"/>
          <w:tab w:val="left" w:pos="3544"/>
          <w:tab w:val="left" w:pos="3696"/>
        </w:tabs>
        <w:jc w:val="center"/>
        <w:rPr>
          <w:rFonts w:ascii="Verdana" w:hAnsi="Verdana"/>
          <w:b/>
          <w:i/>
          <w:sz w:val="20"/>
          <w:szCs w:val="20"/>
          <w:u w:val="single"/>
          <w:lang w:val="en-US"/>
        </w:rPr>
      </w:pPr>
      <w:r w:rsidRPr="0056383C">
        <w:rPr>
          <w:rFonts w:ascii="Verdana" w:hAnsi="Verdana"/>
          <w:b/>
          <w:i/>
          <w:sz w:val="20"/>
          <w:szCs w:val="20"/>
          <w:u w:val="single"/>
          <w:lang w:val="en-US"/>
        </w:rPr>
        <w:t>CASE OF MUELLE FLORES V. PERU</w:t>
      </w:r>
    </w:p>
    <w:p w14:paraId="3ABD6689" w14:textId="77777777" w:rsidR="00CD2B15" w:rsidRPr="0056383C" w:rsidRDefault="00CD2B15" w:rsidP="00CD2B15">
      <w:pPr>
        <w:jc w:val="center"/>
        <w:rPr>
          <w:rFonts w:ascii="Verdana" w:hAnsi="Verdana"/>
          <w:b/>
          <w:sz w:val="20"/>
          <w:szCs w:val="20"/>
          <w:lang w:val="en-US"/>
        </w:rPr>
      </w:pPr>
    </w:p>
    <w:p w14:paraId="0F13729C" w14:textId="77777777" w:rsidR="00CD2B15" w:rsidRPr="0056383C" w:rsidRDefault="00CD2B15" w:rsidP="00CD2B15">
      <w:pPr>
        <w:jc w:val="center"/>
        <w:rPr>
          <w:rFonts w:ascii="Verdana" w:hAnsi="Verdana"/>
          <w:b/>
          <w:sz w:val="20"/>
          <w:szCs w:val="20"/>
          <w:lang w:val="en-US"/>
        </w:rPr>
      </w:pPr>
      <w:r w:rsidRPr="0056383C">
        <w:rPr>
          <w:rFonts w:ascii="Verdana" w:hAnsi="Verdana"/>
          <w:b/>
          <w:sz w:val="20"/>
          <w:szCs w:val="20"/>
          <w:lang w:val="en-US"/>
        </w:rPr>
        <w:t>JUDGMENT OF MARCH 6, 2019</w:t>
      </w:r>
    </w:p>
    <w:p w14:paraId="7820802B" w14:textId="77777777" w:rsidR="00CD2B15" w:rsidRPr="0056383C" w:rsidRDefault="00CD2B15" w:rsidP="00CD2B15">
      <w:pPr>
        <w:jc w:val="center"/>
        <w:rPr>
          <w:rFonts w:ascii="Verdana" w:hAnsi="Verdana"/>
          <w:b/>
          <w:i/>
          <w:sz w:val="20"/>
          <w:szCs w:val="20"/>
          <w:lang w:val="en-US"/>
        </w:rPr>
      </w:pPr>
      <w:r w:rsidRPr="0056383C">
        <w:rPr>
          <w:rFonts w:ascii="Verdana" w:hAnsi="Verdana"/>
          <w:b/>
          <w:i/>
          <w:sz w:val="20"/>
          <w:szCs w:val="20"/>
          <w:lang w:val="en-US"/>
        </w:rPr>
        <w:t>(Preliminary objections, merits, reparations and costs)</w:t>
      </w:r>
    </w:p>
    <w:p w14:paraId="11E1E5FD" w14:textId="77777777" w:rsidR="00CD2B15" w:rsidRPr="0056383C" w:rsidRDefault="00CD2B15" w:rsidP="00CD2B15">
      <w:pPr>
        <w:rPr>
          <w:rFonts w:ascii="Verdana" w:hAnsi="Verdana"/>
          <w:sz w:val="20"/>
          <w:szCs w:val="20"/>
          <w:lang w:val="en-US"/>
        </w:rPr>
      </w:pPr>
    </w:p>
    <w:p w14:paraId="2240D1D6" w14:textId="77777777" w:rsidR="00CD2B15" w:rsidRPr="0056383C" w:rsidRDefault="00CD2B15" w:rsidP="00CD2B15">
      <w:pPr>
        <w:pStyle w:val="Ttulo1"/>
        <w:rPr>
          <w:lang w:val="en-US"/>
        </w:rPr>
      </w:pPr>
    </w:p>
    <w:p w14:paraId="2BBEB7B0" w14:textId="77777777" w:rsidR="00CD2B15" w:rsidRPr="0056383C" w:rsidRDefault="00CD2B15" w:rsidP="00CD2B15">
      <w:pPr>
        <w:pStyle w:val="Ttulo1"/>
        <w:spacing w:line="360" w:lineRule="auto"/>
        <w:rPr>
          <w:b w:val="0"/>
          <w:lang w:val="en-US"/>
        </w:rPr>
      </w:pPr>
      <w:r w:rsidRPr="0056383C">
        <w:rPr>
          <w:b w:val="0"/>
          <w:lang w:val="en-US"/>
        </w:rPr>
        <w:t xml:space="preserve">INTRODUCTION: </w:t>
      </w:r>
    </w:p>
    <w:p w14:paraId="4E99B693" w14:textId="77777777" w:rsidR="00CD2B15" w:rsidRPr="0056383C" w:rsidRDefault="00CD2B15" w:rsidP="00CD2B15">
      <w:pPr>
        <w:pStyle w:val="Ttulo1"/>
        <w:spacing w:line="360" w:lineRule="auto"/>
        <w:rPr>
          <w:b w:val="0"/>
          <w:i/>
          <w:lang w:val="en-US"/>
        </w:rPr>
      </w:pPr>
      <w:r w:rsidRPr="0056383C">
        <w:rPr>
          <w:b w:val="0"/>
          <w:i/>
          <w:lang w:val="en-US"/>
        </w:rPr>
        <w:t xml:space="preserve">THE RIGHT TO SOCIAL SECURITY AS AN AUTONOMOUS AND JUSTICIABLE RIGHT </w:t>
      </w:r>
    </w:p>
    <w:p w14:paraId="79FE04DC" w14:textId="77777777" w:rsidR="00CD2B15" w:rsidRPr="0056383C" w:rsidRDefault="00CD2B15" w:rsidP="00CD2B15">
      <w:pPr>
        <w:pStyle w:val="Ttulo1"/>
        <w:rPr>
          <w:b w:val="0"/>
          <w:i/>
          <w:lang w:val="en-US"/>
        </w:rPr>
      </w:pPr>
      <w:r w:rsidRPr="0056383C">
        <w:rPr>
          <w:b w:val="0"/>
          <w:i/>
          <w:lang w:val="en-US"/>
        </w:rPr>
        <w:t>(ITS SPECIAL IMPACT ON THE OLDER PERSON)</w:t>
      </w:r>
    </w:p>
    <w:p w14:paraId="210D5580" w14:textId="77777777" w:rsidR="00CD2B15" w:rsidRPr="0056383C" w:rsidRDefault="00CD2B15" w:rsidP="00CD2B15">
      <w:pPr>
        <w:rPr>
          <w:rFonts w:ascii="Verdana" w:hAnsi="Verdana"/>
          <w:sz w:val="20"/>
          <w:szCs w:val="20"/>
          <w:lang w:val="en-US"/>
        </w:rPr>
      </w:pPr>
    </w:p>
    <w:p w14:paraId="1795C06E"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 xml:space="preserve">The judgment in the case of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 v. Peru </w:t>
      </w:r>
      <w:r w:rsidRPr="0056383C">
        <w:rPr>
          <w:rFonts w:ascii="Verdana" w:hAnsi="Verdana"/>
          <w:sz w:val="20"/>
          <w:szCs w:val="20"/>
          <w:lang w:val="en-US"/>
        </w:rPr>
        <w:t>(hereinafter “the judgment” or “</w:t>
      </w:r>
      <w:proofErr w:type="spellStart"/>
      <w:r w:rsidRPr="0056383C">
        <w:rPr>
          <w:rFonts w:ascii="Verdana" w:hAnsi="Verdana"/>
          <w:sz w:val="20"/>
          <w:szCs w:val="20"/>
          <w:lang w:val="en-US"/>
        </w:rPr>
        <w:t>Muelle</w:t>
      </w:r>
      <w:proofErr w:type="spellEnd"/>
      <w:r w:rsidRPr="0056383C">
        <w:rPr>
          <w:rFonts w:ascii="Verdana" w:hAnsi="Verdana"/>
          <w:sz w:val="20"/>
          <w:szCs w:val="20"/>
          <w:lang w:val="en-US"/>
        </w:rPr>
        <w:t xml:space="preserve"> Flores”)</w:t>
      </w:r>
      <w:r w:rsidRPr="0056383C">
        <w:rPr>
          <w:rStyle w:val="Refdenotaalpie"/>
          <w:szCs w:val="20"/>
          <w:lang w:val="en-US"/>
        </w:rPr>
        <w:footnoteReference w:id="252"/>
      </w:r>
      <w:r w:rsidRPr="0056383C">
        <w:rPr>
          <w:rFonts w:ascii="Verdana" w:hAnsi="Verdana"/>
          <w:sz w:val="20"/>
          <w:szCs w:val="20"/>
          <w:lang w:val="en-US"/>
        </w:rPr>
        <w:t xml:space="preserve"> contributes to the inter-American line of case law on the economic, social, cultural and environmental rights (hereinafter “the ESCER” or “the social rights”). The judgment </w:t>
      </w:r>
      <w:r w:rsidRPr="0056383C">
        <w:rPr>
          <w:rFonts w:ascii="Verdana" w:hAnsi="Verdana"/>
          <w:spacing w:val="-4"/>
          <w:sz w:val="20"/>
          <w:szCs w:val="20"/>
          <w:lang w:val="en-US"/>
        </w:rPr>
        <w:t>reaffirms the competence of the Inter-American Court of Human Rights</w:t>
      </w:r>
      <w:r w:rsidRPr="0056383C">
        <w:rPr>
          <w:rFonts w:ascii="Verdana" w:hAnsi="Verdana"/>
          <w:sz w:val="20"/>
          <w:szCs w:val="20"/>
          <w:lang w:val="en-US"/>
        </w:rPr>
        <w:t xml:space="preserve"> (hereinafter “the Court” or “the Inter-American Court”) to analyze autonomous violations </w:t>
      </w:r>
      <w:r w:rsidRPr="0056383C">
        <w:rPr>
          <w:rFonts w:ascii="Verdana" w:hAnsi="Verdana" w:cs="Verdana"/>
          <w:sz w:val="20"/>
          <w:szCs w:val="20"/>
          <w:lang w:val="en-US"/>
        </w:rPr>
        <w:t>of Article 26 of the American Convention on Human Rights (hereinafter “the American Convention” or “the Pact of San José”).</w:t>
      </w:r>
      <w:r w:rsidRPr="0056383C">
        <w:rPr>
          <w:rStyle w:val="Refdenotaalpie"/>
          <w:szCs w:val="20"/>
          <w:lang w:val="en-US"/>
        </w:rPr>
        <w:footnoteReference w:id="253"/>
      </w:r>
    </w:p>
    <w:p w14:paraId="670406E3" w14:textId="77777777" w:rsidR="00CD2B15" w:rsidRPr="0056383C" w:rsidRDefault="00CD2B15" w:rsidP="00CD2B15">
      <w:pPr>
        <w:pStyle w:val="Prrafodelista"/>
        <w:ind w:left="0"/>
        <w:rPr>
          <w:rFonts w:ascii="Verdana" w:hAnsi="Verdana"/>
          <w:b/>
          <w:sz w:val="20"/>
          <w:szCs w:val="20"/>
          <w:lang w:val="en-US"/>
        </w:rPr>
      </w:pPr>
    </w:p>
    <w:p w14:paraId="208924E2"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 xml:space="preserve">The case of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marks an important precedent for the inter-American system. For the first time, the Inter-American Court directly addresses the </w:t>
      </w:r>
      <w:r w:rsidRPr="0056383C">
        <w:rPr>
          <w:rFonts w:ascii="Verdana" w:hAnsi="Verdana"/>
          <w:i/>
          <w:iCs/>
          <w:sz w:val="20"/>
          <w:szCs w:val="20"/>
          <w:lang w:val="en-US"/>
        </w:rPr>
        <w:t>right to social security</w:t>
      </w:r>
      <w:r w:rsidRPr="0056383C">
        <w:rPr>
          <w:rFonts w:ascii="Verdana" w:hAnsi="Verdana"/>
          <w:sz w:val="20"/>
          <w:szCs w:val="20"/>
          <w:lang w:val="en-US"/>
        </w:rPr>
        <w:t xml:space="preserve"> as an autonomous and justiciable right under Article 26 of the American Convention, declaring that this right has been violated and establishing relevant standards based on the fact that the </w:t>
      </w:r>
      <w:r w:rsidRPr="0056383C">
        <w:rPr>
          <w:rFonts w:ascii="Verdana" w:hAnsi="Verdana"/>
          <w:i/>
          <w:iCs/>
          <w:sz w:val="20"/>
          <w:szCs w:val="20"/>
          <w:lang w:val="en-US"/>
        </w:rPr>
        <w:t>victim is an individual who is in a situation requiring special protection because he is an older person with a disability</w:t>
      </w:r>
      <w:r w:rsidRPr="0056383C">
        <w:rPr>
          <w:rFonts w:ascii="Verdana" w:hAnsi="Verdana"/>
          <w:sz w:val="20"/>
          <w:szCs w:val="20"/>
          <w:lang w:val="en-US"/>
        </w:rPr>
        <w:t>.</w:t>
      </w:r>
      <w:r w:rsidRPr="0056383C">
        <w:rPr>
          <w:rStyle w:val="Refdenotaalpie"/>
          <w:szCs w:val="20"/>
          <w:lang w:val="en-US"/>
        </w:rPr>
        <w:footnoteReference w:id="254"/>
      </w:r>
    </w:p>
    <w:p w14:paraId="4858B397" w14:textId="77777777" w:rsidR="00CD2B15" w:rsidRPr="0056383C" w:rsidRDefault="00CD2B15" w:rsidP="00CD2B15">
      <w:pPr>
        <w:pStyle w:val="Prrafodelista"/>
        <w:ind w:left="0"/>
        <w:rPr>
          <w:rFonts w:ascii="Verdana" w:hAnsi="Verdana"/>
          <w:b/>
          <w:sz w:val="20"/>
          <w:szCs w:val="20"/>
          <w:lang w:val="en-US"/>
        </w:rPr>
      </w:pPr>
    </w:p>
    <w:p w14:paraId="0DEE7842"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lastRenderedPageBreak/>
        <w:t>The judgment reiterates that Article 26 of the American Convention protects the rights implicit in the economic, social, educational, scientific and cultural standards set forth in the Charter of the Organization of American States (hereinafter “the OAS Charter”). In this case, the Inter-American Court identified various provisions of the OAS Charter</w:t>
      </w:r>
      <w:r w:rsidRPr="0056383C">
        <w:rPr>
          <w:rStyle w:val="Refdenotaalpie"/>
          <w:szCs w:val="20"/>
          <w:lang w:val="en-US"/>
        </w:rPr>
        <w:footnoteReference w:id="255"/>
      </w:r>
      <w:r w:rsidRPr="0056383C">
        <w:rPr>
          <w:rFonts w:ascii="Verdana" w:hAnsi="Verdana"/>
          <w:sz w:val="20"/>
          <w:szCs w:val="20"/>
          <w:lang w:val="en-US"/>
        </w:rPr>
        <w:t xml:space="preserve"> from which it is possible to derive the right to social security. It considered that the right to social security is referred to with a sufficient degree of specificity in the OAS Charter to establish its existence and implicit recognition. In particular, from the different references it can be noted that the purpose of the right to social security is “to ensure life, health and a decent standard of living” to everyone in their old age, or in the case of events that deprive them of the possibility of working; that is, in relation to future events that could affect their quality of life. On this basis, the judgment concluded that</w:t>
      </w:r>
      <w:r w:rsidRPr="0056383C">
        <w:rPr>
          <w:rFonts w:ascii="Verdana" w:hAnsi="Verdana"/>
          <w:b/>
          <w:sz w:val="20"/>
          <w:szCs w:val="20"/>
          <w:lang w:val="en-US"/>
        </w:rPr>
        <w:t xml:space="preserve"> </w:t>
      </w:r>
      <w:r w:rsidRPr="0056383C">
        <w:rPr>
          <w:rFonts w:ascii="Verdana" w:hAnsi="Verdana"/>
          <w:sz w:val="20"/>
          <w:szCs w:val="20"/>
          <w:lang w:val="en-US"/>
        </w:rPr>
        <w:t>the right to social security was a right protected by Article 26 of the American Convention.</w:t>
      </w:r>
      <w:r w:rsidRPr="0056383C">
        <w:rPr>
          <w:rStyle w:val="Refdenotaalpie"/>
          <w:szCs w:val="20"/>
          <w:lang w:val="en-US"/>
        </w:rPr>
        <w:footnoteReference w:id="256"/>
      </w:r>
      <w:r w:rsidRPr="0056383C">
        <w:rPr>
          <w:rFonts w:ascii="Verdana" w:hAnsi="Verdana"/>
          <w:sz w:val="20"/>
          <w:szCs w:val="20"/>
          <w:lang w:val="en-US"/>
        </w:rPr>
        <w:t xml:space="preserve"> </w:t>
      </w:r>
    </w:p>
    <w:p w14:paraId="10882BA2" w14:textId="77777777" w:rsidR="00CD2B15" w:rsidRPr="0056383C" w:rsidRDefault="00CD2B15" w:rsidP="00CD2B15">
      <w:pPr>
        <w:pStyle w:val="Prrafodelista"/>
        <w:rPr>
          <w:rFonts w:ascii="Verdana" w:hAnsi="Verdana"/>
          <w:sz w:val="20"/>
          <w:szCs w:val="20"/>
          <w:lang w:val="en-US"/>
        </w:rPr>
      </w:pPr>
    </w:p>
    <w:p w14:paraId="52FEAD68" w14:textId="77777777" w:rsidR="00CD2B15" w:rsidRPr="0056383C" w:rsidRDefault="00CD2B15" w:rsidP="00D17A65">
      <w:pPr>
        <w:pStyle w:val="Prrafodelista"/>
        <w:widowControl/>
        <w:numPr>
          <w:ilvl w:val="0"/>
          <w:numId w:val="16"/>
        </w:numPr>
        <w:adjustRightInd/>
        <w:ind w:left="0" w:firstLine="0"/>
        <w:textAlignment w:val="auto"/>
        <w:rPr>
          <w:rFonts w:ascii="Verdana" w:hAnsi="Verdana"/>
          <w:sz w:val="20"/>
          <w:szCs w:val="20"/>
          <w:lang w:val="en-US"/>
        </w:rPr>
      </w:pPr>
      <w:r w:rsidRPr="0056383C">
        <w:rPr>
          <w:rFonts w:ascii="Verdana" w:hAnsi="Verdana"/>
          <w:sz w:val="20"/>
          <w:szCs w:val="20"/>
          <w:lang w:val="en-US"/>
        </w:rPr>
        <w:t>Having determined that the right to social security is protected under Article 26 of the Pact of San José, the Inter-American Court proceeded to delimit this right with greater precision giving special consideration to the American Declaration of the Rights and Duties of Man because “</w:t>
      </w:r>
      <w:r w:rsidRPr="0056383C">
        <w:rPr>
          <w:rFonts w:ascii="Verdana" w:hAnsi="Verdana" w:cs="Arial"/>
          <w:sz w:val="20"/>
          <w:szCs w:val="20"/>
          <w:lang w:val="en-US"/>
        </w:rPr>
        <w:t>the Member States of the Organization have signaled their agreement that the Declaration contains and defines the fundamental human rights referred to in the Charter. Thus, the Charter of the Organization cannot be interpreted and applied as far as human rights are concerned without relating its norms, consistent with the practice of the organs of the OAS, to the corresponding provisions of the Declaration.</w:t>
      </w:r>
      <w:r w:rsidRPr="0056383C">
        <w:rPr>
          <w:rFonts w:ascii="Verdana" w:hAnsi="Verdana"/>
          <w:sz w:val="20"/>
          <w:szCs w:val="20"/>
          <w:lang w:val="en-US"/>
        </w:rPr>
        <w:t>”</w:t>
      </w:r>
      <w:r w:rsidRPr="0056383C">
        <w:rPr>
          <w:rFonts w:ascii="Verdana" w:hAnsi="Verdana"/>
          <w:sz w:val="20"/>
          <w:szCs w:val="20"/>
          <w:vertAlign w:val="superscript"/>
          <w:lang w:val="en-US"/>
        </w:rPr>
        <w:footnoteReference w:id="257"/>
      </w:r>
    </w:p>
    <w:p w14:paraId="0F4F5A88" w14:textId="77777777" w:rsidR="00CD2B15" w:rsidRPr="0056383C" w:rsidRDefault="00CD2B15" w:rsidP="00CD2B15">
      <w:pPr>
        <w:rPr>
          <w:rFonts w:ascii="Verdana" w:hAnsi="Verdana"/>
          <w:sz w:val="20"/>
          <w:szCs w:val="20"/>
          <w:lang w:val="en-US"/>
        </w:rPr>
      </w:pPr>
    </w:p>
    <w:p w14:paraId="7250CE86" w14:textId="77777777" w:rsidR="00CD2B15" w:rsidRPr="0056383C" w:rsidRDefault="00CD2B15" w:rsidP="00D17A65">
      <w:pPr>
        <w:pStyle w:val="Prrafodelista"/>
        <w:widowControl/>
        <w:numPr>
          <w:ilvl w:val="0"/>
          <w:numId w:val="16"/>
        </w:numPr>
        <w:adjustRightInd/>
        <w:ind w:left="0" w:firstLine="0"/>
        <w:textAlignment w:val="auto"/>
        <w:rPr>
          <w:rFonts w:ascii="Verdana" w:hAnsi="Verdana"/>
          <w:sz w:val="20"/>
          <w:szCs w:val="20"/>
          <w:lang w:val="en-US"/>
        </w:rPr>
      </w:pPr>
      <w:r w:rsidRPr="0056383C">
        <w:rPr>
          <w:rFonts w:ascii="Verdana" w:hAnsi="Verdana"/>
          <w:sz w:val="20"/>
          <w:szCs w:val="20"/>
          <w:lang w:val="en-US"/>
        </w:rPr>
        <w:t>Thus, Article XVI (“Right to social security”) of the American Declaration of the Rights and Duties of Man states clearly that “</w:t>
      </w:r>
      <w:r w:rsidRPr="0056383C">
        <w:rPr>
          <w:rFonts w:ascii="Verdana" w:hAnsi="Verdana"/>
          <w:i/>
          <w:sz w:val="20"/>
          <w:szCs w:val="20"/>
          <w:lang w:val="en-US"/>
        </w:rPr>
        <w:t>E</w:t>
      </w:r>
      <w:r w:rsidRPr="0056383C">
        <w:rPr>
          <w:rFonts w:ascii="Verdana" w:hAnsi="Verdana" w:cs="Arial"/>
          <w:i/>
          <w:sz w:val="20"/>
          <w:szCs w:val="20"/>
          <w:lang w:val="en-US"/>
        </w:rPr>
        <w:t>very person has the right to social security which will protect him from the consequences of unemployment, old age, and any disabilities arising from causes beyond his control that make it physically or mentally impossible for him to earn a living</w:t>
      </w:r>
      <w:r w:rsidRPr="0056383C">
        <w:rPr>
          <w:rFonts w:ascii="Verdana" w:hAnsi="Verdana"/>
          <w:i/>
          <w:sz w:val="20"/>
          <w:szCs w:val="20"/>
          <w:lang w:val="en-US"/>
        </w:rPr>
        <w:t>.</w:t>
      </w:r>
      <w:r w:rsidRPr="0056383C">
        <w:rPr>
          <w:rFonts w:ascii="Verdana" w:hAnsi="Verdana"/>
          <w:sz w:val="20"/>
          <w:szCs w:val="20"/>
          <w:lang w:val="en-US"/>
        </w:rPr>
        <w:t>”</w:t>
      </w:r>
      <w:r w:rsidRPr="0056383C">
        <w:rPr>
          <w:rStyle w:val="Refdenotaalpie"/>
          <w:szCs w:val="20"/>
          <w:lang w:val="en-US"/>
        </w:rPr>
        <w:footnoteReference w:id="258"/>
      </w:r>
      <w:r w:rsidRPr="0056383C">
        <w:rPr>
          <w:rFonts w:ascii="Verdana" w:hAnsi="Verdana"/>
          <w:sz w:val="20"/>
          <w:szCs w:val="20"/>
          <w:lang w:val="en-US"/>
        </w:rPr>
        <w:t xml:space="preserve"> To establish the content of the right and the corresponding obligations with greater precision, the Inter-American Court noted that the right to social security had been developed extensively in international law: in Article 9 of the Protocol of San Salvador, and in Articles 22 and 25 of the Universal Declaration of Human Rights, as well as within the mandate of the International </w:t>
      </w:r>
      <w:proofErr w:type="spellStart"/>
      <w:r w:rsidRPr="0056383C">
        <w:rPr>
          <w:rFonts w:ascii="Verdana" w:hAnsi="Verdana"/>
          <w:sz w:val="20"/>
          <w:szCs w:val="20"/>
          <w:lang w:val="en-US"/>
        </w:rPr>
        <w:t>Labour</w:t>
      </w:r>
      <w:proofErr w:type="spellEnd"/>
      <w:r w:rsidRPr="0056383C">
        <w:rPr>
          <w:rFonts w:ascii="Verdana" w:hAnsi="Verdana"/>
          <w:sz w:val="20"/>
          <w:szCs w:val="20"/>
          <w:lang w:val="en-US"/>
        </w:rPr>
        <w:t xml:space="preserve"> Organization (ILO) and by the Committee on Economic, Social and Cultural Rights (hereinafter “the CESCR”) in application of Article 9 of the International </w:t>
      </w:r>
      <w:r w:rsidRPr="0056383C">
        <w:rPr>
          <w:rFonts w:ascii="Verdana" w:hAnsi="Verdana"/>
          <w:sz w:val="20"/>
          <w:szCs w:val="20"/>
          <w:lang w:val="en-US"/>
        </w:rPr>
        <w:lastRenderedPageBreak/>
        <w:t>Covenant on Economic, Social and Cultural Rights (hereinafter “the ICESCR”).</w:t>
      </w:r>
      <w:r w:rsidRPr="0056383C">
        <w:rPr>
          <w:rStyle w:val="Refdenotaalpie"/>
          <w:szCs w:val="20"/>
          <w:lang w:val="en-US"/>
        </w:rPr>
        <w:footnoteReference w:id="259"/>
      </w:r>
      <w:r w:rsidRPr="0056383C">
        <w:rPr>
          <w:rFonts w:ascii="Verdana" w:hAnsi="Verdana"/>
          <w:sz w:val="20"/>
          <w:szCs w:val="20"/>
          <w:lang w:val="en-US"/>
        </w:rPr>
        <w:t xml:space="preserve"> Lastly, the Inter-American Court determined that the right to social security was also established in </w:t>
      </w:r>
      <w:r w:rsidRPr="0056383C">
        <w:rPr>
          <w:rFonts w:ascii="Verdana" w:eastAsia="Times" w:hAnsi="Verdana" w:cs="Arial"/>
          <w:sz w:val="20"/>
          <w:szCs w:val="20"/>
          <w:lang w:val="en-US"/>
        </w:rPr>
        <w:t>Articles 10 and 11 of the 1993 Constitution of Peru.</w:t>
      </w:r>
      <w:r w:rsidRPr="0056383C">
        <w:rPr>
          <w:rStyle w:val="Refdenotaalpie"/>
          <w:rFonts w:eastAsia="Times" w:cs="Arial"/>
          <w:szCs w:val="20"/>
          <w:lang w:val="en-US"/>
        </w:rPr>
        <w:footnoteReference w:id="260"/>
      </w:r>
    </w:p>
    <w:p w14:paraId="210FD096" w14:textId="77777777" w:rsidR="00CD2B15" w:rsidRPr="0056383C" w:rsidRDefault="00CD2B15" w:rsidP="00CD2B15">
      <w:pPr>
        <w:pStyle w:val="Prrafodelista"/>
        <w:ind w:left="0"/>
        <w:rPr>
          <w:rFonts w:ascii="Verdana" w:hAnsi="Verdana"/>
          <w:b/>
          <w:sz w:val="20"/>
          <w:szCs w:val="20"/>
          <w:lang w:val="en-US"/>
        </w:rPr>
      </w:pPr>
    </w:p>
    <w:p w14:paraId="76C1BF2A"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 xml:space="preserve">It is important to point out that, when using the sources, principles and criteria of the international </w:t>
      </w:r>
      <w:r w:rsidRPr="0056383C">
        <w:rPr>
          <w:rFonts w:ascii="Verdana" w:hAnsi="Verdana"/>
          <w:i/>
          <w:sz w:val="20"/>
          <w:szCs w:val="20"/>
          <w:lang w:val="en-US"/>
        </w:rPr>
        <w:t xml:space="preserve">corpus </w:t>
      </w:r>
      <w:proofErr w:type="spellStart"/>
      <w:r w:rsidRPr="0056383C">
        <w:rPr>
          <w:rFonts w:ascii="Verdana" w:hAnsi="Verdana"/>
          <w:i/>
          <w:sz w:val="20"/>
          <w:szCs w:val="20"/>
          <w:lang w:val="en-US"/>
        </w:rPr>
        <w:t>iuris</w:t>
      </w:r>
      <w:proofErr w:type="spellEnd"/>
      <w:r w:rsidRPr="0056383C">
        <w:rPr>
          <w:rFonts w:ascii="Verdana" w:hAnsi="Verdana"/>
          <w:iCs/>
          <w:sz w:val="20"/>
          <w:szCs w:val="20"/>
          <w:lang w:val="en-US"/>
        </w:rPr>
        <w:t xml:space="preserve"> as special norms that are applicable when determining the content of the </w:t>
      </w:r>
      <w:r w:rsidRPr="0056383C">
        <w:rPr>
          <w:rFonts w:ascii="Verdana" w:hAnsi="Verdana"/>
          <w:sz w:val="20"/>
          <w:szCs w:val="20"/>
          <w:lang w:val="en-US"/>
        </w:rPr>
        <w:t>right to social security in order to supplement the provisions of the American Convention, the Inter-American Court is not assuming a jurisdiction over some treaties that it does not have, nor is it granting Convention status to norms contained in other national and international instruments related to ESCER.</w:t>
      </w:r>
      <w:r w:rsidRPr="0056383C">
        <w:rPr>
          <w:rStyle w:val="Refdenotaalpie"/>
          <w:szCs w:val="20"/>
          <w:lang w:val="en-US"/>
        </w:rPr>
        <w:footnoteReference w:id="261"/>
      </w:r>
      <w:r w:rsidRPr="0056383C">
        <w:rPr>
          <w:rFonts w:ascii="Verdana" w:hAnsi="Verdana"/>
          <w:sz w:val="20"/>
          <w:szCs w:val="20"/>
          <w:lang w:val="en-US"/>
        </w:rPr>
        <w:t xml:space="preserve"> On the contrary, the Court is making an interpretation pursuant to the standards established in Article 29 of the Pact of San José,</w:t>
      </w:r>
      <w:r w:rsidRPr="0056383C">
        <w:rPr>
          <w:rStyle w:val="Refdenotaalpie"/>
          <w:szCs w:val="20"/>
          <w:lang w:val="en-US"/>
        </w:rPr>
        <w:footnoteReference w:id="262"/>
      </w:r>
      <w:r w:rsidRPr="0056383C">
        <w:rPr>
          <w:rFonts w:ascii="Verdana" w:hAnsi="Verdana"/>
          <w:sz w:val="20"/>
          <w:szCs w:val="20"/>
          <w:lang w:val="en-US"/>
        </w:rPr>
        <w:t xml:space="preserve"> in order to update the meaning of the rights derived from the OAS Charter that are recognized by Article 26 of the American Convention.</w:t>
      </w:r>
      <w:r w:rsidRPr="0056383C">
        <w:rPr>
          <w:rStyle w:val="Refdenotaalpie"/>
          <w:szCs w:val="20"/>
          <w:lang w:val="en-US"/>
        </w:rPr>
        <w:footnoteReference w:id="263"/>
      </w:r>
      <w:r w:rsidRPr="0056383C">
        <w:rPr>
          <w:rFonts w:ascii="Verdana" w:hAnsi="Verdana"/>
          <w:sz w:val="20"/>
          <w:szCs w:val="20"/>
          <w:lang w:val="en-US"/>
        </w:rPr>
        <w:t xml:space="preserve"> The consistent practice of the Inter-American Court has been</w:t>
      </w:r>
      <w:r w:rsidRPr="0056383C">
        <w:rPr>
          <w:rStyle w:val="Refdenotaalpie"/>
          <w:szCs w:val="20"/>
          <w:lang w:val="en-US"/>
        </w:rPr>
        <w:footnoteReference w:id="264"/>
      </w:r>
      <w:r w:rsidRPr="0056383C">
        <w:rPr>
          <w:rFonts w:ascii="Verdana" w:hAnsi="Verdana"/>
          <w:sz w:val="20"/>
          <w:szCs w:val="20"/>
          <w:lang w:val="en-US"/>
        </w:rPr>
        <w:t xml:space="preserve"> that, when determining the compatibility of a State’s acts and omissions or of its laws with the American Convention, it is able to interpret the corresponding obligations and rights in light of other pertinent treaties and norms.</w:t>
      </w:r>
      <w:r w:rsidRPr="0056383C">
        <w:rPr>
          <w:rStyle w:val="Refdenotaalpie"/>
          <w:szCs w:val="20"/>
          <w:lang w:val="en-US"/>
        </w:rPr>
        <w:footnoteReference w:id="265"/>
      </w:r>
    </w:p>
    <w:p w14:paraId="01CFA2B3" w14:textId="77777777" w:rsidR="00CD2B15" w:rsidRPr="0056383C" w:rsidRDefault="00CD2B15" w:rsidP="00CD2B15">
      <w:pPr>
        <w:pStyle w:val="Prrafodelista"/>
        <w:ind w:left="0"/>
        <w:rPr>
          <w:rFonts w:ascii="Verdana" w:hAnsi="Verdana"/>
          <w:b/>
          <w:sz w:val="20"/>
          <w:szCs w:val="20"/>
          <w:lang w:val="en-US"/>
        </w:rPr>
      </w:pPr>
    </w:p>
    <w:p w14:paraId="15A16AFF"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Following this jurisprudential line,</w:t>
      </w:r>
      <w:r w:rsidRPr="0056383C">
        <w:rPr>
          <w:rStyle w:val="Refdenotaalpie"/>
          <w:rFonts w:eastAsia="Times"/>
          <w:szCs w:val="20"/>
          <w:lang w:val="en-US"/>
        </w:rPr>
        <w:footnoteReference w:id="266"/>
      </w:r>
      <w:r w:rsidRPr="0056383C">
        <w:rPr>
          <w:rFonts w:ascii="Verdana" w:hAnsi="Verdana"/>
          <w:sz w:val="20"/>
          <w:szCs w:val="20"/>
          <w:lang w:val="en-US"/>
        </w:rPr>
        <w:t xml:space="preserve"> the Inter-American Court </w:t>
      </w:r>
      <w:r w:rsidRPr="0056383C">
        <w:rPr>
          <w:rFonts w:ascii="Verdana" w:eastAsia="Times" w:hAnsi="Verdana" w:cs="Arial"/>
          <w:sz w:val="20"/>
          <w:szCs w:val="20"/>
          <w:lang w:val="en-US"/>
        </w:rPr>
        <w:t xml:space="preserve">considered that the nature and scope of the obligations derived from the protection of social security include aspects that are </w:t>
      </w:r>
      <w:r w:rsidRPr="0056383C">
        <w:rPr>
          <w:rFonts w:ascii="Verdana" w:eastAsia="Times" w:hAnsi="Verdana" w:cs="Arial"/>
          <w:i/>
          <w:iCs/>
          <w:sz w:val="20"/>
          <w:szCs w:val="20"/>
          <w:lang w:val="en-US"/>
        </w:rPr>
        <w:t>immediately enforceable,</w:t>
      </w:r>
      <w:r w:rsidRPr="0056383C">
        <w:rPr>
          <w:rFonts w:ascii="Verdana" w:eastAsia="Times" w:hAnsi="Verdana" w:cs="Arial"/>
          <w:sz w:val="20"/>
          <w:szCs w:val="20"/>
          <w:lang w:val="en-US"/>
        </w:rPr>
        <w:t xml:space="preserve"> as well as aspects that are </w:t>
      </w:r>
      <w:r w:rsidRPr="0056383C">
        <w:rPr>
          <w:rFonts w:ascii="Verdana" w:eastAsia="Times" w:hAnsi="Verdana" w:cs="Arial"/>
          <w:i/>
          <w:iCs/>
          <w:sz w:val="20"/>
          <w:szCs w:val="20"/>
          <w:lang w:val="en-US"/>
        </w:rPr>
        <w:t>of a progressive nature</w:t>
      </w:r>
      <w:r w:rsidRPr="0056383C">
        <w:rPr>
          <w:rFonts w:ascii="Verdana" w:eastAsia="Times" w:hAnsi="Verdana" w:cs="Arial"/>
          <w:sz w:val="20"/>
          <w:szCs w:val="20"/>
          <w:lang w:val="en-US"/>
        </w:rPr>
        <w:t xml:space="preserve">. The judgment recalls that, regarding the former (the obligations that are immediately enforceable), the States must take effective measures to ensure access, without discrimination, to the benefits recognized by </w:t>
      </w:r>
      <w:r w:rsidRPr="0056383C">
        <w:rPr>
          <w:rFonts w:ascii="Verdana" w:hAnsi="Verdana"/>
          <w:sz w:val="20"/>
          <w:szCs w:val="20"/>
          <w:lang w:val="en-US"/>
        </w:rPr>
        <w:t>the right to social security and equal rights of men and women, among other matters.</w:t>
      </w:r>
      <w:r w:rsidRPr="0056383C">
        <w:rPr>
          <w:rStyle w:val="Refdenotaalpie"/>
          <w:szCs w:val="20"/>
          <w:lang w:val="en-US"/>
        </w:rPr>
        <w:footnoteReference w:id="267"/>
      </w:r>
      <w:r w:rsidRPr="0056383C">
        <w:rPr>
          <w:rFonts w:ascii="Verdana" w:hAnsi="Verdana"/>
          <w:sz w:val="20"/>
          <w:szCs w:val="20"/>
          <w:lang w:val="en-US"/>
        </w:rPr>
        <w:t xml:space="preserve"> Regarding the latter (obligations of a progressive </w:t>
      </w:r>
      <w:r w:rsidRPr="0056383C">
        <w:rPr>
          <w:rFonts w:ascii="Verdana" w:hAnsi="Verdana"/>
          <w:sz w:val="20"/>
          <w:szCs w:val="20"/>
          <w:lang w:val="en-US"/>
        </w:rPr>
        <w:lastRenderedPageBreak/>
        <w:t>nature), progressive development means that the States Parties have the specific and constant obligation to advance as rapidly and efficiently as possible towards the full realization of this right,</w:t>
      </w:r>
      <w:r w:rsidRPr="0056383C">
        <w:rPr>
          <w:rStyle w:val="Refdenotaalpie"/>
          <w:szCs w:val="20"/>
          <w:lang w:val="en-US"/>
        </w:rPr>
        <w:footnoteReference w:id="268"/>
      </w:r>
      <w:r w:rsidRPr="0056383C">
        <w:rPr>
          <w:rFonts w:ascii="Verdana" w:hAnsi="Verdana"/>
          <w:sz w:val="20"/>
          <w:szCs w:val="20"/>
          <w:lang w:val="en-US"/>
        </w:rPr>
        <w:t xml:space="preserve"> subject to available resources, by legislation or other appropriate means.</w:t>
      </w:r>
      <w:r w:rsidRPr="0056383C">
        <w:rPr>
          <w:rStyle w:val="Refdenotaalpie"/>
          <w:szCs w:val="20"/>
          <w:lang w:val="en-US"/>
        </w:rPr>
        <w:footnoteReference w:id="269"/>
      </w:r>
      <w:r w:rsidRPr="0056383C">
        <w:rPr>
          <w:rFonts w:ascii="Verdana" w:hAnsi="Verdana"/>
          <w:sz w:val="20"/>
          <w:szCs w:val="20"/>
          <w:lang w:val="en-US"/>
        </w:rPr>
        <w:t xml:space="preserve"> In addition, there is an obligation of non-retrogression </w:t>
      </w:r>
      <w:r w:rsidRPr="0056383C">
        <w:rPr>
          <w:rFonts w:ascii="Verdana" w:hAnsi="Verdana"/>
          <w:i/>
          <w:sz w:val="20"/>
          <w:szCs w:val="20"/>
          <w:lang w:val="en-US"/>
        </w:rPr>
        <w:t>vis-a-vis</w:t>
      </w:r>
      <w:r w:rsidRPr="0056383C">
        <w:rPr>
          <w:rFonts w:ascii="Verdana" w:hAnsi="Verdana"/>
          <w:sz w:val="20"/>
          <w:szCs w:val="20"/>
          <w:lang w:val="en-US"/>
        </w:rPr>
        <w:t xml:space="preserve"> the rights achieved.</w:t>
      </w:r>
      <w:r w:rsidRPr="0056383C">
        <w:rPr>
          <w:rFonts w:ascii="Verdana" w:hAnsi="Verdana"/>
          <w:sz w:val="20"/>
          <w:szCs w:val="20"/>
          <w:vertAlign w:val="superscript"/>
          <w:lang w:val="en-US"/>
        </w:rPr>
        <w:footnoteReference w:id="270"/>
      </w:r>
      <w:r w:rsidRPr="0056383C">
        <w:rPr>
          <w:rFonts w:ascii="Verdana" w:hAnsi="Verdana"/>
          <w:sz w:val="20"/>
          <w:szCs w:val="20"/>
          <w:lang w:val="en-US"/>
        </w:rPr>
        <w:t xml:space="preserve"> Consequently, the obligations of respect and guarantee established in the Convention, as well as the domestic legal effects (Articles 1(1) and 2 of the American Convention), are essential to achieve its effectiveness.</w:t>
      </w:r>
    </w:p>
    <w:p w14:paraId="6C92746E" w14:textId="77777777" w:rsidR="00CD2B15" w:rsidRPr="0056383C" w:rsidRDefault="00CD2B15" w:rsidP="00CD2B15">
      <w:pPr>
        <w:pStyle w:val="Prrafodelista"/>
        <w:ind w:left="0"/>
        <w:rPr>
          <w:rFonts w:ascii="Verdana" w:hAnsi="Verdana"/>
          <w:b/>
          <w:sz w:val="20"/>
          <w:szCs w:val="20"/>
          <w:lang w:val="en-US"/>
        </w:rPr>
      </w:pPr>
    </w:p>
    <w:p w14:paraId="49898EDB"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As the judgment indicates, in each case examined, it is necessary to determine which type of obligations are involved in relation to the right to</w:t>
      </w:r>
      <w:r w:rsidRPr="0056383C">
        <w:rPr>
          <w:rFonts w:ascii="Verdana" w:hAnsi="Verdana"/>
          <w:b/>
          <w:sz w:val="20"/>
          <w:szCs w:val="20"/>
          <w:lang w:val="en-US"/>
        </w:rPr>
        <w:t xml:space="preserve"> </w:t>
      </w:r>
      <w:r w:rsidRPr="0056383C">
        <w:rPr>
          <w:rFonts w:ascii="Verdana" w:hAnsi="Verdana"/>
          <w:sz w:val="20"/>
          <w:szCs w:val="20"/>
          <w:lang w:val="en-US"/>
        </w:rPr>
        <w:t>social security.</w:t>
      </w:r>
      <w:r w:rsidRPr="0056383C">
        <w:rPr>
          <w:rStyle w:val="Refdenotaalpie"/>
          <w:szCs w:val="20"/>
          <w:lang w:val="en-US"/>
        </w:rPr>
        <w:footnoteReference w:id="271"/>
      </w:r>
      <w:r w:rsidRPr="0056383C">
        <w:rPr>
          <w:rFonts w:ascii="Verdana" w:hAnsi="Verdana"/>
          <w:sz w:val="20"/>
          <w:szCs w:val="20"/>
          <w:lang w:val="en-US"/>
        </w:rPr>
        <w:t xml:space="preserve"> The Inter-American Court noted that this case did not relate to the obligations of progressive development derived from Article 26 of the American Convention, but rather to </w:t>
      </w:r>
      <w:r w:rsidRPr="0056383C">
        <w:rPr>
          <w:rFonts w:ascii="Verdana" w:hAnsi="Verdana"/>
          <w:i/>
          <w:iCs/>
          <w:sz w:val="20"/>
          <w:szCs w:val="20"/>
          <w:lang w:val="en-US"/>
        </w:rPr>
        <w:t xml:space="preserve">the failure to implement </w:t>
      </w:r>
      <w:r w:rsidRPr="0056383C">
        <w:rPr>
          <w:rFonts w:ascii="Verdana" w:hAnsi="Verdana"/>
          <w:i/>
          <w:sz w:val="20"/>
          <w:szCs w:val="20"/>
          <w:lang w:val="en-US"/>
        </w:rPr>
        <w:t xml:space="preserve">the right to a pension as an integral part of the right to social security of Mr.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owing to the failure to execute and comply with the judgments handed down in his favor in the domestic sphere in the context of the privatization of the State company following his retirement.</w:t>
      </w:r>
      <w:r w:rsidRPr="0056383C">
        <w:rPr>
          <w:rStyle w:val="Refdenotaalpie"/>
          <w:szCs w:val="20"/>
          <w:lang w:val="en-US"/>
        </w:rPr>
        <w:footnoteReference w:id="272"/>
      </w:r>
      <w:r w:rsidRPr="0056383C">
        <w:rPr>
          <w:rFonts w:ascii="Verdana" w:hAnsi="Verdana"/>
          <w:sz w:val="20"/>
          <w:szCs w:val="20"/>
          <w:lang w:val="en-US"/>
        </w:rPr>
        <w:t xml:space="preserve"> </w:t>
      </w:r>
    </w:p>
    <w:p w14:paraId="3D3A3ACE" w14:textId="77777777" w:rsidR="00CD2B15" w:rsidRPr="0056383C" w:rsidRDefault="00CD2B15" w:rsidP="00CD2B15">
      <w:pPr>
        <w:pStyle w:val="Prrafodelista"/>
        <w:ind w:left="0"/>
        <w:rPr>
          <w:rFonts w:ascii="Verdana" w:hAnsi="Verdana"/>
          <w:sz w:val="20"/>
          <w:szCs w:val="20"/>
          <w:lang w:val="en-US"/>
        </w:rPr>
      </w:pPr>
    </w:p>
    <w:p w14:paraId="7DEEC31B" w14:textId="77777777" w:rsidR="00CD2B15" w:rsidRPr="0056383C" w:rsidRDefault="00CD2B15" w:rsidP="00D17A65">
      <w:pPr>
        <w:pStyle w:val="Prrafodelista"/>
        <w:widowControl/>
        <w:numPr>
          <w:ilvl w:val="0"/>
          <w:numId w:val="16"/>
        </w:numPr>
        <w:adjustRightInd/>
        <w:ind w:left="0" w:firstLine="0"/>
        <w:textAlignment w:val="auto"/>
        <w:rPr>
          <w:rFonts w:ascii="Verdana" w:hAnsi="Verdana"/>
          <w:sz w:val="20"/>
          <w:szCs w:val="20"/>
          <w:lang w:val="en-US"/>
        </w:rPr>
      </w:pPr>
      <w:r w:rsidRPr="0056383C">
        <w:rPr>
          <w:rFonts w:ascii="Verdana" w:hAnsi="Verdana"/>
          <w:sz w:val="20"/>
          <w:szCs w:val="20"/>
          <w:lang w:val="en-US"/>
        </w:rPr>
        <w:t xml:space="preserve">In addition, the judgment addresses relevant aspects of the issue of </w:t>
      </w:r>
      <w:r w:rsidRPr="0056383C">
        <w:rPr>
          <w:rFonts w:ascii="Verdana" w:hAnsi="Verdana"/>
          <w:i/>
          <w:iCs/>
          <w:sz w:val="20"/>
          <w:szCs w:val="20"/>
          <w:lang w:val="en-US"/>
        </w:rPr>
        <w:t>older persons</w:t>
      </w:r>
      <w:r w:rsidRPr="0056383C">
        <w:rPr>
          <w:rFonts w:ascii="Verdana" w:hAnsi="Verdana"/>
          <w:sz w:val="20"/>
          <w:szCs w:val="20"/>
          <w:lang w:val="en-US"/>
        </w:rPr>
        <w:t xml:space="preserve"> as a group in a situation of special vulnerability in relation to the enjoyment of the social rights,</w:t>
      </w:r>
      <w:r w:rsidRPr="0056383C">
        <w:rPr>
          <w:rStyle w:val="Refdenotaalpie"/>
          <w:szCs w:val="20"/>
          <w:lang w:val="en-US"/>
        </w:rPr>
        <w:footnoteReference w:id="273"/>
      </w:r>
      <w:r w:rsidRPr="0056383C">
        <w:rPr>
          <w:rFonts w:ascii="Verdana" w:hAnsi="Verdana"/>
          <w:sz w:val="20"/>
          <w:szCs w:val="20"/>
          <w:lang w:val="en-US"/>
        </w:rPr>
        <w:t xml:space="preserve"> as well as the particular impact – material and emotional – on older persons of the failure to execute domestic judgments that protect the right to social security.</w:t>
      </w:r>
      <w:r w:rsidRPr="0056383C">
        <w:rPr>
          <w:rStyle w:val="Refdenotaalpie"/>
          <w:szCs w:val="20"/>
          <w:lang w:val="en-US"/>
        </w:rPr>
        <w:footnoteReference w:id="274"/>
      </w:r>
      <w:r w:rsidRPr="0056383C">
        <w:rPr>
          <w:rFonts w:ascii="Verdana" w:hAnsi="Verdana"/>
          <w:sz w:val="20"/>
          <w:szCs w:val="20"/>
          <w:lang w:val="en-US"/>
        </w:rPr>
        <w:t xml:space="preserve"> The judgment </w:t>
      </w:r>
      <w:r w:rsidRPr="0056383C">
        <w:rPr>
          <w:rFonts w:ascii="Verdana" w:hAnsi="Verdana"/>
          <w:sz w:val="20"/>
          <w:szCs w:val="20"/>
          <w:lang w:val="en-US"/>
        </w:rPr>
        <w:lastRenderedPageBreak/>
        <w:t xml:space="preserve">emphasizes that “in a context in which a legally recognized pension is not paid, the rights to </w:t>
      </w:r>
      <w:r w:rsidRPr="0056383C">
        <w:rPr>
          <w:rFonts w:ascii="Verdana" w:hAnsi="Verdana"/>
          <w:sz w:val="20"/>
          <w:szCs w:val="20"/>
          <w:lang w:val="en-US" w:eastAsia="es-ES"/>
        </w:rPr>
        <w:t xml:space="preserve">[Art. 26 of the American Convention], personal integrity [Art. 5(1) of the American Convention] and human dignity [Art. 11(1) of the American Convention] are interrelated and, at times, the violation of one directly affects the other, a situation that is accentuated in the case of </w:t>
      </w:r>
      <w:r w:rsidRPr="0056383C">
        <w:rPr>
          <w:rFonts w:ascii="Verdana" w:hAnsi="Verdana"/>
          <w:i/>
          <w:iCs/>
          <w:sz w:val="20"/>
          <w:szCs w:val="20"/>
          <w:lang w:val="en-US" w:eastAsia="es-ES"/>
        </w:rPr>
        <w:t>older persons</w:t>
      </w:r>
      <w:r w:rsidRPr="0056383C">
        <w:rPr>
          <w:rFonts w:ascii="Verdana" w:hAnsi="Verdana"/>
          <w:sz w:val="20"/>
          <w:szCs w:val="20"/>
          <w:lang w:val="en-US" w:eastAsia="es-ES"/>
        </w:rPr>
        <w:t>.”</w:t>
      </w:r>
      <w:r w:rsidRPr="0056383C">
        <w:rPr>
          <w:rStyle w:val="Refdenotaalpie"/>
          <w:szCs w:val="20"/>
          <w:lang w:val="en-US"/>
        </w:rPr>
        <w:footnoteReference w:id="275"/>
      </w:r>
    </w:p>
    <w:p w14:paraId="4BBFCD95" w14:textId="77777777" w:rsidR="00CD2B15" w:rsidRPr="0056383C" w:rsidRDefault="00CD2B15" w:rsidP="00CD2B15">
      <w:pPr>
        <w:pStyle w:val="Prrafodelista"/>
        <w:rPr>
          <w:rFonts w:ascii="Verdana" w:hAnsi="Verdana"/>
          <w:sz w:val="20"/>
          <w:szCs w:val="20"/>
          <w:lang w:val="en-US"/>
        </w:rPr>
      </w:pPr>
    </w:p>
    <w:p w14:paraId="183EA0D4" w14:textId="77777777" w:rsidR="00CD2B15" w:rsidRPr="0056383C" w:rsidRDefault="00CD2B15" w:rsidP="00D17A65">
      <w:pPr>
        <w:pStyle w:val="Prrafodelista"/>
        <w:widowControl/>
        <w:numPr>
          <w:ilvl w:val="0"/>
          <w:numId w:val="16"/>
        </w:numPr>
        <w:tabs>
          <w:tab w:val="left" w:pos="709"/>
          <w:tab w:val="left" w:pos="1464"/>
        </w:tabs>
        <w:adjustRightInd/>
        <w:ind w:left="0" w:firstLine="0"/>
        <w:textAlignment w:val="auto"/>
        <w:rPr>
          <w:rFonts w:ascii="Verdana" w:hAnsi="Verdana"/>
          <w:sz w:val="20"/>
          <w:szCs w:val="20"/>
          <w:lang w:val="en-US"/>
        </w:rPr>
      </w:pPr>
      <w:r w:rsidRPr="0056383C">
        <w:rPr>
          <w:rFonts w:ascii="Verdana" w:hAnsi="Verdana"/>
          <w:sz w:val="20"/>
          <w:szCs w:val="20"/>
          <w:lang w:val="en-US"/>
        </w:rPr>
        <w:t>In this regard, in its judgment the Inter-American Court concluded that “[</w:t>
      </w:r>
      <w:r w:rsidRPr="0056383C">
        <w:rPr>
          <w:rFonts w:ascii="Verdana" w:hAnsi="Verdana"/>
          <w:sz w:val="20"/>
          <w:szCs w:val="20"/>
          <w:u w:val="single"/>
          <w:lang w:val="en-US"/>
        </w:rPr>
        <w:t>t]he failure to implement</w:t>
      </w:r>
      <w:r w:rsidRPr="0056383C">
        <w:rPr>
          <w:rFonts w:ascii="Verdana" w:hAnsi="Verdana"/>
          <w:sz w:val="20"/>
          <w:szCs w:val="20"/>
          <w:lang w:val="en-US"/>
        </w:rPr>
        <w:t xml:space="preserve"> </w:t>
      </w:r>
      <w:r w:rsidRPr="0056383C">
        <w:rPr>
          <w:rFonts w:ascii="Verdana" w:hAnsi="Verdana"/>
          <w:iCs/>
          <w:sz w:val="20"/>
          <w:szCs w:val="20"/>
          <w:u w:val="single"/>
          <w:lang w:val="en-US"/>
        </w:rPr>
        <w:t xml:space="preserve">the right to social security for more than 27 years seriously prejudiced the quality of life and the health care coverage of Mr. </w:t>
      </w:r>
      <w:proofErr w:type="spellStart"/>
      <w:r w:rsidRPr="0056383C">
        <w:rPr>
          <w:rFonts w:ascii="Verdana" w:hAnsi="Verdana"/>
          <w:iCs/>
          <w:sz w:val="20"/>
          <w:szCs w:val="20"/>
          <w:u w:val="single"/>
          <w:lang w:val="en-US"/>
        </w:rPr>
        <w:t>Muelle</w:t>
      </w:r>
      <w:proofErr w:type="spellEnd"/>
      <w:r w:rsidRPr="0056383C">
        <w:rPr>
          <w:rFonts w:ascii="Verdana" w:hAnsi="Verdana"/>
          <w:iCs/>
          <w:sz w:val="20"/>
          <w:szCs w:val="20"/>
          <w:u w:val="single"/>
          <w:lang w:val="en-US"/>
        </w:rPr>
        <w:t xml:space="preserve">, </w:t>
      </w:r>
      <w:r w:rsidRPr="0056383C">
        <w:rPr>
          <w:rFonts w:ascii="Verdana" w:hAnsi="Verdana"/>
          <w:i/>
          <w:sz w:val="20"/>
          <w:szCs w:val="20"/>
          <w:u w:val="single"/>
          <w:lang w:val="en-US"/>
        </w:rPr>
        <w:t>a person in a situation requiring special protection because he was an older person with a disability</w:t>
      </w:r>
      <w:r w:rsidRPr="0056383C">
        <w:rPr>
          <w:rFonts w:ascii="Verdana" w:hAnsi="Verdana"/>
          <w:iCs/>
          <w:sz w:val="20"/>
          <w:szCs w:val="20"/>
          <w:lang w:val="en-US"/>
        </w:rPr>
        <w:t xml:space="preserve">. The violation caused by the failure to pay the pension exceeded a reasonable time because, since this was the victim’s only income, the prolonged absence of the payment </w:t>
      </w:r>
      <w:r w:rsidRPr="0056383C">
        <w:rPr>
          <w:rFonts w:ascii="Verdana" w:hAnsi="Verdana"/>
          <w:sz w:val="20"/>
          <w:szCs w:val="20"/>
          <w:lang w:val="en-US"/>
        </w:rPr>
        <w:t>inevitably</w:t>
      </w:r>
      <w:r w:rsidRPr="0056383C">
        <w:rPr>
          <w:rFonts w:ascii="Verdana" w:hAnsi="Verdana"/>
          <w:iCs/>
          <w:sz w:val="20"/>
          <w:szCs w:val="20"/>
          <w:lang w:val="en-US"/>
        </w:rPr>
        <w:t xml:space="preserve"> resulted in financial hardship that affected his ability to pay for his basic necessities and, consequently, affected his mental and moral integrity, as well as his dignity.</w:t>
      </w:r>
      <w:r w:rsidRPr="0056383C">
        <w:rPr>
          <w:rFonts w:ascii="Verdana" w:hAnsi="Verdana"/>
          <w:color w:val="000000"/>
          <w:sz w:val="20"/>
          <w:szCs w:val="20"/>
          <w:bdr w:val="none" w:sz="0" w:space="0" w:color="auto" w:frame="1"/>
          <w:lang w:val="en-US"/>
        </w:rPr>
        <w:t>”</w:t>
      </w:r>
      <w:r w:rsidRPr="0056383C">
        <w:rPr>
          <w:rStyle w:val="Refdenotaalpie"/>
          <w:color w:val="000000"/>
          <w:szCs w:val="20"/>
          <w:bdr w:val="none" w:sz="0" w:space="0" w:color="auto" w:frame="1"/>
          <w:lang w:val="en-US"/>
        </w:rPr>
        <w:footnoteReference w:id="276"/>
      </w:r>
    </w:p>
    <w:p w14:paraId="35AC945F" w14:textId="77777777" w:rsidR="00CD2B15" w:rsidRPr="0056383C" w:rsidRDefault="00CD2B15" w:rsidP="00CD2B15">
      <w:pPr>
        <w:rPr>
          <w:rFonts w:ascii="Verdana" w:hAnsi="Verdana"/>
          <w:sz w:val="20"/>
          <w:szCs w:val="20"/>
          <w:lang w:val="en-US"/>
        </w:rPr>
      </w:pPr>
    </w:p>
    <w:p w14:paraId="38C4D28F" w14:textId="77777777" w:rsidR="00CD2B15" w:rsidRPr="0056383C" w:rsidRDefault="00CD2B15" w:rsidP="00D17A65">
      <w:pPr>
        <w:pStyle w:val="Prrafodelista"/>
        <w:widowControl/>
        <w:numPr>
          <w:ilvl w:val="0"/>
          <w:numId w:val="16"/>
        </w:numPr>
        <w:adjustRightInd/>
        <w:ind w:left="0" w:firstLine="0"/>
        <w:textAlignment w:val="auto"/>
        <w:rPr>
          <w:rFonts w:ascii="Verdana" w:hAnsi="Verdana"/>
          <w:sz w:val="20"/>
          <w:szCs w:val="20"/>
          <w:lang w:val="en-US"/>
        </w:rPr>
      </w:pPr>
      <w:r w:rsidRPr="0056383C">
        <w:rPr>
          <w:rFonts w:ascii="Verdana" w:hAnsi="Verdana"/>
          <w:sz w:val="20"/>
          <w:szCs w:val="20"/>
          <w:lang w:val="en-US"/>
        </w:rPr>
        <w:t>Based on this brief introduction, I am issuing this opinion to examine in more detail some aspects of this judgment that are relevant for the future of the inter-American system: I. The right to social security as an autonomous right and its importance for international law (</w:t>
      </w:r>
      <w:r w:rsidRPr="0056383C">
        <w:rPr>
          <w:rFonts w:ascii="Verdana" w:hAnsi="Verdana"/>
          <w:i/>
          <w:sz w:val="20"/>
          <w:szCs w:val="20"/>
          <w:u w:val="single"/>
          <w:lang w:val="en-US"/>
        </w:rPr>
        <w:t>paras</w:t>
      </w:r>
      <w:r w:rsidRPr="0056383C">
        <w:rPr>
          <w:rFonts w:ascii="Verdana" w:hAnsi="Verdana"/>
          <w:sz w:val="20"/>
          <w:szCs w:val="20"/>
          <w:u w:val="single"/>
          <w:lang w:val="en-US"/>
        </w:rPr>
        <w:t>. 12-35</w:t>
      </w:r>
      <w:r w:rsidRPr="0056383C">
        <w:rPr>
          <w:rFonts w:ascii="Verdana" w:hAnsi="Verdana"/>
          <w:sz w:val="20"/>
          <w:szCs w:val="20"/>
          <w:lang w:val="en-US"/>
        </w:rPr>
        <w:t>). II.</w:t>
      </w:r>
      <w:r w:rsidRPr="0056383C">
        <w:rPr>
          <w:rFonts w:ascii="Verdana" w:hAnsi="Verdana"/>
          <w:b/>
          <w:sz w:val="20"/>
          <w:szCs w:val="20"/>
          <w:lang w:val="en-US"/>
        </w:rPr>
        <w:t xml:space="preserve"> </w:t>
      </w:r>
      <w:r w:rsidRPr="0056383C">
        <w:rPr>
          <w:rFonts w:ascii="Verdana" w:hAnsi="Verdana"/>
          <w:sz w:val="20"/>
          <w:szCs w:val="20"/>
          <w:lang w:val="en-US"/>
        </w:rPr>
        <w:t>The failure to execute judgments on the social rights and the impact on older persons (</w:t>
      </w:r>
      <w:r w:rsidRPr="0056383C">
        <w:rPr>
          <w:rFonts w:ascii="Verdana" w:hAnsi="Verdana"/>
          <w:i/>
          <w:sz w:val="20"/>
          <w:szCs w:val="20"/>
          <w:u w:val="single"/>
          <w:lang w:val="en-US"/>
        </w:rPr>
        <w:t>paras</w:t>
      </w:r>
      <w:r w:rsidRPr="0056383C">
        <w:rPr>
          <w:rFonts w:ascii="Verdana" w:hAnsi="Verdana"/>
          <w:sz w:val="20"/>
          <w:szCs w:val="20"/>
          <w:u w:val="single"/>
          <w:lang w:val="en-US"/>
        </w:rPr>
        <w:t>. 36-57</w:t>
      </w:r>
      <w:r w:rsidRPr="0056383C">
        <w:rPr>
          <w:rFonts w:ascii="Verdana" w:hAnsi="Verdana"/>
          <w:sz w:val="20"/>
          <w:szCs w:val="20"/>
          <w:lang w:val="en-US"/>
        </w:rPr>
        <w:t xml:space="preserve">), and III. The importance of the </w:t>
      </w:r>
      <w:r w:rsidRPr="0056383C">
        <w:rPr>
          <w:rFonts w:ascii="Verdana" w:hAnsi="Verdana"/>
          <w:i/>
          <w:sz w:val="20"/>
          <w:szCs w:val="20"/>
          <w:lang w:val="en-US"/>
        </w:rPr>
        <w:t xml:space="preserve">Case of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for inter-American case law: the obligation of “exceptional due diligence” (</w:t>
      </w:r>
      <w:r w:rsidRPr="0056383C">
        <w:rPr>
          <w:rFonts w:ascii="Verdana" w:hAnsi="Verdana"/>
          <w:i/>
          <w:sz w:val="20"/>
          <w:szCs w:val="20"/>
          <w:u w:val="single"/>
          <w:lang w:val="en-US"/>
        </w:rPr>
        <w:t xml:space="preserve">paras. </w:t>
      </w:r>
      <w:r w:rsidRPr="0056383C">
        <w:rPr>
          <w:rFonts w:ascii="Verdana" w:hAnsi="Verdana"/>
          <w:sz w:val="20"/>
          <w:szCs w:val="20"/>
          <w:u w:val="single"/>
          <w:lang w:val="en-US"/>
        </w:rPr>
        <w:t>58-68</w:t>
      </w:r>
      <w:r w:rsidRPr="0056383C">
        <w:rPr>
          <w:rFonts w:ascii="Verdana" w:hAnsi="Verdana"/>
          <w:sz w:val="20"/>
          <w:szCs w:val="20"/>
          <w:lang w:val="en-US"/>
        </w:rPr>
        <w:t>).</w:t>
      </w:r>
    </w:p>
    <w:p w14:paraId="71CE8DD0" w14:textId="77777777" w:rsidR="00CD2B15" w:rsidRPr="0056383C" w:rsidRDefault="00CD2B15" w:rsidP="00CD2B15">
      <w:pPr>
        <w:rPr>
          <w:rFonts w:ascii="Verdana" w:hAnsi="Verdana"/>
          <w:sz w:val="20"/>
          <w:szCs w:val="20"/>
          <w:lang w:val="en-US"/>
        </w:rPr>
      </w:pPr>
    </w:p>
    <w:p w14:paraId="1C236AE9" w14:textId="77777777" w:rsidR="00CD2B15" w:rsidRPr="0056383C" w:rsidRDefault="00CD2B15" w:rsidP="00CD2B15">
      <w:pPr>
        <w:pStyle w:val="Ttulo1"/>
        <w:spacing w:line="360" w:lineRule="auto"/>
        <w:rPr>
          <w:b w:val="0"/>
          <w:lang w:val="en-US"/>
        </w:rPr>
      </w:pPr>
      <w:r w:rsidRPr="0056383C">
        <w:rPr>
          <w:b w:val="0"/>
          <w:lang w:val="en-US"/>
        </w:rPr>
        <w:t xml:space="preserve">I. THE RIGHT TO SOCIAL SECURITY AS AN AUTONOMOUS RIGHT </w:t>
      </w:r>
    </w:p>
    <w:p w14:paraId="15C93A59" w14:textId="77777777" w:rsidR="00CD2B15" w:rsidRPr="0056383C" w:rsidRDefault="00CD2B15" w:rsidP="00CD2B15">
      <w:pPr>
        <w:pStyle w:val="Ttulo1"/>
        <w:rPr>
          <w:b w:val="0"/>
          <w:lang w:val="en-US"/>
        </w:rPr>
      </w:pPr>
      <w:r w:rsidRPr="0056383C">
        <w:rPr>
          <w:b w:val="0"/>
          <w:lang w:val="en-US"/>
        </w:rPr>
        <w:t xml:space="preserve">AND ITS IMPORTANCE FOR INTERNATIONAL LAW </w:t>
      </w:r>
    </w:p>
    <w:p w14:paraId="63D029AB" w14:textId="77777777" w:rsidR="00CD2B15" w:rsidRPr="0056383C" w:rsidRDefault="00CD2B15" w:rsidP="00CD2B15">
      <w:pPr>
        <w:rPr>
          <w:lang w:val="en-US"/>
        </w:rPr>
      </w:pPr>
    </w:p>
    <w:p w14:paraId="43DB6DF2" w14:textId="77777777" w:rsidR="00CD2B15" w:rsidRPr="0056383C" w:rsidRDefault="00CD2B15" w:rsidP="00CD2B15">
      <w:pPr>
        <w:outlineLvl w:val="1"/>
        <w:rPr>
          <w:rFonts w:ascii="Verdana" w:hAnsi="Verdana"/>
          <w:i/>
          <w:sz w:val="20"/>
          <w:szCs w:val="20"/>
          <w:lang w:val="en-US"/>
        </w:rPr>
      </w:pPr>
      <w:r w:rsidRPr="0056383C">
        <w:rPr>
          <w:rFonts w:ascii="Verdana" w:hAnsi="Verdana"/>
          <w:i/>
          <w:sz w:val="20"/>
          <w:szCs w:val="20"/>
          <w:lang w:val="en-US"/>
        </w:rPr>
        <w:t>a)  Universal system</w:t>
      </w:r>
      <w:r w:rsidRPr="0056383C">
        <w:rPr>
          <w:rFonts w:ascii="Verdana" w:hAnsi="Verdana"/>
          <w:i/>
          <w:sz w:val="20"/>
          <w:szCs w:val="20"/>
          <w:lang w:val="en-US"/>
        </w:rPr>
        <w:tab/>
      </w:r>
    </w:p>
    <w:p w14:paraId="5415BB2C" w14:textId="77777777" w:rsidR="00CD2B15" w:rsidRPr="0056383C" w:rsidRDefault="00CD2B15" w:rsidP="00CD2B15">
      <w:pPr>
        <w:pStyle w:val="Prrafodelista"/>
        <w:ind w:left="360"/>
        <w:rPr>
          <w:rFonts w:ascii="Verdana" w:hAnsi="Verdana"/>
          <w:sz w:val="20"/>
          <w:szCs w:val="20"/>
          <w:lang w:val="en-US"/>
        </w:rPr>
      </w:pPr>
    </w:p>
    <w:p w14:paraId="60BA7427"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The right to social security was established in the universal system of human rights, by Article 22 of the Universal Declaration of Human Rights.</w:t>
      </w:r>
      <w:r w:rsidRPr="0056383C">
        <w:rPr>
          <w:rStyle w:val="Refdenotaalpie"/>
          <w:szCs w:val="20"/>
          <w:lang w:val="en-US"/>
        </w:rPr>
        <w:footnoteReference w:id="277"/>
      </w:r>
      <w:r w:rsidRPr="0056383C">
        <w:rPr>
          <w:rFonts w:ascii="Verdana" w:hAnsi="Verdana"/>
          <w:sz w:val="20"/>
          <w:szCs w:val="20"/>
          <w:lang w:val="en-US"/>
        </w:rPr>
        <w:t xml:space="preserve"> However, this right was defined more specifically in 1966 in the International Covenant on Economic, Social and Cultural Rights. Article 9 of that treaty stipulated that “The States Parties to the present Covenant recognize the right of everyone to social security, including social insurance.</w:t>
      </w:r>
      <w:r w:rsidRPr="0056383C">
        <w:rPr>
          <w:rFonts w:ascii="Verdana" w:hAnsi="Verdana"/>
          <w:color w:val="000000"/>
          <w:sz w:val="20"/>
          <w:szCs w:val="20"/>
          <w:shd w:val="clear" w:color="auto" w:fill="FFFFFF"/>
          <w:lang w:val="en-US"/>
        </w:rPr>
        <w:t>” In particular, the content of this right was developed by the CESCR, in General Comment No. 19 on the right to social security.</w:t>
      </w:r>
      <w:r w:rsidRPr="0056383C">
        <w:rPr>
          <w:rStyle w:val="Refdenotaalpie"/>
          <w:color w:val="000000"/>
          <w:szCs w:val="20"/>
          <w:shd w:val="clear" w:color="auto" w:fill="FFFFFF"/>
          <w:lang w:val="en-US"/>
        </w:rPr>
        <w:footnoteReference w:id="278"/>
      </w:r>
      <w:r w:rsidRPr="0056383C">
        <w:rPr>
          <w:rFonts w:ascii="Verdana" w:hAnsi="Verdana"/>
          <w:color w:val="000000"/>
          <w:sz w:val="20"/>
          <w:szCs w:val="20"/>
          <w:shd w:val="clear" w:color="auto" w:fill="FFFFFF"/>
          <w:lang w:val="en-US"/>
        </w:rPr>
        <w:t xml:space="preserve"> </w:t>
      </w:r>
    </w:p>
    <w:p w14:paraId="6C06EEF5" w14:textId="77777777" w:rsidR="00CD2B15" w:rsidRPr="0056383C" w:rsidRDefault="00CD2B15" w:rsidP="00CD2B15">
      <w:pPr>
        <w:pStyle w:val="Prrafodelista"/>
        <w:ind w:left="0"/>
        <w:rPr>
          <w:rFonts w:ascii="Verdana" w:hAnsi="Verdana"/>
          <w:b/>
          <w:sz w:val="20"/>
          <w:szCs w:val="20"/>
          <w:lang w:val="en-US"/>
        </w:rPr>
      </w:pPr>
    </w:p>
    <w:p w14:paraId="610A1155" w14:textId="77777777" w:rsidR="00CD2B15" w:rsidRPr="0056383C" w:rsidRDefault="00CD2B15" w:rsidP="00D17A65">
      <w:pPr>
        <w:pStyle w:val="Prrafodelista"/>
        <w:widowControl/>
        <w:numPr>
          <w:ilvl w:val="0"/>
          <w:numId w:val="16"/>
        </w:numPr>
        <w:adjustRightInd/>
        <w:ind w:left="0" w:firstLine="0"/>
        <w:textAlignment w:val="auto"/>
        <w:rPr>
          <w:rFonts w:ascii="Verdana" w:hAnsi="Verdana"/>
          <w:b/>
          <w:sz w:val="20"/>
          <w:szCs w:val="20"/>
          <w:lang w:val="en-US"/>
        </w:rPr>
      </w:pPr>
      <w:r w:rsidRPr="0056383C">
        <w:rPr>
          <w:rFonts w:ascii="Verdana" w:hAnsi="Verdana"/>
          <w:sz w:val="20"/>
          <w:szCs w:val="20"/>
          <w:lang w:val="en-US"/>
        </w:rPr>
        <w:t xml:space="preserve">In this regard it is important to stress the standards that have been incorporated into inter-American case law with regard to social security and which are consistent with the content developed by the CESCR. First, the right to social security can be conceptualized as </w:t>
      </w:r>
      <w:r w:rsidRPr="0056383C">
        <w:rPr>
          <w:rFonts w:ascii="Verdana" w:hAnsi="Verdana"/>
          <w:sz w:val="20"/>
          <w:szCs w:val="20"/>
          <w:lang w:val="en-US"/>
        </w:rPr>
        <w:lastRenderedPageBreak/>
        <w:t>the right “[t]o access</w:t>
      </w:r>
      <w:r w:rsidRPr="0056383C">
        <w:rPr>
          <w:rFonts w:ascii="Verdana" w:hAnsi="Verdana"/>
          <w:snapToGrid w:val="0"/>
          <w:sz w:val="20"/>
          <w:szCs w:val="20"/>
          <w:lang w:val="en-US"/>
        </w:rPr>
        <w:t xml:space="preserve"> and maintain benefits whether in cash or in kind, without discrimination, in order to secure protection, </w:t>
      </w:r>
      <w:r w:rsidRPr="0056383C">
        <w:rPr>
          <w:rFonts w:ascii="Verdana" w:hAnsi="Verdana"/>
          <w:i/>
          <w:iCs/>
          <w:snapToGrid w:val="0"/>
          <w:sz w:val="20"/>
          <w:szCs w:val="20"/>
          <w:lang w:val="en-US"/>
        </w:rPr>
        <w:t>inter alia,</w:t>
      </w:r>
      <w:r w:rsidRPr="0056383C">
        <w:rPr>
          <w:rFonts w:ascii="Verdana" w:hAnsi="Verdana"/>
          <w:snapToGrid w:val="0"/>
          <w:sz w:val="20"/>
          <w:szCs w:val="20"/>
          <w:lang w:val="en-US"/>
        </w:rPr>
        <w:t xml:space="preserve"> from […] a lack of work-related income.”</w:t>
      </w:r>
      <w:r w:rsidRPr="0056383C">
        <w:rPr>
          <w:rStyle w:val="Refdenotaalpie"/>
          <w:snapToGrid w:val="0"/>
          <w:szCs w:val="20"/>
          <w:lang w:val="en-US"/>
        </w:rPr>
        <w:footnoteReference w:id="279"/>
      </w:r>
      <w:r w:rsidRPr="0056383C">
        <w:rPr>
          <w:rFonts w:ascii="Verdana" w:hAnsi="Verdana"/>
          <w:sz w:val="20"/>
          <w:szCs w:val="20"/>
          <w:lang w:val="en-US"/>
        </w:rPr>
        <w:t xml:space="preserve"> </w:t>
      </w:r>
    </w:p>
    <w:p w14:paraId="5A47CC1C" w14:textId="77777777" w:rsidR="00CD2B15" w:rsidRPr="0056383C" w:rsidRDefault="00CD2B15" w:rsidP="00CD2B15">
      <w:pPr>
        <w:pStyle w:val="Prrafodelista"/>
        <w:rPr>
          <w:rFonts w:ascii="Verdana" w:hAnsi="Verdana"/>
          <w:b/>
          <w:sz w:val="20"/>
          <w:szCs w:val="20"/>
          <w:lang w:val="en-US"/>
        </w:rPr>
      </w:pPr>
    </w:p>
    <w:p w14:paraId="0F6E2D09" w14:textId="77777777" w:rsidR="00CD2B15" w:rsidRPr="0056383C" w:rsidRDefault="00CD2B15" w:rsidP="00D17A65">
      <w:pPr>
        <w:pStyle w:val="Prrafodelista"/>
        <w:widowControl/>
        <w:numPr>
          <w:ilvl w:val="0"/>
          <w:numId w:val="16"/>
        </w:numPr>
        <w:adjustRightInd/>
        <w:ind w:left="0" w:firstLine="0"/>
        <w:textAlignment w:val="auto"/>
        <w:rPr>
          <w:rFonts w:ascii="Verdana" w:hAnsi="Verdana"/>
          <w:sz w:val="20"/>
          <w:szCs w:val="20"/>
          <w:lang w:val="en-US"/>
        </w:rPr>
      </w:pPr>
      <w:r w:rsidRPr="0056383C">
        <w:rPr>
          <w:rFonts w:ascii="Verdana" w:hAnsi="Verdana"/>
          <w:sz w:val="20"/>
          <w:szCs w:val="20"/>
          <w:lang w:val="en-US"/>
        </w:rPr>
        <w:t>The CESCR has also indicated “a number of essential factors” that apply in any situation or circumstance, namely: (</w:t>
      </w:r>
      <w:proofErr w:type="spellStart"/>
      <w:r w:rsidRPr="0056383C">
        <w:rPr>
          <w:rFonts w:ascii="Verdana" w:hAnsi="Verdana"/>
          <w:sz w:val="20"/>
          <w:szCs w:val="20"/>
          <w:lang w:val="en-US"/>
        </w:rPr>
        <w:t>i</w:t>
      </w:r>
      <w:proofErr w:type="spellEnd"/>
      <w:r w:rsidRPr="0056383C">
        <w:rPr>
          <w:rFonts w:ascii="Verdana" w:hAnsi="Verdana"/>
          <w:sz w:val="20"/>
          <w:szCs w:val="20"/>
          <w:lang w:val="en-US"/>
        </w:rPr>
        <w:t>) availability; (ii) social risks and contingencies: (a) health care, (b) sickness, (c) old age, (d) unemployment, (e) unemployment injury, (f) family and child support, (g) maternity, (h) disability, and (</w:t>
      </w:r>
      <w:proofErr w:type="spellStart"/>
      <w:r w:rsidRPr="0056383C">
        <w:rPr>
          <w:rFonts w:ascii="Verdana" w:hAnsi="Verdana"/>
          <w:sz w:val="20"/>
          <w:szCs w:val="20"/>
          <w:lang w:val="en-US"/>
        </w:rPr>
        <w:t>i</w:t>
      </w:r>
      <w:proofErr w:type="spellEnd"/>
      <w:r w:rsidRPr="0056383C">
        <w:rPr>
          <w:rFonts w:ascii="Verdana" w:hAnsi="Verdana"/>
          <w:sz w:val="20"/>
          <w:szCs w:val="20"/>
          <w:lang w:val="en-US"/>
        </w:rPr>
        <w:t>) survivors and orphans; (iii) adequacy; (iv) accessibility: (a) coverage, (b) eligibility, (c) affordability, (d) participation and information, and (e) physical access.</w:t>
      </w:r>
      <w:r w:rsidRPr="0056383C">
        <w:rPr>
          <w:rStyle w:val="Refdenotaalpie"/>
          <w:szCs w:val="20"/>
          <w:lang w:val="en-US"/>
        </w:rPr>
        <w:footnoteReference w:id="280"/>
      </w:r>
      <w:r w:rsidRPr="0056383C">
        <w:rPr>
          <w:rFonts w:ascii="Verdana" w:hAnsi="Verdana"/>
          <w:sz w:val="20"/>
          <w:szCs w:val="20"/>
          <w:lang w:val="en-US"/>
        </w:rPr>
        <w:t xml:space="preserve"> </w:t>
      </w:r>
    </w:p>
    <w:p w14:paraId="10C2641A" w14:textId="77777777" w:rsidR="00CD2B15" w:rsidRPr="0056383C" w:rsidRDefault="00CD2B15" w:rsidP="00CD2B15">
      <w:pPr>
        <w:rPr>
          <w:rFonts w:ascii="Verdana" w:hAnsi="Verdana"/>
          <w:sz w:val="20"/>
          <w:szCs w:val="20"/>
          <w:lang w:val="en-US"/>
        </w:rPr>
      </w:pPr>
    </w:p>
    <w:p w14:paraId="0C86E4E8" w14:textId="77777777" w:rsidR="00CD2B15" w:rsidRPr="0056383C" w:rsidRDefault="00CD2B15" w:rsidP="00D17A65">
      <w:pPr>
        <w:pStyle w:val="Prrafodelista"/>
        <w:widowControl/>
        <w:numPr>
          <w:ilvl w:val="0"/>
          <w:numId w:val="16"/>
        </w:numPr>
        <w:adjustRightInd/>
        <w:ind w:left="0" w:firstLine="0"/>
        <w:textAlignment w:val="auto"/>
        <w:rPr>
          <w:rFonts w:ascii="Verdana" w:hAnsi="Verdana"/>
          <w:sz w:val="20"/>
          <w:szCs w:val="20"/>
          <w:lang w:val="en-US"/>
        </w:rPr>
      </w:pPr>
      <w:r w:rsidRPr="0056383C">
        <w:rPr>
          <w:rFonts w:ascii="Verdana" w:hAnsi="Verdana"/>
          <w:sz w:val="20"/>
          <w:szCs w:val="20"/>
          <w:lang w:val="en-US"/>
        </w:rPr>
        <w:t xml:space="preserve">It is worth pointing out that the CESCR has declared the violation of the right to social security in its system of individual communications. In 2017, the CESCR ruled on this issue in </w:t>
      </w:r>
      <w:r w:rsidRPr="0056383C">
        <w:rPr>
          <w:rFonts w:ascii="Verdana" w:hAnsi="Verdana"/>
          <w:i/>
          <w:sz w:val="20"/>
          <w:szCs w:val="20"/>
          <w:lang w:val="en-US"/>
        </w:rPr>
        <w:t xml:space="preserve">Trujillo Calero v. Ecuador, </w:t>
      </w:r>
      <w:r w:rsidRPr="0056383C">
        <w:rPr>
          <w:rFonts w:ascii="Verdana" w:hAnsi="Verdana"/>
          <w:sz w:val="20"/>
          <w:szCs w:val="20"/>
          <w:lang w:val="en-US"/>
        </w:rPr>
        <w:t>based on General Comments No. 6 (older persons) and No. 19 (social security; according to the CESCR, “the right to social security is of central importance in guaranteeing human dignity.”</w:t>
      </w:r>
      <w:r w:rsidRPr="0056383C">
        <w:rPr>
          <w:rStyle w:val="Refdenotaalpie"/>
          <w:szCs w:val="20"/>
          <w:lang w:val="en-US"/>
        </w:rPr>
        <w:footnoteReference w:id="281"/>
      </w:r>
      <w:r w:rsidRPr="0056383C">
        <w:rPr>
          <w:rFonts w:ascii="Verdana" w:hAnsi="Verdana"/>
          <w:sz w:val="20"/>
          <w:szCs w:val="20"/>
          <w:lang w:val="en-US"/>
        </w:rPr>
        <w:t xml:space="preserve"> It has also considered that Article 9 of the Covenant “implicitly recognizes the right to old-age benefits.”</w:t>
      </w:r>
      <w:r w:rsidRPr="0056383C">
        <w:rPr>
          <w:rStyle w:val="Refdenotaalpie"/>
          <w:szCs w:val="20"/>
          <w:lang w:val="en-US"/>
        </w:rPr>
        <w:footnoteReference w:id="282"/>
      </w:r>
    </w:p>
    <w:p w14:paraId="2E08593F" w14:textId="77777777" w:rsidR="00CD2B15" w:rsidRPr="0056383C" w:rsidRDefault="00CD2B15" w:rsidP="00CD2B15">
      <w:pPr>
        <w:rPr>
          <w:rFonts w:ascii="Verdana" w:hAnsi="Verdana"/>
          <w:sz w:val="20"/>
          <w:szCs w:val="20"/>
          <w:lang w:val="en-US"/>
        </w:rPr>
      </w:pPr>
    </w:p>
    <w:p w14:paraId="11548BDF" w14:textId="77777777" w:rsidR="00CD2B15" w:rsidRPr="0056383C" w:rsidRDefault="00CD2B15" w:rsidP="00CD2B15">
      <w:pPr>
        <w:outlineLvl w:val="1"/>
        <w:rPr>
          <w:rFonts w:ascii="Verdana" w:hAnsi="Verdana"/>
          <w:i/>
          <w:sz w:val="20"/>
          <w:szCs w:val="20"/>
          <w:lang w:val="en-US"/>
        </w:rPr>
      </w:pPr>
      <w:r w:rsidRPr="0056383C">
        <w:rPr>
          <w:rFonts w:ascii="Verdana" w:hAnsi="Verdana"/>
          <w:i/>
          <w:sz w:val="20"/>
          <w:szCs w:val="20"/>
          <w:lang w:val="en-US"/>
        </w:rPr>
        <w:t>b)  African system of human rights</w:t>
      </w:r>
    </w:p>
    <w:p w14:paraId="7386B683" w14:textId="77777777" w:rsidR="00CD2B15" w:rsidRPr="0056383C" w:rsidRDefault="00CD2B15" w:rsidP="00CD2B15">
      <w:pPr>
        <w:pStyle w:val="Prrafodelista"/>
        <w:ind w:left="1440"/>
        <w:outlineLvl w:val="1"/>
        <w:rPr>
          <w:rFonts w:ascii="Verdana" w:hAnsi="Verdana"/>
          <w:i/>
          <w:sz w:val="20"/>
          <w:szCs w:val="20"/>
          <w:lang w:val="en-US"/>
        </w:rPr>
      </w:pPr>
    </w:p>
    <w:p w14:paraId="1214AAE4" w14:textId="77777777" w:rsidR="00CD2B15" w:rsidRPr="0056383C" w:rsidRDefault="00CD2B15" w:rsidP="00CD2B15">
      <w:pPr>
        <w:pStyle w:val="HTMLconformatoprevio"/>
        <w:rPr>
          <w:rFonts w:ascii="Verdana" w:hAnsi="Verdana" w:cs="Arial"/>
          <w:iCs/>
          <w:lang w:val="en-US"/>
        </w:rPr>
      </w:pPr>
      <w:r w:rsidRPr="0056383C">
        <w:rPr>
          <w:rFonts w:ascii="Verdana" w:hAnsi="Verdana" w:cs="Arial"/>
          <w:lang w:val="en-US"/>
        </w:rPr>
        <w:t xml:space="preserve">16. </w:t>
      </w:r>
      <w:r w:rsidRPr="0056383C">
        <w:rPr>
          <w:rFonts w:ascii="Verdana" w:hAnsi="Verdana" w:cs="Arial"/>
          <w:lang w:val="en-US"/>
        </w:rPr>
        <w:tab/>
        <w:t xml:space="preserve">Under the African system, the right to social security is not included in the 1991 African Charter of Human and Peoples’ Rights. Moreover, although the African Charter explicitly includes social rights, </w:t>
      </w:r>
      <w:r w:rsidRPr="0056383C">
        <w:rPr>
          <w:rFonts w:ascii="Verdana" w:hAnsi="Verdana" w:cs="Arial"/>
          <w:i/>
          <w:iCs/>
          <w:lang w:val="en-US"/>
        </w:rPr>
        <w:t>a number of social rights are missing</w:t>
      </w:r>
      <w:r w:rsidRPr="0056383C">
        <w:rPr>
          <w:rFonts w:ascii="Verdana" w:hAnsi="Verdana" w:cs="Arial"/>
          <w:lang w:val="en-US"/>
        </w:rPr>
        <w:t>. Thus, the Banjul Charter does not expressly refer to adequate living standards (including the right to food, clothing and housing), the right to social security, or the benefits of scientific advances. These “missing” rights in the Banjul Charter relate to the socio-economic necessities of the African peoples who are predominantly rural and impoverished and who have limited access to safe drinking water, adequate housing, food, etc.</w:t>
      </w:r>
      <w:r w:rsidRPr="0056383C">
        <w:rPr>
          <w:rStyle w:val="Refdenotaalpie"/>
          <w:rFonts w:cs="Arial"/>
          <w:lang w:val="en-US"/>
        </w:rPr>
        <w:footnoteReference w:id="283"/>
      </w:r>
      <w:r w:rsidRPr="0056383C">
        <w:rPr>
          <w:rFonts w:ascii="Verdana" w:hAnsi="Verdana" w:cs="Arial"/>
          <w:lang w:val="en-US"/>
        </w:rPr>
        <w:t xml:space="preserve"> The adoption, in 2016, of the</w:t>
      </w:r>
      <w:r w:rsidRPr="0056383C">
        <w:rPr>
          <w:rFonts w:ascii="Verdana" w:hAnsi="Verdana"/>
          <w:i/>
          <w:sz w:val="16"/>
          <w:szCs w:val="16"/>
          <w:lang w:val="en-US"/>
        </w:rPr>
        <w:t xml:space="preserve"> </w:t>
      </w:r>
      <w:r w:rsidRPr="0056383C">
        <w:rPr>
          <w:rFonts w:ascii="Verdana" w:hAnsi="Verdana"/>
          <w:iCs/>
          <w:lang w:val="en-US"/>
        </w:rPr>
        <w:t>Protocol to the African Charter on Human and Peoples’ Rights on the Rights of Older Persons in Africa</w:t>
      </w:r>
      <w:r w:rsidRPr="0056383C">
        <w:rPr>
          <w:rStyle w:val="Refdenotaalpie"/>
          <w:lang w:val="en-US"/>
        </w:rPr>
        <w:footnoteReference w:id="284"/>
      </w:r>
      <w:r w:rsidRPr="0056383C">
        <w:rPr>
          <w:rFonts w:ascii="Verdana" w:hAnsi="Verdana" w:cs="Arial"/>
          <w:iCs/>
          <w:lang w:val="en-US"/>
        </w:rPr>
        <w:t xml:space="preserve"> was an important step forward, and its</w:t>
      </w:r>
      <w:r w:rsidRPr="0056383C">
        <w:rPr>
          <w:rFonts w:ascii="Verdana" w:hAnsi="Verdana"/>
          <w:lang w:val="en-US"/>
        </w:rPr>
        <w:t xml:space="preserve"> Article 7 (Social Protection) establishes that the “States Parties shall: 1. Develop policies and legislation that ensure that older persons who retire from their employment are provided with adequate pensions and other forms of social security.”</w:t>
      </w:r>
    </w:p>
    <w:p w14:paraId="3DECA480" w14:textId="77777777" w:rsidR="00CD2B15" w:rsidRPr="0056383C" w:rsidRDefault="00CD2B15" w:rsidP="00CD2B15">
      <w:pPr>
        <w:outlineLvl w:val="1"/>
        <w:rPr>
          <w:rFonts w:ascii="Verdana" w:hAnsi="Verdana"/>
          <w:i/>
          <w:sz w:val="20"/>
          <w:szCs w:val="20"/>
          <w:lang w:val="en-US"/>
        </w:rPr>
      </w:pPr>
    </w:p>
    <w:p w14:paraId="3A6F9AC4" w14:textId="77777777" w:rsidR="00CD2B15" w:rsidRPr="0056383C" w:rsidRDefault="00CD2B15" w:rsidP="00CD2B15">
      <w:pPr>
        <w:outlineLvl w:val="1"/>
        <w:rPr>
          <w:rFonts w:ascii="Verdana" w:hAnsi="Verdana"/>
          <w:i/>
          <w:sz w:val="20"/>
          <w:szCs w:val="20"/>
          <w:lang w:val="en-US"/>
        </w:rPr>
      </w:pPr>
      <w:r w:rsidRPr="0056383C">
        <w:rPr>
          <w:rFonts w:ascii="Verdana" w:hAnsi="Verdana"/>
          <w:i/>
          <w:sz w:val="20"/>
          <w:szCs w:val="20"/>
          <w:lang w:val="en-US"/>
        </w:rPr>
        <w:t>c)  European system of human rights</w:t>
      </w:r>
    </w:p>
    <w:p w14:paraId="669129FE" w14:textId="77777777" w:rsidR="00CD2B15" w:rsidRPr="0056383C" w:rsidRDefault="00CD2B15" w:rsidP="00CD2B15">
      <w:pPr>
        <w:rPr>
          <w:rFonts w:ascii="Verdana" w:hAnsi="Verdana"/>
          <w:sz w:val="20"/>
          <w:szCs w:val="20"/>
          <w:lang w:val="en-US"/>
        </w:rPr>
      </w:pPr>
    </w:p>
    <w:p w14:paraId="6A04D87A" w14:textId="77777777" w:rsidR="00CD2B15" w:rsidRPr="0056383C" w:rsidRDefault="00CD2B15" w:rsidP="00CD2B15">
      <w:pPr>
        <w:pStyle w:val="Prrafodelista"/>
        <w:ind w:left="0"/>
        <w:rPr>
          <w:rFonts w:ascii="Verdana" w:hAnsi="Verdana" w:cs="Arial"/>
          <w:sz w:val="20"/>
          <w:szCs w:val="20"/>
          <w:lang w:val="en-US"/>
        </w:rPr>
      </w:pPr>
      <w:r w:rsidRPr="0056383C">
        <w:rPr>
          <w:rFonts w:ascii="Verdana" w:hAnsi="Verdana" w:cs="Arial"/>
          <w:sz w:val="20"/>
          <w:szCs w:val="20"/>
          <w:lang w:val="en-US"/>
        </w:rPr>
        <w:t xml:space="preserve">17. </w:t>
      </w:r>
      <w:r w:rsidRPr="0056383C">
        <w:rPr>
          <w:rFonts w:ascii="Verdana" w:hAnsi="Verdana" w:cs="Arial"/>
          <w:sz w:val="20"/>
          <w:szCs w:val="20"/>
          <w:lang w:val="en-US"/>
        </w:rPr>
        <w:tab/>
        <w:t xml:space="preserve">The European Court of Human Rights (hereinafter “the European Court”) has understood that the benefits of the social security system may be considered a possession to </w:t>
      </w:r>
      <w:r w:rsidRPr="0056383C">
        <w:rPr>
          <w:rFonts w:ascii="Verdana" w:hAnsi="Verdana" w:cs="Arial"/>
          <w:sz w:val="20"/>
          <w:szCs w:val="20"/>
          <w:lang w:val="en-US"/>
        </w:rPr>
        <w:lastRenderedPageBreak/>
        <w:t>which the individual has a right, insofar as it is recognized by domestic law and precisely owing to his or her contribution to the social security system; a contribution that would give rise to a reasonable expectation of access to the corresponding social security benefits.</w:t>
      </w:r>
      <w:r w:rsidRPr="0056383C">
        <w:rPr>
          <w:rStyle w:val="Refdenotaalpie"/>
          <w:rFonts w:cs="Arial"/>
          <w:szCs w:val="20"/>
          <w:lang w:val="en-US"/>
        </w:rPr>
        <w:footnoteReference w:id="285"/>
      </w:r>
      <w:r w:rsidRPr="0056383C">
        <w:rPr>
          <w:rFonts w:ascii="Verdana" w:hAnsi="Verdana" w:cs="Arial"/>
          <w:sz w:val="20"/>
          <w:szCs w:val="20"/>
          <w:lang w:val="en-US"/>
        </w:rPr>
        <w:t xml:space="preserve"> This right has been derived from the right to protection of property established in Article 1 of Protocol 1 to the Convention for the Protection of Human Rights and Fundamental Freedoms</w:t>
      </w:r>
      <w:r w:rsidRPr="0056383C">
        <w:rPr>
          <w:rStyle w:val="Refdenotaalpie"/>
          <w:rFonts w:cs="Arial"/>
          <w:szCs w:val="20"/>
          <w:lang w:val="en-US"/>
        </w:rPr>
        <w:footnoteReference w:id="286"/>
      </w:r>
      <w:r w:rsidRPr="0056383C">
        <w:rPr>
          <w:rFonts w:ascii="Verdana" w:hAnsi="Verdana" w:cs="Arial"/>
          <w:sz w:val="20"/>
          <w:szCs w:val="20"/>
          <w:lang w:val="en-US"/>
        </w:rPr>
        <w:t xml:space="preserve"> based on the concept of “possessions.”</w:t>
      </w:r>
      <w:r w:rsidRPr="0056383C">
        <w:rPr>
          <w:rStyle w:val="Refdenotaalpie"/>
          <w:rFonts w:cs="Arial"/>
          <w:szCs w:val="20"/>
          <w:lang w:val="en-US"/>
        </w:rPr>
        <w:footnoteReference w:id="287"/>
      </w:r>
      <w:r w:rsidRPr="0056383C">
        <w:rPr>
          <w:rFonts w:ascii="Verdana" w:hAnsi="Verdana" w:cs="Arial"/>
          <w:sz w:val="20"/>
          <w:szCs w:val="20"/>
          <w:lang w:val="en-US"/>
        </w:rPr>
        <w:t xml:space="preserve"> </w:t>
      </w:r>
    </w:p>
    <w:p w14:paraId="56F1AD0A" w14:textId="77777777" w:rsidR="00CD2B15" w:rsidRPr="0056383C" w:rsidRDefault="00CD2B15" w:rsidP="00CD2B15">
      <w:pPr>
        <w:pStyle w:val="Prrafodelista"/>
        <w:rPr>
          <w:rFonts w:ascii="Verdana" w:hAnsi="Verdana"/>
          <w:i/>
          <w:sz w:val="20"/>
          <w:szCs w:val="20"/>
          <w:lang w:val="en-US"/>
        </w:rPr>
      </w:pPr>
    </w:p>
    <w:p w14:paraId="108847FB" w14:textId="77777777" w:rsidR="00CD2B15" w:rsidRPr="0056383C" w:rsidRDefault="00CD2B15" w:rsidP="00CD2B15">
      <w:pPr>
        <w:pStyle w:val="Prrafodelista"/>
        <w:ind w:left="0"/>
        <w:rPr>
          <w:rFonts w:ascii="Verdana" w:hAnsi="Verdana"/>
          <w:sz w:val="20"/>
          <w:szCs w:val="20"/>
          <w:lang w:val="en-US"/>
        </w:rPr>
      </w:pPr>
      <w:r w:rsidRPr="0056383C">
        <w:rPr>
          <w:rFonts w:ascii="Verdana" w:hAnsi="Verdana"/>
          <w:sz w:val="20"/>
          <w:szCs w:val="20"/>
          <w:lang w:val="en-US"/>
        </w:rPr>
        <w:t xml:space="preserve">18. </w:t>
      </w:r>
      <w:r w:rsidRPr="0056383C">
        <w:rPr>
          <w:rFonts w:ascii="Verdana" w:hAnsi="Verdana"/>
          <w:sz w:val="20"/>
          <w:szCs w:val="20"/>
          <w:lang w:val="en-US"/>
        </w:rPr>
        <w:tab/>
        <w:t>The European Court has underlined the special diligence required in the processing of cases in which the matter in question is urgent, identifying, for example, those cases of a work-related nature and concerning pensions. Specifically, in the case of pensions, the European Court has said that</w:t>
      </w:r>
      <w:r w:rsidRPr="0056383C">
        <w:rPr>
          <w:rFonts w:ascii="Verdana" w:hAnsi="Verdana"/>
          <w:bCs/>
          <w:sz w:val="20"/>
          <w:szCs w:val="20"/>
          <w:lang w:val="en-US"/>
        </w:rPr>
        <w:t xml:space="preserve"> special diligence is required in work-related disputes including disputes on pensions.</w:t>
      </w:r>
      <w:r w:rsidRPr="0056383C">
        <w:rPr>
          <w:rStyle w:val="Refdenotaalpie"/>
          <w:szCs w:val="20"/>
          <w:lang w:val="en-US"/>
        </w:rPr>
        <w:footnoteReference w:id="288"/>
      </w:r>
    </w:p>
    <w:p w14:paraId="573E1883" w14:textId="77777777" w:rsidR="00CD2B15" w:rsidRPr="0056383C" w:rsidRDefault="00CD2B15" w:rsidP="00CD2B15">
      <w:pPr>
        <w:pStyle w:val="Prrafodelista"/>
        <w:rPr>
          <w:rFonts w:ascii="Verdana" w:hAnsi="Verdana"/>
          <w:sz w:val="20"/>
          <w:szCs w:val="20"/>
          <w:lang w:val="en-US"/>
        </w:rPr>
      </w:pPr>
    </w:p>
    <w:p w14:paraId="043F3981" w14:textId="469539DE" w:rsidR="00CD2B15" w:rsidRPr="0056383C" w:rsidRDefault="00CD2B15" w:rsidP="00CD2B15">
      <w:pPr>
        <w:pStyle w:val="Prrafodelista"/>
        <w:ind w:left="0"/>
        <w:rPr>
          <w:rFonts w:ascii="Verdana" w:hAnsi="Verdana"/>
          <w:sz w:val="20"/>
          <w:szCs w:val="20"/>
          <w:lang w:val="en-US"/>
        </w:rPr>
      </w:pPr>
      <w:r w:rsidRPr="0056383C">
        <w:rPr>
          <w:rFonts w:ascii="Verdana" w:hAnsi="Verdana"/>
          <w:sz w:val="20"/>
          <w:szCs w:val="20"/>
          <w:lang w:val="en-US"/>
        </w:rPr>
        <w:t xml:space="preserve">19. </w:t>
      </w:r>
      <w:r w:rsidRPr="0056383C">
        <w:rPr>
          <w:rFonts w:ascii="Verdana" w:hAnsi="Verdana"/>
          <w:sz w:val="20"/>
          <w:szCs w:val="20"/>
          <w:lang w:val="en-US"/>
        </w:rPr>
        <w:tab/>
        <w:t>Meanwhile, the European Committee of Social Rights</w:t>
      </w:r>
      <w:r w:rsidRPr="0056383C">
        <w:rPr>
          <w:rStyle w:val="Refdenotaalpie"/>
          <w:szCs w:val="20"/>
          <w:lang w:val="en-US"/>
        </w:rPr>
        <w:footnoteReference w:id="289"/>
      </w:r>
      <w:r w:rsidRPr="0056383C">
        <w:rPr>
          <w:rFonts w:ascii="Verdana" w:hAnsi="Verdana"/>
          <w:sz w:val="20"/>
          <w:szCs w:val="20"/>
          <w:lang w:val="en-US"/>
        </w:rPr>
        <w:t xml:space="preserve"> is the organ responsible for monitoring compliance with the European Social Charter, Article 12 of which explicitly includes the right to social security.</w:t>
      </w:r>
      <w:r w:rsidRPr="0056383C">
        <w:rPr>
          <w:rStyle w:val="Refdenotaalpie"/>
          <w:szCs w:val="20"/>
          <w:lang w:val="en-US"/>
        </w:rPr>
        <w:footnoteReference w:id="290"/>
      </w:r>
      <w:r w:rsidRPr="0056383C">
        <w:rPr>
          <w:rFonts w:ascii="Verdana" w:hAnsi="Verdana"/>
          <w:sz w:val="20"/>
          <w:szCs w:val="20"/>
          <w:lang w:val="en-US"/>
        </w:rPr>
        <w:t xml:space="preserve"> In this way, the European Committee of Social Rights has understood that the right to social security is a fundamental right and that the social security system must cover the traditional social risks providing adequate benefits in respect of medical care, sickness, unemployment, old age, employment injury, family, maternity, etc. It has also specified that the benefits provided within the different branches of social security should be adequate and, in particular, income-substituting benefits should not be so low as to result in</w:t>
      </w:r>
      <w:r w:rsidR="00835718">
        <w:rPr>
          <w:rFonts w:ascii="Verdana" w:hAnsi="Verdana"/>
          <w:sz w:val="20"/>
          <w:szCs w:val="20"/>
          <w:lang w:val="en-US"/>
        </w:rPr>
        <w:t xml:space="preserve">                      </w:t>
      </w:r>
      <w:r w:rsidRPr="0056383C">
        <w:rPr>
          <w:rFonts w:ascii="Verdana" w:hAnsi="Verdana"/>
          <w:sz w:val="20"/>
          <w:szCs w:val="20"/>
          <w:lang w:val="en-US"/>
        </w:rPr>
        <w:t xml:space="preserve"> </w:t>
      </w:r>
      <w:r w:rsidRPr="0056383C">
        <w:rPr>
          <w:rFonts w:ascii="Verdana" w:hAnsi="Verdana"/>
          <w:sz w:val="20"/>
          <w:szCs w:val="20"/>
          <w:lang w:val="en-US"/>
        </w:rPr>
        <w:lastRenderedPageBreak/>
        <w:t>the beneficiaries falling into poverty.</w:t>
      </w:r>
      <w:r w:rsidRPr="0056383C">
        <w:rPr>
          <w:rStyle w:val="Refdenotaalpie"/>
          <w:szCs w:val="20"/>
          <w:lang w:val="en-US"/>
        </w:rPr>
        <w:footnoteReference w:id="291"/>
      </w:r>
      <w:r w:rsidRPr="0056383C">
        <w:rPr>
          <w:rFonts w:ascii="Verdana" w:hAnsi="Verdana"/>
          <w:sz w:val="20"/>
          <w:szCs w:val="20"/>
          <w:lang w:val="en-US"/>
        </w:rPr>
        <w:t xml:space="preserve"> It should be noted that, contrary, to the ICESCR, for example, the European Social Charter disaggregates the content of the right to social security into other provisions such as “The right of employed women to protection” (Art. 8)</w:t>
      </w:r>
      <w:r w:rsidRPr="0056383C">
        <w:rPr>
          <w:rStyle w:val="Refdenotaalpie"/>
          <w:szCs w:val="20"/>
          <w:lang w:val="en-US"/>
        </w:rPr>
        <w:footnoteReference w:id="292"/>
      </w:r>
      <w:r w:rsidRPr="0056383C">
        <w:rPr>
          <w:rFonts w:ascii="Verdana" w:hAnsi="Verdana"/>
          <w:sz w:val="20"/>
          <w:szCs w:val="20"/>
          <w:lang w:val="en-US"/>
        </w:rPr>
        <w:t xml:space="preserve"> or “The right to social and medical assistance” (Art. 13).</w:t>
      </w:r>
      <w:r w:rsidRPr="0056383C">
        <w:rPr>
          <w:rStyle w:val="Refdenotaalpie"/>
          <w:szCs w:val="20"/>
          <w:lang w:val="en-US"/>
        </w:rPr>
        <w:footnoteReference w:id="293"/>
      </w:r>
      <w:r w:rsidRPr="0056383C">
        <w:rPr>
          <w:rFonts w:ascii="Verdana" w:hAnsi="Verdana"/>
          <w:sz w:val="20"/>
          <w:szCs w:val="20"/>
          <w:lang w:val="en-US"/>
        </w:rPr>
        <w:t xml:space="preserve"> In this regard, the Council of Europe’s </w:t>
      </w:r>
      <w:r w:rsidRPr="0056383C">
        <w:rPr>
          <w:rFonts w:ascii="Verdana" w:hAnsi="Verdana"/>
          <w:i/>
          <w:iCs/>
          <w:sz w:val="20"/>
          <w:szCs w:val="20"/>
          <w:lang w:val="en-US"/>
        </w:rPr>
        <w:t xml:space="preserve">Recommendation on the promotion of human rights of older persons, </w:t>
      </w:r>
      <w:r w:rsidRPr="0056383C">
        <w:rPr>
          <w:rFonts w:ascii="Verdana" w:hAnsi="Verdana"/>
          <w:sz w:val="20"/>
          <w:szCs w:val="20"/>
          <w:lang w:val="en-US"/>
        </w:rPr>
        <w:t>adopted in 2014, is also relevant.</w:t>
      </w:r>
      <w:r w:rsidRPr="0056383C">
        <w:rPr>
          <w:rStyle w:val="Refdenotaalpie"/>
          <w:szCs w:val="20"/>
          <w:lang w:val="en-US"/>
        </w:rPr>
        <w:footnoteReference w:id="294"/>
      </w:r>
    </w:p>
    <w:p w14:paraId="088DAA29" w14:textId="77777777" w:rsidR="00CD2B15" w:rsidRPr="0056383C" w:rsidRDefault="00CD2B15" w:rsidP="00CD2B15">
      <w:pPr>
        <w:pStyle w:val="Prrafodelista"/>
        <w:ind w:left="0"/>
        <w:rPr>
          <w:rFonts w:ascii="Verdana" w:hAnsi="Verdana"/>
          <w:sz w:val="20"/>
          <w:szCs w:val="20"/>
          <w:lang w:val="en-US"/>
        </w:rPr>
      </w:pPr>
    </w:p>
    <w:p w14:paraId="3DC5A563" w14:textId="77777777" w:rsidR="00CD2B15" w:rsidRPr="0056383C" w:rsidRDefault="00CD2B15" w:rsidP="00D17A65">
      <w:pPr>
        <w:pStyle w:val="Prrafodelista"/>
        <w:widowControl/>
        <w:numPr>
          <w:ilvl w:val="0"/>
          <w:numId w:val="18"/>
        </w:numPr>
        <w:adjustRightInd/>
        <w:textAlignment w:val="auto"/>
        <w:outlineLvl w:val="1"/>
        <w:rPr>
          <w:rFonts w:ascii="Verdana" w:hAnsi="Verdana"/>
          <w:i/>
          <w:sz w:val="20"/>
          <w:szCs w:val="20"/>
          <w:lang w:val="en-US"/>
        </w:rPr>
      </w:pPr>
      <w:r w:rsidRPr="0056383C">
        <w:rPr>
          <w:rFonts w:ascii="Verdana" w:hAnsi="Verdana"/>
          <w:i/>
          <w:sz w:val="20"/>
          <w:szCs w:val="20"/>
          <w:lang w:val="en-US"/>
        </w:rPr>
        <w:t xml:space="preserve">Inter-American system of human rights: </w:t>
      </w:r>
      <w:proofErr w:type="gramStart"/>
      <w:r w:rsidRPr="0056383C">
        <w:rPr>
          <w:rFonts w:ascii="Verdana" w:hAnsi="Verdana"/>
          <w:i/>
          <w:sz w:val="20"/>
          <w:szCs w:val="20"/>
          <w:lang w:val="en-US"/>
        </w:rPr>
        <w:t>the</w:t>
      </w:r>
      <w:proofErr w:type="gramEnd"/>
      <w:r w:rsidRPr="0056383C">
        <w:rPr>
          <w:rFonts w:ascii="Verdana" w:hAnsi="Verdana"/>
          <w:i/>
          <w:sz w:val="20"/>
          <w:szCs w:val="20"/>
          <w:lang w:val="en-US"/>
        </w:rPr>
        <w:t xml:space="preserve"> Inter-American Court’s interpretation of Article 26 and the right to social security as an autonomous right </w:t>
      </w:r>
    </w:p>
    <w:p w14:paraId="62668D2C" w14:textId="77777777" w:rsidR="00CD2B15" w:rsidRPr="0056383C" w:rsidRDefault="00CD2B15" w:rsidP="00CD2B15">
      <w:pPr>
        <w:tabs>
          <w:tab w:val="left" w:pos="709"/>
          <w:tab w:val="left" w:pos="9356"/>
        </w:tabs>
        <w:ind w:right="6"/>
        <w:rPr>
          <w:rFonts w:ascii="Verdana" w:hAnsi="Verdana" w:cs="Arial"/>
          <w:color w:val="000000"/>
          <w:sz w:val="20"/>
          <w:szCs w:val="20"/>
          <w:lang w:val="en-US"/>
        </w:rPr>
      </w:pPr>
    </w:p>
    <w:p w14:paraId="1342B265" w14:textId="77777777" w:rsidR="00CD2B15" w:rsidRPr="0056383C" w:rsidRDefault="00CD2B15" w:rsidP="00D17A65">
      <w:pPr>
        <w:pStyle w:val="Prrafodelista"/>
        <w:widowControl/>
        <w:numPr>
          <w:ilvl w:val="0"/>
          <w:numId w:val="17"/>
        </w:numPr>
        <w:tabs>
          <w:tab w:val="left" w:pos="709"/>
          <w:tab w:val="left" w:pos="9356"/>
        </w:tabs>
        <w:adjustRightInd/>
        <w:ind w:right="6"/>
        <w:textAlignment w:val="auto"/>
        <w:rPr>
          <w:rFonts w:ascii="Verdana" w:hAnsi="Verdana" w:cs="Arial"/>
          <w:color w:val="000000"/>
          <w:sz w:val="20"/>
          <w:szCs w:val="20"/>
          <w:u w:val="single"/>
          <w:lang w:val="en-US"/>
        </w:rPr>
      </w:pPr>
      <w:r w:rsidRPr="0056383C">
        <w:rPr>
          <w:rFonts w:ascii="Verdana" w:hAnsi="Verdana" w:cs="Arial"/>
          <w:color w:val="000000"/>
          <w:sz w:val="20"/>
          <w:szCs w:val="20"/>
          <w:u w:val="single"/>
          <w:lang w:val="en-US"/>
        </w:rPr>
        <w:t xml:space="preserve">The right to social security prior to the </w:t>
      </w:r>
      <w:r w:rsidRPr="0056383C">
        <w:rPr>
          <w:rFonts w:ascii="Verdana" w:hAnsi="Verdana" w:cs="Arial"/>
          <w:i/>
          <w:color w:val="000000"/>
          <w:sz w:val="20"/>
          <w:szCs w:val="20"/>
          <w:u w:val="single"/>
          <w:lang w:val="en-US"/>
        </w:rPr>
        <w:t>Case of Lagos del Campo v. Peru</w:t>
      </w:r>
      <w:r w:rsidRPr="0056383C">
        <w:rPr>
          <w:rFonts w:ascii="Verdana" w:hAnsi="Verdana" w:cs="Arial"/>
          <w:color w:val="000000"/>
          <w:sz w:val="20"/>
          <w:szCs w:val="20"/>
          <w:u w:val="single"/>
          <w:lang w:val="en-US"/>
        </w:rPr>
        <w:t xml:space="preserve"> </w:t>
      </w:r>
    </w:p>
    <w:p w14:paraId="00C28544" w14:textId="77777777" w:rsidR="00CD2B15" w:rsidRPr="0056383C" w:rsidRDefault="00CD2B15" w:rsidP="00CD2B15">
      <w:pPr>
        <w:pStyle w:val="Prrafodelista"/>
        <w:tabs>
          <w:tab w:val="left" w:pos="709"/>
          <w:tab w:val="left" w:pos="9356"/>
        </w:tabs>
        <w:ind w:right="6"/>
        <w:rPr>
          <w:rFonts w:ascii="Verdana" w:hAnsi="Verdana" w:cs="Arial"/>
          <w:color w:val="000000"/>
          <w:sz w:val="20"/>
          <w:szCs w:val="20"/>
          <w:u w:val="single"/>
          <w:lang w:val="en-US"/>
        </w:rPr>
      </w:pPr>
    </w:p>
    <w:p w14:paraId="417F3A80" w14:textId="77777777" w:rsidR="00CD2B15" w:rsidRPr="0056383C" w:rsidRDefault="00CD2B15" w:rsidP="00CD2B15">
      <w:pPr>
        <w:pStyle w:val="Prrafodelista"/>
        <w:tabs>
          <w:tab w:val="left" w:pos="0"/>
          <w:tab w:val="left" w:pos="720"/>
        </w:tabs>
        <w:ind w:left="0" w:right="6"/>
        <w:rPr>
          <w:rFonts w:ascii="Verdana" w:hAnsi="Verdana" w:cs="Arial"/>
          <w:color w:val="000000"/>
          <w:sz w:val="20"/>
          <w:szCs w:val="20"/>
          <w:lang w:val="en-US"/>
        </w:rPr>
      </w:pPr>
      <w:r w:rsidRPr="0056383C">
        <w:rPr>
          <w:rFonts w:ascii="Verdana" w:hAnsi="Verdana" w:cs="Arial"/>
          <w:color w:val="000000"/>
          <w:sz w:val="20"/>
          <w:szCs w:val="20"/>
          <w:lang w:val="en-US"/>
        </w:rPr>
        <w:t xml:space="preserve">20. </w:t>
      </w:r>
      <w:r w:rsidRPr="0056383C">
        <w:rPr>
          <w:rFonts w:ascii="Verdana" w:hAnsi="Verdana" w:cs="Arial"/>
          <w:color w:val="000000"/>
          <w:sz w:val="20"/>
          <w:szCs w:val="20"/>
          <w:lang w:val="en-US"/>
        </w:rPr>
        <w:tab/>
        <w:t xml:space="preserve">In relation to the </w:t>
      </w:r>
      <w:r w:rsidRPr="0056383C">
        <w:rPr>
          <w:rFonts w:ascii="Verdana" w:hAnsi="Verdana" w:cs="Arial"/>
          <w:i/>
          <w:color w:val="000000"/>
          <w:sz w:val="20"/>
          <w:szCs w:val="20"/>
          <w:lang w:val="en-US"/>
        </w:rPr>
        <w:t>right to social security</w:t>
      </w:r>
      <w:r w:rsidRPr="0056383C">
        <w:rPr>
          <w:rFonts w:ascii="Verdana" w:hAnsi="Verdana" w:cs="Arial"/>
          <w:color w:val="000000"/>
          <w:sz w:val="20"/>
          <w:szCs w:val="20"/>
          <w:lang w:val="en-US"/>
        </w:rPr>
        <w:t>, the Inter-American Court had referred in its case law to the pension regime. In this regard, the Court had protected this right, mainly by way of the right to property — as an “acquired right” — (Article 21 of the American Convention), the right to judicial protection (Article 25 of the Convention) or based on the right to equal protection before the law, and non-discrimination (Articles 24 and 1(1) of the Convention).</w:t>
      </w:r>
    </w:p>
    <w:p w14:paraId="48F40E34" w14:textId="77777777" w:rsidR="00CD2B15" w:rsidRPr="0056383C" w:rsidRDefault="00CD2B15" w:rsidP="00CD2B15">
      <w:pPr>
        <w:pStyle w:val="Prrafodelista"/>
        <w:tabs>
          <w:tab w:val="left" w:pos="0"/>
          <w:tab w:val="left" w:pos="567"/>
        </w:tabs>
        <w:ind w:left="0" w:right="6"/>
        <w:rPr>
          <w:rFonts w:ascii="Verdana" w:hAnsi="Verdana" w:cs="Arial"/>
          <w:color w:val="000000"/>
          <w:sz w:val="20"/>
          <w:szCs w:val="20"/>
          <w:lang w:val="en-US"/>
        </w:rPr>
      </w:pPr>
    </w:p>
    <w:p w14:paraId="48FC43FA" w14:textId="77777777" w:rsidR="00835718" w:rsidRDefault="00CD2B15" w:rsidP="00CD2B15">
      <w:pPr>
        <w:pStyle w:val="Prrafodelista"/>
        <w:tabs>
          <w:tab w:val="left" w:pos="0"/>
          <w:tab w:val="left" w:pos="720"/>
        </w:tabs>
        <w:ind w:left="0" w:right="6"/>
        <w:rPr>
          <w:rFonts w:ascii="Verdana" w:hAnsi="Verdana" w:cs="Arial"/>
          <w:color w:val="000000"/>
          <w:sz w:val="20"/>
          <w:szCs w:val="20"/>
          <w:lang w:val="en-US"/>
        </w:rPr>
      </w:pPr>
      <w:r w:rsidRPr="0056383C">
        <w:rPr>
          <w:rFonts w:ascii="Verdana" w:hAnsi="Verdana" w:cs="Arial"/>
          <w:color w:val="000000"/>
          <w:sz w:val="20"/>
          <w:szCs w:val="20"/>
          <w:lang w:val="en-US"/>
        </w:rPr>
        <w:t xml:space="preserve">21. </w:t>
      </w:r>
      <w:r w:rsidRPr="0056383C">
        <w:rPr>
          <w:rFonts w:ascii="Verdana" w:hAnsi="Verdana" w:cs="Arial"/>
          <w:color w:val="000000"/>
          <w:sz w:val="20"/>
          <w:szCs w:val="20"/>
          <w:lang w:val="en-US"/>
        </w:rPr>
        <w:tab/>
        <w:t xml:space="preserve">In the </w:t>
      </w:r>
      <w:r w:rsidRPr="0056383C">
        <w:rPr>
          <w:rFonts w:ascii="Verdana" w:hAnsi="Verdana" w:cs="Arial"/>
          <w:i/>
          <w:color w:val="000000"/>
          <w:sz w:val="20"/>
          <w:szCs w:val="20"/>
          <w:lang w:val="en-US"/>
        </w:rPr>
        <w:t xml:space="preserve">Case of the “Five Pensioners” v. Peru </w:t>
      </w:r>
      <w:r w:rsidRPr="0056383C">
        <w:rPr>
          <w:rFonts w:ascii="Verdana" w:hAnsi="Verdana" w:cs="Arial"/>
          <w:color w:val="000000"/>
          <w:sz w:val="20"/>
          <w:szCs w:val="20"/>
          <w:lang w:val="en-US"/>
        </w:rPr>
        <w:t>(2003), the Inter-American Court considered that there could be no doubt that the victims in that case had the right to a retirement pension when they ceased to work.</w:t>
      </w:r>
      <w:r w:rsidRPr="0056383C">
        <w:rPr>
          <w:rStyle w:val="Refdenotaalpie"/>
          <w:rFonts w:cs="Arial"/>
          <w:color w:val="000000"/>
          <w:szCs w:val="20"/>
          <w:lang w:val="en-US"/>
        </w:rPr>
        <w:footnoteReference w:id="295"/>
      </w:r>
      <w:r w:rsidRPr="0056383C">
        <w:rPr>
          <w:rFonts w:ascii="Verdana" w:hAnsi="Verdana" w:cs="Arial"/>
          <w:color w:val="000000"/>
          <w:sz w:val="20"/>
          <w:szCs w:val="20"/>
          <w:lang w:val="en-US"/>
        </w:rPr>
        <w:t xml:space="preserve"> However, the Court did not analyze the true nature of the right – as part of social security — rather, it analyzed the pension regime in light of the right to property. To this end, it determined, first, that pensions may be considered an </w:t>
      </w:r>
    </w:p>
    <w:p w14:paraId="7DFCE2BE" w14:textId="77777777" w:rsidR="00835718" w:rsidRDefault="00835718" w:rsidP="00CD2B15">
      <w:pPr>
        <w:pStyle w:val="Prrafodelista"/>
        <w:tabs>
          <w:tab w:val="left" w:pos="0"/>
          <w:tab w:val="left" w:pos="720"/>
        </w:tabs>
        <w:ind w:left="0" w:right="6"/>
        <w:rPr>
          <w:rFonts w:ascii="Verdana" w:hAnsi="Verdana" w:cs="Arial"/>
          <w:color w:val="000000"/>
          <w:sz w:val="20"/>
          <w:szCs w:val="20"/>
          <w:lang w:val="en-US"/>
        </w:rPr>
      </w:pPr>
    </w:p>
    <w:p w14:paraId="5D13CEC9" w14:textId="77777777" w:rsidR="00835718" w:rsidRDefault="00835718" w:rsidP="00CD2B15">
      <w:pPr>
        <w:pStyle w:val="Prrafodelista"/>
        <w:tabs>
          <w:tab w:val="left" w:pos="0"/>
          <w:tab w:val="left" w:pos="720"/>
        </w:tabs>
        <w:ind w:left="0" w:right="6"/>
        <w:rPr>
          <w:rFonts w:ascii="Verdana" w:hAnsi="Verdana" w:cs="Arial"/>
          <w:color w:val="000000"/>
          <w:sz w:val="20"/>
          <w:szCs w:val="20"/>
          <w:lang w:val="en-US"/>
        </w:rPr>
      </w:pPr>
    </w:p>
    <w:p w14:paraId="55D1ADB1" w14:textId="6993904D" w:rsidR="00CD2B15" w:rsidRPr="0056383C" w:rsidRDefault="00CD2B15" w:rsidP="00CD2B15">
      <w:pPr>
        <w:pStyle w:val="Prrafodelista"/>
        <w:tabs>
          <w:tab w:val="left" w:pos="0"/>
          <w:tab w:val="left" w:pos="720"/>
        </w:tabs>
        <w:ind w:left="0" w:right="6"/>
        <w:rPr>
          <w:rFonts w:ascii="Verdana" w:hAnsi="Verdana" w:cs="Arial"/>
          <w:color w:val="000000"/>
          <w:sz w:val="20"/>
          <w:szCs w:val="20"/>
          <w:lang w:val="en-US"/>
        </w:rPr>
      </w:pPr>
      <w:r w:rsidRPr="0056383C">
        <w:rPr>
          <w:rFonts w:ascii="Verdana" w:hAnsi="Verdana" w:cs="Arial"/>
          <w:color w:val="000000"/>
          <w:sz w:val="20"/>
          <w:szCs w:val="20"/>
          <w:lang w:val="en-US"/>
        </w:rPr>
        <w:lastRenderedPageBreak/>
        <w:t>acquired right and, second, the parameters that should be taken into consideration to quantify the right to a pension.</w:t>
      </w:r>
      <w:r w:rsidRPr="0056383C">
        <w:rPr>
          <w:rStyle w:val="Refdenotaalpie"/>
          <w:rFonts w:cs="Arial"/>
          <w:color w:val="000000"/>
          <w:szCs w:val="20"/>
          <w:lang w:val="en-US"/>
        </w:rPr>
        <w:footnoteReference w:id="296"/>
      </w:r>
    </w:p>
    <w:p w14:paraId="6801401B" w14:textId="77777777" w:rsidR="00CD2B15" w:rsidRPr="0056383C" w:rsidRDefault="00CD2B15" w:rsidP="00CD2B15">
      <w:pPr>
        <w:pStyle w:val="Prrafodelista"/>
        <w:rPr>
          <w:rFonts w:ascii="Verdana" w:hAnsi="Verdana" w:cs="Arial"/>
          <w:color w:val="000000"/>
          <w:sz w:val="20"/>
          <w:szCs w:val="20"/>
          <w:lang w:val="en-US"/>
        </w:rPr>
      </w:pPr>
    </w:p>
    <w:p w14:paraId="13053FBA" w14:textId="77777777" w:rsidR="00CD2B15" w:rsidRPr="0056383C" w:rsidRDefault="00CD2B15" w:rsidP="00CD2B15">
      <w:pPr>
        <w:pStyle w:val="Prrafodelista"/>
        <w:tabs>
          <w:tab w:val="left" w:pos="0"/>
          <w:tab w:val="left" w:pos="709"/>
          <w:tab w:val="left" w:pos="9356"/>
        </w:tabs>
        <w:ind w:left="0" w:right="6"/>
        <w:rPr>
          <w:rFonts w:ascii="Verdana" w:eastAsiaTheme="minorEastAsia" w:hAnsi="Verdana" w:cs="Arial"/>
          <w:sz w:val="20"/>
          <w:szCs w:val="20"/>
          <w:lang w:val="en-US"/>
        </w:rPr>
      </w:pPr>
      <w:r w:rsidRPr="0056383C">
        <w:rPr>
          <w:rFonts w:ascii="Verdana" w:hAnsi="Verdana" w:cs="Arial"/>
          <w:color w:val="000000"/>
          <w:sz w:val="20"/>
          <w:szCs w:val="20"/>
          <w:lang w:val="en-US"/>
        </w:rPr>
        <w:t>22.</w:t>
      </w:r>
      <w:r w:rsidRPr="0056383C">
        <w:rPr>
          <w:rFonts w:ascii="Verdana" w:hAnsi="Verdana" w:cs="Arial"/>
          <w:color w:val="000000"/>
          <w:sz w:val="20"/>
          <w:szCs w:val="20"/>
          <w:lang w:val="en-US"/>
        </w:rPr>
        <w:tab/>
        <w:t xml:space="preserve"> Regarding the first point, the Inter-American Court considered that an acquired right is “</w:t>
      </w:r>
      <w:r w:rsidRPr="0056383C">
        <w:rPr>
          <w:rFonts w:ascii="Verdana" w:hAnsi="Verdana" w:cs="Arial"/>
          <w:sz w:val="20"/>
          <w:szCs w:val="20"/>
          <w:lang w:val="en-US"/>
        </w:rPr>
        <w:t>a right that has been incorporated into the patrimony of a person,” such as a pension; “in other words, that pensioners acquire a right to property related to the patrimonial effects of the right to a pension, […] as established in Article 21 of the American Convention.”</w:t>
      </w:r>
      <w:r w:rsidRPr="0056383C">
        <w:rPr>
          <w:rStyle w:val="Refdenotaalpie"/>
          <w:rFonts w:cs="Arial"/>
          <w:szCs w:val="20"/>
          <w:lang w:val="en-US"/>
        </w:rPr>
        <w:footnoteReference w:id="297"/>
      </w:r>
      <w:r w:rsidRPr="0056383C">
        <w:rPr>
          <w:rFonts w:ascii="Verdana" w:hAnsi="Verdana" w:cs="Arial"/>
          <w:sz w:val="20"/>
          <w:szCs w:val="20"/>
          <w:lang w:val="en-US"/>
        </w:rPr>
        <w:t xml:space="preserve"> On the second point, namely, the way in which an equalized pension should be calculated, the Inter-American Court considered that “although the right to an equalized pension is an acquired right in accordance with </w:t>
      </w:r>
      <w:r w:rsidRPr="0056383C">
        <w:rPr>
          <w:rFonts w:ascii="Verdana" w:eastAsiaTheme="minorEastAsia" w:hAnsi="Verdana" w:cs="Arial"/>
          <w:sz w:val="20"/>
          <w:szCs w:val="20"/>
          <w:lang w:val="en-US"/>
        </w:rPr>
        <w:t xml:space="preserve">Article 21 of the Convention, States may </w:t>
      </w:r>
      <w:r w:rsidRPr="0056383C">
        <w:rPr>
          <w:rFonts w:ascii="Verdana" w:hAnsi="Verdana" w:cs="Arial"/>
          <w:sz w:val="20"/>
          <w:szCs w:val="20"/>
          <w:lang w:val="en-US"/>
        </w:rPr>
        <w:t xml:space="preserve">restrict the enjoyment of the right to property for reasons of public utility or social interest. In the case of the patrimonial effects of pensions (the pension amount), States may reduce these only by the appropriate legal procedure and for the said reasons.” Thus, </w:t>
      </w:r>
      <w:r w:rsidRPr="0056383C">
        <w:rPr>
          <w:rFonts w:ascii="Verdana" w:eastAsiaTheme="minorEastAsia" w:hAnsi="Verdana" w:cs="Arial"/>
          <w:sz w:val="20"/>
          <w:szCs w:val="20"/>
          <w:lang w:val="en-US"/>
        </w:rPr>
        <w:t>the Inter-American Court indicated that Article 5 of the Protocol of San Salvador only “</w:t>
      </w:r>
      <w:r w:rsidRPr="0056383C">
        <w:rPr>
          <w:rFonts w:ascii="Verdana" w:hAnsi="Verdana" w:cs="Arial"/>
          <w:sz w:val="20"/>
          <w:szCs w:val="20"/>
          <w:lang w:val="en-US"/>
        </w:rPr>
        <w:t>allows States to establish restrictions and limitations to the enjoyment and exercise of economic, social and cultural rights ‘by means of laws promulgated in order to preserve the general welfare in a democratic society only to the extent that they are not incompatible with the purpose and reason underlying those rights.’”</w:t>
      </w:r>
      <w:r w:rsidRPr="0056383C">
        <w:rPr>
          <w:rStyle w:val="Refdenotaalpie"/>
          <w:rFonts w:eastAsiaTheme="minorEastAsia" w:cs="Arial"/>
          <w:szCs w:val="20"/>
          <w:lang w:val="en-US"/>
        </w:rPr>
        <w:footnoteReference w:id="298"/>
      </w:r>
      <w:r w:rsidRPr="0056383C">
        <w:rPr>
          <w:rFonts w:ascii="Verdana" w:eastAsiaTheme="minorEastAsia" w:hAnsi="Verdana" w:cs="Arial"/>
          <w:sz w:val="20"/>
          <w:szCs w:val="20"/>
          <w:lang w:val="en-US"/>
        </w:rPr>
        <w:t xml:space="preserve"> </w:t>
      </w:r>
    </w:p>
    <w:p w14:paraId="4B6A75F9" w14:textId="77777777" w:rsidR="00CD2B15" w:rsidRPr="0056383C" w:rsidRDefault="00CD2B15" w:rsidP="00CD2B15">
      <w:pPr>
        <w:pStyle w:val="Prrafodelista"/>
        <w:tabs>
          <w:tab w:val="left" w:pos="0"/>
          <w:tab w:val="left" w:pos="567"/>
          <w:tab w:val="left" w:pos="709"/>
          <w:tab w:val="left" w:pos="9356"/>
        </w:tabs>
        <w:ind w:left="0" w:right="6"/>
        <w:rPr>
          <w:rFonts w:ascii="Verdana" w:eastAsiaTheme="minorEastAsia" w:hAnsi="Verdana" w:cs="Arial"/>
          <w:sz w:val="20"/>
          <w:szCs w:val="20"/>
          <w:lang w:val="en-US"/>
        </w:rPr>
      </w:pPr>
    </w:p>
    <w:p w14:paraId="4E3C9C29" w14:textId="77777777" w:rsidR="00CD2B15" w:rsidRPr="0056383C" w:rsidRDefault="00CD2B15" w:rsidP="00CD2B15">
      <w:pPr>
        <w:pStyle w:val="Prrafodelista"/>
        <w:tabs>
          <w:tab w:val="left" w:pos="0"/>
          <w:tab w:val="left" w:pos="709"/>
          <w:tab w:val="left" w:pos="9356"/>
        </w:tabs>
        <w:ind w:left="0" w:right="6"/>
        <w:rPr>
          <w:rFonts w:ascii="Verdana" w:eastAsiaTheme="minorEastAsia" w:hAnsi="Verdana" w:cs="Arial"/>
          <w:sz w:val="20"/>
          <w:szCs w:val="20"/>
          <w:lang w:val="en-US"/>
        </w:rPr>
      </w:pPr>
      <w:r w:rsidRPr="0056383C">
        <w:rPr>
          <w:rFonts w:ascii="Verdana" w:hAnsi="Verdana" w:cs="Arial"/>
          <w:sz w:val="20"/>
          <w:szCs w:val="20"/>
          <w:lang w:val="en-US"/>
        </w:rPr>
        <w:t xml:space="preserve">23. </w:t>
      </w:r>
      <w:r w:rsidRPr="0056383C">
        <w:rPr>
          <w:rFonts w:ascii="Verdana" w:hAnsi="Verdana" w:cs="Arial"/>
          <w:sz w:val="20"/>
          <w:szCs w:val="20"/>
          <w:lang w:val="en-US"/>
        </w:rPr>
        <w:tab/>
        <w:t>In addition to the violation of Article 21, in that case the Inter-American Court also found that there had been a violation of Article 25 of the American Convention because, in the domestic sphere, the judgments that granted protection to the victims’ pensions had not been executed.</w:t>
      </w:r>
      <w:r w:rsidRPr="0056383C">
        <w:rPr>
          <w:rStyle w:val="Refdenotaalpie"/>
          <w:rFonts w:cs="Arial"/>
          <w:szCs w:val="20"/>
          <w:lang w:val="en-US"/>
        </w:rPr>
        <w:footnoteReference w:id="299"/>
      </w:r>
    </w:p>
    <w:p w14:paraId="063FAE69" w14:textId="77777777" w:rsidR="00CD2B15" w:rsidRPr="0056383C" w:rsidRDefault="00CD2B15" w:rsidP="00CD2B15">
      <w:pPr>
        <w:pStyle w:val="Prrafodelista"/>
        <w:rPr>
          <w:rFonts w:ascii="Verdana" w:hAnsi="Verdana" w:cs="Arial"/>
          <w:sz w:val="20"/>
          <w:szCs w:val="20"/>
          <w:lang w:val="en-US"/>
        </w:rPr>
      </w:pPr>
    </w:p>
    <w:p w14:paraId="541299A1" w14:textId="2D286E60" w:rsidR="00CD2B15" w:rsidRPr="0056383C" w:rsidRDefault="00CD2B15" w:rsidP="00CD2B15">
      <w:pPr>
        <w:pStyle w:val="Prrafodelista"/>
        <w:tabs>
          <w:tab w:val="left" w:pos="0"/>
          <w:tab w:val="left" w:pos="709"/>
          <w:tab w:val="left" w:pos="9356"/>
        </w:tabs>
        <w:ind w:left="0" w:right="6"/>
        <w:rPr>
          <w:rFonts w:ascii="Verdana" w:eastAsiaTheme="minorEastAsia" w:hAnsi="Verdana" w:cs="Arial"/>
          <w:sz w:val="20"/>
          <w:szCs w:val="20"/>
          <w:lang w:val="en-US"/>
        </w:rPr>
      </w:pPr>
      <w:r w:rsidRPr="0056383C">
        <w:rPr>
          <w:rFonts w:ascii="Verdana" w:hAnsi="Verdana" w:cs="Arial"/>
          <w:sz w:val="20"/>
          <w:szCs w:val="20"/>
          <w:lang w:val="en-US"/>
        </w:rPr>
        <w:t>24.</w:t>
      </w:r>
      <w:r w:rsidRPr="0056383C">
        <w:rPr>
          <w:rFonts w:ascii="Verdana" w:hAnsi="Verdana" w:cs="Arial"/>
          <w:sz w:val="20"/>
          <w:szCs w:val="20"/>
          <w:lang w:val="en-US"/>
        </w:rPr>
        <w:tab/>
        <w:t xml:space="preserve">In 2009, in the </w:t>
      </w:r>
      <w:r w:rsidRPr="0056383C">
        <w:rPr>
          <w:rFonts w:ascii="Verdana" w:hAnsi="Verdana" w:cs="Arial"/>
          <w:i/>
          <w:sz w:val="20"/>
          <w:szCs w:val="20"/>
          <w:lang w:val="en-US"/>
        </w:rPr>
        <w:t xml:space="preserve">Case of Acevedo </w:t>
      </w:r>
      <w:proofErr w:type="spellStart"/>
      <w:r w:rsidRPr="0056383C">
        <w:rPr>
          <w:rFonts w:ascii="Verdana" w:hAnsi="Verdana" w:cs="Arial"/>
          <w:i/>
          <w:sz w:val="20"/>
          <w:szCs w:val="20"/>
          <w:lang w:val="en-US"/>
        </w:rPr>
        <w:t>Buendía</w:t>
      </w:r>
      <w:proofErr w:type="spellEnd"/>
      <w:r w:rsidRPr="0056383C">
        <w:rPr>
          <w:rFonts w:ascii="Verdana" w:hAnsi="Verdana" w:cs="Arial"/>
          <w:i/>
          <w:sz w:val="20"/>
          <w:szCs w:val="20"/>
          <w:lang w:val="en-US"/>
        </w:rPr>
        <w:t xml:space="preserve"> et al. (Discharged and Retired Employees of the Comptroller’s Office”) v. Peru </w:t>
      </w:r>
      <w:r w:rsidRPr="0056383C">
        <w:rPr>
          <w:rFonts w:ascii="Verdana" w:hAnsi="Verdana" w:cs="Arial"/>
          <w:sz w:val="20"/>
          <w:szCs w:val="20"/>
          <w:lang w:val="en-US"/>
        </w:rPr>
        <w:t xml:space="preserve">relating to the failure to pay pensions (from April 1993 to October 2002), </w:t>
      </w:r>
      <w:r w:rsidRPr="0056383C">
        <w:rPr>
          <w:rFonts w:ascii="Verdana" w:hAnsi="Verdana" w:cs="Arial"/>
          <w:color w:val="000000"/>
          <w:sz w:val="20"/>
          <w:szCs w:val="20"/>
          <w:lang w:val="en-US"/>
        </w:rPr>
        <w:t xml:space="preserve">following the precedent in the </w:t>
      </w:r>
      <w:r w:rsidRPr="0056383C">
        <w:rPr>
          <w:rFonts w:ascii="Verdana" w:hAnsi="Verdana" w:cs="Arial"/>
          <w:i/>
          <w:color w:val="000000"/>
          <w:sz w:val="20"/>
          <w:szCs w:val="20"/>
          <w:lang w:val="en-US"/>
        </w:rPr>
        <w:t xml:space="preserve">Case of the “Five Pensioners,” </w:t>
      </w:r>
      <w:r w:rsidRPr="0056383C">
        <w:rPr>
          <w:rFonts w:ascii="Verdana" w:hAnsi="Verdana" w:cs="Arial"/>
          <w:color w:val="000000"/>
          <w:sz w:val="20"/>
          <w:szCs w:val="20"/>
          <w:lang w:val="en-US"/>
        </w:rPr>
        <w:t>the Court considered that there had been a violation of Articles 25</w:t>
      </w:r>
      <w:r w:rsidRPr="0056383C">
        <w:rPr>
          <w:rStyle w:val="Refdenotaalpie"/>
          <w:rFonts w:cs="Arial"/>
          <w:color w:val="000000"/>
          <w:szCs w:val="20"/>
          <w:lang w:val="en-US"/>
        </w:rPr>
        <w:footnoteReference w:id="300"/>
      </w:r>
      <w:r w:rsidRPr="0056383C">
        <w:rPr>
          <w:rFonts w:ascii="Verdana" w:hAnsi="Verdana" w:cs="Arial"/>
          <w:color w:val="000000"/>
          <w:sz w:val="20"/>
          <w:szCs w:val="20"/>
          <w:lang w:val="en-US"/>
        </w:rPr>
        <w:t xml:space="preserve"> and 21</w:t>
      </w:r>
      <w:r w:rsidRPr="0056383C">
        <w:rPr>
          <w:rStyle w:val="Refdenotaalpie"/>
          <w:rFonts w:cs="Arial"/>
          <w:color w:val="000000"/>
          <w:szCs w:val="20"/>
          <w:lang w:val="en-US"/>
        </w:rPr>
        <w:footnoteReference w:id="301"/>
      </w:r>
      <w:r w:rsidRPr="0056383C">
        <w:rPr>
          <w:rFonts w:ascii="Verdana" w:hAnsi="Verdana" w:cs="Arial"/>
          <w:color w:val="000000"/>
          <w:sz w:val="20"/>
          <w:szCs w:val="20"/>
          <w:lang w:val="en-US"/>
        </w:rPr>
        <w:t xml:space="preserve"> of the American </w:t>
      </w:r>
      <w:r w:rsidRPr="0056383C">
        <w:rPr>
          <w:rFonts w:ascii="Verdana" w:hAnsi="Verdana" w:cs="Arial"/>
          <w:color w:val="000000"/>
          <w:sz w:val="20"/>
          <w:szCs w:val="20"/>
          <w:lang w:val="en-US"/>
        </w:rPr>
        <w:lastRenderedPageBreak/>
        <w:t>Convention.</w:t>
      </w:r>
      <w:r w:rsidRPr="0056383C">
        <w:rPr>
          <w:rFonts w:ascii="Verdana" w:eastAsiaTheme="minorEastAsia" w:hAnsi="Verdana" w:cs="Arial"/>
          <w:sz w:val="20"/>
          <w:szCs w:val="20"/>
          <w:lang w:val="en-US"/>
        </w:rPr>
        <w:t xml:space="preserve"> </w:t>
      </w:r>
    </w:p>
    <w:p w14:paraId="689CAB20" w14:textId="77777777" w:rsidR="00CD2B15" w:rsidRPr="0056383C" w:rsidRDefault="00CD2B15" w:rsidP="00CD2B15">
      <w:pPr>
        <w:pStyle w:val="Prrafodelista"/>
        <w:rPr>
          <w:rFonts w:ascii="Verdana" w:eastAsiaTheme="minorEastAsia" w:hAnsi="Verdana" w:cs="Arial"/>
          <w:sz w:val="20"/>
          <w:szCs w:val="20"/>
          <w:lang w:val="en-US"/>
        </w:rPr>
      </w:pPr>
    </w:p>
    <w:p w14:paraId="5D5DCB35" w14:textId="77777777" w:rsidR="00CD2B15" w:rsidRPr="0056383C" w:rsidRDefault="00CD2B15" w:rsidP="00CD2B15">
      <w:pPr>
        <w:pStyle w:val="Prrafodelista"/>
        <w:tabs>
          <w:tab w:val="left" w:pos="0"/>
          <w:tab w:val="left" w:pos="709"/>
          <w:tab w:val="left" w:pos="9356"/>
        </w:tabs>
        <w:ind w:left="0" w:right="6"/>
        <w:rPr>
          <w:rFonts w:ascii="Verdana" w:hAnsi="Verdana" w:cs="Arial"/>
          <w:sz w:val="20"/>
          <w:szCs w:val="20"/>
          <w:lang w:val="en-US"/>
        </w:rPr>
      </w:pPr>
      <w:r w:rsidRPr="0056383C">
        <w:rPr>
          <w:rFonts w:ascii="Verdana" w:eastAsiaTheme="minorEastAsia" w:hAnsi="Verdana" w:cs="Arial"/>
          <w:sz w:val="20"/>
          <w:szCs w:val="20"/>
          <w:lang w:val="en-US"/>
        </w:rPr>
        <w:t xml:space="preserve">25. </w:t>
      </w:r>
      <w:r w:rsidRPr="0056383C">
        <w:rPr>
          <w:rFonts w:ascii="Verdana" w:eastAsiaTheme="minorEastAsia" w:hAnsi="Verdana" w:cs="Arial"/>
          <w:sz w:val="20"/>
          <w:szCs w:val="20"/>
          <w:lang w:val="en-US"/>
        </w:rPr>
        <w:tab/>
        <w:t>The Court</w:t>
      </w:r>
      <w:r w:rsidRPr="0056383C">
        <w:rPr>
          <w:rFonts w:ascii="Verdana" w:hAnsi="Verdana" w:cs="Arial"/>
          <w:sz w:val="20"/>
          <w:szCs w:val="20"/>
          <w:lang w:val="en-US"/>
        </w:rPr>
        <w:t xml:space="preserve"> observed that, a total of 11 and 8 years, respectively, had passed since the delivery of the first and last judgment of the Constitutional Court – and almost 15 years since the judgment of the First Civil Chamber of the Superior Court of Lima – without these judgments being executed. As a result of the ineffectiveness of these remedies, the right to judicial protection of the presumed victims was, at least partially, illusory, which signified the denial of the right concerned. In conclusion, the Inter-American Court considered that the prolonged and unjustified failure to comply with the domestic judicial decisions resulted in the violation of the right to property recognized in Article 21 of the American Convention, and that this would not have occurred if the said judgments had been executed fully and promptly.</w:t>
      </w:r>
      <w:r w:rsidRPr="0056383C">
        <w:rPr>
          <w:rStyle w:val="Refdenotaalpie"/>
          <w:rFonts w:cs="Arial"/>
          <w:szCs w:val="20"/>
          <w:lang w:val="en-US"/>
        </w:rPr>
        <w:footnoteReference w:id="302"/>
      </w:r>
    </w:p>
    <w:p w14:paraId="72498F43" w14:textId="77777777" w:rsidR="00CD2B15" w:rsidRPr="0056383C" w:rsidRDefault="00CD2B15" w:rsidP="00CD2B15">
      <w:pPr>
        <w:pStyle w:val="Prrafodelista"/>
        <w:rPr>
          <w:rFonts w:ascii="Verdana" w:hAnsi="Verdana" w:cs="Arial"/>
          <w:sz w:val="20"/>
          <w:szCs w:val="20"/>
          <w:lang w:val="en-US"/>
        </w:rPr>
      </w:pPr>
    </w:p>
    <w:p w14:paraId="0B09E378" w14:textId="77777777" w:rsidR="00CD2B15" w:rsidRPr="0056383C" w:rsidRDefault="00CD2B15" w:rsidP="00CD2B15">
      <w:pPr>
        <w:pStyle w:val="Prrafodelista"/>
        <w:tabs>
          <w:tab w:val="left" w:pos="0"/>
          <w:tab w:val="left" w:pos="709"/>
          <w:tab w:val="left" w:pos="9356"/>
        </w:tabs>
        <w:ind w:left="0" w:right="6"/>
        <w:rPr>
          <w:rFonts w:ascii="Verdana" w:hAnsi="Verdana" w:cs="Arial"/>
          <w:sz w:val="20"/>
          <w:szCs w:val="20"/>
          <w:lang w:val="en-US"/>
        </w:rPr>
      </w:pPr>
      <w:r w:rsidRPr="0056383C">
        <w:rPr>
          <w:rFonts w:ascii="Verdana" w:hAnsi="Verdana" w:cs="Arial"/>
          <w:sz w:val="20"/>
          <w:szCs w:val="20"/>
          <w:lang w:val="en-US"/>
        </w:rPr>
        <w:t xml:space="preserve">26. </w:t>
      </w:r>
      <w:r w:rsidRPr="0056383C">
        <w:rPr>
          <w:rFonts w:ascii="Verdana" w:hAnsi="Verdana" w:cs="Arial"/>
          <w:sz w:val="20"/>
          <w:szCs w:val="20"/>
          <w:lang w:val="en-US"/>
        </w:rPr>
        <w:tab/>
        <w:t xml:space="preserve">Lastly, in 2015, in the </w:t>
      </w:r>
      <w:r w:rsidRPr="0056383C">
        <w:rPr>
          <w:rFonts w:ascii="Verdana" w:hAnsi="Verdana" w:cs="Arial"/>
          <w:i/>
          <w:iCs/>
          <w:sz w:val="20"/>
          <w:szCs w:val="20"/>
          <w:lang w:val="en-US"/>
        </w:rPr>
        <w:t>Case of</w:t>
      </w:r>
      <w:r w:rsidRPr="0056383C">
        <w:rPr>
          <w:rFonts w:ascii="Verdana" w:hAnsi="Verdana" w:cs="Arial"/>
          <w:sz w:val="20"/>
          <w:szCs w:val="20"/>
          <w:lang w:val="en-US"/>
        </w:rPr>
        <w:t xml:space="preserve"> </w:t>
      </w:r>
      <w:r w:rsidRPr="0056383C">
        <w:rPr>
          <w:rFonts w:ascii="Verdana" w:hAnsi="Verdana" w:cs="Arial"/>
          <w:i/>
          <w:sz w:val="20"/>
          <w:szCs w:val="20"/>
          <w:lang w:val="en-US"/>
        </w:rPr>
        <w:t>Duque v. Colombia</w:t>
      </w:r>
      <w:r w:rsidRPr="0056383C">
        <w:rPr>
          <w:rFonts w:ascii="Verdana" w:hAnsi="Verdana" w:cs="Arial"/>
          <w:sz w:val="20"/>
          <w:szCs w:val="20"/>
          <w:lang w:val="en-US"/>
        </w:rPr>
        <w:t>, it was alleged that the victim was excluded from the possibility of obtaining a survivor’s pension following the death of his partner; this exclusion resulted from the fact that they were a same-sex couple. Although the fundamental issue in this case was the pension, the Court also declared the violation of the right to equality before the law and to non-discrimination – as established in Articles 1(1) and 24 of the American Convention. In this case, the Court concluded that the State had failed to present an objective and reasonable justification for the existence of a restriction in access to a survivor’s pension based on sexual orientation. Consequently, the Inter-American Court found that the differentiation established in domestic law based on sexual orientation for access to a survivor’s pension was discriminatory and violated the provisions of Article 24 of the American Convention.</w:t>
      </w:r>
      <w:r w:rsidRPr="0056383C">
        <w:rPr>
          <w:rStyle w:val="Refdenotaalpie"/>
          <w:rFonts w:cs="Arial"/>
          <w:szCs w:val="20"/>
          <w:lang w:val="en-US"/>
        </w:rPr>
        <w:footnoteReference w:id="303"/>
      </w:r>
      <w:r w:rsidRPr="0056383C">
        <w:rPr>
          <w:rFonts w:ascii="Verdana" w:hAnsi="Verdana" w:cs="Arial"/>
          <w:sz w:val="20"/>
          <w:szCs w:val="20"/>
          <w:lang w:val="en-US"/>
        </w:rPr>
        <w:t xml:space="preserve"> </w:t>
      </w:r>
    </w:p>
    <w:p w14:paraId="15683C40" w14:textId="77777777" w:rsidR="00CD2B15" w:rsidRPr="0056383C" w:rsidRDefault="00CD2B15" w:rsidP="00CD2B15">
      <w:pPr>
        <w:pStyle w:val="Prrafodelista"/>
        <w:rPr>
          <w:rFonts w:ascii="Verdana" w:hAnsi="Verdana" w:cs="Arial"/>
          <w:sz w:val="20"/>
          <w:szCs w:val="20"/>
          <w:lang w:val="en-US"/>
        </w:rPr>
      </w:pPr>
    </w:p>
    <w:p w14:paraId="5ADC2BEE" w14:textId="77777777" w:rsidR="00CD2B15" w:rsidRPr="0056383C" w:rsidRDefault="00CD2B15" w:rsidP="00CD2B15">
      <w:pPr>
        <w:tabs>
          <w:tab w:val="left" w:pos="0"/>
          <w:tab w:val="left" w:pos="567"/>
          <w:tab w:val="left" w:pos="709"/>
          <w:tab w:val="left" w:pos="9356"/>
        </w:tabs>
        <w:ind w:right="6"/>
        <w:rPr>
          <w:rFonts w:ascii="Verdana" w:hAnsi="Verdana" w:cs="Arial"/>
          <w:sz w:val="20"/>
          <w:szCs w:val="20"/>
          <w:lang w:val="en-US"/>
        </w:rPr>
      </w:pPr>
      <w:r w:rsidRPr="0056383C">
        <w:rPr>
          <w:rFonts w:ascii="Verdana" w:hAnsi="Verdana" w:cs="Arial"/>
          <w:sz w:val="20"/>
          <w:szCs w:val="20"/>
          <w:lang w:val="en-US"/>
        </w:rPr>
        <w:t xml:space="preserve">27. </w:t>
      </w:r>
      <w:r w:rsidRPr="0056383C">
        <w:rPr>
          <w:rFonts w:ascii="Verdana" w:hAnsi="Verdana" w:cs="Arial"/>
          <w:sz w:val="20"/>
          <w:szCs w:val="20"/>
          <w:lang w:val="en-US"/>
        </w:rPr>
        <w:tab/>
      </w:r>
      <w:r w:rsidRPr="0056383C">
        <w:rPr>
          <w:rFonts w:ascii="Verdana" w:hAnsi="Verdana" w:cs="Arial"/>
          <w:sz w:val="20"/>
          <w:szCs w:val="20"/>
          <w:lang w:val="en-US"/>
        </w:rPr>
        <w:tab/>
        <w:t>Accordingly, the Inter-American Court noted that when a domestic law was in force that did not permit the payment of pensions to the survivor of a same-sex couple, there was a difference in treatment that violated the right to equality and non-discrimination, so that it constituted an internationally wrongful act. Added to this, the internationally wrongful act affected Mr. Duque because this domestic law was applied in his case.</w:t>
      </w:r>
      <w:r w:rsidRPr="0056383C">
        <w:rPr>
          <w:rStyle w:val="Refdenotaalpie"/>
          <w:rFonts w:cs="Arial"/>
          <w:szCs w:val="20"/>
          <w:lang w:val="en-US"/>
        </w:rPr>
        <w:footnoteReference w:id="304"/>
      </w:r>
    </w:p>
    <w:p w14:paraId="4B8E2AA4" w14:textId="77777777" w:rsidR="00CD2B15" w:rsidRPr="0056383C" w:rsidRDefault="00CD2B15" w:rsidP="00CD2B15">
      <w:pPr>
        <w:rPr>
          <w:rFonts w:ascii="Verdana" w:hAnsi="Verdana"/>
          <w:i/>
          <w:sz w:val="20"/>
          <w:szCs w:val="20"/>
          <w:lang w:val="en-US"/>
        </w:rPr>
      </w:pPr>
    </w:p>
    <w:p w14:paraId="2806C5F9" w14:textId="77777777" w:rsidR="00CD2B15" w:rsidRPr="0056383C" w:rsidRDefault="00CD2B15" w:rsidP="00D17A65">
      <w:pPr>
        <w:pStyle w:val="Prrafodelista"/>
        <w:widowControl/>
        <w:numPr>
          <w:ilvl w:val="0"/>
          <w:numId w:val="17"/>
        </w:numPr>
        <w:adjustRightInd/>
        <w:textAlignment w:val="auto"/>
        <w:rPr>
          <w:rFonts w:ascii="Verdana" w:hAnsi="Verdana"/>
          <w:i/>
          <w:sz w:val="20"/>
          <w:szCs w:val="20"/>
          <w:u w:val="single"/>
          <w:lang w:val="en-US"/>
        </w:rPr>
      </w:pPr>
      <w:r w:rsidRPr="0056383C">
        <w:rPr>
          <w:rFonts w:ascii="Verdana" w:hAnsi="Verdana"/>
          <w:sz w:val="20"/>
          <w:szCs w:val="20"/>
          <w:u w:val="single"/>
          <w:lang w:val="en-US"/>
        </w:rPr>
        <w:t xml:space="preserve">The right to social security following the </w:t>
      </w:r>
      <w:r w:rsidRPr="0056383C">
        <w:rPr>
          <w:rFonts w:ascii="Verdana" w:hAnsi="Verdana"/>
          <w:i/>
          <w:iCs/>
          <w:sz w:val="20"/>
          <w:szCs w:val="20"/>
          <w:u w:val="single"/>
          <w:lang w:val="en-US"/>
        </w:rPr>
        <w:t>Case of</w:t>
      </w:r>
      <w:r w:rsidRPr="0056383C">
        <w:rPr>
          <w:rFonts w:ascii="Verdana" w:hAnsi="Verdana"/>
          <w:sz w:val="20"/>
          <w:szCs w:val="20"/>
          <w:u w:val="single"/>
          <w:lang w:val="en-US"/>
        </w:rPr>
        <w:t xml:space="preserve"> </w:t>
      </w:r>
      <w:r w:rsidRPr="0056383C">
        <w:rPr>
          <w:rFonts w:ascii="Verdana" w:hAnsi="Verdana"/>
          <w:i/>
          <w:sz w:val="20"/>
          <w:szCs w:val="20"/>
          <w:u w:val="single"/>
          <w:lang w:val="en-US"/>
        </w:rPr>
        <w:t>Lagos del Campo</w:t>
      </w:r>
      <w:r w:rsidRPr="0056383C">
        <w:rPr>
          <w:rFonts w:ascii="Verdana" w:hAnsi="Verdana"/>
          <w:sz w:val="20"/>
          <w:szCs w:val="20"/>
          <w:u w:val="single"/>
          <w:lang w:val="en-US"/>
        </w:rPr>
        <w:t xml:space="preserve">: </w:t>
      </w:r>
      <w:proofErr w:type="gramStart"/>
      <w:r w:rsidRPr="0056383C">
        <w:rPr>
          <w:rFonts w:ascii="Verdana" w:hAnsi="Verdana"/>
          <w:sz w:val="20"/>
          <w:szCs w:val="20"/>
          <w:u w:val="single"/>
          <w:lang w:val="en-US"/>
        </w:rPr>
        <w:t>the</w:t>
      </w:r>
      <w:proofErr w:type="gramEnd"/>
      <w:r w:rsidRPr="0056383C">
        <w:rPr>
          <w:rFonts w:ascii="Verdana" w:hAnsi="Verdana"/>
          <w:sz w:val="20"/>
          <w:szCs w:val="20"/>
          <w:u w:val="single"/>
          <w:lang w:val="en-US"/>
        </w:rPr>
        <w:t xml:space="preserve"> </w:t>
      </w:r>
      <w:r w:rsidRPr="0056383C">
        <w:rPr>
          <w:rFonts w:ascii="Verdana" w:hAnsi="Verdana"/>
          <w:i/>
          <w:sz w:val="20"/>
          <w:szCs w:val="20"/>
          <w:u w:val="single"/>
          <w:lang w:val="en-US"/>
        </w:rPr>
        <w:t xml:space="preserve">Case of </w:t>
      </w:r>
      <w:proofErr w:type="spellStart"/>
      <w:r w:rsidRPr="0056383C">
        <w:rPr>
          <w:rFonts w:ascii="Verdana" w:hAnsi="Verdana"/>
          <w:i/>
          <w:sz w:val="20"/>
          <w:szCs w:val="20"/>
          <w:u w:val="single"/>
          <w:lang w:val="en-US"/>
        </w:rPr>
        <w:t>Muelle</w:t>
      </w:r>
      <w:proofErr w:type="spellEnd"/>
      <w:r w:rsidRPr="0056383C">
        <w:rPr>
          <w:rFonts w:ascii="Verdana" w:hAnsi="Verdana"/>
          <w:i/>
          <w:sz w:val="20"/>
          <w:szCs w:val="20"/>
          <w:u w:val="single"/>
          <w:lang w:val="en-US"/>
        </w:rPr>
        <w:t xml:space="preserve"> Flores et al. v. Peru </w:t>
      </w:r>
    </w:p>
    <w:p w14:paraId="26E5A69E" w14:textId="77777777" w:rsidR="00CD2B15" w:rsidRPr="0056383C" w:rsidRDefault="00CD2B15" w:rsidP="00CD2B15">
      <w:pPr>
        <w:outlineLvl w:val="1"/>
        <w:rPr>
          <w:rFonts w:ascii="Verdana" w:hAnsi="Verdana"/>
          <w:i/>
          <w:sz w:val="20"/>
          <w:szCs w:val="20"/>
          <w:lang w:val="en-US"/>
        </w:rPr>
      </w:pPr>
    </w:p>
    <w:p w14:paraId="5335C7F9" w14:textId="77777777" w:rsidR="00CD2B15" w:rsidRPr="0056383C" w:rsidRDefault="00CD2B15" w:rsidP="00CD2B15">
      <w:pPr>
        <w:rPr>
          <w:rFonts w:ascii="Verdana" w:hAnsi="Verdana"/>
          <w:sz w:val="20"/>
          <w:szCs w:val="20"/>
          <w:lang w:val="en-US"/>
        </w:rPr>
      </w:pPr>
      <w:r w:rsidRPr="0056383C">
        <w:rPr>
          <w:rFonts w:ascii="Verdana" w:hAnsi="Verdana"/>
          <w:sz w:val="20"/>
          <w:szCs w:val="20"/>
          <w:lang w:val="en-US"/>
        </w:rPr>
        <w:t xml:space="preserve">28. </w:t>
      </w:r>
      <w:r w:rsidRPr="0056383C">
        <w:rPr>
          <w:rFonts w:ascii="Verdana" w:hAnsi="Verdana"/>
          <w:sz w:val="20"/>
          <w:szCs w:val="20"/>
          <w:lang w:val="en-US"/>
        </w:rPr>
        <w:tab/>
        <w:t xml:space="preserve">The </w:t>
      </w:r>
      <w:r w:rsidRPr="0056383C">
        <w:rPr>
          <w:rFonts w:ascii="Verdana" w:hAnsi="Verdana"/>
          <w:i/>
          <w:sz w:val="20"/>
          <w:szCs w:val="20"/>
          <w:lang w:val="en-US"/>
        </w:rPr>
        <w:t>Case of Lagos del Campo v. Peru</w:t>
      </w:r>
      <w:r w:rsidRPr="0056383C">
        <w:rPr>
          <w:rFonts w:ascii="Verdana" w:hAnsi="Verdana"/>
          <w:sz w:val="20"/>
          <w:szCs w:val="20"/>
          <w:lang w:val="en-US"/>
        </w:rPr>
        <w:t xml:space="preserve"> marked a turning point in the case law of the Inter-American Court as regards the direct justiciability of the economic, social, cultural and environmental rights before the organs of protection of the inter-American system, by </w:t>
      </w:r>
      <w:r w:rsidRPr="0056383C">
        <w:rPr>
          <w:rFonts w:ascii="Verdana" w:hAnsi="Verdana"/>
          <w:sz w:val="20"/>
          <w:szCs w:val="20"/>
          <w:lang w:val="en-US"/>
        </w:rPr>
        <w:lastRenderedPageBreak/>
        <w:t>declaring, for the first time, a violation of Article 26 of the American Convention.</w:t>
      </w:r>
      <w:r w:rsidRPr="0056383C">
        <w:rPr>
          <w:rStyle w:val="Refdenotaalpie"/>
          <w:szCs w:val="20"/>
          <w:lang w:val="en-US"/>
        </w:rPr>
        <w:footnoteReference w:id="305"/>
      </w:r>
      <w:r w:rsidRPr="0056383C">
        <w:rPr>
          <w:rFonts w:ascii="Verdana" w:hAnsi="Verdana"/>
          <w:sz w:val="20"/>
          <w:szCs w:val="20"/>
          <w:lang w:val="en-US"/>
        </w:rPr>
        <w:t xml:space="preserve"> In that case, the Inter-American Court declared that Peru was responsible for violating the right to job security of Alfredo Lagos del Campo because, following his arbitrary dismissal from the company in which he worked, the State failed to take adequate measures to protect his right.</w:t>
      </w:r>
      <w:r w:rsidRPr="0056383C">
        <w:rPr>
          <w:rStyle w:val="Refdenotaalpie"/>
          <w:szCs w:val="20"/>
          <w:lang w:val="en-US"/>
        </w:rPr>
        <w:footnoteReference w:id="306"/>
      </w:r>
      <w:r w:rsidRPr="0056383C">
        <w:rPr>
          <w:rFonts w:ascii="Verdana" w:hAnsi="Verdana"/>
          <w:sz w:val="20"/>
          <w:szCs w:val="20"/>
          <w:lang w:val="en-US"/>
        </w:rPr>
        <w:t xml:space="preserve"> This decision launched a new era in the direct and autonomous protection of the ESCER before the Inter-American Court.</w:t>
      </w:r>
    </w:p>
    <w:p w14:paraId="51458DB9" w14:textId="77777777" w:rsidR="00CD2B15" w:rsidRPr="0056383C" w:rsidRDefault="00CD2B15" w:rsidP="00CD2B15">
      <w:pPr>
        <w:rPr>
          <w:rFonts w:ascii="Verdana" w:hAnsi="Verdana"/>
          <w:sz w:val="20"/>
          <w:szCs w:val="20"/>
          <w:lang w:val="en-US"/>
        </w:rPr>
      </w:pPr>
    </w:p>
    <w:p w14:paraId="745ACC1E" w14:textId="77777777" w:rsidR="00CD2B15" w:rsidRPr="0056383C" w:rsidRDefault="00CD2B15" w:rsidP="00CD2B15">
      <w:pPr>
        <w:rPr>
          <w:rFonts w:ascii="Verdana" w:hAnsi="Verdana"/>
          <w:sz w:val="20"/>
          <w:szCs w:val="20"/>
          <w:lang w:val="en-US"/>
        </w:rPr>
      </w:pPr>
      <w:r w:rsidRPr="0056383C">
        <w:rPr>
          <w:rFonts w:ascii="Verdana" w:hAnsi="Verdana"/>
          <w:sz w:val="20"/>
          <w:szCs w:val="20"/>
          <w:lang w:val="en-US"/>
        </w:rPr>
        <w:t xml:space="preserve">29. </w:t>
      </w:r>
      <w:r w:rsidRPr="0056383C">
        <w:rPr>
          <w:rFonts w:ascii="Verdana" w:hAnsi="Verdana"/>
          <w:sz w:val="20"/>
          <w:szCs w:val="20"/>
          <w:lang w:val="en-US"/>
        </w:rPr>
        <w:tab/>
        <w:t>As has been its practice in the case of the right to work</w:t>
      </w:r>
      <w:r w:rsidRPr="0056383C">
        <w:rPr>
          <w:rStyle w:val="Refdenotaalpie"/>
          <w:rFonts w:cs="Tahoma"/>
          <w:color w:val="000000"/>
          <w:szCs w:val="20"/>
          <w:lang w:val="en-US"/>
        </w:rPr>
        <w:footnoteReference w:id="307"/>
      </w:r>
      <w:r w:rsidRPr="0056383C">
        <w:rPr>
          <w:rFonts w:ascii="Verdana" w:hAnsi="Verdana"/>
          <w:sz w:val="20"/>
          <w:szCs w:val="20"/>
          <w:lang w:val="en-US"/>
        </w:rPr>
        <w:t xml:space="preserve"> or the right to health,</w:t>
      </w:r>
      <w:r w:rsidRPr="0056383C">
        <w:rPr>
          <w:rStyle w:val="Refdenotaalpie"/>
          <w:rFonts w:cs="Tahoma"/>
          <w:color w:val="000000"/>
          <w:szCs w:val="20"/>
          <w:lang w:val="en-US"/>
        </w:rPr>
        <w:footnoteReference w:id="308"/>
      </w:r>
      <w:r w:rsidRPr="0056383C">
        <w:rPr>
          <w:rFonts w:ascii="Verdana" w:hAnsi="Verdana"/>
          <w:sz w:val="20"/>
          <w:szCs w:val="20"/>
          <w:lang w:val="en-US"/>
        </w:rPr>
        <w:t xml:space="preserve"> in the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case, the Inter-American Court has considered that the right to social security may be derived fully from the referral made in Article 26 of the American Convention to the economic, social, educational, scientific and cultural standards set forth in the OAS Charter. In this regard, the Inter-American Court analyzed a series of provisions of the OAS Charter in order to determine that the right to social security is a human right that is justiciable under Article 26, to then establish its content and the corresponding State obligations with greater precision based on the American Declaration of the Rights and Duties of Man, the international </w:t>
      </w:r>
      <w:r w:rsidRPr="0056383C">
        <w:rPr>
          <w:rFonts w:ascii="Verdana" w:hAnsi="Verdana"/>
          <w:i/>
          <w:sz w:val="20"/>
          <w:szCs w:val="20"/>
          <w:lang w:val="en-US"/>
        </w:rPr>
        <w:t xml:space="preserve">corpus </w:t>
      </w:r>
      <w:proofErr w:type="spellStart"/>
      <w:r w:rsidRPr="0056383C">
        <w:rPr>
          <w:rFonts w:ascii="Verdana" w:hAnsi="Verdana"/>
          <w:i/>
          <w:sz w:val="20"/>
          <w:szCs w:val="20"/>
          <w:lang w:val="en-US"/>
        </w:rPr>
        <w:t>iuris</w:t>
      </w:r>
      <w:proofErr w:type="spellEnd"/>
      <w:r w:rsidRPr="0056383C">
        <w:rPr>
          <w:rFonts w:ascii="Verdana" w:hAnsi="Verdana"/>
          <w:sz w:val="20"/>
          <w:szCs w:val="20"/>
          <w:lang w:val="en-US"/>
        </w:rPr>
        <w:t xml:space="preserve"> and domestic constitutional provisions.</w:t>
      </w:r>
      <w:r w:rsidRPr="0056383C">
        <w:rPr>
          <w:rStyle w:val="Refdenotaalpie"/>
          <w:rFonts w:cs="Tahoma"/>
          <w:color w:val="000000"/>
          <w:szCs w:val="20"/>
          <w:lang w:val="en-US"/>
        </w:rPr>
        <w:footnoteReference w:id="309"/>
      </w:r>
      <w:r w:rsidRPr="0056383C">
        <w:rPr>
          <w:rFonts w:ascii="Verdana" w:hAnsi="Verdana"/>
          <w:sz w:val="20"/>
          <w:szCs w:val="20"/>
          <w:lang w:val="en-US"/>
        </w:rPr>
        <w:t xml:space="preserve"> </w:t>
      </w:r>
    </w:p>
    <w:p w14:paraId="5A5599E7" w14:textId="77777777" w:rsidR="00CD2B15" w:rsidRPr="0056383C" w:rsidRDefault="00CD2B15" w:rsidP="00CD2B15">
      <w:pPr>
        <w:pStyle w:val="Prrafodelista"/>
        <w:ind w:left="0"/>
        <w:rPr>
          <w:rFonts w:ascii="Verdana" w:hAnsi="Verdana"/>
          <w:sz w:val="20"/>
          <w:szCs w:val="20"/>
          <w:lang w:val="en-US"/>
        </w:rPr>
      </w:pPr>
    </w:p>
    <w:p w14:paraId="20FE0843" w14:textId="77777777" w:rsidR="00CD2B15" w:rsidRPr="0056383C" w:rsidRDefault="00CD2B15" w:rsidP="00CD2B15">
      <w:pPr>
        <w:pStyle w:val="Prrafodelista"/>
        <w:ind w:left="0"/>
        <w:rPr>
          <w:rFonts w:ascii="Verdana" w:eastAsia="Times" w:hAnsi="Verdana" w:cs="Arial"/>
          <w:sz w:val="20"/>
          <w:szCs w:val="20"/>
          <w:lang w:val="en-US"/>
        </w:rPr>
      </w:pPr>
      <w:r w:rsidRPr="0056383C">
        <w:rPr>
          <w:rFonts w:ascii="Verdana" w:hAnsi="Verdana"/>
          <w:sz w:val="20"/>
          <w:szCs w:val="20"/>
          <w:lang w:val="en-US"/>
        </w:rPr>
        <w:t xml:space="preserve">30. </w:t>
      </w:r>
      <w:r w:rsidRPr="0056383C">
        <w:rPr>
          <w:rFonts w:ascii="Verdana" w:hAnsi="Verdana"/>
          <w:sz w:val="20"/>
          <w:szCs w:val="20"/>
          <w:lang w:val="en-US"/>
        </w:rPr>
        <w:tab/>
        <w:t xml:space="preserve">Even though the Inter-American Court had ruled on social security (pensions), in the cases of the </w:t>
      </w:r>
      <w:r w:rsidRPr="0056383C">
        <w:rPr>
          <w:rFonts w:ascii="Verdana" w:hAnsi="Verdana"/>
          <w:i/>
          <w:sz w:val="20"/>
          <w:szCs w:val="20"/>
          <w:lang w:val="en-US"/>
        </w:rPr>
        <w:t>Five Pensioners</w:t>
      </w:r>
      <w:r w:rsidRPr="0056383C">
        <w:rPr>
          <w:rFonts w:ascii="Verdana" w:hAnsi="Verdana"/>
          <w:sz w:val="20"/>
          <w:szCs w:val="20"/>
          <w:lang w:val="en-US"/>
        </w:rPr>
        <w:t xml:space="preserve"> and </w:t>
      </w:r>
      <w:r w:rsidRPr="0056383C">
        <w:rPr>
          <w:rFonts w:ascii="Verdana" w:hAnsi="Verdana"/>
          <w:i/>
          <w:sz w:val="20"/>
          <w:szCs w:val="20"/>
          <w:lang w:val="en-US"/>
        </w:rPr>
        <w:t xml:space="preserve">Acevedo </w:t>
      </w:r>
      <w:proofErr w:type="spellStart"/>
      <w:r w:rsidRPr="0056383C">
        <w:rPr>
          <w:rFonts w:ascii="Verdana" w:hAnsi="Verdana"/>
          <w:i/>
          <w:sz w:val="20"/>
          <w:szCs w:val="20"/>
          <w:lang w:val="en-US"/>
        </w:rPr>
        <w:t>Buendía</w:t>
      </w:r>
      <w:proofErr w:type="spellEnd"/>
      <w:r w:rsidRPr="0056383C">
        <w:rPr>
          <w:rFonts w:ascii="Verdana" w:hAnsi="Verdana"/>
          <w:sz w:val="20"/>
          <w:szCs w:val="20"/>
          <w:lang w:val="en-US"/>
        </w:rPr>
        <w:t xml:space="preserve">, there are evident differences between those judgments and the case of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For example, in its first approach </w:t>
      </w:r>
      <w:r w:rsidRPr="0056383C">
        <w:rPr>
          <w:rFonts w:ascii="Verdana" w:hAnsi="Verdana"/>
          <w:i/>
          <w:iCs/>
          <w:sz w:val="20"/>
          <w:szCs w:val="20"/>
          <w:lang w:val="en-US"/>
        </w:rPr>
        <w:t>from the perspective of the older person,</w:t>
      </w:r>
      <w:r w:rsidRPr="0056383C">
        <w:rPr>
          <w:rFonts w:ascii="Verdana" w:hAnsi="Verdana"/>
          <w:sz w:val="20"/>
          <w:szCs w:val="20"/>
          <w:lang w:val="en-US"/>
        </w:rPr>
        <w:t xml:space="preserve"> the Inter-American Court established that social security “is a right that seeks to protect the individual from future contingencies that, should they occur, would have harmful consequences for that person; therefore, measures must be taken to protect them.</w:t>
      </w:r>
      <w:r w:rsidRPr="0056383C">
        <w:rPr>
          <w:rFonts w:ascii="Verdana" w:eastAsia="Times" w:hAnsi="Verdana" w:cs="Arial"/>
          <w:sz w:val="20"/>
          <w:szCs w:val="20"/>
          <w:lang w:val="en-US"/>
        </w:rPr>
        <w:t xml:space="preserve"> The right to social security seeks to protect the individual from situations that will occur when they reach a certain age and are physically or mentally unable to obtain the necessary means of subsistence for an adequate living standard, which may, in turn, deprive them of their ability to fully exercise all their other rights. This aspect also relates to one of the constituent elements of the right, because social security must be implemented in a way that guarantees conditions that ensure life, health and a decent economic status.</w:t>
      </w:r>
      <w:r w:rsidRPr="0056383C">
        <w:rPr>
          <w:rFonts w:ascii="Verdana" w:hAnsi="Verdana" w:cs="Tahoma"/>
          <w:color w:val="000000"/>
          <w:sz w:val="20"/>
          <w:szCs w:val="20"/>
          <w:lang w:val="en-US"/>
        </w:rPr>
        <w:t>”</w:t>
      </w:r>
      <w:r w:rsidRPr="0056383C">
        <w:rPr>
          <w:rStyle w:val="Refdenotaalpie"/>
          <w:rFonts w:cs="Tahoma"/>
          <w:color w:val="000000"/>
          <w:szCs w:val="20"/>
          <w:lang w:val="en-US"/>
        </w:rPr>
        <w:footnoteReference w:id="310"/>
      </w:r>
      <w:r w:rsidRPr="0056383C">
        <w:rPr>
          <w:rFonts w:ascii="Verdana" w:hAnsi="Verdana" w:cs="Tahoma"/>
          <w:color w:val="000000"/>
          <w:sz w:val="20"/>
          <w:szCs w:val="20"/>
          <w:lang w:val="en-US"/>
        </w:rPr>
        <w:t xml:space="preserve"> </w:t>
      </w:r>
    </w:p>
    <w:p w14:paraId="4C8FC7E8" w14:textId="77777777" w:rsidR="00CD2B15" w:rsidRPr="0056383C" w:rsidRDefault="00CD2B15" w:rsidP="00CD2B15">
      <w:pPr>
        <w:pStyle w:val="Prrafodelista"/>
        <w:ind w:left="0"/>
        <w:rPr>
          <w:rFonts w:ascii="Verdana" w:hAnsi="Verdana"/>
          <w:sz w:val="20"/>
          <w:szCs w:val="20"/>
          <w:u w:val="single"/>
          <w:lang w:val="en-US"/>
        </w:rPr>
      </w:pPr>
    </w:p>
    <w:p w14:paraId="42F4F9C1" w14:textId="77777777" w:rsidR="00CD2B15" w:rsidRPr="0056383C" w:rsidRDefault="00CD2B15" w:rsidP="00CD2B15">
      <w:pPr>
        <w:pStyle w:val="Prrafodelista"/>
        <w:ind w:left="0"/>
        <w:rPr>
          <w:rFonts w:ascii="Verdana" w:hAnsi="Verdana"/>
          <w:sz w:val="20"/>
          <w:szCs w:val="20"/>
          <w:lang w:val="en-US"/>
        </w:rPr>
      </w:pPr>
      <w:r w:rsidRPr="0056383C">
        <w:rPr>
          <w:rFonts w:ascii="Verdana" w:hAnsi="Verdana"/>
          <w:sz w:val="20"/>
          <w:szCs w:val="20"/>
          <w:lang w:val="en-US"/>
        </w:rPr>
        <w:t xml:space="preserve">31. </w:t>
      </w:r>
      <w:r w:rsidRPr="0056383C">
        <w:rPr>
          <w:rFonts w:ascii="Verdana" w:hAnsi="Verdana"/>
          <w:sz w:val="20"/>
          <w:szCs w:val="20"/>
          <w:lang w:val="en-US"/>
        </w:rPr>
        <w:tab/>
        <w:t xml:space="preserve">Another differentiating aspect relates to the fact that the Inter-American Court can now examine in greater detail the obligations that a </w:t>
      </w:r>
      <w:proofErr w:type="gramStart"/>
      <w:r w:rsidRPr="0056383C">
        <w:rPr>
          <w:rFonts w:ascii="Verdana" w:hAnsi="Verdana"/>
          <w:sz w:val="20"/>
          <w:szCs w:val="20"/>
          <w:lang w:val="en-US"/>
        </w:rPr>
        <w:t>specific right entails</w:t>
      </w:r>
      <w:proofErr w:type="gramEnd"/>
      <w:r w:rsidRPr="0056383C">
        <w:rPr>
          <w:rFonts w:ascii="Verdana" w:hAnsi="Verdana"/>
          <w:sz w:val="20"/>
          <w:szCs w:val="20"/>
          <w:lang w:val="en-US"/>
        </w:rPr>
        <w:t xml:space="preserve">. The Court determined that, pursuant to the general obligations of respect and guarantee contained in Articles 1(1) and 2 of the Pact of San José, both the obligations of an immediate nature (such as non-discrimination), and also those that require time to implement them (such as the obligations of a progressive nature – and consequently that of non-retrogression) are applicable to social security. Evidently, in each case examined the Court must determine the type of obligations </w:t>
      </w:r>
      <w:r w:rsidRPr="0056383C">
        <w:rPr>
          <w:rFonts w:ascii="Verdana" w:hAnsi="Verdana"/>
          <w:sz w:val="20"/>
          <w:szCs w:val="20"/>
          <w:lang w:val="en-US"/>
        </w:rPr>
        <w:lastRenderedPageBreak/>
        <w:t>that are involved in relation to the right to social security, and whether these are the obligation to respect this right, the obligation to ensure the right (as in the case of its progressive development), or a combination of the two. This determination is essential because it reveals that not every case involving a social right necessarily signifies only a violation of the “obligation to ensure its progressive development.”</w:t>
      </w:r>
      <w:r w:rsidRPr="0056383C">
        <w:rPr>
          <w:rStyle w:val="Refdenotaalpie"/>
          <w:szCs w:val="20"/>
          <w:lang w:val="en-US"/>
        </w:rPr>
        <w:footnoteReference w:id="311"/>
      </w:r>
      <w:r w:rsidRPr="0056383C">
        <w:rPr>
          <w:rFonts w:ascii="Verdana" w:hAnsi="Verdana"/>
          <w:sz w:val="20"/>
          <w:szCs w:val="20"/>
          <w:lang w:val="en-US"/>
        </w:rPr>
        <w:t xml:space="preserve"> </w:t>
      </w:r>
    </w:p>
    <w:p w14:paraId="4B1E3F39" w14:textId="77777777" w:rsidR="00CD2B15" w:rsidRPr="0056383C" w:rsidRDefault="00CD2B15" w:rsidP="00CD2B15">
      <w:pPr>
        <w:rPr>
          <w:rFonts w:ascii="Verdana" w:hAnsi="Verdana"/>
          <w:color w:val="538135" w:themeColor="accent6" w:themeShade="BF"/>
          <w:sz w:val="20"/>
          <w:szCs w:val="20"/>
          <w:lang w:val="en-US"/>
        </w:rPr>
      </w:pPr>
    </w:p>
    <w:p w14:paraId="626C4CF0"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32. </w:t>
      </w:r>
      <w:r w:rsidRPr="0056383C">
        <w:rPr>
          <w:rFonts w:ascii="Verdana" w:hAnsi="Verdana"/>
          <w:sz w:val="20"/>
          <w:szCs w:val="20"/>
          <w:lang w:val="en-US"/>
        </w:rPr>
        <w:tab/>
        <w:t xml:space="preserve">A third relevant aspect of the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case is that is gives us a comprehensive view of each of the violations that have occurred in each case. Even though the Court has done a commendable job with regard to the issue of pensions by incorporating violations within the content of the right to property (Article 21), as in the cases of the </w:t>
      </w:r>
      <w:r w:rsidRPr="0056383C">
        <w:rPr>
          <w:rFonts w:ascii="Verdana" w:hAnsi="Verdana"/>
          <w:i/>
          <w:sz w:val="20"/>
          <w:szCs w:val="20"/>
          <w:lang w:val="en-US"/>
        </w:rPr>
        <w:t>Five Pensioners</w:t>
      </w:r>
      <w:r w:rsidRPr="0056383C">
        <w:rPr>
          <w:rFonts w:ascii="Verdana" w:hAnsi="Verdana"/>
          <w:sz w:val="20"/>
          <w:szCs w:val="20"/>
          <w:lang w:val="en-US"/>
        </w:rPr>
        <w:t xml:space="preserve"> and </w:t>
      </w:r>
      <w:r w:rsidRPr="0056383C">
        <w:rPr>
          <w:rFonts w:ascii="Verdana" w:hAnsi="Verdana"/>
          <w:i/>
          <w:sz w:val="20"/>
          <w:szCs w:val="20"/>
          <w:lang w:val="en-US"/>
        </w:rPr>
        <w:t xml:space="preserve">Acevedo </w:t>
      </w:r>
      <w:proofErr w:type="spellStart"/>
      <w:r w:rsidRPr="0056383C">
        <w:rPr>
          <w:rFonts w:ascii="Verdana" w:hAnsi="Verdana"/>
          <w:i/>
          <w:sz w:val="20"/>
          <w:szCs w:val="20"/>
          <w:lang w:val="en-US"/>
        </w:rPr>
        <w:t>Buendía</w:t>
      </w:r>
      <w:proofErr w:type="spellEnd"/>
      <w:r w:rsidRPr="0056383C">
        <w:rPr>
          <w:rFonts w:ascii="Verdana" w:hAnsi="Verdana"/>
          <w:i/>
          <w:sz w:val="20"/>
          <w:szCs w:val="20"/>
          <w:lang w:val="en-US"/>
        </w:rPr>
        <w:t>,</w:t>
      </w:r>
      <w:r w:rsidRPr="0056383C">
        <w:rPr>
          <w:rFonts w:ascii="Verdana" w:hAnsi="Verdana"/>
          <w:sz w:val="20"/>
          <w:szCs w:val="20"/>
          <w:lang w:val="en-US"/>
        </w:rPr>
        <w:t xml:space="preserve"> it is clear that the said right does not encompass the broader content of the right to social security;</w:t>
      </w:r>
      <w:r w:rsidRPr="0056383C">
        <w:rPr>
          <w:rStyle w:val="Refdenotaalpie"/>
          <w:szCs w:val="20"/>
          <w:lang w:val="en-US"/>
        </w:rPr>
        <w:footnoteReference w:id="312"/>
      </w:r>
      <w:r w:rsidRPr="0056383C">
        <w:rPr>
          <w:rFonts w:ascii="Verdana" w:hAnsi="Verdana"/>
          <w:sz w:val="20"/>
          <w:szCs w:val="20"/>
          <w:lang w:val="en-US"/>
        </w:rPr>
        <w:t xml:space="preserve"> although the right to social security does include monetary or financial aspects (pensions), it also encompasses benefits relating to certain services that beneficiaries can access – for example, preventive or emergency medical services – that are clearly unrelated to the sphere of the protection of private property.</w:t>
      </w:r>
      <w:r w:rsidRPr="0056383C">
        <w:rPr>
          <w:rStyle w:val="Refdenotaalpie"/>
          <w:szCs w:val="20"/>
          <w:lang w:val="en-US"/>
        </w:rPr>
        <w:footnoteReference w:id="313"/>
      </w:r>
      <w:r w:rsidRPr="0056383C">
        <w:rPr>
          <w:rFonts w:ascii="Verdana" w:hAnsi="Verdana"/>
          <w:sz w:val="20"/>
          <w:szCs w:val="20"/>
          <w:lang w:val="en-US"/>
        </w:rPr>
        <w:t xml:space="preserve"> Consequently, in its judgment, the Court relates the right to social security to the right to property – without subsuming it within the latter.</w:t>
      </w:r>
      <w:r w:rsidRPr="0056383C">
        <w:rPr>
          <w:rStyle w:val="Refdenotaalpie"/>
          <w:szCs w:val="20"/>
          <w:lang w:val="en-US"/>
        </w:rPr>
        <w:footnoteReference w:id="314"/>
      </w:r>
    </w:p>
    <w:p w14:paraId="6FD08E38" w14:textId="77777777" w:rsidR="00CD2B15" w:rsidRPr="0056383C" w:rsidRDefault="00CD2B15" w:rsidP="00CD2B15">
      <w:pPr>
        <w:pStyle w:val="Prrafodelista"/>
        <w:rPr>
          <w:rFonts w:ascii="Verdana" w:hAnsi="Verdana"/>
          <w:i/>
          <w:sz w:val="20"/>
          <w:szCs w:val="20"/>
          <w:lang w:val="en-US"/>
        </w:rPr>
      </w:pPr>
    </w:p>
    <w:p w14:paraId="2EECDDED" w14:textId="77777777" w:rsidR="00CD2B15" w:rsidRPr="0056383C" w:rsidRDefault="00CD2B15" w:rsidP="00CD2B15">
      <w:pPr>
        <w:pStyle w:val="Prrafodelista"/>
        <w:ind w:left="0"/>
        <w:rPr>
          <w:rFonts w:ascii="Verdana" w:hAnsi="Verdana"/>
          <w:sz w:val="20"/>
          <w:szCs w:val="20"/>
          <w:lang w:val="en-US"/>
        </w:rPr>
      </w:pPr>
      <w:r w:rsidRPr="0056383C">
        <w:rPr>
          <w:rFonts w:ascii="Verdana" w:hAnsi="Verdana"/>
          <w:sz w:val="20"/>
          <w:szCs w:val="20"/>
          <w:lang w:val="en-US"/>
        </w:rPr>
        <w:t xml:space="preserve">33. </w:t>
      </w:r>
      <w:r w:rsidRPr="0056383C">
        <w:rPr>
          <w:rFonts w:ascii="Verdana" w:hAnsi="Verdana"/>
          <w:sz w:val="20"/>
          <w:szCs w:val="20"/>
          <w:lang w:val="en-US"/>
        </w:rPr>
        <w:tab/>
        <w:t>Each and every one of the aspects I have emphasized provides a specific argument regarding the reasons why the social rights – such as the right to social security — may validly be autonomously justiciable.</w:t>
      </w:r>
      <w:r w:rsidRPr="0056383C">
        <w:rPr>
          <w:rStyle w:val="Refdenotaalpie"/>
          <w:szCs w:val="20"/>
          <w:lang w:val="en-US"/>
        </w:rPr>
        <w:footnoteReference w:id="315"/>
      </w:r>
      <w:r w:rsidRPr="0056383C">
        <w:rPr>
          <w:rFonts w:ascii="Verdana" w:hAnsi="Verdana"/>
          <w:sz w:val="20"/>
          <w:szCs w:val="20"/>
          <w:lang w:val="en-US"/>
        </w:rPr>
        <w:t xml:space="preserve"> To this should be added, as previously indicated by the Inter-American Court, that “a literal, systematic and teleological interpretation leads to the conclusion that Article 26 of the Convention </w:t>
      </w:r>
      <w:r w:rsidRPr="0056383C">
        <w:rPr>
          <w:rFonts w:ascii="Verdana" w:hAnsi="Verdana"/>
          <w:sz w:val="20"/>
          <w:szCs w:val="20"/>
          <w:lang w:val="en-US" w:eastAsia="es-ES_tradnl"/>
        </w:rPr>
        <w:t xml:space="preserve">protects the rights derived from the economic, social, educational, scientific and cultural standards set forth in the OAS Charter. The scope of such rights should be understood in relation to the other articles of the American Convention and they are therefore subject to the general obligations contained in Article 1(1) and 2 of the Convention and may be supervised by the Court in the terms of Articles 62 and 63 of this </w:t>
      </w:r>
      <w:proofErr w:type="gramStart"/>
      <w:r w:rsidRPr="0056383C">
        <w:rPr>
          <w:rFonts w:ascii="Verdana" w:hAnsi="Verdana"/>
          <w:sz w:val="20"/>
          <w:szCs w:val="20"/>
          <w:lang w:val="en-US" w:eastAsia="es-ES_tradnl"/>
        </w:rPr>
        <w:t>instrument</w:t>
      </w:r>
      <w:proofErr w:type="gramEnd"/>
      <w:r w:rsidRPr="0056383C">
        <w:rPr>
          <w:rFonts w:ascii="Verdana" w:hAnsi="Verdana"/>
          <w:sz w:val="20"/>
          <w:szCs w:val="20"/>
          <w:lang w:val="en-US" w:eastAsia="es-ES_tradnl"/>
        </w:rPr>
        <w:t xml:space="preserve">. This conclusion is based not only on formal issues, but results from the interdependence and indivisibility of civil and political rights and </w:t>
      </w:r>
      <w:r w:rsidRPr="0056383C">
        <w:rPr>
          <w:rFonts w:ascii="Verdana" w:hAnsi="Verdana"/>
          <w:sz w:val="20"/>
          <w:szCs w:val="20"/>
          <w:lang w:val="en-US"/>
        </w:rPr>
        <w:t>economic, social, cultural and environmental rights, as well as their compatibility with the object and purpose of the Convention, which is the protection of the fundamental rights of the human being.[…].”</w:t>
      </w:r>
      <w:r w:rsidRPr="0056383C">
        <w:rPr>
          <w:rStyle w:val="Refdenotaalpie"/>
          <w:szCs w:val="20"/>
          <w:lang w:val="en-US"/>
        </w:rPr>
        <w:footnoteReference w:id="316"/>
      </w:r>
    </w:p>
    <w:p w14:paraId="500A9002" w14:textId="77777777" w:rsidR="00CD2B15" w:rsidRPr="0056383C" w:rsidRDefault="00CD2B15" w:rsidP="00CD2B15">
      <w:pPr>
        <w:pStyle w:val="Prrafodelista"/>
        <w:ind w:left="0"/>
        <w:outlineLvl w:val="1"/>
        <w:rPr>
          <w:rFonts w:ascii="Verdana" w:hAnsi="Verdana"/>
          <w:sz w:val="20"/>
          <w:szCs w:val="20"/>
          <w:lang w:val="en-US"/>
        </w:rPr>
      </w:pPr>
    </w:p>
    <w:p w14:paraId="40437E6F"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34. </w:t>
      </w:r>
      <w:r w:rsidRPr="0056383C">
        <w:rPr>
          <w:rFonts w:ascii="Verdana" w:hAnsi="Verdana"/>
          <w:sz w:val="20"/>
          <w:szCs w:val="20"/>
          <w:lang w:val="en-US"/>
        </w:rPr>
        <w:tab/>
        <w:t xml:space="preserve">This important exercise performed by the Court in interpreting the rights and also the scope of the social rights is not unrelated to its case law because, traditionally, the Court has </w:t>
      </w:r>
      <w:r w:rsidRPr="0056383C">
        <w:rPr>
          <w:rFonts w:ascii="Verdana" w:hAnsi="Verdana"/>
          <w:sz w:val="20"/>
          <w:szCs w:val="20"/>
          <w:lang w:val="en-US"/>
        </w:rPr>
        <w:lastRenderedPageBreak/>
        <w:t>provided content to the provisions of the Pact of San José in order to update the content of the articles based on the new realities that have been submitted to its jurisdictional function.</w:t>
      </w:r>
      <w:r w:rsidRPr="0056383C">
        <w:rPr>
          <w:rStyle w:val="Refdenotaalpie"/>
          <w:szCs w:val="20"/>
          <w:lang w:val="en-US"/>
        </w:rPr>
        <w:footnoteReference w:id="317"/>
      </w:r>
    </w:p>
    <w:p w14:paraId="78563CC4" w14:textId="77777777" w:rsidR="00CD2B15" w:rsidRPr="0056383C" w:rsidRDefault="00CD2B15" w:rsidP="00CD2B15">
      <w:pPr>
        <w:pStyle w:val="Prrafodelista"/>
        <w:rPr>
          <w:rFonts w:ascii="Verdana" w:hAnsi="Verdana"/>
          <w:i/>
          <w:sz w:val="20"/>
          <w:szCs w:val="20"/>
          <w:lang w:val="en-US"/>
        </w:rPr>
      </w:pPr>
    </w:p>
    <w:p w14:paraId="1F66203E"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35.</w:t>
      </w:r>
      <w:r w:rsidRPr="0056383C">
        <w:rPr>
          <w:rFonts w:ascii="Verdana" w:hAnsi="Verdana"/>
          <w:i/>
          <w:sz w:val="20"/>
          <w:szCs w:val="20"/>
          <w:lang w:val="en-US"/>
        </w:rPr>
        <w:t xml:space="preserve"> </w:t>
      </w:r>
      <w:r w:rsidRPr="0056383C">
        <w:rPr>
          <w:rFonts w:ascii="Verdana" w:hAnsi="Verdana"/>
          <w:i/>
          <w:sz w:val="20"/>
          <w:szCs w:val="20"/>
          <w:lang w:val="en-US"/>
        </w:rPr>
        <w:tab/>
      </w:r>
      <w:r w:rsidRPr="0056383C">
        <w:rPr>
          <w:rFonts w:ascii="Verdana" w:hAnsi="Verdana"/>
          <w:sz w:val="20"/>
          <w:szCs w:val="20"/>
          <w:lang w:val="en-US"/>
        </w:rPr>
        <w:t>It is important to stress that the Inter-American Court, as any organ with jurisdictional functions, has the inherent authority to determine the scope of its own competence (</w:t>
      </w:r>
      <w:proofErr w:type="spellStart"/>
      <w:r w:rsidRPr="0056383C">
        <w:rPr>
          <w:rFonts w:ascii="Verdana" w:hAnsi="Verdana"/>
          <w:i/>
          <w:sz w:val="20"/>
          <w:szCs w:val="20"/>
          <w:lang w:val="en-US"/>
        </w:rPr>
        <w:t>compétence</w:t>
      </w:r>
      <w:proofErr w:type="spellEnd"/>
      <w:r w:rsidRPr="0056383C">
        <w:rPr>
          <w:rFonts w:ascii="Verdana" w:hAnsi="Verdana"/>
          <w:i/>
          <w:sz w:val="20"/>
          <w:szCs w:val="20"/>
          <w:lang w:val="en-US"/>
        </w:rPr>
        <w:t xml:space="preserve"> de la </w:t>
      </w:r>
      <w:proofErr w:type="spellStart"/>
      <w:r w:rsidRPr="0056383C">
        <w:rPr>
          <w:rFonts w:ascii="Verdana" w:hAnsi="Verdana"/>
          <w:i/>
          <w:sz w:val="20"/>
          <w:szCs w:val="20"/>
          <w:lang w:val="en-US"/>
        </w:rPr>
        <w:t>compétence</w:t>
      </w:r>
      <w:proofErr w:type="spellEnd"/>
      <w:r w:rsidRPr="0056383C">
        <w:rPr>
          <w:rFonts w:ascii="Verdana" w:hAnsi="Verdana"/>
          <w:sz w:val="20"/>
          <w:szCs w:val="20"/>
          <w:lang w:val="en-US"/>
        </w:rPr>
        <w:t>). When making this determination, the Court must take into account that the instruments accepting the optional clause concerning the binding jurisdiction (Article 62(1) of the Convention) presume that the States that deposit this instrument accept the right of the Court to decide any dispute concerning its jurisdiction. Furthermore, the Court has indicated previously that the broad terms in which the American Convention was drafted indicate that the Inter-American Court exercises full jurisdiction over all its articles and provisions.</w:t>
      </w:r>
      <w:r w:rsidRPr="0056383C">
        <w:rPr>
          <w:rStyle w:val="Refdenotaalpie"/>
          <w:szCs w:val="20"/>
          <w:lang w:val="en-US"/>
        </w:rPr>
        <w:footnoteReference w:id="318"/>
      </w:r>
      <w:r w:rsidRPr="0056383C">
        <w:rPr>
          <w:rFonts w:ascii="Verdana" w:hAnsi="Verdana"/>
          <w:sz w:val="20"/>
          <w:szCs w:val="20"/>
          <w:lang w:val="en-US"/>
        </w:rPr>
        <w:t xml:space="preserve"> </w:t>
      </w:r>
    </w:p>
    <w:p w14:paraId="2BEFB9E0" w14:textId="77777777" w:rsidR="00CD2B15" w:rsidRPr="0056383C" w:rsidRDefault="00CD2B15" w:rsidP="00CD2B15">
      <w:pPr>
        <w:outlineLvl w:val="1"/>
        <w:rPr>
          <w:rFonts w:ascii="Verdana" w:hAnsi="Verdana"/>
          <w:i/>
          <w:sz w:val="20"/>
          <w:szCs w:val="20"/>
          <w:lang w:val="en-US"/>
        </w:rPr>
      </w:pPr>
    </w:p>
    <w:p w14:paraId="26BA8791" w14:textId="77777777" w:rsidR="00CD2B15" w:rsidRPr="0056383C" w:rsidRDefault="00CD2B15" w:rsidP="00CD2B15">
      <w:pPr>
        <w:pStyle w:val="Ttulo1"/>
        <w:spacing w:line="360" w:lineRule="auto"/>
        <w:rPr>
          <w:b w:val="0"/>
          <w:lang w:val="en-US"/>
        </w:rPr>
      </w:pPr>
      <w:r w:rsidRPr="0056383C">
        <w:rPr>
          <w:b w:val="0"/>
          <w:lang w:val="en-US"/>
        </w:rPr>
        <w:t xml:space="preserve">II. THE FAILURE TO EXECUTE JUDGMENTS ON THE SOCIAL RIGHTS </w:t>
      </w:r>
    </w:p>
    <w:p w14:paraId="5CEF7A33" w14:textId="77777777" w:rsidR="00CD2B15" w:rsidRPr="0056383C" w:rsidRDefault="00CD2B15" w:rsidP="00CD2B15">
      <w:pPr>
        <w:pStyle w:val="Ttulo1"/>
        <w:rPr>
          <w:b w:val="0"/>
          <w:lang w:val="en-US"/>
        </w:rPr>
      </w:pPr>
      <w:r w:rsidRPr="0056383C">
        <w:rPr>
          <w:b w:val="0"/>
          <w:lang w:val="en-US"/>
        </w:rPr>
        <w:t>AND THE IMPACT ON OLDER PERSONS</w:t>
      </w:r>
    </w:p>
    <w:p w14:paraId="6A2FDD07" w14:textId="77777777" w:rsidR="00CD2B15" w:rsidRPr="0056383C" w:rsidRDefault="00CD2B15" w:rsidP="00CD2B15">
      <w:pPr>
        <w:rPr>
          <w:rFonts w:ascii="Verdana" w:hAnsi="Verdana"/>
          <w:sz w:val="20"/>
          <w:szCs w:val="20"/>
          <w:lang w:val="en-US"/>
        </w:rPr>
      </w:pPr>
    </w:p>
    <w:p w14:paraId="493F41F7" w14:textId="77777777" w:rsidR="00CD2B15" w:rsidRPr="0056383C" w:rsidRDefault="00CD2B15" w:rsidP="00D17A65">
      <w:pPr>
        <w:pStyle w:val="Prrafodelista"/>
        <w:widowControl/>
        <w:numPr>
          <w:ilvl w:val="0"/>
          <w:numId w:val="15"/>
        </w:numPr>
        <w:adjustRightInd/>
        <w:textAlignment w:val="auto"/>
        <w:outlineLvl w:val="1"/>
        <w:rPr>
          <w:rFonts w:ascii="Verdana" w:hAnsi="Verdana"/>
          <w:i/>
          <w:sz w:val="20"/>
          <w:szCs w:val="20"/>
          <w:lang w:val="en-US"/>
        </w:rPr>
      </w:pPr>
      <w:r w:rsidRPr="0056383C">
        <w:rPr>
          <w:rFonts w:ascii="Verdana" w:hAnsi="Verdana"/>
          <w:i/>
          <w:sz w:val="20"/>
          <w:szCs w:val="20"/>
          <w:lang w:val="en-US"/>
        </w:rPr>
        <w:t>The right of access to justice broadly construed</w:t>
      </w:r>
    </w:p>
    <w:p w14:paraId="1AD27434" w14:textId="77777777" w:rsidR="00CD2B15" w:rsidRPr="0056383C" w:rsidRDefault="00CD2B15" w:rsidP="00CD2B15">
      <w:pPr>
        <w:outlineLvl w:val="1"/>
        <w:rPr>
          <w:rFonts w:ascii="Verdana" w:hAnsi="Verdana"/>
          <w:sz w:val="20"/>
          <w:szCs w:val="20"/>
          <w:lang w:val="en-US"/>
        </w:rPr>
      </w:pPr>
    </w:p>
    <w:p w14:paraId="16C0AFB5" w14:textId="77777777" w:rsidR="00CD2B15" w:rsidRPr="0056383C" w:rsidRDefault="00CD2B15" w:rsidP="00CD2B15">
      <w:pPr>
        <w:pStyle w:val="Prrafodelista"/>
        <w:tabs>
          <w:tab w:val="left" w:pos="0"/>
          <w:tab w:val="left" w:pos="720"/>
        </w:tabs>
        <w:ind w:left="0"/>
        <w:rPr>
          <w:rFonts w:ascii="Verdana" w:hAnsi="Verdana"/>
          <w:sz w:val="20"/>
          <w:szCs w:val="20"/>
          <w:lang w:val="en-US"/>
        </w:rPr>
      </w:pPr>
      <w:r w:rsidRPr="0056383C">
        <w:rPr>
          <w:rFonts w:ascii="Verdana" w:hAnsi="Verdana"/>
          <w:sz w:val="20"/>
          <w:szCs w:val="20"/>
          <w:lang w:val="en-US"/>
        </w:rPr>
        <w:t xml:space="preserve">36. </w:t>
      </w:r>
      <w:r w:rsidRPr="0056383C">
        <w:rPr>
          <w:rFonts w:ascii="Verdana" w:hAnsi="Verdana"/>
          <w:sz w:val="20"/>
          <w:szCs w:val="20"/>
          <w:lang w:val="en-US"/>
        </w:rPr>
        <w:tab/>
        <w:t>The Inter-American Court has established that “the fact that a judgment is at the stage of execution does not exclude a possible violation of the right to an effective remedy,” insofar as “the process should lead to the materialization of the protection of the right recognized in the judicial ruling by the proper application of this ruling.”</w:t>
      </w:r>
      <w:r w:rsidRPr="0056383C">
        <w:rPr>
          <w:rStyle w:val="Refdenotaalpie"/>
          <w:szCs w:val="20"/>
          <w:lang w:val="en-US"/>
        </w:rPr>
        <w:footnoteReference w:id="319"/>
      </w:r>
    </w:p>
    <w:p w14:paraId="79216ACC" w14:textId="77777777" w:rsidR="00CD2B15" w:rsidRPr="0056383C" w:rsidRDefault="00CD2B15" w:rsidP="00CD2B15">
      <w:pPr>
        <w:pStyle w:val="Prrafodelista"/>
        <w:tabs>
          <w:tab w:val="left" w:pos="0"/>
          <w:tab w:val="left" w:pos="720"/>
        </w:tabs>
        <w:ind w:left="0"/>
        <w:rPr>
          <w:rFonts w:ascii="Verdana" w:hAnsi="Verdana"/>
          <w:spacing w:val="-2"/>
          <w:sz w:val="20"/>
          <w:szCs w:val="20"/>
          <w:lang w:val="en-US"/>
        </w:rPr>
      </w:pPr>
    </w:p>
    <w:p w14:paraId="120B0F38" w14:textId="77777777" w:rsidR="00CD2B15" w:rsidRPr="0056383C" w:rsidRDefault="00CD2B15" w:rsidP="00CD2B15">
      <w:pPr>
        <w:pStyle w:val="Prrafodelista"/>
        <w:tabs>
          <w:tab w:val="left" w:pos="0"/>
          <w:tab w:val="left" w:pos="720"/>
        </w:tabs>
        <w:ind w:left="0"/>
        <w:rPr>
          <w:rFonts w:ascii="Verdana" w:hAnsi="Verdana"/>
          <w:spacing w:val="-2"/>
          <w:sz w:val="20"/>
          <w:szCs w:val="20"/>
          <w:lang w:val="en-US"/>
        </w:rPr>
      </w:pPr>
      <w:r w:rsidRPr="0056383C">
        <w:rPr>
          <w:rFonts w:ascii="Verdana" w:hAnsi="Verdana"/>
          <w:spacing w:val="-2"/>
          <w:sz w:val="20"/>
          <w:szCs w:val="20"/>
          <w:lang w:val="en-US"/>
        </w:rPr>
        <w:t xml:space="preserve">37. </w:t>
      </w:r>
      <w:r w:rsidRPr="0056383C">
        <w:rPr>
          <w:rFonts w:ascii="Verdana" w:hAnsi="Verdana"/>
          <w:spacing w:val="-2"/>
          <w:sz w:val="20"/>
          <w:szCs w:val="20"/>
          <w:lang w:val="en-US"/>
        </w:rPr>
        <w:tab/>
        <w:t>The Inter-American Court has indicated that the responsibility of the State does not end when the competent authorities issue a decision or a judgment, but also requires the State to ensure the means to execute the final decisions in order to provide effective protection to the declared rights.</w:t>
      </w:r>
      <w:r w:rsidRPr="0056383C">
        <w:rPr>
          <w:rFonts w:ascii="Verdana" w:hAnsi="Verdana"/>
          <w:sz w:val="20"/>
          <w:szCs w:val="20"/>
          <w:vertAlign w:val="superscript"/>
          <w:lang w:val="en-US"/>
        </w:rPr>
        <w:footnoteReference w:id="320"/>
      </w:r>
      <w:r w:rsidRPr="0056383C">
        <w:rPr>
          <w:rFonts w:ascii="Verdana" w:hAnsi="Verdana"/>
          <w:spacing w:val="-2"/>
          <w:sz w:val="20"/>
          <w:szCs w:val="20"/>
          <w:lang w:val="en-US"/>
        </w:rPr>
        <w:t xml:space="preserve"> The Court has also established that the effectiveness of judgments depends on their execution. The </w:t>
      </w:r>
      <w:r w:rsidRPr="0056383C">
        <w:rPr>
          <w:rFonts w:ascii="Verdana" w:hAnsi="Verdana"/>
          <w:sz w:val="20"/>
          <w:szCs w:val="20"/>
          <w:lang w:val="en-US"/>
        </w:rPr>
        <w:t>process should lead to the materialization of the protection of the right recognized in the judicial ruling by the proper application of that ruling.”</w:t>
      </w:r>
      <w:r w:rsidRPr="0056383C">
        <w:rPr>
          <w:rStyle w:val="Refdenotaalpie"/>
          <w:spacing w:val="-2"/>
          <w:szCs w:val="20"/>
          <w:lang w:val="en-US"/>
        </w:rPr>
        <w:footnoteReference w:id="321"/>
      </w:r>
    </w:p>
    <w:p w14:paraId="4D539B9A" w14:textId="77777777" w:rsidR="00CD2B15" w:rsidRPr="0056383C" w:rsidRDefault="00CD2B15" w:rsidP="00CD2B15">
      <w:pPr>
        <w:pStyle w:val="Prrafodelista"/>
        <w:rPr>
          <w:rFonts w:ascii="Verdana" w:hAnsi="Verdana"/>
          <w:sz w:val="20"/>
          <w:szCs w:val="20"/>
          <w:lang w:val="en-US"/>
        </w:rPr>
      </w:pPr>
    </w:p>
    <w:p w14:paraId="1B854EFF" w14:textId="77777777" w:rsidR="00CD2B15" w:rsidRPr="0056383C" w:rsidRDefault="00CD2B15" w:rsidP="00CD2B15">
      <w:pPr>
        <w:pStyle w:val="Prrafodelista"/>
        <w:tabs>
          <w:tab w:val="left" w:pos="0"/>
          <w:tab w:val="left" w:pos="720"/>
        </w:tabs>
        <w:ind w:left="0"/>
        <w:rPr>
          <w:rFonts w:ascii="Verdana" w:hAnsi="Verdana"/>
          <w:sz w:val="20"/>
          <w:szCs w:val="20"/>
          <w:lang w:val="en-US"/>
        </w:rPr>
      </w:pPr>
      <w:r w:rsidRPr="0056383C">
        <w:rPr>
          <w:rFonts w:ascii="Verdana" w:hAnsi="Verdana"/>
          <w:sz w:val="20"/>
          <w:szCs w:val="20"/>
          <w:lang w:val="en-US"/>
        </w:rPr>
        <w:t xml:space="preserve">38. </w:t>
      </w:r>
      <w:r w:rsidRPr="0056383C">
        <w:rPr>
          <w:rFonts w:ascii="Verdana" w:hAnsi="Verdana"/>
          <w:sz w:val="20"/>
          <w:szCs w:val="20"/>
          <w:lang w:val="en-US"/>
        </w:rPr>
        <w:tab/>
        <w:t>Article 25(2)(c) of the American Convention establishes the undertaking of the States “</w:t>
      </w:r>
      <w:r w:rsidRPr="0056383C">
        <w:rPr>
          <w:rFonts w:ascii="Verdana" w:hAnsi="Verdana"/>
          <w:spacing w:val="-3"/>
          <w:sz w:val="20"/>
          <w:szCs w:val="20"/>
          <w:lang w:val="en-US"/>
        </w:rPr>
        <w:t xml:space="preserve">to ensure that the competent authorities shall enforce such remedies when granted” and this protects the individual against acts that violate his or her fundamental rights. Accordingly, the effectiveness of judgments and judicial orders “depends on their execution […] because a </w:t>
      </w:r>
      <w:r w:rsidRPr="0056383C">
        <w:rPr>
          <w:rFonts w:ascii="Verdana" w:hAnsi="Verdana"/>
          <w:spacing w:val="-3"/>
          <w:sz w:val="20"/>
          <w:szCs w:val="20"/>
          <w:lang w:val="en-US"/>
        </w:rPr>
        <w:lastRenderedPageBreak/>
        <w:t xml:space="preserve">judgment that is </w:t>
      </w:r>
      <w:r w:rsidRPr="0056383C">
        <w:rPr>
          <w:rFonts w:ascii="Verdana" w:hAnsi="Verdana"/>
          <w:i/>
          <w:iCs/>
          <w:spacing w:val="-3"/>
          <w:sz w:val="20"/>
          <w:szCs w:val="20"/>
          <w:lang w:val="en-US"/>
        </w:rPr>
        <w:t>res judicata</w:t>
      </w:r>
      <w:r w:rsidRPr="0056383C">
        <w:rPr>
          <w:rFonts w:ascii="Verdana" w:hAnsi="Verdana"/>
          <w:spacing w:val="-3"/>
          <w:sz w:val="20"/>
          <w:szCs w:val="20"/>
          <w:lang w:val="en-US"/>
        </w:rPr>
        <w:t xml:space="preserve"> accords certainty with regard to the right or dispute examined in the specific case and, consequently, one of its effects is its binding nature or the necessity of complying with it. The contrary would involve the very denial of the right involved.” Consequently, “the execution of judgments must be considered an integral part of the right of access to the remedy, which also includes full compliance with the respective decision.</w:t>
      </w:r>
      <w:r w:rsidRPr="0056383C">
        <w:rPr>
          <w:rFonts w:ascii="Verdana" w:hAnsi="Verdana"/>
          <w:sz w:val="20"/>
          <w:szCs w:val="20"/>
          <w:lang w:val="en-US"/>
        </w:rPr>
        <w:t>”</w:t>
      </w:r>
      <w:r w:rsidRPr="0056383C">
        <w:rPr>
          <w:rStyle w:val="Refdenotaalpie"/>
          <w:szCs w:val="20"/>
          <w:lang w:val="en-US"/>
        </w:rPr>
        <w:footnoteReference w:id="322"/>
      </w:r>
    </w:p>
    <w:p w14:paraId="64343D43" w14:textId="77777777" w:rsidR="00CD2B15" w:rsidRPr="0056383C" w:rsidRDefault="00CD2B15" w:rsidP="00CD2B15">
      <w:pPr>
        <w:pStyle w:val="Prrafodelista"/>
        <w:rPr>
          <w:rFonts w:ascii="Verdana" w:hAnsi="Verdana"/>
          <w:spacing w:val="-2"/>
          <w:sz w:val="20"/>
          <w:szCs w:val="20"/>
          <w:lang w:val="en-US"/>
        </w:rPr>
      </w:pPr>
    </w:p>
    <w:p w14:paraId="431F2F1F" w14:textId="77777777" w:rsidR="00CD2B15" w:rsidRPr="0056383C" w:rsidRDefault="00CD2B15" w:rsidP="00CD2B15">
      <w:pPr>
        <w:pStyle w:val="Prrafodelista"/>
        <w:tabs>
          <w:tab w:val="left" w:pos="0"/>
          <w:tab w:val="left" w:pos="720"/>
        </w:tabs>
        <w:ind w:left="0"/>
        <w:rPr>
          <w:rFonts w:ascii="Verdana" w:hAnsi="Verdana"/>
          <w:spacing w:val="-2"/>
          <w:sz w:val="20"/>
          <w:szCs w:val="20"/>
          <w:lang w:val="en-US"/>
        </w:rPr>
      </w:pPr>
      <w:r w:rsidRPr="0056383C">
        <w:rPr>
          <w:rFonts w:ascii="Verdana" w:hAnsi="Verdana"/>
          <w:spacing w:val="-2"/>
          <w:sz w:val="20"/>
          <w:szCs w:val="20"/>
          <w:lang w:val="en-US"/>
        </w:rPr>
        <w:t xml:space="preserve">39. </w:t>
      </w:r>
      <w:r w:rsidRPr="0056383C">
        <w:rPr>
          <w:rFonts w:ascii="Verdana" w:hAnsi="Verdana"/>
          <w:spacing w:val="-2"/>
          <w:sz w:val="20"/>
          <w:szCs w:val="20"/>
          <w:lang w:val="en-US"/>
        </w:rPr>
        <w:tab/>
        <w:t>The right of access to justice in its broad sense is fundamental for the social rights and is essential for effective judicial protection. In many cases, the problems do not arise from the fact that a right is not protected in the domestic sphere, but rather from the failure to execute the domestic judgments that have recognized and granted that right.</w:t>
      </w:r>
    </w:p>
    <w:p w14:paraId="1E5F94CD" w14:textId="77777777" w:rsidR="00CD2B15" w:rsidRPr="0056383C" w:rsidRDefault="00CD2B15" w:rsidP="00CD2B15">
      <w:pPr>
        <w:pStyle w:val="Prrafodelista"/>
        <w:tabs>
          <w:tab w:val="left" w:pos="720"/>
        </w:tabs>
        <w:rPr>
          <w:rFonts w:ascii="Verdana" w:hAnsi="Verdana"/>
          <w:sz w:val="20"/>
          <w:szCs w:val="20"/>
          <w:bdr w:val="none" w:sz="0" w:space="0" w:color="auto" w:frame="1"/>
          <w:lang w:val="en-US"/>
        </w:rPr>
      </w:pPr>
    </w:p>
    <w:p w14:paraId="53DC3C76" w14:textId="77777777" w:rsidR="00CD2B15" w:rsidRPr="0056383C" w:rsidRDefault="00CD2B15" w:rsidP="00CD2B15">
      <w:pPr>
        <w:pStyle w:val="Prrafodelista"/>
        <w:tabs>
          <w:tab w:val="left" w:pos="0"/>
          <w:tab w:val="left" w:pos="720"/>
        </w:tabs>
        <w:ind w:left="0"/>
        <w:rPr>
          <w:rFonts w:ascii="Verdana" w:hAnsi="Verdana"/>
          <w:spacing w:val="-2"/>
          <w:sz w:val="20"/>
          <w:szCs w:val="20"/>
          <w:lang w:val="en-US"/>
        </w:rPr>
      </w:pPr>
      <w:r w:rsidRPr="0056383C">
        <w:rPr>
          <w:rFonts w:ascii="Verdana" w:hAnsi="Verdana"/>
          <w:sz w:val="20"/>
          <w:szCs w:val="20"/>
          <w:bdr w:val="none" w:sz="0" w:space="0" w:color="auto" w:frame="1"/>
          <w:lang w:val="en-US"/>
        </w:rPr>
        <w:t xml:space="preserve">40. </w:t>
      </w:r>
      <w:r w:rsidRPr="0056383C">
        <w:rPr>
          <w:rFonts w:ascii="Verdana" w:hAnsi="Verdana"/>
          <w:sz w:val="20"/>
          <w:szCs w:val="20"/>
          <w:bdr w:val="none" w:sz="0" w:space="0" w:color="auto" w:frame="1"/>
          <w:lang w:val="en-US"/>
        </w:rPr>
        <w:tab/>
        <w:t>For example, the CESCR has determined that, in practice, the victims of violations of the rights recognized in the ICESCR “have difficulty in accessing effective judicial remedies.” The Committee mentioned this explicitly in its most recent Concluding Observations on the periodic reports of eight countries that have accepted the contentious jurisdiction of the Inter-American Court;</w:t>
      </w:r>
      <w:r w:rsidRPr="0056383C">
        <w:rPr>
          <w:rStyle w:val="Refdenotaalpie"/>
          <w:szCs w:val="20"/>
          <w:bdr w:val="none" w:sz="0" w:space="0" w:color="auto" w:frame="1"/>
          <w:lang w:val="en-US"/>
        </w:rPr>
        <w:footnoteReference w:id="323"/>
      </w:r>
      <w:r w:rsidRPr="0056383C">
        <w:rPr>
          <w:rFonts w:ascii="Verdana" w:hAnsi="Verdana"/>
          <w:sz w:val="20"/>
          <w:szCs w:val="20"/>
          <w:bdr w:val="none" w:sz="0" w:space="0" w:color="auto" w:frame="1"/>
          <w:lang w:val="en-US"/>
        </w:rPr>
        <w:t xml:space="preserve"> moreover, this concern may be noted implicitly in a further two cases.</w:t>
      </w:r>
      <w:r w:rsidRPr="0056383C">
        <w:rPr>
          <w:rStyle w:val="Refdenotaalpie"/>
          <w:szCs w:val="20"/>
          <w:bdr w:val="none" w:sz="0" w:space="0" w:color="auto" w:frame="1"/>
          <w:lang w:val="en-US"/>
        </w:rPr>
        <w:footnoteReference w:id="324"/>
      </w:r>
      <w:r w:rsidRPr="0056383C">
        <w:rPr>
          <w:rFonts w:ascii="Verdana" w:hAnsi="Verdana"/>
          <w:sz w:val="20"/>
          <w:szCs w:val="20"/>
          <w:bdr w:val="none" w:sz="0" w:space="0" w:color="auto" w:frame="1"/>
          <w:lang w:val="en-US"/>
        </w:rPr>
        <w:t xml:space="preserve"> A similar situation can be seen in at least six OAS Member States that have not accepted the jurisdiction of the Inter-American Court.</w:t>
      </w:r>
      <w:r w:rsidRPr="0056383C">
        <w:rPr>
          <w:rStyle w:val="Refdenotaalpie"/>
          <w:szCs w:val="20"/>
          <w:bdr w:val="none" w:sz="0" w:space="0" w:color="auto" w:frame="1"/>
          <w:lang w:val="en-US"/>
        </w:rPr>
        <w:footnoteReference w:id="325"/>
      </w:r>
    </w:p>
    <w:p w14:paraId="4308595A" w14:textId="77777777" w:rsidR="00CD2B15" w:rsidRPr="0056383C" w:rsidRDefault="00CD2B15" w:rsidP="00CD2B15">
      <w:pPr>
        <w:pStyle w:val="Prrafodelista"/>
        <w:rPr>
          <w:rFonts w:ascii="Verdana" w:hAnsi="Verdana"/>
          <w:sz w:val="20"/>
          <w:szCs w:val="20"/>
          <w:bdr w:val="none" w:sz="0" w:space="0" w:color="auto" w:frame="1"/>
          <w:lang w:val="en-US"/>
        </w:rPr>
      </w:pPr>
    </w:p>
    <w:p w14:paraId="3258AD69" w14:textId="77777777" w:rsidR="00CD2B15" w:rsidRPr="0056383C" w:rsidRDefault="00CD2B15" w:rsidP="00CD2B15">
      <w:pPr>
        <w:pStyle w:val="Prrafodelista"/>
        <w:tabs>
          <w:tab w:val="left" w:pos="0"/>
          <w:tab w:val="left" w:pos="720"/>
        </w:tabs>
        <w:ind w:left="0"/>
        <w:rPr>
          <w:rFonts w:ascii="Verdana" w:hAnsi="Verdana"/>
          <w:spacing w:val="-2"/>
          <w:sz w:val="20"/>
          <w:szCs w:val="20"/>
          <w:lang w:val="en-US"/>
        </w:rPr>
      </w:pPr>
      <w:r w:rsidRPr="0056383C">
        <w:rPr>
          <w:rFonts w:ascii="Verdana" w:hAnsi="Verdana"/>
          <w:sz w:val="20"/>
          <w:szCs w:val="20"/>
          <w:bdr w:val="none" w:sz="0" w:space="0" w:color="auto" w:frame="1"/>
          <w:lang w:val="en-US"/>
        </w:rPr>
        <w:t xml:space="preserve">41. </w:t>
      </w:r>
      <w:r w:rsidRPr="0056383C">
        <w:rPr>
          <w:rFonts w:ascii="Verdana" w:hAnsi="Verdana"/>
          <w:sz w:val="20"/>
          <w:szCs w:val="20"/>
          <w:bdr w:val="none" w:sz="0" w:space="0" w:color="auto" w:frame="1"/>
          <w:lang w:val="en-US"/>
        </w:rPr>
        <w:tab/>
        <w:t>Recently, the CESCR has also indicated its concern at the lack of effective enforcement of the judgments handed down in proceedings in which violations of economic, social and cultural rights have been found.</w:t>
      </w:r>
      <w:r w:rsidRPr="0056383C">
        <w:rPr>
          <w:rStyle w:val="Refdenotaalpie"/>
          <w:szCs w:val="20"/>
          <w:bdr w:val="none" w:sz="0" w:space="0" w:color="auto" w:frame="1"/>
          <w:lang w:val="en-US"/>
        </w:rPr>
        <w:footnoteReference w:id="326"/>
      </w:r>
    </w:p>
    <w:p w14:paraId="0F015536" w14:textId="77777777" w:rsidR="00CD2B15" w:rsidRPr="0056383C" w:rsidRDefault="00CD2B15" w:rsidP="00CD2B15">
      <w:pPr>
        <w:pStyle w:val="Prrafodelista"/>
        <w:rPr>
          <w:rFonts w:ascii="Verdana" w:hAnsi="Verdana"/>
          <w:sz w:val="20"/>
          <w:szCs w:val="20"/>
          <w:lang w:val="en-US"/>
        </w:rPr>
      </w:pPr>
    </w:p>
    <w:p w14:paraId="412EB7B5" w14:textId="77777777" w:rsidR="00CD2B15" w:rsidRPr="0056383C" w:rsidRDefault="00CD2B15" w:rsidP="00CD2B15">
      <w:pPr>
        <w:pStyle w:val="Prrafodelista"/>
        <w:tabs>
          <w:tab w:val="left" w:pos="0"/>
          <w:tab w:val="left" w:pos="720"/>
        </w:tabs>
        <w:ind w:left="0"/>
        <w:rPr>
          <w:rFonts w:ascii="Verdana" w:hAnsi="Verdana" w:cs="Courier New"/>
          <w:sz w:val="20"/>
          <w:szCs w:val="20"/>
          <w:lang w:val="en-US"/>
        </w:rPr>
      </w:pPr>
      <w:r w:rsidRPr="0056383C">
        <w:rPr>
          <w:rFonts w:ascii="Verdana" w:hAnsi="Verdana"/>
          <w:sz w:val="20"/>
          <w:szCs w:val="20"/>
          <w:lang w:val="en-US"/>
        </w:rPr>
        <w:t xml:space="preserve">42. </w:t>
      </w:r>
      <w:r w:rsidRPr="0056383C">
        <w:rPr>
          <w:rFonts w:ascii="Verdana" w:hAnsi="Verdana"/>
          <w:sz w:val="20"/>
          <w:szCs w:val="20"/>
          <w:lang w:val="en-US"/>
        </w:rPr>
        <w:tab/>
        <w:t>In these circumstances, in its General Comment No. 9 on the domestic application of the Covenant, the CESCR established that “</w:t>
      </w:r>
      <w:r w:rsidRPr="0056383C">
        <w:rPr>
          <w:rFonts w:ascii="Verdana" w:hAnsi="Verdana" w:cs="Courier New"/>
          <w:sz w:val="20"/>
          <w:szCs w:val="20"/>
          <w:lang w:val="en-US"/>
        </w:rPr>
        <w:t xml:space="preserve">the means of implementation chosen must be </w:t>
      </w:r>
      <w:r w:rsidRPr="0056383C">
        <w:rPr>
          <w:rFonts w:ascii="Verdana" w:hAnsi="Verdana" w:cs="Courier New"/>
          <w:sz w:val="20"/>
          <w:szCs w:val="20"/>
          <w:lang w:val="en-US"/>
        </w:rPr>
        <w:lastRenderedPageBreak/>
        <w:t>adequate to ensure fulfilment of the obligations under the Covenant;</w:t>
      </w:r>
      <w:r w:rsidRPr="0056383C">
        <w:rPr>
          <w:rFonts w:ascii="Verdana" w:hAnsi="Verdana" w:cs="Arial"/>
          <w:color w:val="333333"/>
          <w:sz w:val="20"/>
          <w:szCs w:val="20"/>
          <w:shd w:val="clear" w:color="auto" w:fill="FFFFFF"/>
          <w:lang w:val="en-US"/>
        </w:rPr>
        <w:t>”</w:t>
      </w:r>
      <w:r w:rsidRPr="0056383C">
        <w:rPr>
          <w:rStyle w:val="Refdenotaalpie"/>
          <w:rFonts w:cs="Arial"/>
          <w:color w:val="333333"/>
          <w:szCs w:val="20"/>
          <w:shd w:val="clear" w:color="auto" w:fill="FFFFFF"/>
          <w:lang w:val="en-US"/>
        </w:rPr>
        <w:footnoteReference w:id="327"/>
      </w:r>
      <w:r w:rsidRPr="0056383C">
        <w:rPr>
          <w:rFonts w:ascii="Verdana" w:hAnsi="Verdana" w:cs="Arial"/>
          <w:color w:val="333333"/>
          <w:sz w:val="20"/>
          <w:szCs w:val="20"/>
          <w:shd w:val="clear" w:color="auto" w:fill="FFFFFF"/>
          <w:lang w:val="en-US"/>
        </w:rPr>
        <w:t xml:space="preserve"> and these include ensuring the right to social security through the creation of internal – coercive – mechanisms that ensure execution of a judgment that grants and recognizes the right.</w:t>
      </w:r>
      <w:r w:rsidRPr="0056383C">
        <w:rPr>
          <w:rStyle w:val="Refdenotaalpie"/>
          <w:rFonts w:cs="Arial"/>
          <w:color w:val="333333"/>
          <w:szCs w:val="20"/>
          <w:shd w:val="clear" w:color="auto" w:fill="FFFFFF"/>
          <w:lang w:val="en-US"/>
        </w:rPr>
        <w:footnoteReference w:id="328"/>
      </w:r>
      <w:r w:rsidRPr="0056383C">
        <w:rPr>
          <w:rFonts w:ascii="Verdana" w:hAnsi="Verdana" w:cs="Arial"/>
          <w:color w:val="333333"/>
          <w:sz w:val="20"/>
          <w:szCs w:val="20"/>
          <w:shd w:val="clear" w:color="auto" w:fill="FFFFFF"/>
          <w:lang w:val="en-US"/>
        </w:rPr>
        <w:t xml:space="preserve"> </w:t>
      </w:r>
    </w:p>
    <w:p w14:paraId="384A7259" w14:textId="77777777" w:rsidR="00CD2B15" w:rsidRPr="0056383C" w:rsidRDefault="00CD2B15" w:rsidP="00CD2B15">
      <w:pPr>
        <w:pStyle w:val="Prrafodelista"/>
        <w:rPr>
          <w:rFonts w:ascii="Verdana" w:hAnsi="Verdana" w:cs="Arial"/>
          <w:color w:val="333333"/>
          <w:sz w:val="20"/>
          <w:szCs w:val="20"/>
          <w:shd w:val="clear" w:color="auto" w:fill="FFFFFF"/>
          <w:lang w:val="en-US"/>
        </w:rPr>
      </w:pPr>
    </w:p>
    <w:p w14:paraId="1B1180C6" w14:textId="77777777" w:rsidR="00CD2B15" w:rsidRPr="0056383C" w:rsidRDefault="00CD2B15" w:rsidP="00CD2B15">
      <w:pPr>
        <w:pStyle w:val="Prrafodelista"/>
        <w:tabs>
          <w:tab w:val="left" w:pos="0"/>
          <w:tab w:val="left" w:pos="720"/>
        </w:tabs>
        <w:ind w:left="0"/>
        <w:rPr>
          <w:rFonts w:ascii="Verdana" w:hAnsi="Verdana" w:cs="Arial"/>
          <w:color w:val="333333"/>
          <w:sz w:val="20"/>
          <w:szCs w:val="20"/>
          <w:shd w:val="clear" w:color="auto" w:fill="FFFFFF"/>
          <w:lang w:val="en-US"/>
        </w:rPr>
      </w:pPr>
      <w:r w:rsidRPr="0056383C">
        <w:rPr>
          <w:rFonts w:ascii="Verdana" w:hAnsi="Verdana" w:cs="Arial"/>
          <w:color w:val="333333"/>
          <w:sz w:val="20"/>
          <w:szCs w:val="20"/>
          <w:shd w:val="clear" w:color="auto" w:fill="FFFFFF"/>
          <w:lang w:val="en-US"/>
        </w:rPr>
        <w:t xml:space="preserve">43. </w:t>
      </w:r>
      <w:r w:rsidRPr="0056383C">
        <w:rPr>
          <w:rFonts w:ascii="Verdana" w:hAnsi="Verdana" w:cs="Arial"/>
          <w:color w:val="333333"/>
          <w:sz w:val="20"/>
          <w:szCs w:val="20"/>
          <w:shd w:val="clear" w:color="auto" w:fill="FFFFFF"/>
          <w:lang w:val="en-US"/>
        </w:rPr>
        <w:tab/>
        <w:t>Although the instant case addresses the right to social security, it should be emphasized that “these mechanisms” aimed at ensuring execution of a judicial decision apply to all human rights, whether economic, social, cultural and environmental or civil and political.</w:t>
      </w:r>
    </w:p>
    <w:p w14:paraId="0985E780" w14:textId="77777777" w:rsidR="00CD2B15" w:rsidRPr="0056383C" w:rsidRDefault="00CD2B15" w:rsidP="00CD2B15">
      <w:pPr>
        <w:outlineLvl w:val="1"/>
        <w:rPr>
          <w:rFonts w:ascii="Verdana" w:hAnsi="Verdana"/>
          <w:sz w:val="20"/>
          <w:szCs w:val="20"/>
          <w:lang w:val="en-US"/>
        </w:rPr>
      </w:pPr>
    </w:p>
    <w:p w14:paraId="710EDC7C" w14:textId="77777777" w:rsidR="00CD2B15" w:rsidRPr="0056383C" w:rsidRDefault="00CD2B15" w:rsidP="00D17A65">
      <w:pPr>
        <w:pStyle w:val="Prrafodelista"/>
        <w:widowControl/>
        <w:numPr>
          <w:ilvl w:val="0"/>
          <w:numId w:val="15"/>
        </w:numPr>
        <w:adjustRightInd/>
        <w:textAlignment w:val="auto"/>
        <w:outlineLvl w:val="1"/>
        <w:rPr>
          <w:rFonts w:ascii="Verdana" w:hAnsi="Verdana"/>
          <w:i/>
          <w:sz w:val="20"/>
          <w:szCs w:val="20"/>
          <w:lang w:val="en-US"/>
        </w:rPr>
      </w:pPr>
      <w:r w:rsidRPr="0056383C">
        <w:rPr>
          <w:rFonts w:ascii="Verdana" w:hAnsi="Verdana"/>
          <w:i/>
          <w:sz w:val="20"/>
          <w:szCs w:val="20"/>
          <w:lang w:val="en-US"/>
        </w:rPr>
        <w:t xml:space="preserve">The protection of older persons in international law and their importance as a group in a vulnerable situation  </w:t>
      </w:r>
    </w:p>
    <w:p w14:paraId="622D69B8" w14:textId="77777777" w:rsidR="00CD2B15" w:rsidRPr="0056383C" w:rsidRDefault="00CD2B15" w:rsidP="00CD2B15">
      <w:pPr>
        <w:outlineLvl w:val="1"/>
        <w:rPr>
          <w:rFonts w:ascii="Verdana" w:hAnsi="Verdana"/>
          <w:i/>
          <w:sz w:val="20"/>
          <w:szCs w:val="20"/>
          <w:lang w:val="en-US"/>
        </w:rPr>
      </w:pPr>
    </w:p>
    <w:p w14:paraId="033DAE9C"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44. </w:t>
      </w:r>
      <w:r w:rsidRPr="0056383C">
        <w:rPr>
          <w:rFonts w:ascii="Verdana" w:hAnsi="Verdana"/>
          <w:sz w:val="20"/>
          <w:szCs w:val="20"/>
          <w:lang w:val="en-US"/>
        </w:rPr>
        <w:tab/>
        <w:t>In 1995, the CESCR indicated that “unlike the case of other population groups such as women and children, no comprehensive international convention yet exists in relation to the rights of older persons and no binding supervisory arrangements attach to the various sets of United Nations principles in this area.</w:t>
      </w:r>
      <w:r w:rsidRPr="0056383C">
        <w:rPr>
          <w:rFonts w:ascii="Verdana" w:hAnsi="Verdana" w:cs="Arial"/>
          <w:color w:val="333333"/>
          <w:sz w:val="20"/>
          <w:szCs w:val="20"/>
          <w:shd w:val="clear" w:color="auto" w:fill="FFFFFF"/>
          <w:lang w:val="en-US"/>
        </w:rPr>
        <w:t>”</w:t>
      </w:r>
      <w:r w:rsidRPr="0056383C">
        <w:rPr>
          <w:rStyle w:val="Refdenotaalpie"/>
          <w:rFonts w:cs="Arial"/>
          <w:color w:val="333333"/>
          <w:szCs w:val="20"/>
          <w:shd w:val="clear" w:color="auto" w:fill="FFFFFF"/>
          <w:lang w:val="en-US"/>
        </w:rPr>
        <w:footnoteReference w:id="329"/>
      </w:r>
    </w:p>
    <w:p w14:paraId="70604653" w14:textId="77777777" w:rsidR="00CD2B15" w:rsidRPr="0056383C" w:rsidRDefault="00CD2B15" w:rsidP="00CD2B15">
      <w:pPr>
        <w:pStyle w:val="Prrafodelista"/>
        <w:ind w:left="0"/>
        <w:outlineLvl w:val="1"/>
        <w:rPr>
          <w:rFonts w:ascii="Verdana" w:hAnsi="Verdana"/>
          <w:i/>
          <w:sz w:val="20"/>
          <w:szCs w:val="20"/>
          <w:lang w:val="en-US"/>
        </w:rPr>
      </w:pPr>
    </w:p>
    <w:p w14:paraId="3876CC13"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45. </w:t>
      </w:r>
      <w:r w:rsidRPr="0056383C">
        <w:rPr>
          <w:rFonts w:ascii="Verdana" w:hAnsi="Verdana"/>
          <w:sz w:val="20"/>
          <w:szCs w:val="20"/>
          <w:lang w:val="en-US"/>
        </w:rPr>
        <w:tab/>
        <w:t>Today the situation described by the CESCR in 1995 has changed considerably. Within the United Nations,</w:t>
      </w:r>
      <w:r w:rsidRPr="0056383C">
        <w:rPr>
          <w:rStyle w:val="Refdenotaalpie"/>
          <w:szCs w:val="20"/>
          <w:lang w:val="en-US"/>
        </w:rPr>
        <w:footnoteReference w:id="330"/>
      </w:r>
      <w:r w:rsidRPr="0056383C">
        <w:rPr>
          <w:rFonts w:ascii="Verdana" w:hAnsi="Verdana"/>
          <w:sz w:val="20"/>
          <w:szCs w:val="20"/>
          <w:lang w:val="en-US"/>
        </w:rPr>
        <w:t xml:space="preserve"> in May 2014, the Human Rights Council appointed Rosa Kornfeld-Matte as the first Independent Expert on the enjoyment of all human rights by older persons.</w:t>
      </w:r>
      <w:r w:rsidRPr="0056383C">
        <w:rPr>
          <w:rStyle w:val="Refdenotaalpie"/>
          <w:szCs w:val="20"/>
          <w:lang w:val="en-US"/>
        </w:rPr>
        <w:footnoteReference w:id="331"/>
      </w:r>
      <w:r w:rsidRPr="0056383C">
        <w:rPr>
          <w:rFonts w:ascii="Verdana" w:hAnsi="Verdana"/>
          <w:sz w:val="20"/>
          <w:szCs w:val="20"/>
          <w:lang w:val="en-US"/>
        </w:rPr>
        <w:t xml:space="preserve"> Nevertheless, the greatest progress has been made in the inter-American and the African systems of human rights as they have developed specific instruments that establish concrete rights for older persons.</w:t>
      </w:r>
    </w:p>
    <w:p w14:paraId="407FD14A" w14:textId="77777777" w:rsidR="00CD2B15" w:rsidRPr="0056383C" w:rsidRDefault="00CD2B15" w:rsidP="00CD2B15">
      <w:pPr>
        <w:pStyle w:val="Prrafodelista"/>
        <w:ind w:left="0"/>
        <w:outlineLvl w:val="1"/>
        <w:rPr>
          <w:rFonts w:ascii="Verdana" w:hAnsi="Verdana"/>
          <w:sz w:val="20"/>
          <w:szCs w:val="20"/>
          <w:lang w:val="en-US"/>
        </w:rPr>
      </w:pPr>
    </w:p>
    <w:p w14:paraId="028CDC4D" w14:textId="77777777" w:rsidR="00CD2B15" w:rsidRPr="0056383C" w:rsidRDefault="00CD2B15" w:rsidP="00CD2B15">
      <w:pPr>
        <w:pStyle w:val="Prrafodelista"/>
        <w:ind w:left="0"/>
        <w:outlineLvl w:val="1"/>
        <w:rPr>
          <w:rFonts w:ascii="Verdana" w:hAnsi="Verdana"/>
          <w:i/>
          <w:sz w:val="20"/>
          <w:szCs w:val="20"/>
          <w:lang w:val="en-US"/>
        </w:rPr>
      </w:pPr>
      <w:r w:rsidRPr="0056383C">
        <w:rPr>
          <w:rFonts w:ascii="Verdana" w:hAnsi="Verdana"/>
          <w:sz w:val="20"/>
          <w:szCs w:val="20"/>
          <w:lang w:val="en-US"/>
        </w:rPr>
        <w:t xml:space="preserve">46. </w:t>
      </w:r>
      <w:r w:rsidRPr="0056383C">
        <w:rPr>
          <w:rFonts w:ascii="Verdana" w:hAnsi="Verdana"/>
          <w:sz w:val="20"/>
          <w:szCs w:val="20"/>
          <w:lang w:val="en-US"/>
        </w:rPr>
        <w:tab/>
        <w:t>In the case of the African Charter of Human and Peoples’ Rights, Article 18(4) grants special protection to older persons.</w:t>
      </w:r>
      <w:r w:rsidRPr="0056383C">
        <w:rPr>
          <w:rStyle w:val="Refdenotaalpie"/>
          <w:szCs w:val="20"/>
          <w:lang w:val="en-US"/>
        </w:rPr>
        <w:footnoteReference w:id="332"/>
      </w:r>
      <w:r w:rsidRPr="0056383C">
        <w:rPr>
          <w:rFonts w:ascii="Verdana" w:hAnsi="Verdana"/>
          <w:sz w:val="20"/>
          <w:szCs w:val="20"/>
          <w:lang w:val="en-US"/>
        </w:rPr>
        <w:t xml:space="preserve"> And, on January 31, 2016, the Protocol to the African Charter of Human and Peoples’ Rights on the Rights of Older Persons in Africa.</w:t>
      </w:r>
      <w:r w:rsidRPr="0056383C">
        <w:rPr>
          <w:rStyle w:val="Refdenotaalpie"/>
          <w:szCs w:val="20"/>
          <w:lang w:val="en-US"/>
        </w:rPr>
        <w:footnoteReference w:id="333"/>
      </w:r>
      <w:r w:rsidRPr="0056383C">
        <w:rPr>
          <w:rFonts w:ascii="Verdana" w:hAnsi="Verdana"/>
          <w:sz w:val="20"/>
          <w:szCs w:val="20"/>
          <w:lang w:val="en-US"/>
        </w:rPr>
        <w:t xml:space="preserve"> </w:t>
      </w:r>
    </w:p>
    <w:p w14:paraId="70EC3655" w14:textId="77777777" w:rsidR="00CD2B15" w:rsidRPr="0056383C" w:rsidRDefault="00CD2B15" w:rsidP="00CD2B15">
      <w:pPr>
        <w:pStyle w:val="Prrafodelista"/>
        <w:rPr>
          <w:rFonts w:ascii="Verdana" w:hAnsi="Verdana"/>
          <w:sz w:val="20"/>
          <w:szCs w:val="20"/>
          <w:lang w:val="en-US"/>
        </w:rPr>
      </w:pPr>
    </w:p>
    <w:p w14:paraId="30ED5C35"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47. </w:t>
      </w:r>
      <w:r w:rsidRPr="0056383C">
        <w:rPr>
          <w:rFonts w:ascii="Verdana" w:hAnsi="Verdana"/>
          <w:sz w:val="20"/>
          <w:szCs w:val="20"/>
          <w:lang w:val="en-US"/>
        </w:rPr>
        <w:tab/>
        <w:t xml:space="preserve">In the case of the inter-American system of human rights, the Inter-American Convention on Protecting the Human Rights of Older Persons was adopted on June 15, 2015, </w:t>
      </w:r>
      <w:r w:rsidRPr="0056383C">
        <w:rPr>
          <w:rFonts w:ascii="Verdana" w:hAnsi="Verdana"/>
          <w:sz w:val="20"/>
          <w:szCs w:val="20"/>
          <w:lang w:val="en-US"/>
        </w:rPr>
        <w:lastRenderedPageBreak/>
        <w:t>and has been in force since January 11, 2017.</w:t>
      </w:r>
      <w:r w:rsidRPr="0056383C">
        <w:rPr>
          <w:rStyle w:val="Refdenotaalpie"/>
          <w:szCs w:val="20"/>
          <w:lang w:val="en-US"/>
        </w:rPr>
        <w:footnoteReference w:id="334"/>
      </w:r>
      <w:r w:rsidRPr="0056383C">
        <w:rPr>
          <w:rFonts w:ascii="Verdana" w:hAnsi="Verdana"/>
          <w:sz w:val="20"/>
          <w:szCs w:val="20"/>
          <w:lang w:val="en-US"/>
        </w:rPr>
        <w:t xml:space="preserve"> It is particularly relevant that Article 31 (Access to Justice) of this international instrument states that “State Parties shall ensure due diligence and preferential treatment for older persons in the processing, settlement of, and </w:t>
      </w:r>
      <w:r w:rsidRPr="0056383C">
        <w:rPr>
          <w:rFonts w:ascii="Verdana" w:hAnsi="Verdana"/>
          <w:sz w:val="20"/>
          <w:szCs w:val="20"/>
          <w:u w:val="single"/>
          <w:lang w:val="en-US"/>
        </w:rPr>
        <w:t>enforcement of decisions in administrative and legal proceedings</w:t>
      </w:r>
      <w:r w:rsidRPr="0056383C">
        <w:rPr>
          <w:rFonts w:ascii="Verdana" w:hAnsi="Verdana"/>
          <w:sz w:val="20"/>
          <w:szCs w:val="20"/>
          <w:lang w:val="en-US"/>
        </w:rPr>
        <w:t>.”</w:t>
      </w:r>
    </w:p>
    <w:p w14:paraId="1CF73B71" w14:textId="77777777" w:rsidR="00CD2B15" w:rsidRPr="0056383C" w:rsidRDefault="00CD2B15" w:rsidP="00CD2B15">
      <w:pPr>
        <w:pStyle w:val="Prrafodelista"/>
        <w:rPr>
          <w:rFonts w:ascii="Verdana" w:hAnsi="Verdana"/>
          <w:sz w:val="20"/>
          <w:szCs w:val="20"/>
          <w:lang w:val="en-US"/>
        </w:rPr>
      </w:pPr>
    </w:p>
    <w:p w14:paraId="53B01DE4"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48. </w:t>
      </w:r>
      <w:r w:rsidRPr="0056383C">
        <w:rPr>
          <w:rFonts w:ascii="Verdana" w:hAnsi="Verdana"/>
          <w:sz w:val="20"/>
          <w:szCs w:val="20"/>
          <w:lang w:val="en-US"/>
        </w:rPr>
        <w:tab/>
        <w:t>Although the European system of human rights does not have a specific legal instrument that protects older persons in a differentiated manner, Article 23 of the revised version of the European Social Charter (1996), establishes “[t]he right of elderly persons to social protection.”</w:t>
      </w:r>
      <w:r w:rsidRPr="0056383C">
        <w:rPr>
          <w:rStyle w:val="Refdenotaalpie"/>
          <w:szCs w:val="20"/>
          <w:lang w:val="en-US"/>
        </w:rPr>
        <w:footnoteReference w:id="335"/>
      </w:r>
      <w:r w:rsidRPr="0056383C">
        <w:rPr>
          <w:rFonts w:ascii="Verdana" w:hAnsi="Verdana"/>
          <w:sz w:val="20"/>
          <w:szCs w:val="20"/>
          <w:lang w:val="en-US"/>
        </w:rPr>
        <w:t xml:space="preserve"> </w:t>
      </w:r>
    </w:p>
    <w:p w14:paraId="26778461" w14:textId="77777777" w:rsidR="00CD2B15" w:rsidRPr="0056383C" w:rsidRDefault="00CD2B15" w:rsidP="00CD2B15">
      <w:pPr>
        <w:pStyle w:val="Prrafodelista"/>
        <w:rPr>
          <w:rFonts w:ascii="Verdana" w:hAnsi="Verdana"/>
          <w:i/>
          <w:sz w:val="20"/>
          <w:szCs w:val="20"/>
          <w:lang w:val="en-US"/>
        </w:rPr>
      </w:pPr>
    </w:p>
    <w:p w14:paraId="521E3AD4"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49. </w:t>
      </w:r>
      <w:r w:rsidRPr="0056383C">
        <w:rPr>
          <w:rFonts w:ascii="Verdana" w:hAnsi="Verdana"/>
          <w:sz w:val="20"/>
          <w:szCs w:val="20"/>
          <w:lang w:val="en-US"/>
        </w:rPr>
        <w:tab/>
        <w:t xml:space="preserve">Despite the foregoing, the most significant progress made with regard to protecting the rights of the older person has been in the case law of the European Court of Human Rights based on the provisions of the European Convention on Human Rights, and in the case law of the Inter-American Court applying the provisions of the American Convention. </w:t>
      </w:r>
    </w:p>
    <w:p w14:paraId="6CC3BCB1" w14:textId="77777777" w:rsidR="00CD2B15" w:rsidRPr="0056383C" w:rsidRDefault="00CD2B15" w:rsidP="00CD2B15">
      <w:pPr>
        <w:pStyle w:val="Prrafodelista"/>
        <w:rPr>
          <w:rFonts w:ascii="Verdana" w:hAnsi="Verdana"/>
          <w:i/>
          <w:sz w:val="20"/>
          <w:szCs w:val="20"/>
          <w:lang w:val="en-US"/>
        </w:rPr>
      </w:pPr>
    </w:p>
    <w:p w14:paraId="2C2ABECC"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50. </w:t>
      </w:r>
      <w:r w:rsidRPr="0056383C">
        <w:rPr>
          <w:rFonts w:ascii="Verdana" w:hAnsi="Verdana"/>
          <w:sz w:val="20"/>
          <w:szCs w:val="20"/>
          <w:lang w:val="en-US"/>
        </w:rPr>
        <w:tab/>
        <w:t>In the case of the European Court of Human Rights, that Court has had the occasion to rule in cases involving older persons on issues relating to the disappearance from a nursing home for the elderly of a resident suffering from Alzheimer’s disease;</w:t>
      </w:r>
      <w:r w:rsidRPr="0056383C">
        <w:rPr>
          <w:rStyle w:val="Refdenotaalpie"/>
          <w:szCs w:val="20"/>
          <w:lang w:val="en-US"/>
        </w:rPr>
        <w:footnoteReference w:id="336"/>
      </w:r>
      <w:r w:rsidRPr="0056383C">
        <w:rPr>
          <w:rFonts w:ascii="Verdana" w:hAnsi="Verdana"/>
          <w:sz w:val="20"/>
          <w:szCs w:val="20"/>
          <w:lang w:val="en-US"/>
        </w:rPr>
        <w:t xml:space="preserve"> on the need for prompt proceedings due to the age of the applicants;</w:t>
      </w:r>
      <w:r w:rsidRPr="0056383C">
        <w:rPr>
          <w:rStyle w:val="Refdenotaalpie"/>
          <w:szCs w:val="20"/>
          <w:lang w:val="en-US"/>
        </w:rPr>
        <w:footnoteReference w:id="337"/>
      </w:r>
      <w:r w:rsidRPr="0056383C">
        <w:rPr>
          <w:rFonts w:ascii="Verdana" w:hAnsi="Verdana"/>
          <w:sz w:val="20"/>
          <w:szCs w:val="20"/>
          <w:lang w:val="en-US"/>
        </w:rPr>
        <w:t xml:space="preserve"> on the closure of care homes for older persons;</w:t>
      </w:r>
      <w:r w:rsidRPr="0056383C">
        <w:rPr>
          <w:rStyle w:val="Refdenotaalpie"/>
          <w:szCs w:val="20"/>
          <w:lang w:val="en-US"/>
        </w:rPr>
        <w:footnoteReference w:id="338"/>
      </w:r>
      <w:r w:rsidRPr="0056383C">
        <w:rPr>
          <w:rFonts w:ascii="Verdana" w:hAnsi="Verdana"/>
          <w:sz w:val="20"/>
          <w:szCs w:val="20"/>
          <w:lang w:val="en-US"/>
        </w:rPr>
        <w:t xml:space="preserve"> and on the protection of the property of older persons.</w:t>
      </w:r>
      <w:r w:rsidRPr="0056383C">
        <w:rPr>
          <w:rStyle w:val="Refdenotaalpie"/>
          <w:szCs w:val="20"/>
          <w:lang w:val="en-US"/>
        </w:rPr>
        <w:footnoteReference w:id="339"/>
      </w:r>
      <w:r w:rsidRPr="0056383C">
        <w:rPr>
          <w:rFonts w:ascii="Verdana" w:hAnsi="Verdana"/>
          <w:sz w:val="20"/>
          <w:szCs w:val="20"/>
          <w:lang w:val="en-US"/>
        </w:rPr>
        <w:t xml:space="preserve"> </w:t>
      </w:r>
    </w:p>
    <w:p w14:paraId="7EE6728B" w14:textId="77777777" w:rsidR="00CD2B15" w:rsidRPr="0056383C" w:rsidRDefault="00CD2B15" w:rsidP="00CD2B15">
      <w:pPr>
        <w:pStyle w:val="Prrafodelista"/>
        <w:rPr>
          <w:rFonts w:ascii="Verdana" w:hAnsi="Verdana"/>
          <w:i/>
          <w:sz w:val="20"/>
          <w:szCs w:val="20"/>
          <w:lang w:val="en-US"/>
        </w:rPr>
      </w:pPr>
    </w:p>
    <w:p w14:paraId="69C547EA" w14:textId="77777777" w:rsidR="00CD2B15" w:rsidRPr="0056383C" w:rsidRDefault="00CD2B15" w:rsidP="00D17A65">
      <w:pPr>
        <w:pStyle w:val="Prrafodelista"/>
        <w:widowControl/>
        <w:numPr>
          <w:ilvl w:val="0"/>
          <w:numId w:val="15"/>
        </w:numPr>
        <w:adjustRightInd/>
        <w:textAlignment w:val="auto"/>
        <w:outlineLvl w:val="1"/>
        <w:rPr>
          <w:rFonts w:ascii="Verdana" w:hAnsi="Verdana"/>
          <w:i/>
          <w:sz w:val="20"/>
          <w:szCs w:val="20"/>
          <w:lang w:val="en-US"/>
        </w:rPr>
      </w:pPr>
      <w:r w:rsidRPr="0056383C">
        <w:rPr>
          <w:rFonts w:ascii="Verdana" w:hAnsi="Verdana"/>
          <w:i/>
          <w:sz w:val="20"/>
          <w:szCs w:val="20"/>
          <w:lang w:val="en-US"/>
        </w:rPr>
        <w:t xml:space="preserve">The Inter-American Court’s case law on older persons </w:t>
      </w:r>
    </w:p>
    <w:p w14:paraId="5064BAF1" w14:textId="77777777" w:rsidR="00CD2B15" w:rsidRPr="0056383C" w:rsidRDefault="00CD2B15" w:rsidP="00CD2B15">
      <w:pPr>
        <w:pStyle w:val="Prrafodelista"/>
        <w:ind w:left="0"/>
        <w:outlineLvl w:val="1"/>
        <w:rPr>
          <w:rFonts w:ascii="Verdana" w:hAnsi="Verdana"/>
          <w:i/>
          <w:sz w:val="20"/>
          <w:szCs w:val="20"/>
          <w:lang w:val="en-US"/>
        </w:rPr>
      </w:pPr>
    </w:p>
    <w:p w14:paraId="43648EB6" w14:textId="77777777" w:rsidR="00CD2B15" w:rsidRPr="0056383C" w:rsidRDefault="00CD2B15" w:rsidP="00CD2B15">
      <w:pPr>
        <w:pStyle w:val="Prrafodelista"/>
        <w:ind w:left="0"/>
        <w:outlineLvl w:val="1"/>
        <w:rPr>
          <w:rFonts w:ascii="Verdana" w:hAnsi="Verdana"/>
          <w:i/>
          <w:sz w:val="20"/>
          <w:szCs w:val="20"/>
          <w:lang w:val="en-US"/>
        </w:rPr>
      </w:pPr>
      <w:r w:rsidRPr="0056383C">
        <w:rPr>
          <w:rFonts w:ascii="Verdana" w:hAnsi="Verdana"/>
          <w:sz w:val="20"/>
          <w:szCs w:val="20"/>
          <w:lang w:val="en-US"/>
        </w:rPr>
        <w:t xml:space="preserve">51. </w:t>
      </w:r>
      <w:r w:rsidRPr="0056383C">
        <w:rPr>
          <w:rFonts w:ascii="Verdana" w:hAnsi="Verdana"/>
          <w:sz w:val="20"/>
          <w:szCs w:val="20"/>
          <w:lang w:val="en-US"/>
        </w:rPr>
        <w:tab/>
        <w:t xml:space="preserve">We can identify two stages in the Inter-American Court’s case law in relation to older persons: (a) the first in which, timidly and tangentially, it addressed the specific situation of an older person, and (b) the second, in which the Court addressed the case from a perspective of “age” as a factor that had a differentiated impact on older persons and their rights. </w:t>
      </w:r>
    </w:p>
    <w:p w14:paraId="03C3A9D2" w14:textId="77777777" w:rsidR="00CD2B15" w:rsidRPr="0056383C" w:rsidRDefault="00CD2B15" w:rsidP="00CD2B15">
      <w:pPr>
        <w:pStyle w:val="Prrafodelista"/>
        <w:rPr>
          <w:rFonts w:ascii="Verdana" w:hAnsi="Verdana"/>
          <w:i/>
          <w:sz w:val="20"/>
          <w:szCs w:val="20"/>
          <w:lang w:val="en-US"/>
        </w:rPr>
      </w:pPr>
    </w:p>
    <w:p w14:paraId="04569EA1"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52. </w:t>
      </w:r>
      <w:r w:rsidRPr="0056383C">
        <w:rPr>
          <w:rFonts w:ascii="Verdana" w:hAnsi="Verdana"/>
          <w:sz w:val="20"/>
          <w:szCs w:val="20"/>
          <w:lang w:val="en-US"/>
        </w:rPr>
        <w:tab/>
        <w:t xml:space="preserve">Regarding the first stage, in 2005, in the </w:t>
      </w:r>
      <w:r w:rsidRPr="0056383C">
        <w:rPr>
          <w:rFonts w:ascii="Verdana" w:hAnsi="Verdana"/>
          <w:i/>
          <w:iCs/>
          <w:sz w:val="20"/>
          <w:szCs w:val="20"/>
          <w:lang w:val="en-US"/>
        </w:rPr>
        <w:t>Case of the</w:t>
      </w:r>
      <w:r w:rsidRPr="0056383C">
        <w:rPr>
          <w:rFonts w:ascii="Verdana" w:hAnsi="Verdana"/>
          <w:sz w:val="20"/>
          <w:szCs w:val="20"/>
          <w:lang w:val="en-US"/>
        </w:rPr>
        <w:t xml:space="preserve"> </w:t>
      </w:r>
      <w:proofErr w:type="spellStart"/>
      <w:r w:rsidRPr="0056383C">
        <w:rPr>
          <w:rFonts w:ascii="Verdana" w:hAnsi="Verdana"/>
          <w:sz w:val="20"/>
          <w:szCs w:val="20"/>
          <w:lang w:val="en-US"/>
        </w:rPr>
        <w:t>Y</w:t>
      </w:r>
      <w:r w:rsidRPr="0056383C">
        <w:rPr>
          <w:rFonts w:ascii="Verdana" w:hAnsi="Verdana"/>
          <w:i/>
          <w:sz w:val="20"/>
          <w:szCs w:val="20"/>
          <w:lang w:val="en-US"/>
        </w:rPr>
        <w:t>akye</w:t>
      </w:r>
      <w:proofErr w:type="spellEnd"/>
      <w:r w:rsidRPr="0056383C">
        <w:rPr>
          <w:rFonts w:ascii="Verdana" w:hAnsi="Verdana"/>
          <w:i/>
          <w:sz w:val="20"/>
          <w:szCs w:val="20"/>
          <w:lang w:val="en-US"/>
        </w:rPr>
        <w:t xml:space="preserve"> </w:t>
      </w:r>
      <w:proofErr w:type="spellStart"/>
      <w:r w:rsidRPr="0056383C">
        <w:rPr>
          <w:rFonts w:ascii="Verdana" w:hAnsi="Verdana"/>
          <w:i/>
          <w:sz w:val="20"/>
          <w:szCs w:val="20"/>
          <w:lang w:val="en-US"/>
        </w:rPr>
        <w:t>Axa</w:t>
      </w:r>
      <w:proofErr w:type="spellEnd"/>
      <w:r w:rsidRPr="0056383C">
        <w:rPr>
          <w:rFonts w:ascii="Verdana" w:hAnsi="Verdana"/>
          <w:i/>
          <w:sz w:val="20"/>
          <w:szCs w:val="20"/>
          <w:lang w:val="en-US"/>
        </w:rPr>
        <w:t xml:space="preserve"> Indigenous Community v. Paraguay,</w:t>
      </w:r>
      <w:r w:rsidRPr="0056383C">
        <w:rPr>
          <w:rFonts w:ascii="Verdana" w:hAnsi="Verdana"/>
          <w:sz w:val="20"/>
          <w:szCs w:val="20"/>
          <w:lang w:val="en-US"/>
        </w:rPr>
        <w:t xml:space="preserve"> the Inter-American Court noted that some members of the community were “elderly” and considered that “</w:t>
      </w:r>
      <w:r w:rsidRPr="0056383C">
        <w:rPr>
          <w:rFonts w:ascii="Verdana" w:hAnsi="Verdana" w:cs="Arial"/>
          <w:sz w:val="20"/>
          <w:szCs w:val="20"/>
          <w:lang w:val="en-US"/>
        </w:rPr>
        <w:t xml:space="preserve">[a]s regards the special consideration required by the elderly, it is important for the State to take measures to ensure their continuing functionality and autonomy, guaranteeing their right to adequate food, and their access to clean water and </w:t>
      </w:r>
      <w:r w:rsidRPr="0056383C">
        <w:rPr>
          <w:rFonts w:ascii="Verdana" w:hAnsi="Verdana" w:cs="Arial"/>
          <w:sz w:val="20"/>
          <w:szCs w:val="20"/>
          <w:lang w:val="en-US"/>
        </w:rPr>
        <w:lastRenderedPageBreak/>
        <w:t>health care. Specifically, the State must provide care for the elderly with chronic diseases and those who are terminally ill, sparing them unnecessary suffering.</w:t>
      </w:r>
      <w:r w:rsidRPr="0056383C">
        <w:rPr>
          <w:rFonts w:ascii="Verdana" w:hAnsi="Verdana"/>
          <w:sz w:val="20"/>
          <w:szCs w:val="20"/>
          <w:lang w:val="en-US"/>
        </w:rPr>
        <w:t>”</w:t>
      </w:r>
      <w:r w:rsidRPr="0056383C">
        <w:rPr>
          <w:rStyle w:val="Refdenotaalpie"/>
          <w:szCs w:val="20"/>
          <w:lang w:val="en-US"/>
        </w:rPr>
        <w:footnoteReference w:id="340"/>
      </w:r>
      <w:r w:rsidRPr="0056383C">
        <w:rPr>
          <w:rFonts w:ascii="Verdana" w:hAnsi="Verdana"/>
          <w:sz w:val="20"/>
          <w:szCs w:val="20"/>
          <w:lang w:val="en-US"/>
        </w:rPr>
        <w:t xml:space="preserve"> Subsequently, in 2013, in the </w:t>
      </w:r>
      <w:r w:rsidRPr="0056383C">
        <w:rPr>
          <w:rFonts w:ascii="Verdana" w:hAnsi="Verdana"/>
          <w:i/>
          <w:iCs/>
          <w:sz w:val="20"/>
          <w:szCs w:val="20"/>
          <w:lang w:val="en-US"/>
        </w:rPr>
        <w:t>Case of</w:t>
      </w:r>
      <w:r w:rsidRPr="0056383C">
        <w:rPr>
          <w:rFonts w:ascii="Verdana" w:hAnsi="Verdana"/>
          <w:sz w:val="20"/>
          <w:szCs w:val="20"/>
          <w:lang w:val="en-US"/>
        </w:rPr>
        <w:t xml:space="preserve"> </w:t>
      </w:r>
      <w:r w:rsidRPr="0056383C">
        <w:rPr>
          <w:rFonts w:ascii="Verdana" w:hAnsi="Verdana"/>
          <w:i/>
          <w:sz w:val="20"/>
          <w:szCs w:val="20"/>
          <w:lang w:val="en-US"/>
        </w:rPr>
        <w:t>García Lucero v. Chile</w:t>
      </w:r>
      <w:r w:rsidRPr="0056383C">
        <w:rPr>
          <w:rFonts w:ascii="Verdana" w:hAnsi="Verdana"/>
          <w:sz w:val="20"/>
          <w:szCs w:val="20"/>
          <w:lang w:val="en-US"/>
        </w:rPr>
        <w:t xml:space="preserve"> in which “[the victim] is in a particularly vulnerable situation,” the Court observed “that it </w:t>
      </w:r>
      <w:proofErr w:type="spellStart"/>
      <w:r w:rsidRPr="0056383C">
        <w:rPr>
          <w:rFonts w:ascii="Verdana" w:hAnsi="Verdana"/>
          <w:sz w:val="20"/>
          <w:szCs w:val="20"/>
          <w:lang w:val="en-US"/>
        </w:rPr>
        <w:t>ha</w:t>
      </w:r>
      <w:proofErr w:type="spellEnd"/>
      <w:r w:rsidRPr="0056383C">
        <w:rPr>
          <w:rFonts w:ascii="Verdana" w:hAnsi="Verdana"/>
          <w:sz w:val="20"/>
          <w:szCs w:val="20"/>
          <w:lang w:val="en-US"/>
        </w:rPr>
        <w:t>[d] been proved that Mr. García Lucero [was] 79 years old.”</w:t>
      </w:r>
      <w:r w:rsidRPr="0056383C">
        <w:rPr>
          <w:rStyle w:val="Refdenotaalpie"/>
          <w:szCs w:val="20"/>
          <w:lang w:val="en-US"/>
        </w:rPr>
        <w:footnoteReference w:id="341"/>
      </w:r>
    </w:p>
    <w:p w14:paraId="0A1048F4" w14:textId="77777777" w:rsidR="00CD2B15" w:rsidRPr="0056383C" w:rsidRDefault="00CD2B15" w:rsidP="00CD2B15">
      <w:pPr>
        <w:pStyle w:val="Prrafodelista"/>
        <w:rPr>
          <w:rFonts w:ascii="Verdana" w:hAnsi="Verdana"/>
          <w:sz w:val="20"/>
          <w:szCs w:val="20"/>
          <w:lang w:val="en-US"/>
        </w:rPr>
      </w:pPr>
    </w:p>
    <w:p w14:paraId="2DCB708A"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53. </w:t>
      </w:r>
      <w:r w:rsidRPr="0056383C">
        <w:rPr>
          <w:rFonts w:ascii="Verdana" w:hAnsi="Verdana"/>
          <w:sz w:val="20"/>
          <w:szCs w:val="20"/>
          <w:lang w:val="en-US"/>
        </w:rPr>
        <w:tab/>
        <w:t xml:space="preserve">During the second stage, we find that the leading case with regard to older persons is the </w:t>
      </w:r>
      <w:r w:rsidRPr="0056383C">
        <w:rPr>
          <w:rFonts w:ascii="Verdana" w:hAnsi="Verdana"/>
          <w:i/>
          <w:sz w:val="20"/>
          <w:szCs w:val="20"/>
          <w:lang w:val="en-US"/>
        </w:rPr>
        <w:t xml:space="preserve">Case of Poblete </w:t>
      </w:r>
      <w:proofErr w:type="spellStart"/>
      <w:r w:rsidRPr="0056383C">
        <w:rPr>
          <w:rFonts w:ascii="Verdana" w:hAnsi="Verdana"/>
          <w:i/>
          <w:sz w:val="20"/>
          <w:szCs w:val="20"/>
          <w:lang w:val="en-US"/>
        </w:rPr>
        <w:t>Vilches</w:t>
      </w:r>
      <w:proofErr w:type="spellEnd"/>
      <w:r w:rsidRPr="0056383C">
        <w:rPr>
          <w:rFonts w:ascii="Verdana" w:hAnsi="Verdana"/>
          <w:i/>
          <w:sz w:val="20"/>
          <w:szCs w:val="20"/>
          <w:lang w:val="en-US"/>
        </w:rPr>
        <w:t xml:space="preserve"> et al. v. Chile, </w:t>
      </w:r>
      <w:r w:rsidRPr="0056383C">
        <w:rPr>
          <w:rFonts w:ascii="Verdana" w:hAnsi="Verdana"/>
          <w:sz w:val="20"/>
          <w:szCs w:val="20"/>
          <w:lang w:val="en-US"/>
        </w:rPr>
        <w:t>which was decided by the Inter-American Court in 2018.</w:t>
      </w:r>
      <w:r w:rsidRPr="0056383C">
        <w:rPr>
          <w:rStyle w:val="Refdenotaalpie"/>
          <w:szCs w:val="20"/>
          <w:lang w:val="en-US"/>
        </w:rPr>
        <w:footnoteReference w:id="342"/>
      </w:r>
      <w:r w:rsidRPr="0056383C">
        <w:rPr>
          <w:rFonts w:ascii="Verdana" w:hAnsi="Verdana"/>
          <w:sz w:val="20"/>
          <w:szCs w:val="20"/>
          <w:lang w:val="en-US"/>
        </w:rPr>
        <w:t xml:space="preserve"> This case provided the Court with its first opportunity to address in a detailed manner the special situation of vulnerability and discrimination experienced by older persons. In addition, in the judgment “age” was considered a vulnerable category that – although not expressly mentioned in </w:t>
      </w:r>
      <w:r w:rsidRPr="0056383C">
        <w:rPr>
          <w:rFonts w:ascii="Verdana" w:hAnsi="Verdana"/>
          <w:sz w:val="20"/>
          <w:szCs w:val="20"/>
          <w:lang w:val="en-US" w:eastAsia="es-ES"/>
        </w:rPr>
        <w:t>Article 1 of the Pact of San José – could be interpreted in the same way as other implicit categories within the category of “or any other social condition.” Therefore, in the case of older persons, the prohibition of discrimination based on age is protected by the American Convention.</w:t>
      </w:r>
    </w:p>
    <w:p w14:paraId="70A924F0" w14:textId="77777777" w:rsidR="00CD2B15" w:rsidRPr="0056383C" w:rsidRDefault="00CD2B15" w:rsidP="00CD2B15">
      <w:pPr>
        <w:rPr>
          <w:rFonts w:ascii="Verdana" w:hAnsi="Verdana"/>
          <w:sz w:val="20"/>
          <w:szCs w:val="20"/>
          <w:lang w:val="en-US" w:eastAsia="es-ES"/>
        </w:rPr>
      </w:pPr>
    </w:p>
    <w:p w14:paraId="23FAFDFB"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eastAsia="es-ES"/>
        </w:rPr>
        <w:t xml:space="preserve">54. </w:t>
      </w:r>
      <w:r w:rsidRPr="0056383C">
        <w:rPr>
          <w:rFonts w:ascii="Verdana" w:hAnsi="Verdana"/>
          <w:sz w:val="20"/>
          <w:szCs w:val="20"/>
          <w:lang w:val="en-US" w:eastAsia="es-ES"/>
        </w:rPr>
        <w:tab/>
        <w:t xml:space="preserve">This ruling added that </w:t>
      </w:r>
      <w:r w:rsidRPr="0056383C">
        <w:rPr>
          <w:rFonts w:ascii="Verdana" w:hAnsi="Verdana"/>
          <w:sz w:val="20"/>
          <w:szCs w:val="20"/>
          <w:lang w:val="en-US"/>
        </w:rPr>
        <w:t>“the Court has indicated that age is also a category protected by that provision” as it interpreted in Advisory Opinion No. 18 on the Juridical Condition and Rights of Undocumented Migrants</w:t>
      </w:r>
      <w:r w:rsidRPr="0056383C">
        <w:rPr>
          <w:rFonts w:ascii="Verdana" w:hAnsi="Verdana"/>
          <w:sz w:val="16"/>
          <w:szCs w:val="16"/>
          <w:lang w:val="en-US"/>
        </w:rPr>
        <w:t>.</w:t>
      </w:r>
      <w:r w:rsidRPr="0056383C">
        <w:rPr>
          <w:rStyle w:val="Refdenotaalpie"/>
          <w:szCs w:val="20"/>
          <w:lang w:val="en-US"/>
        </w:rPr>
        <w:footnoteReference w:id="343"/>
      </w:r>
      <w:r w:rsidRPr="0056383C">
        <w:rPr>
          <w:rFonts w:ascii="Verdana" w:hAnsi="Verdana"/>
          <w:sz w:val="20"/>
          <w:szCs w:val="20"/>
          <w:lang w:val="en-US"/>
        </w:rPr>
        <w:t xml:space="preserve"> Consequently, the prohibition of discrimination in the case of older persons entails, among other matters, the application of inclusive policies for the whole population and ensuring ease of access to public services.</w:t>
      </w:r>
      <w:r w:rsidRPr="0056383C">
        <w:rPr>
          <w:rStyle w:val="Refdenotaalpie"/>
          <w:szCs w:val="20"/>
          <w:lang w:val="en-US"/>
        </w:rPr>
        <w:footnoteReference w:id="344"/>
      </w:r>
    </w:p>
    <w:p w14:paraId="6EEE4426" w14:textId="77777777" w:rsidR="00CD2B15" w:rsidRPr="0056383C" w:rsidRDefault="00CD2B15" w:rsidP="00CD2B15">
      <w:pPr>
        <w:pStyle w:val="Prrafodelista"/>
        <w:rPr>
          <w:rFonts w:ascii="Verdana" w:hAnsi="Verdana"/>
          <w:sz w:val="20"/>
          <w:szCs w:val="20"/>
          <w:lang w:val="en-US"/>
        </w:rPr>
      </w:pPr>
    </w:p>
    <w:p w14:paraId="45B947F6"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55. </w:t>
      </w:r>
      <w:r w:rsidRPr="0056383C">
        <w:rPr>
          <w:rFonts w:ascii="Verdana" w:hAnsi="Verdana"/>
          <w:sz w:val="20"/>
          <w:szCs w:val="20"/>
          <w:lang w:val="en-US"/>
        </w:rPr>
        <w:tab/>
        <w:t xml:space="preserve">It should be emphasized that the </w:t>
      </w:r>
      <w:r w:rsidRPr="0056383C">
        <w:rPr>
          <w:rFonts w:ascii="Verdana" w:hAnsi="Verdana"/>
          <w:i/>
          <w:sz w:val="20"/>
          <w:szCs w:val="20"/>
          <w:lang w:val="en-US"/>
        </w:rPr>
        <w:t xml:space="preserve">Case of Poblete </w:t>
      </w:r>
      <w:proofErr w:type="spellStart"/>
      <w:r w:rsidRPr="0056383C">
        <w:rPr>
          <w:rFonts w:ascii="Verdana" w:hAnsi="Verdana"/>
          <w:i/>
          <w:sz w:val="20"/>
          <w:szCs w:val="20"/>
          <w:lang w:val="en-US"/>
        </w:rPr>
        <w:t>Vilches</w:t>
      </w:r>
      <w:proofErr w:type="spellEnd"/>
      <w:r w:rsidRPr="0056383C">
        <w:rPr>
          <w:rStyle w:val="Refdenotaalpie"/>
          <w:szCs w:val="20"/>
          <w:lang w:val="en-US"/>
        </w:rPr>
        <w:footnoteReference w:id="345"/>
      </w:r>
      <w:r w:rsidRPr="0056383C">
        <w:rPr>
          <w:rFonts w:ascii="Verdana" w:hAnsi="Verdana"/>
          <w:sz w:val="20"/>
          <w:szCs w:val="20"/>
          <w:lang w:val="en-US"/>
        </w:rPr>
        <w:t xml:space="preserve"> was the first precedent in which the Court declared a violation of the right to health as an autonomous right. In this case, it addressed the violation of rights from the perspective of their impact on a person’s age and the particular circumstances of the case in relation to substitute informed consent and how urgent medical services should be understood when the right to health of an older person is involved.</w:t>
      </w:r>
      <w:r w:rsidRPr="0056383C">
        <w:rPr>
          <w:rStyle w:val="Refdenotaalpie"/>
          <w:szCs w:val="20"/>
          <w:lang w:val="en-US"/>
        </w:rPr>
        <w:footnoteReference w:id="346"/>
      </w:r>
    </w:p>
    <w:p w14:paraId="700A8068" w14:textId="77777777" w:rsidR="00CD2B15" w:rsidRPr="0056383C" w:rsidRDefault="00CD2B15" w:rsidP="00CD2B15">
      <w:pPr>
        <w:pStyle w:val="Prrafodelista"/>
        <w:rPr>
          <w:rFonts w:ascii="Verdana" w:hAnsi="Verdana"/>
          <w:sz w:val="20"/>
          <w:szCs w:val="20"/>
          <w:lang w:val="en-US"/>
        </w:rPr>
      </w:pPr>
    </w:p>
    <w:p w14:paraId="5DED0007" w14:textId="77777777" w:rsidR="00CD2B15" w:rsidRPr="0056383C" w:rsidRDefault="00CD2B15" w:rsidP="00CD2B15">
      <w:pPr>
        <w:pStyle w:val="Prrafodelista"/>
        <w:ind w:left="0"/>
        <w:outlineLvl w:val="1"/>
        <w:rPr>
          <w:rFonts w:ascii="Verdana" w:eastAsia="Segoe UI Emoji" w:hAnsi="Verdana" w:cs="Segoe UI Emoji"/>
          <w:sz w:val="20"/>
          <w:szCs w:val="20"/>
          <w:lang w:val="en-US"/>
        </w:rPr>
      </w:pPr>
      <w:r w:rsidRPr="0056383C">
        <w:rPr>
          <w:rFonts w:ascii="Verdana" w:hAnsi="Verdana"/>
          <w:sz w:val="20"/>
          <w:szCs w:val="20"/>
          <w:lang w:val="en-US"/>
        </w:rPr>
        <w:t xml:space="preserve">56. </w:t>
      </w:r>
      <w:r w:rsidRPr="0056383C">
        <w:rPr>
          <w:rFonts w:ascii="Verdana" w:hAnsi="Verdana"/>
          <w:sz w:val="20"/>
          <w:szCs w:val="20"/>
          <w:lang w:val="en-US"/>
        </w:rPr>
        <w:tab/>
        <w:t>Finally, it is important to emphasize some measures of reparations that, if the special situation of vulnerability had not been addressed, would have been developed using other parameters. Thus, the judgment ordered</w:t>
      </w:r>
      <w:r w:rsidRPr="0056383C">
        <w:rPr>
          <w:rFonts w:ascii="Verdana" w:eastAsia="Segoe UI Emoji" w:hAnsi="Verdana" w:cs="Segoe UI Emoji"/>
          <w:sz w:val="20"/>
          <w:szCs w:val="20"/>
          <w:lang w:val="en-US"/>
        </w:rPr>
        <w:t>: (</w:t>
      </w:r>
      <w:proofErr w:type="spellStart"/>
      <w:r w:rsidRPr="0056383C">
        <w:rPr>
          <w:rFonts w:ascii="Verdana" w:eastAsia="Segoe UI Emoji" w:hAnsi="Verdana" w:cs="Segoe UI Emoji"/>
          <w:sz w:val="20"/>
          <w:szCs w:val="20"/>
          <w:lang w:val="en-US"/>
        </w:rPr>
        <w:t>i</w:t>
      </w:r>
      <w:proofErr w:type="spellEnd"/>
      <w:r w:rsidRPr="0056383C">
        <w:rPr>
          <w:rFonts w:ascii="Verdana" w:eastAsia="Segoe UI Emoji" w:hAnsi="Verdana" w:cs="Segoe UI Emoji"/>
          <w:sz w:val="20"/>
          <w:szCs w:val="20"/>
          <w:lang w:val="en-US"/>
        </w:rPr>
        <w:t xml:space="preserve">) reinforcement of the National Institute of Geriatrics and its impact on the hospital network; (ii) design of a publication or leaflet containing the rights of older persons in the area of health care, and (iii) adoption of the </w:t>
      </w:r>
      <w:r w:rsidRPr="0056383C">
        <w:rPr>
          <w:rFonts w:ascii="Verdana" w:eastAsia="Segoe UI Emoji" w:hAnsi="Verdana" w:cs="Segoe UI Emoji"/>
          <w:sz w:val="20"/>
          <w:szCs w:val="20"/>
          <w:lang w:val="en-US"/>
        </w:rPr>
        <w:lastRenderedPageBreak/>
        <w:t>necessary measures to develop a general policy of comprehensive protection for older persons.</w:t>
      </w:r>
      <w:r w:rsidRPr="0056383C">
        <w:rPr>
          <w:rStyle w:val="Refdenotaalpie"/>
          <w:szCs w:val="20"/>
          <w:lang w:val="en-US"/>
        </w:rPr>
        <w:footnoteReference w:id="347"/>
      </w:r>
      <w:r w:rsidRPr="0056383C">
        <w:rPr>
          <w:rFonts w:ascii="Verdana" w:hAnsi="Verdana"/>
          <w:sz w:val="20"/>
          <w:szCs w:val="20"/>
          <w:lang w:val="en-US"/>
        </w:rPr>
        <w:t xml:space="preserve"> </w:t>
      </w:r>
    </w:p>
    <w:p w14:paraId="6826FC42" w14:textId="77777777" w:rsidR="00CD2B15" w:rsidRPr="0056383C" w:rsidRDefault="00CD2B15" w:rsidP="00CD2B15">
      <w:pPr>
        <w:pStyle w:val="Prrafodelista"/>
        <w:rPr>
          <w:rFonts w:ascii="Verdana" w:hAnsi="Verdana"/>
          <w:sz w:val="20"/>
          <w:szCs w:val="20"/>
          <w:lang w:val="en-US"/>
        </w:rPr>
      </w:pPr>
    </w:p>
    <w:p w14:paraId="3AA86983" w14:textId="77777777" w:rsidR="00CD2B15" w:rsidRPr="0056383C" w:rsidRDefault="00CD2B15" w:rsidP="00CD2B15">
      <w:pPr>
        <w:pStyle w:val="Prrafodelista"/>
        <w:ind w:left="0"/>
        <w:outlineLvl w:val="1"/>
        <w:rPr>
          <w:rFonts w:ascii="Verdana" w:hAnsi="Verdana"/>
          <w:sz w:val="20"/>
          <w:szCs w:val="20"/>
          <w:lang w:val="en-US"/>
        </w:rPr>
      </w:pPr>
      <w:r w:rsidRPr="0056383C">
        <w:rPr>
          <w:rFonts w:ascii="Verdana" w:hAnsi="Verdana"/>
          <w:sz w:val="20"/>
          <w:szCs w:val="20"/>
          <w:lang w:val="en-US"/>
        </w:rPr>
        <w:t xml:space="preserve">57. </w:t>
      </w:r>
      <w:r w:rsidRPr="0056383C">
        <w:rPr>
          <w:rFonts w:ascii="Verdana" w:hAnsi="Verdana"/>
          <w:sz w:val="20"/>
          <w:szCs w:val="20"/>
          <w:lang w:val="en-US"/>
        </w:rPr>
        <w:tab/>
        <w:t xml:space="preserve">The second case in which the Inter-American Court has referred to the situation of older persons directly and specifically is precisely the </w:t>
      </w:r>
      <w:r w:rsidRPr="0056383C">
        <w:rPr>
          <w:rFonts w:ascii="Verdana" w:hAnsi="Verdana"/>
          <w:i/>
          <w:iCs/>
          <w:sz w:val="20"/>
          <w:szCs w:val="20"/>
          <w:lang w:val="en-US"/>
        </w:rPr>
        <w:t>case of</w:t>
      </w:r>
      <w:r w:rsidRPr="0056383C">
        <w:rPr>
          <w:rFonts w:ascii="Verdana" w:hAnsi="Verdana"/>
          <w:sz w:val="20"/>
          <w:szCs w:val="20"/>
          <w:lang w:val="en-US"/>
        </w:rPr>
        <w:t xml:space="preserve">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in which in addition to addressing the violations of a social right, the Court introduces some important standards with regard to older persons from a perspective of the failure to execute judgments.</w:t>
      </w:r>
    </w:p>
    <w:p w14:paraId="69E491E4" w14:textId="77777777" w:rsidR="00CD2B15" w:rsidRPr="0056383C" w:rsidRDefault="00CD2B15" w:rsidP="00CD2B15">
      <w:pPr>
        <w:rPr>
          <w:rFonts w:ascii="Verdana" w:hAnsi="Verdana"/>
          <w:sz w:val="20"/>
          <w:szCs w:val="20"/>
          <w:lang w:val="en-US"/>
        </w:rPr>
      </w:pPr>
    </w:p>
    <w:p w14:paraId="00BDC6BA" w14:textId="77777777" w:rsidR="00CD2B15" w:rsidRPr="0056383C" w:rsidRDefault="00CD2B15" w:rsidP="00CD2B15">
      <w:pPr>
        <w:pStyle w:val="Ttulo1"/>
        <w:spacing w:line="360" w:lineRule="auto"/>
        <w:rPr>
          <w:b w:val="0"/>
          <w:lang w:val="en-US"/>
        </w:rPr>
      </w:pPr>
      <w:r w:rsidRPr="0056383C">
        <w:rPr>
          <w:b w:val="0"/>
          <w:lang w:val="en-US"/>
        </w:rPr>
        <w:t xml:space="preserve">III. THE IMPORTANCE OF THE </w:t>
      </w:r>
      <w:r w:rsidRPr="0056383C">
        <w:rPr>
          <w:b w:val="0"/>
          <w:i/>
          <w:lang w:val="en-US"/>
        </w:rPr>
        <w:t>CASE OF MUELLE FLORES</w:t>
      </w:r>
      <w:r w:rsidRPr="0056383C">
        <w:rPr>
          <w:b w:val="0"/>
          <w:lang w:val="en-US"/>
        </w:rPr>
        <w:t xml:space="preserve"> FOR INTER-AMERICAN CASE LAW: THE OBLIGATION OF “EXCEPTIONAL DUE DILIGENCE”</w:t>
      </w:r>
    </w:p>
    <w:p w14:paraId="0B7D7A75"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67CF8669" w14:textId="77777777" w:rsidR="00CD2B15" w:rsidRPr="0056383C" w:rsidRDefault="00CD2B15" w:rsidP="00CD2B15">
      <w:pPr>
        <w:tabs>
          <w:tab w:val="left" w:pos="720"/>
          <w:tab w:val="left" w:pos="1464"/>
        </w:tabs>
        <w:rPr>
          <w:rFonts w:ascii="Verdana" w:hAnsi="Verdana"/>
          <w:color w:val="000000" w:themeColor="text1"/>
          <w:sz w:val="20"/>
          <w:szCs w:val="20"/>
          <w:lang w:val="en-US"/>
        </w:rPr>
      </w:pPr>
      <w:r w:rsidRPr="0056383C">
        <w:rPr>
          <w:rFonts w:ascii="Verdana" w:hAnsi="Verdana"/>
          <w:sz w:val="20"/>
          <w:szCs w:val="20"/>
          <w:lang w:val="en-US"/>
        </w:rPr>
        <w:t xml:space="preserve">58. </w:t>
      </w:r>
      <w:r w:rsidRPr="0056383C">
        <w:rPr>
          <w:rFonts w:ascii="Verdana" w:hAnsi="Verdana"/>
          <w:sz w:val="20"/>
          <w:szCs w:val="20"/>
          <w:lang w:val="en-US"/>
        </w:rPr>
        <w:tab/>
        <w:t>The rights that have been addressed in the preceding sections — the right to social security</w:t>
      </w:r>
      <w:r w:rsidRPr="0056383C">
        <w:rPr>
          <w:rFonts w:ascii="Verdana" w:hAnsi="Verdana"/>
          <w:color w:val="000000" w:themeColor="text1"/>
          <w:sz w:val="20"/>
          <w:szCs w:val="20"/>
          <w:lang w:val="en-US"/>
        </w:rPr>
        <w:t>, the right to property and the right to an effective judicial remedy – have a special impact in this specific case. The judgment indicates that “[r]</w:t>
      </w:r>
      <w:proofErr w:type="spellStart"/>
      <w:r w:rsidRPr="0056383C">
        <w:rPr>
          <w:rFonts w:ascii="Verdana" w:hAnsi="Verdana"/>
          <w:color w:val="000000" w:themeColor="text1"/>
          <w:sz w:val="20"/>
          <w:szCs w:val="20"/>
          <w:lang w:val="en-US"/>
        </w:rPr>
        <w:t>egarding</w:t>
      </w:r>
      <w:proofErr w:type="spellEnd"/>
      <w:r w:rsidRPr="0056383C">
        <w:rPr>
          <w:rFonts w:ascii="Verdana" w:hAnsi="Verdana"/>
          <w:color w:val="000000" w:themeColor="text1"/>
          <w:sz w:val="20"/>
          <w:szCs w:val="20"/>
          <w:lang w:val="en-US"/>
        </w:rPr>
        <w:t xml:space="preserve"> a reasonable time at the stage of execution of judgment, the Court emphasizes that this time should be shorter owing to the existence of a final decision on the specific matter. It is inadmissible that a proceeding on execution of judgment should temporarily alter a decision issued in a final judgment or in any other way undermine it or render it ineffective, excessively or indefinitely prolonging a dispute that has already been settled. This acquires greater relevance in a proceeding on execution of judgment in which the right to social security has been recognized in the domestic sphere</w:t>
      </w:r>
      <w:r w:rsidRPr="0056383C">
        <w:rPr>
          <w:rFonts w:ascii="Verdana" w:hAnsi="Verdana"/>
          <w:color w:val="000000" w:themeColor="text1"/>
          <w:sz w:val="20"/>
          <w:szCs w:val="20"/>
          <w:lang w:val="en-US" w:eastAsia="es-MX"/>
        </w:rPr>
        <w:t xml:space="preserve"> […].”</w:t>
      </w:r>
      <w:r w:rsidRPr="0056383C">
        <w:rPr>
          <w:rStyle w:val="Refdenotaalpie"/>
          <w:color w:val="000000" w:themeColor="text1"/>
          <w:szCs w:val="20"/>
          <w:lang w:val="en-US" w:eastAsia="es-MX"/>
        </w:rPr>
        <w:footnoteReference w:id="348"/>
      </w:r>
    </w:p>
    <w:p w14:paraId="1F64606C" w14:textId="77777777" w:rsidR="00CD2B15" w:rsidRPr="0056383C" w:rsidRDefault="00CD2B15" w:rsidP="00CD2B15">
      <w:pPr>
        <w:tabs>
          <w:tab w:val="left" w:pos="720"/>
          <w:tab w:val="left" w:pos="1464"/>
        </w:tabs>
        <w:rPr>
          <w:rFonts w:ascii="Verdana" w:hAnsi="Verdana"/>
          <w:sz w:val="20"/>
          <w:szCs w:val="20"/>
          <w:lang w:val="en-US"/>
        </w:rPr>
      </w:pPr>
    </w:p>
    <w:p w14:paraId="68D3CB2D" w14:textId="77777777" w:rsidR="00CD2B15" w:rsidRPr="0056383C" w:rsidRDefault="00CD2B15" w:rsidP="00CD2B15">
      <w:pPr>
        <w:tabs>
          <w:tab w:val="left" w:pos="720"/>
          <w:tab w:val="left" w:pos="1464"/>
        </w:tabs>
        <w:rPr>
          <w:rFonts w:ascii="Verdana" w:eastAsia="Batang" w:hAnsi="Verdana"/>
          <w:color w:val="000000" w:themeColor="text1"/>
          <w:sz w:val="20"/>
          <w:szCs w:val="20"/>
          <w:lang w:val="en-US" w:eastAsia="es-MX"/>
        </w:rPr>
      </w:pPr>
      <w:r w:rsidRPr="0056383C">
        <w:rPr>
          <w:rFonts w:ascii="Verdana" w:eastAsia="Batang" w:hAnsi="Verdana"/>
          <w:color w:val="000000" w:themeColor="text1"/>
          <w:sz w:val="20"/>
          <w:szCs w:val="20"/>
          <w:lang w:val="en-US" w:eastAsia="es-MX"/>
        </w:rPr>
        <w:t xml:space="preserve">59. </w:t>
      </w:r>
      <w:r w:rsidRPr="0056383C">
        <w:rPr>
          <w:rFonts w:ascii="Verdana" w:eastAsia="Batang" w:hAnsi="Verdana"/>
          <w:color w:val="000000" w:themeColor="text1"/>
          <w:sz w:val="20"/>
          <w:szCs w:val="20"/>
          <w:lang w:val="en-US" w:eastAsia="es-MX"/>
        </w:rPr>
        <w:tab/>
        <w:t xml:space="preserve">In such cases, the rights involved in the domestic judgments that recognize human rights – such as the right to social security </w:t>
      </w:r>
      <w:r w:rsidRPr="0056383C">
        <w:rPr>
          <w:rFonts w:ascii="Verdana" w:hAnsi="Verdana"/>
          <w:sz w:val="20"/>
          <w:szCs w:val="20"/>
          <w:lang w:val="en-US"/>
        </w:rPr>
        <w:t>—</w:t>
      </w:r>
      <w:r w:rsidRPr="0056383C">
        <w:rPr>
          <w:rFonts w:ascii="Verdana" w:eastAsia="Batang" w:hAnsi="Verdana"/>
          <w:color w:val="000000" w:themeColor="text1"/>
          <w:sz w:val="20"/>
          <w:szCs w:val="20"/>
          <w:lang w:val="en-US" w:eastAsia="es-MX"/>
        </w:rPr>
        <w:t xml:space="preserve"> must be analyzed from the perspective of the special promptness of the reasonable time established in Article 8(1)</w:t>
      </w:r>
      <w:r w:rsidRPr="0056383C">
        <w:rPr>
          <w:rFonts w:ascii="Verdana" w:hAnsi="Verdana"/>
          <w:color w:val="000000" w:themeColor="text1"/>
          <w:sz w:val="20"/>
          <w:szCs w:val="20"/>
          <w:lang w:val="en-US" w:eastAsia="es-MX"/>
        </w:rPr>
        <w:t xml:space="preserve"> of the American Convention for the execution of the judgment. As established in the case law of the Inter-American Court, this is especially important in relation to </w:t>
      </w:r>
      <w:r w:rsidRPr="0056383C">
        <w:rPr>
          <w:rFonts w:ascii="Verdana" w:hAnsi="Verdana"/>
          <w:i/>
          <w:iCs/>
          <w:color w:val="000000" w:themeColor="text1"/>
          <w:sz w:val="20"/>
          <w:szCs w:val="20"/>
          <w:lang w:val="en-US" w:eastAsia="es-MX"/>
        </w:rPr>
        <w:t>the effects caused on the legal situation of the person involved in the proceedings.</w:t>
      </w:r>
      <w:r w:rsidRPr="0056383C">
        <w:rPr>
          <w:rFonts w:ascii="Verdana" w:hAnsi="Verdana"/>
          <w:color w:val="000000" w:themeColor="text1"/>
          <w:sz w:val="20"/>
          <w:szCs w:val="20"/>
          <w:lang w:val="en-US" w:eastAsia="es-MX"/>
        </w:rPr>
        <w:t xml:space="preserve"> The Court</w:t>
      </w:r>
      <w:r w:rsidRPr="0056383C">
        <w:rPr>
          <w:rFonts w:ascii="Verdana" w:eastAsia="Batang" w:hAnsi="Verdana"/>
          <w:color w:val="000000" w:themeColor="text1"/>
          <w:sz w:val="20"/>
          <w:szCs w:val="20"/>
          <w:lang w:val="en-US" w:eastAsia="es-MX"/>
        </w:rPr>
        <w:t xml:space="preserve"> has established that, if the passage of time has a relevant impact on an individual’s legal situation, the proceedings must move forward with greater diligence so that the case is decided promptly.</w:t>
      </w:r>
      <w:r w:rsidRPr="0056383C">
        <w:rPr>
          <w:rFonts w:ascii="Verdana" w:eastAsia="Batang" w:hAnsi="Verdana" w:cs="Verdana"/>
          <w:color w:val="000000" w:themeColor="text1"/>
          <w:sz w:val="20"/>
          <w:szCs w:val="20"/>
          <w:vertAlign w:val="superscript"/>
          <w:lang w:val="en-US" w:eastAsia="es-MX"/>
        </w:rPr>
        <w:footnoteReference w:id="349"/>
      </w:r>
      <w:r w:rsidRPr="0056383C">
        <w:rPr>
          <w:rFonts w:ascii="Verdana" w:eastAsia="Batang" w:hAnsi="Verdana"/>
          <w:color w:val="000000" w:themeColor="text1"/>
          <w:sz w:val="20"/>
          <w:szCs w:val="20"/>
          <w:lang w:val="en-US" w:eastAsia="es-MX"/>
        </w:rPr>
        <w:t xml:space="preserve"> Although, in its judgment, the Inter-American Court refers to this obligation as “advancing with greater diligence” or “greater promptness,” this obligation has also been identified as “</w:t>
      </w:r>
      <w:r w:rsidRPr="0056383C">
        <w:rPr>
          <w:rFonts w:ascii="Verdana" w:eastAsia="Batang" w:hAnsi="Verdana"/>
          <w:i/>
          <w:iCs/>
          <w:color w:val="000000" w:themeColor="text1"/>
          <w:sz w:val="20"/>
          <w:szCs w:val="20"/>
          <w:lang w:val="en-US" w:eastAsia="es-MX"/>
        </w:rPr>
        <w:t>exceptional due diligence</w:t>
      </w:r>
      <w:r w:rsidRPr="0056383C">
        <w:rPr>
          <w:rFonts w:ascii="Verdana" w:eastAsia="Batang" w:hAnsi="Verdana"/>
          <w:color w:val="000000" w:themeColor="text1"/>
          <w:sz w:val="20"/>
          <w:szCs w:val="20"/>
          <w:lang w:val="en-US" w:eastAsia="es-MX"/>
        </w:rPr>
        <w:t>.”</w:t>
      </w:r>
    </w:p>
    <w:p w14:paraId="2026632D" w14:textId="77777777" w:rsidR="00CD2B15" w:rsidRPr="0056383C" w:rsidRDefault="00CD2B15" w:rsidP="00CD2B15">
      <w:pPr>
        <w:rPr>
          <w:rFonts w:ascii="Verdana" w:hAnsi="Verdana"/>
          <w:sz w:val="20"/>
          <w:szCs w:val="20"/>
          <w:lang w:val="en-US"/>
        </w:rPr>
      </w:pPr>
    </w:p>
    <w:p w14:paraId="7BB7896A"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sidRPr="0056383C">
        <w:rPr>
          <w:rFonts w:ascii="Verdana" w:hAnsi="Verdana"/>
          <w:sz w:val="20"/>
          <w:szCs w:val="20"/>
          <w:lang w:val="en-US"/>
        </w:rPr>
        <w:t xml:space="preserve">60. </w:t>
      </w:r>
      <w:r w:rsidRPr="0056383C">
        <w:rPr>
          <w:rFonts w:ascii="Verdana" w:hAnsi="Verdana"/>
          <w:sz w:val="20"/>
          <w:szCs w:val="20"/>
          <w:lang w:val="en-US"/>
        </w:rPr>
        <w:tab/>
        <w:t xml:space="preserve">Regarding the reasonableness of the time in cases involving violations of the rights of a person who is in a vulnerable situation, the European Court of Human Rights has indicated that the authorities should act with </w:t>
      </w:r>
      <w:r w:rsidRPr="0056383C">
        <w:rPr>
          <w:rFonts w:ascii="Verdana" w:hAnsi="Verdana"/>
          <w:i/>
          <w:sz w:val="20"/>
          <w:szCs w:val="20"/>
          <w:lang w:val="en-US"/>
        </w:rPr>
        <w:t>exceptional diligence.</w:t>
      </w:r>
      <w:r w:rsidRPr="0056383C">
        <w:rPr>
          <w:rStyle w:val="Refdenotaalpie"/>
          <w:szCs w:val="20"/>
          <w:lang w:val="en-US"/>
        </w:rPr>
        <w:footnoteReference w:id="350"/>
      </w:r>
      <w:r w:rsidRPr="0056383C">
        <w:rPr>
          <w:rFonts w:ascii="Verdana" w:hAnsi="Verdana"/>
          <w:i/>
          <w:sz w:val="20"/>
          <w:szCs w:val="20"/>
          <w:lang w:val="en-US"/>
        </w:rPr>
        <w:t xml:space="preserve"> </w:t>
      </w:r>
      <w:r w:rsidRPr="0056383C">
        <w:rPr>
          <w:rFonts w:ascii="Verdana" w:hAnsi="Verdana"/>
          <w:sz w:val="20"/>
          <w:szCs w:val="20"/>
          <w:lang w:val="en-US"/>
        </w:rPr>
        <w:t xml:space="preserve">Thus, the judicial authorities should act with exceptional diligence in proceedings that involve individuals who, owing to their specific conditions, require immediate attention; for example, people living with HIV/AIDS </w:t>
      </w:r>
      <w:r w:rsidRPr="0056383C">
        <w:rPr>
          <w:rFonts w:ascii="Verdana" w:hAnsi="Verdana"/>
          <w:sz w:val="20"/>
          <w:szCs w:val="20"/>
          <w:lang w:val="en-US"/>
        </w:rPr>
        <w:lastRenderedPageBreak/>
        <w:t>because what is at stake is crucially important (their health).</w:t>
      </w:r>
      <w:r w:rsidRPr="0056383C">
        <w:rPr>
          <w:rStyle w:val="Refdenotaalpie"/>
          <w:szCs w:val="20"/>
          <w:lang w:val="en-US"/>
        </w:rPr>
        <w:footnoteReference w:id="351"/>
      </w:r>
      <w:r w:rsidRPr="0056383C">
        <w:rPr>
          <w:rFonts w:ascii="Verdana" w:hAnsi="Verdana"/>
          <w:sz w:val="20"/>
          <w:szCs w:val="20"/>
          <w:lang w:val="en-US"/>
        </w:rPr>
        <w:t xml:space="preserve"> The European Court has also considered that the advanced age of the applicants calls for the authorities to exercise special diligence in the settlement of their proceedings.</w:t>
      </w:r>
      <w:r w:rsidRPr="0056383C">
        <w:rPr>
          <w:rStyle w:val="Refdenotaalpie"/>
          <w:szCs w:val="20"/>
          <w:lang w:val="en-US"/>
        </w:rPr>
        <w:footnoteReference w:id="352"/>
      </w:r>
    </w:p>
    <w:p w14:paraId="4B1FA011"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174C900F"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sidRPr="0056383C">
        <w:rPr>
          <w:rFonts w:ascii="Verdana" w:hAnsi="Verdana"/>
          <w:sz w:val="20"/>
          <w:szCs w:val="20"/>
          <w:lang w:val="en-US"/>
        </w:rPr>
        <w:t xml:space="preserve">61. </w:t>
      </w:r>
      <w:r w:rsidRPr="0056383C">
        <w:rPr>
          <w:rFonts w:ascii="Verdana" w:hAnsi="Verdana"/>
          <w:sz w:val="20"/>
          <w:szCs w:val="20"/>
          <w:lang w:val="en-US"/>
        </w:rPr>
        <w:tab/>
        <w:t>Meanwhile, the Inter-American Court has considered that in cases of individuals in a vulnerable situation, such as a person with a disability, it is essential to take the pertinent measures; for example, the relevant authorities must give priority to hearing and deciding cases to avoid processing delays and to ensure prompt rulings and their execution.</w:t>
      </w:r>
      <w:r w:rsidRPr="0056383C">
        <w:rPr>
          <w:rStyle w:val="Refdenotaalpie"/>
          <w:szCs w:val="20"/>
          <w:lang w:val="en-US"/>
        </w:rPr>
        <w:footnoteReference w:id="353"/>
      </w:r>
      <w:r w:rsidRPr="0056383C">
        <w:rPr>
          <w:rFonts w:ascii="Verdana" w:hAnsi="Verdana"/>
          <w:sz w:val="20"/>
          <w:szCs w:val="20"/>
          <w:lang w:val="en-US"/>
        </w:rPr>
        <w:t xml:space="preserve"> The Court has also considered that this obligation should be applied in criminal proceedings involving minors living with HIV/AIDS</w:t>
      </w:r>
      <w:r w:rsidRPr="0056383C">
        <w:rPr>
          <w:rStyle w:val="Refdenotaalpie"/>
          <w:szCs w:val="20"/>
          <w:lang w:val="en-US"/>
        </w:rPr>
        <w:footnoteReference w:id="354"/>
      </w:r>
      <w:r w:rsidRPr="0056383C">
        <w:rPr>
          <w:rFonts w:ascii="Verdana" w:hAnsi="Verdana"/>
          <w:sz w:val="20"/>
          <w:szCs w:val="20"/>
          <w:lang w:val="en-US"/>
        </w:rPr>
        <w:t xml:space="preserve"> to set in motion the procedure for payment of damages.</w:t>
      </w:r>
      <w:r w:rsidRPr="0056383C">
        <w:rPr>
          <w:rStyle w:val="Refdenotaalpie"/>
          <w:szCs w:val="20"/>
          <w:lang w:val="en-US"/>
        </w:rPr>
        <w:footnoteReference w:id="355"/>
      </w:r>
      <w:r w:rsidRPr="0056383C">
        <w:rPr>
          <w:rFonts w:ascii="Verdana" w:hAnsi="Verdana"/>
          <w:sz w:val="20"/>
          <w:szCs w:val="20"/>
          <w:lang w:val="en-US"/>
        </w:rPr>
        <w:t xml:space="preserve"> </w:t>
      </w:r>
    </w:p>
    <w:p w14:paraId="6F3F47CB"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69B2275C"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sidRPr="0056383C">
        <w:rPr>
          <w:rFonts w:ascii="Verdana" w:hAnsi="Verdana"/>
          <w:sz w:val="20"/>
          <w:szCs w:val="20"/>
          <w:lang w:val="en-US"/>
        </w:rPr>
        <w:t xml:space="preserve">62. </w:t>
      </w:r>
      <w:r w:rsidRPr="0056383C">
        <w:rPr>
          <w:rFonts w:ascii="Verdana" w:hAnsi="Verdana"/>
          <w:sz w:val="20"/>
          <w:szCs w:val="20"/>
          <w:lang w:val="en-US"/>
        </w:rPr>
        <w:tab/>
        <w:t xml:space="preserve">That said, the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case reveals that the age of an older person is an important element to consider in this type of case because social security is a right that is associated with income substitution and nutrition and has a major impact on the way in which older persons will live the rest of their lives, especially if we consider that they have a legitimate expectation of receiving a pension when their working life ends.</w:t>
      </w:r>
    </w:p>
    <w:p w14:paraId="729CF4EC"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0A6CEF48"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sidRPr="0056383C">
        <w:rPr>
          <w:rFonts w:ascii="Verdana" w:hAnsi="Verdana"/>
          <w:sz w:val="20"/>
          <w:szCs w:val="20"/>
          <w:lang w:val="en-US"/>
        </w:rPr>
        <w:t xml:space="preserve">63. </w:t>
      </w:r>
      <w:r w:rsidRPr="0056383C">
        <w:rPr>
          <w:rFonts w:ascii="Verdana" w:hAnsi="Verdana"/>
          <w:sz w:val="20"/>
          <w:szCs w:val="20"/>
          <w:lang w:val="en-US"/>
        </w:rPr>
        <w:tab/>
        <w:t>This has particular relevance if we consider that Article 31 (Access to Justice) of the Inter-American Convention on Protecting the Human Rights of Older Persons establishes that “State Parties shall ensure due diligence and preferential treatment for older persons in the processing, settlement of, and enforcement of decisions in administrative and legal proceedings.</w:t>
      </w:r>
      <w:r w:rsidRPr="0056383C">
        <w:rPr>
          <w:rFonts w:ascii="Verdana" w:eastAsia="Times New Roman" w:hAnsi="Verdana" w:cs="Tahoma"/>
          <w:color w:val="333333"/>
          <w:sz w:val="20"/>
          <w:szCs w:val="20"/>
          <w:shd w:val="clear" w:color="auto" w:fill="FFFFFF"/>
          <w:lang w:val="en-US" w:eastAsia="es-ES_tradnl"/>
        </w:rPr>
        <w:t>” </w:t>
      </w:r>
    </w:p>
    <w:p w14:paraId="10246637" w14:textId="77777777" w:rsidR="00CD2B15" w:rsidRPr="0056383C" w:rsidRDefault="00CD2B15" w:rsidP="00CD2B15">
      <w:pPr>
        <w:pStyle w:val="Prrafodelista"/>
        <w:rPr>
          <w:rFonts w:ascii="Verdana" w:hAnsi="Verdana"/>
          <w:sz w:val="20"/>
          <w:szCs w:val="20"/>
          <w:lang w:val="en-US"/>
        </w:rPr>
      </w:pPr>
    </w:p>
    <w:p w14:paraId="5F720347"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sidRPr="0056383C">
        <w:rPr>
          <w:rFonts w:ascii="Verdana" w:hAnsi="Verdana"/>
          <w:sz w:val="20"/>
          <w:szCs w:val="20"/>
          <w:lang w:val="en-US"/>
        </w:rPr>
        <w:t xml:space="preserve">64. </w:t>
      </w:r>
      <w:r w:rsidRPr="0056383C">
        <w:rPr>
          <w:rFonts w:ascii="Verdana" w:hAnsi="Verdana"/>
          <w:sz w:val="20"/>
          <w:szCs w:val="20"/>
          <w:lang w:val="en-US"/>
        </w:rPr>
        <w:tab/>
        <w:t xml:space="preserve">In this specific case, the Inter-American Court noted that the failure to execute the judgments had an impact not only on the enjoyment of the right to social security but also triggered a series of consequences of both a physical and an emotional nature. Specifically, it should be emphasized that, since he was unable to enjoy the right to social security, Mr. </w:t>
      </w:r>
      <w:proofErr w:type="spellStart"/>
      <w:r w:rsidRPr="0056383C">
        <w:rPr>
          <w:rFonts w:ascii="Verdana" w:hAnsi="Verdana"/>
          <w:sz w:val="20"/>
          <w:szCs w:val="20"/>
          <w:lang w:val="en-US"/>
        </w:rPr>
        <w:t>Muelle</w:t>
      </w:r>
      <w:proofErr w:type="spellEnd"/>
      <w:r w:rsidRPr="0056383C">
        <w:rPr>
          <w:rFonts w:ascii="Verdana" w:hAnsi="Verdana"/>
          <w:sz w:val="20"/>
          <w:szCs w:val="20"/>
          <w:lang w:val="en-US"/>
        </w:rPr>
        <w:t xml:space="preserve"> Flores developed a hearing disability. Although it is true that upon reaching an advanced age a person’s bodily functions may diminish, if a lack of access to a system of preventive health care services is added to this, it is logical that upon reaching a </w:t>
      </w:r>
      <w:proofErr w:type="gramStart"/>
      <w:r w:rsidRPr="0056383C">
        <w:rPr>
          <w:rFonts w:ascii="Verdana" w:hAnsi="Verdana"/>
          <w:sz w:val="20"/>
          <w:szCs w:val="20"/>
          <w:lang w:val="en-US"/>
        </w:rPr>
        <w:t xml:space="preserve">certain age </w:t>
      </w:r>
      <w:r w:rsidRPr="0056383C">
        <w:rPr>
          <w:rFonts w:ascii="Verdana" w:hAnsi="Verdana"/>
          <w:sz w:val="20"/>
          <w:szCs w:val="20"/>
          <w:lang w:val="en-US"/>
        </w:rPr>
        <w:lastRenderedPageBreak/>
        <w:t>certain limitations</w:t>
      </w:r>
      <w:proofErr w:type="gramEnd"/>
      <w:r w:rsidRPr="0056383C">
        <w:rPr>
          <w:rFonts w:ascii="Verdana" w:hAnsi="Verdana"/>
          <w:sz w:val="20"/>
          <w:szCs w:val="20"/>
          <w:lang w:val="en-US"/>
        </w:rPr>
        <w:t xml:space="preserve"> are developed. It is essential to stress that an older person will not necessarily have a disability because they reach a specific stage of their life; however, social security plays a fundamental role – owing to the wide range of services that it includes – for a certain group of individuals, such as older persons.</w:t>
      </w:r>
    </w:p>
    <w:p w14:paraId="33F49695"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49419929" w14:textId="77777777" w:rsidR="00CD2B15" w:rsidRPr="0056383C" w:rsidRDefault="00CD2B15" w:rsidP="00CD2B15">
      <w:pPr>
        <w:pStyle w:val="Prrafodelista"/>
        <w:tabs>
          <w:tab w:val="left" w:pos="709"/>
          <w:tab w:val="left" w:pos="1464"/>
        </w:tabs>
        <w:ind w:left="0"/>
        <w:rPr>
          <w:rFonts w:ascii="Verdana" w:hAnsi="Verdana"/>
          <w:iCs/>
          <w:sz w:val="20"/>
          <w:szCs w:val="20"/>
          <w:lang w:val="en-US"/>
        </w:rPr>
      </w:pPr>
      <w:r>
        <w:rPr>
          <w:rFonts w:ascii="Verdana" w:hAnsi="Verdana"/>
          <w:sz w:val="20"/>
          <w:szCs w:val="20"/>
          <w:lang w:val="en-US"/>
        </w:rPr>
        <w:t>65</w:t>
      </w:r>
      <w:r w:rsidRPr="0056383C">
        <w:rPr>
          <w:rFonts w:ascii="Verdana" w:hAnsi="Verdana"/>
          <w:sz w:val="20"/>
          <w:szCs w:val="20"/>
          <w:lang w:val="en-US"/>
        </w:rPr>
        <w:t xml:space="preserve">. </w:t>
      </w:r>
      <w:r w:rsidRPr="0056383C">
        <w:rPr>
          <w:rFonts w:ascii="Verdana" w:hAnsi="Verdana"/>
          <w:sz w:val="20"/>
          <w:szCs w:val="20"/>
          <w:lang w:val="en-US"/>
        </w:rPr>
        <w:tab/>
        <w:t xml:space="preserve">Another kind of negative result of excessive delay in the execution of judgments recognizing the right to social security concerns the feelings of anguish. Although this was not alleged by either the Inter-American Commission or the victim’s representatives, the Inter-American Court determined that this type of effect goes beyond the purely material aspect. For this reason, the Inter-American Court included the right to personal integrity (Art. 5 of the American Convention) and the right to dignity (a right derived from a broad interpretation of Article 11 of the Pact of San José) using the </w:t>
      </w:r>
      <w:proofErr w:type="spellStart"/>
      <w:r w:rsidRPr="0056383C">
        <w:rPr>
          <w:rFonts w:ascii="Verdana" w:hAnsi="Verdana"/>
          <w:i/>
          <w:sz w:val="20"/>
          <w:szCs w:val="20"/>
          <w:lang w:val="en-US"/>
        </w:rPr>
        <w:t>iura</w:t>
      </w:r>
      <w:proofErr w:type="spellEnd"/>
      <w:r w:rsidRPr="0056383C">
        <w:rPr>
          <w:rFonts w:ascii="Verdana" w:hAnsi="Verdana"/>
          <w:i/>
          <w:sz w:val="20"/>
          <w:szCs w:val="20"/>
          <w:lang w:val="en-US"/>
        </w:rPr>
        <w:t xml:space="preserve"> </w:t>
      </w:r>
      <w:proofErr w:type="spellStart"/>
      <w:r w:rsidRPr="0056383C">
        <w:rPr>
          <w:rFonts w:ascii="Verdana" w:hAnsi="Verdana"/>
          <w:i/>
          <w:sz w:val="20"/>
          <w:szCs w:val="20"/>
          <w:lang w:val="en-US"/>
        </w:rPr>
        <w:t>novit</w:t>
      </w:r>
      <w:proofErr w:type="spellEnd"/>
      <w:r w:rsidRPr="0056383C">
        <w:rPr>
          <w:rFonts w:ascii="Verdana" w:hAnsi="Verdana"/>
          <w:i/>
          <w:sz w:val="20"/>
          <w:szCs w:val="20"/>
          <w:lang w:val="en-US"/>
        </w:rPr>
        <w:t xml:space="preserve"> curia</w:t>
      </w:r>
      <w:r w:rsidRPr="0056383C">
        <w:rPr>
          <w:rFonts w:ascii="Verdana" w:hAnsi="Verdana"/>
          <w:iCs/>
          <w:sz w:val="20"/>
          <w:szCs w:val="20"/>
          <w:lang w:val="en-US"/>
        </w:rPr>
        <w:t xml:space="preserve"> principle.</w:t>
      </w:r>
    </w:p>
    <w:p w14:paraId="749D9B39"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5D58D809"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Pr>
          <w:rFonts w:ascii="Verdana" w:hAnsi="Verdana"/>
          <w:sz w:val="20"/>
          <w:szCs w:val="20"/>
          <w:lang w:val="en-US"/>
        </w:rPr>
        <w:t>66</w:t>
      </w:r>
      <w:r w:rsidRPr="0056383C">
        <w:rPr>
          <w:rFonts w:ascii="Verdana" w:hAnsi="Verdana"/>
          <w:sz w:val="20"/>
          <w:szCs w:val="20"/>
          <w:lang w:val="en-US"/>
        </w:rPr>
        <w:t xml:space="preserve">. </w:t>
      </w:r>
      <w:r w:rsidRPr="0056383C">
        <w:rPr>
          <w:rFonts w:ascii="Verdana" w:hAnsi="Verdana"/>
          <w:sz w:val="20"/>
          <w:szCs w:val="20"/>
          <w:lang w:val="en-US"/>
        </w:rPr>
        <w:tab/>
        <w:t xml:space="preserve">Thus, as the judgment concludes, “”[t]he failure to implement the right to social security for more than 27 years seriously prejudiced the quality of life and the health care coverage of Mr. </w:t>
      </w:r>
      <w:proofErr w:type="spellStart"/>
      <w:r w:rsidRPr="0056383C">
        <w:rPr>
          <w:rFonts w:ascii="Verdana" w:hAnsi="Verdana"/>
          <w:sz w:val="20"/>
          <w:szCs w:val="20"/>
          <w:lang w:val="en-US"/>
        </w:rPr>
        <w:t>Muelle</w:t>
      </w:r>
      <w:proofErr w:type="spellEnd"/>
      <w:r w:rsidRPr="0056383C">
        <w:rPr>
          <w:rFonts w:ascii="Verdana" w:hAnsi="Verdana"/>
          <w:sz w:val="20"/>
          <w:szCs w:val="20"/>
          <w:lang w:val="en-US"/>
        </w:rPr>
        <w:t xml:space="preserve">, an individual in a situation requiring special protection because he was an older person with a disability. The violation resulting from the failure to pay his pension exceeded a reasonable time and, as this was the victim’s only income, the prolonged absence of the payments inevitably resulted in financial hardship that affected </w:t>
      </w:r>
      <w:r w:rsidRPr="0056383C">
        <w:rPr>
          <w:rFonts w:ascii="Verdana" w:hAnsi="Verdana"/>
          <w:iCs/>
          <w:sz w:val="20"/>
          <w:szCs w:val="20"/>
          <w:lang w:val="en-US"/>
        </w:rPr>
        <w:t xml:space="preserve">his ability to pay for his basic necessities and, consequently, affected his mental </w:t>
      </w:r>
      <w:r w:rsidRPr="0056383C">
        <w:rPr>
          <w:rFonts w:ascii="Verdana" w:hAnsi="Verdana"/>
          <w:sz w:val="20"/>
          <w:szCs w:val="20"/>
          <w:lang w:val="en-US"/>
        </w:rPr>
        <w:t>and moral integrity, as well as his dignity.</w:t>
      </w:r>
      <w:r w:rsidRPr="0056383C">
        <w:rPr>
          <w:rFonts w:ascii="Verdana" w:hAnsi="Verdana"/>
          <w:color w:val="000000"/>
          <w:sz w:val="20"/>
          <w:szCs w:val="20"/>
          <w:bdr w:val="none" w:sz="0" w:space="0" w:color="auto" w:frame="1"/>
          <w:lang w:val="en-US"/>
        </w:rPr>
        <w:t>”</w:t>
      </w:r>
      <w:r w:rsidRPr="0056383C">
        <w:rPr>
          <w:rStyle w:val="Refdenotaalpie"/>
          <w:color w:val="000000"/>
          <w:szCs w:val="20"/>
          <w:bdr w:val="none" w:sz="0" w:space="0" w:color="auto" w:frame="1"/>
          <w:lang w:val="en-US"/>
        </w:rPr>
        <w:footnoteReference w:id="356"/>
      </w:r>
    </w:p>
    <w:p w14:paraId="3464B4B3"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1675124B"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Pr>
          <w:rFonts w:ascii="Verdana" w:hAnsi="Verdana"/>
          <w:sz w:val="20"/>
          <w:szCs w:val="20"/>
          <w:lang w:val="en-US"/>
        </w:rPr>
        <w:t>67</w:t>
      </w:r>
      <w:r w:rsidRPr="0056383C">
        <w:rPr>
          <w:rFonts w:ascii="Verdana" w:hAnsi="Verdana"/>
          <w:sz w:val="20"/>
          <w:szCs w:val="20"/>
          <w:lang w:val="en-US"/>
        </w:rPr>
        <w:t xml:space="preserve">. </w:t>
      </w:r>
      <w:r w:rsidRPr="0056383C">
        <w:rPr>
          <w:rFonts w:ascii="Verdana" w:hAnsi="Verdana"/>
          <w:sz w:val="20"/>
          <w:szCs w:val="20"/>
          <w:lang w:val="en-US"/>
        </w:rPr>
        <w:tab/>
        <w:t xml:space="preserve">The </w:t>
      </w:r>
      <w:proofErr w:type="spellStart"/>
      <w:r w:rsidRPr="0056383C">
        <w:rPr>
          <w:rFonts w:ascii="Verdana" w:hAnsi="Verdana"/>
          <w:i/>
          <w:sz w:val="20"/>
          <w:szCs w:val="20"/>
          <w:lang w:val="en-US"/>
        </w:rPr>
        <w:t>Muelle</w:t>
      </w:r>
      <w:proofErr w:type="spellEnd"/>
      <w:r w:rsidRPr="0056383C">
        <w:rPr>
          <w:rFonts w:ascii="Verdana" w:hAnsi="Verdana"/>
          <w:i/>
          <w:sz w:val="20"/>
          <w:szCs w:val="20"/>
          <w:lang w:val="en-US"/>
        </w:rPr>
        <w:t xml:space="preserve"> Flores</w:t>
      </w:r>
      <w:r w:rsidRPr="0056383C">
        <w:rPr>
          <w:rFonts w:ascii="Verdana" w:hAnsi="Verdana"/>
          <w:sz w:val="20"/>
          <w:szCs w:val="20"/>
          <w:lang w:val="en-US"/>
        </w:rPr>
        <w:t xml:space="preserve"> case reveals that the confluence of different factors of vulnerability – that have traditionally been identified by the Inter-American Court in cases of discrimination against women</w:t>
      </w:r>
      <w:r w:rsidRPr="0056383C">
        <w:rPr>
          <w:rStyle w:val="Refdenotaalpie"/>
          <w:szCs w:val="20"/>
          <w:lang w:val="en-US"/>
        </w:rPr>
        <w:footnoteReference w:id="357"/>
      </w:r>
      <w:r w:rsidRPr="0056383C">
        <w:rPr>
          <w:rFonts w:ascii="Verdana" w:hAnsi="Verdana"/>
          <w:sz w:val="20"/>
          <w:szCs w:val="20"/>
          <w:lang w:val="en-US"/>
        </w:rPr>
        <w:t xml:space="preserve">— may also apply in situations that do not involve sex/gender. In the instant case, “age” and “a hearing disability” represent </w:t>
      </w:r>
      <w:r w:rsidRPr="0056383C">
        <w:rPr>
          <w:rFonts w:ascii="Verdana" w:hAnsi="Verdana"/>
          <w:i/>
          <w:iCs/>
          <w:sz w:val="20"/>
          <w:szCs w:val="20"/>
          <w:lang w:val="en-US"/>
        </w:rPr>
        <w:t xml:space="preserve">multiple forms of vulnerability </w:t>
      </w:r>
      <w:r w:rsidRPr="0056383C">
        <w:rPr>
          <w:rFonts w:ascii="Verdana" w:hAnsi="Verdana"/>
          <w:sz w:val="20"/>
          <w:szCs w:val="20"/>
          <w:lang w:val="en-US"/>
        </w:rPr>
        <w:t xml:space="preserve">in the life of Mr. </w:t>
      </w:r>
      <w:proofErr w:type="spellStart"/>
      <w:r w:rsidRPr="0056383C">
        <w:rPr>
          <w:rFonts w:ascii="Verdana" w:hAnsi="Verdana"/>
          <w:sz w:val="20"/>
          <w:szCs w:val="20"/>
          <w:lang w:val="en-US"/>
        </w:rPr>
        <w:t>Muelle</w:t>
      </w:r>
      <w:proofErr w:type="spellEnd"/>
      <w:r w:rsidRPr="0056383C">
        <w:rPr>
          <w:rFonts w:ascii="Verdana" w:hAnsi="Verdana"/>
          <w:sz w:val="20"/>
          <w:szCs w:val="20"/>
          <w:lang w:val="en-US"/>
        </w:rPr>
        <w:t xml:space="preserve"> Flores and had important consequences, taking into account the failure to execute the domestic judgments that had recognized the right to social security. </w:t>
      </w:r>
    </w:p>
    <w:p w14:paraId="244B83DD" w14:textId="77777777" w:rsidR="00CD2B15" w:rsidRPr="0056383C" w:rsidRDefault="00CD2B15" w:rsidP="00CD2B15">
      <w:pPr>
        <w:pStyle w:val="Prrafodelista"/>
        <w:rPr>
          <w:rFonts w:ascii="Verdana" w:hAnsi="Verdana"/>
          <w:sz w:val="20"/>
          <w:szCs w:val="20"/>
          <w:lang w:val="en-US"/>
        </w:rPr>
      </w:pPr>
    </w:p>
    <w:p w14:paraId="000E8D1B" w14:textId="77777777" w:rsidR="00CD2B15" w:rsidRPr="0056383C" w:rsidRDefault="00CD2B15" w:rsidP="00CD2B15">
      <w:pPr>
        <w:pStyle w:val="Prrafodelista"/>
        <w:tabs>
          <w:tab w:val="left" w:pos="709"/>
          <w:tab w:val="left" w:pos="1464"/>
        </w:tabs>
        <w:ind w:left="0"/>
        <w:rPr>
          <w:rFonts w:ascii="Verdana" w:hAnsi="Verdana"/>
          <w:sz w:val="20"/>
          <w:szCs w:val="20"/>
          <w:lang w:val="en-US"/>
        </w:rPr>
      </w:pPr>
      <w:r>
        <w:rPr>
          <w:rFonts w:ascii="Verdana" w:hAnsi="Verdana"/>
          <w:sz w:val="20"/>
          <w:szCs w:val="20"/>
          <w:lang w:val="en-US"/>
        </w:rPr>
        <w:t>68</w:t>
      </w:r>
      <w:r w:rsidRPr="0056383C">
        <w:rPr>
          <w:rFonts w:ascii="Verdana" w:hAnsi="Verdana"/>
          <w:sz w:val="20"/>
          <w:szCs w:val="20"/>
          <w:lang w:val="en-US"/>
        </w:rPr>
        <w:t xml:space="preserve">. </w:t>
      </w:r>
      <w:r w:rsidRPr="0056383C">
        <w:rPr>
          <w:rFonts w:ascii="Verdana" w:hAnsi="Verdana"/>
          <w:sz w:val="20"/>
          <w:szCs w:val="20"/>
          <w:lang w:val="en-US"/>
        </w:rPr>
        <w:tab/>
        <w:t>All these elements that permeate the judgment of the Inter-American Court have special relevance for a social group that, for many years, was not protected by the main international human rights instruments. Furthermore, it is no coincidence that the precedents concerning older persons correspond to rights of a social nature because, in many cases it is this vulnerable group – frequently characterized by poverty, marginalization and exclusion – who are denied their basic rights. Hence, “it is necessary to advance along the path of equality and build welfare States for the entire population, in which social protection is an effective right.</w:t>
      </w:r>
      <w:r w:rsidRPr="0056383C">
        <w:rPr>
          <w:rFonts w:ascii="Verdana" w:eastAsia="Times New Roman" w:hAnsi="Verdana"/>
          <w:sz w:val="20"/>
          <w:szCs w:val="20"/>
          <w:lang w:val="en-US" w:eastAsia="es-ES_tradnl"/>
        </w:rPr>
        <w:t>”</w:t>
      </w:r>
      <w:r w:rsidRPr="0056383C">
        <w:rPr>
          <w:rStyle w:val="Refdenotaalpie"/>
          <w:color w:val="000000"/>
          <w:szCs w:val="20"/>
          <w:bdr w:val="none" w:sz="0" w:space="0" w:color="auto" w:frame="1"/>
          <w:lang w:val="en-US"/>
        </w:rPr>
        <w:footnoteReference w:id="358"/>
      </w:r>
      <w:r w:rsidRPr="0056383C">
        <w:rPr>
          <w:rFonts w:ascii="Verdana" w:eastAsia="Times New Roman" w:hAnsi="Verdana"/>
          <w:sz w:val="20"/>
          <w:szCs w:val="20"/>
          <w:lang w:val="en-US" w:eastAsia="es-ES_tradnl"/>
        </w:rPr>
        <w:t xml:space="preserve"> </w:t>
      </w:r>
    </w:p>
    <w:p w14:paraId="4947F3CA"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686061F3"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549A9F63" w14:textId="77777777" w:rsidR="00CD2B15" w:rsidRPr="0056383C" w:rsidRDefault="00CD2B15" w:rsidP="00CD2B15">
      <w:pPr>
        <w:pStyle w:val="Prrafodelista"/>
        <w:tabs>
          <w:tab w:val="left" w:pos="709"/>
          <w:tab w:val="left" w:pos="1464"/>
        </w:tabs>
        <w:ind w:left="0"/>
        <w:rPr>
          <w:rFonts w:ascii="Verdana" w:hAnsi="Verdana"/>
          <w:sz w:val="20"/>
          <w:szCs w:val="20"/>
          <w:lang w:val="en-US"/>
        </w:rPr>
      </w:pPr>
    </w:p>
    <w:p w14:paraId="4AE17953" w14:textId="77777777" w:rsidR="00CD2B15" w:rsidRPr="0056383C" w:rsidRDefault="00CD2B15" w:rsidP="00CD2B15">
      <w:pPr>
        <w:rPr>
          <w:rFonts w:ascii="Verdana" w:hAnsi="Verdana"/>
          <w:sz w:val="20"/>
          <w:szCs w:val="20"/>
          <w:lang w:val="en-US"/>
        </w:rPr>
      </w:pPr>
    </w:p>
    <w:p w14:paraId="46F82F42" w14:textId="77777777" w:rsidR="00CD2B15" w:rsidRPr="0056383C" w:rsidRDefault="00CD2B15" w:rsidP="00CD2B15">
      <w:pPr>
        <w:pStyle w:val="NormalWeb"/>
        <w:spacing w:before="0" w:beforeAutospacing="0" w:after="0" w:afterAutospacing="0"/>
        <w:ind w:left="3600" w:right="96" w:firstLine="720"/>
        <w:jc w:val="center"/>
        <w:rPr>
          <w:rFonts w:ascii="Verdana" w:eastAsia="Calibri" w:hAnsi="Verdana"/>
          <w:sz w:val="20"/>
          <w:szCs w:val="20"/>
          <w:lang w:val="en-US" w:eastAsia="en-US"/>
        </w:rPr>
      </w:pPr>
      <w:r w:rsidRPr="0056383C">
        <w:rPr>
          <w:rFonts w:ascii="Verdana" w:eastAsia="Calibri" w:hAnsi="Verdana"/>
          <w:sz w:val="20"/>
          <w:szCs w:val="20"/>
          <w:lang w:val="en-US" w:eastAsia="en-US"/>
        </w:rPr>
        <w:t xml:space="preserve">Eduardo Ferrer Mac-Gregor </w:t>
      </w:r>
      <w:proofErr w:type="spellStart"/>
      <w:r w:rsidRPr="0056383C">
        <w:rPr>
          <w:rFonts w:ascii="Verdana" w:eastAsia="Calibri" w:hAnsi="Verdana"/>
          <w:sz w:val="20"/>
          <w:szCs w:val="20"/>
          <w:lang w:val="en-US" w:eastAsia="en-US"/>
        </w:rPr>
        <w:t>Poisot</w:t>
      </w:r>
      <w:proofErr w:type="spellEnd"/>
    </w:p>
    <w:p w14:paraId="3A39C31B" w14:textId="77777777" w:rsidR="00CD2B15" w:rsidRPr="0056383C" w:rsidRDefault="00CD2B15" w:rsidP="00CD2B15">
      <w:pPr>
        <w:pStyle w:val="NormalWeb"/>
        <w:spacing w:before="0" w:beforeAutospacing="0" w:after="0" w:afterAutospacing="0"/>
        <w:ind w:left="5664" w:right="96" w:firstLine="708"/>
        <w:rPr>
          <w:rFonts w:ascii="Verdana" w:eastAsia="Calibri" w:hAnsi="Verdana"/>
          <w:sz w:val="20"/>
          <w:szCs w:val="20"/>
          <w:lang w:val="en-US" w:eastAsia="en-US"/>
        </w:rPr>
      </w:pPr>
      <w:r w:rsidRPr="0056383C">
        <w:rPr>
          <w:rFonts w:ascii="Verdana" w:eastAsia="Calibri" w:hAnsi="Verdana"/>
          <w:sz w:val="20"/>
          <w:szCs w:val="20"/>
          <w:lang w:val="en-US" w:eastAsia="en-US"/>
        </w:rPr>
        <w:t xml:space="preserve">  Judge</w:t>
      </w:r>
    </w:p>
    <w:p w14:paraId="54FEAB43" w14:textId="77777777" w:rsidR="00CD2B15" w:rsidRPr="0056383C" w:rsidRDefault="00CD2B15" w:rsidP="00CD2B15">
      <w:pPr>
        <w:rPr>
          <w:rFonts w:ascii="Verdana" w:hAnsi="Verdana"/>
          <w:sz w:val="20"/>
          <w:szCs w:val="20"/>
          <w:lang w:val="en-US"/>
        </w:rPr>
      </w:pPr>
    </w:p>
    <w:p w14:paraId="48FD1BFB" w14:textId="77777777" w:rsidR="00CD2B15" w:rsidRPr="0056383C" w:rsidRDefault="00CD2B15" w:rsidP="00CD2B15">
      <w:pPr>
        <w:rPr>
          <w:rFonts w:ascii="Verdana" w:hAnsi="Verdana"/>
          <w:sz w:val="20"/>
          <w:szCs w:val="20"/>
          <w:lang w:val="en-US"/>
        </w:rPr>
      </w:pPr>
    </w:p>
    <w:p w14:paraId="31274294" w14:textId="77777777" w:rsidR="00CD2B15" w:rsidRPr="0056383C" w:rsidRDefault="00CD2B15" w:rsidP="00CD2B15">
      <w:pPr>
        <w:rPr>
          <w:rFonts w:ascii="Verdana" w:hAnsi="Verdana"/>
          <w:sz w:val="20"/>
          <w:szCs w:val="20"/>
          <w:lang w:val="en-US"/>
        </w:rPr>
      </w:pPr>
      <w:r w:rsidRPr="0056383C">
        <w:rPr>
          <w:rFonts w:ascii="Verdana" w:hAnsi="Verdana"/>
          <w:sz w:val="20"/>
          <w:szCs w:val="20"/>
          <w:lang w:val="en-US"/>
        </w:rPr>
        <w:t xml:space="preserve">   Pablo Saavedra </w:t>
      </w:r>
      <w:proofErr w:type="spellStart"/>
      <w:r w:rsidRPr="0056383C">
        <w:rPr>
          <w:rFonts w:ascii="Verdana" w:hAnsi="Verdana"/>
          <w:sz w:val="20"/>
          <w:szCs w:val="20"/>
          <w:lang w:val="en-US"/>
        </w:rPr>
        <w:t>Alessandri</w:t>
      </w:r>
      <w:proofErr w:type="spellEnd"/>
    </w:p>
    <w:p w14:paraId="66F777EC" w14:textId="77777777" w:rsidR="00E6764B" w:rsidRDefault="00CD2B15" w:rsidP="00CD2B15">
      <w:pPr>
        <w:pStyle w:val="Prrafodelista"/>
        <w:ind w:left="0"/>
        <w:rPr>
          <w:rFonts w:ascii="Verdana" w:hAnsi="Verdana"/>
          <w:sz w:val="20"/>
          <w:szCs w:val="20"/>
          <w:lang w:val="en-US"/>
        </w:rPr>
        <w:sectPr w:rsidR="00E6764B" w:rsidSect="00CD2B15">
          <w:footnotePr>
            <w:numRestart w:val="eachSect"/>
          </w:footnotePr>
          <w:pgSz w:w="12240" w:h="15840" w:code="1"/>
          <w:pgMar w:top="1418" w:right="1418" w:bottom="1418" w:left="1418" w:header="709" w:footer="709" w:gutter="0"/>
          <w:pgNumType w:start="1"/>
          <w:cols w:space="708"/>
          <w:titlePg/>
          <w:docGrid w:linePitch="360"/>
        </w:sectPr>
      </w:pPr>
      <w:r w:rsidRPr="0056383C">
        <w:rPr>
          <w:rFonts w:ascii="Verdana" w:hAnsi="Verdana"/>
          <w:sz w:val="20"/>
          <w:szCs w:val="20"/>
          <w:lang w:val="en-US"/>
        </w:rPr>
        <w:tab/>
        <w:t xml:space="preserve">   Secretary</w:t>
      </w:r>
    </w:p>
    <w:p w14:paraId="157D14EC" w14:textId="77777777" w:rsidR="00E6764B" w:rsidRPr="00BF1A76" w:rsidRDefault="00E6764B" w:rsidP="00E6764B">
      <w:pPr>
        <w:spacing w:line="276" w:lineRule="auto"/>
        <w:rPr>
          <w:rFonts w:ascii="Verdana" w:hAnsi="Verdana"/>
          <w:b/>
          <w:sz w:val="20"/>
          <w:szCs w:val="20"/>
          <w:lang w:val="en-US"/>
        </w:rPr>
      </w:pPr>
      <w:r w:rsidRPr="00BF1A76">
        <w:rPr>
          <w:rFonts w:ascii="Verdana" w:hAnsi="Verdana"/>
          <w:b/>
          <w:sz w:val="20"/>
          <w:szCs w:val="20"/>
          <w:lang w:val="en-US"/>
        </w:rPr>
        <w:lastRenderedPageBreak/>
        <w:t xml:space="preserve">       </w:t>
      </w:r>
    </w:p>
    <w:p w14:paraId="7A984C37" w14:textId="77777777" w:rsidR="00E6764B" w:rsidRPr="00BF1A76" w:rsidRDefault="00E6764B" w:rsidP="00E6764B">
      <w:pPr>
        <w:spacing w:line="276" w:lineRule="auto"/>
        <w:rPr>
          <w:rFonts w:ascii="Verdana" w:hAnsi="Verdana"/>
          <w:b/>
          <w:sz w:val="20"/>
          <w:szCs w:val="20"/>
          <w:lang w:val="en-US"/>
        </w:rPr>
      </w:pPr>
    </w:p>
    <w:p w14:paraId="3FB0D9CF" w14:textId="77777777" w:rsidR="00E6764B" w:rsidRPr="00BF1A76" w:rsidRDefault="00E6764B" w:rsidP="00E6764B">
      <w:pPr>
        <w:spacing w:line="276" w:lineRule="auto"/>
        <w:rPr>
          <w:rFonts w:ascii="Verdana" w:hAnsi="Verdana"/>
          <w:b/>
          <w:sz w:val="20"/>
          <w:szCs w:val="20"/>
          <w:lang w:val="en-US"/>
        </w:rPr>
      </w:pPr>
    </w:p>
    <w:p w14:paraId="7EA0AF8A" w14:textId="77777777" w:rsidR="00E6764B" w:rsidRPr="00BF1A76" w:rsidRDefault="00E6764B" w:rsidP="00E6764B">
      <w:pPr>
        <w:spacing w:line="276" w:lineRule="auto"/>
        <w:rPr>
          <w:rFonts w:ascii="Verdana" w:hAnsi="Verdana"/>
          <w:b/>
          <w:sz w:val="20"/>
          <w:szCs w:val="20"/>
          <w:lang w:val="en-US"/>
        </w:rPr>
      </w:pPr>
    </w:p>
    <w:p w14:paraId="757B3D10" w14:textId="77777777" w:rsidR="00E6764B" w:rsidRPr="00BF1A76" w:rsidRDefault="00E6764B" w:rsidP="00E6764B">
      <w:pPr>
        <w:spacing w:line="276" w:lineRule="auto"/>
        <w:rPr>
          <w:rFonts w:ascii="Verdana" w:hAnsi="Verdana"/>
          <w:b/>
          <w:sz w:val="20"/>
          <w:szCs w:val="20"/>
          <w:lang w:val="en-US"/>
        </w:rPr>
      </w:pPr>
    </w:p>
    <w:p w14:paraId="13E27970" w14:textId="77777777" w:rsidR="00E6764B" w:rsidRPr="00BF1A76" w:rsidRDefault="00E6764B" w:rsidP="00E6764B">
      <w:pPr>
        <w:spacing w:line="276" w:lineRule="auto"/>
        <w:rPr>
          <w:rFonts w:ascii="Verdana" w:hAnsi="Verdana"/>
          <w:b/>
          <w:sz w:val="20"/>
          <w:szCs w:val="20"/>
          <w:lang w:val="en-US"/>
        </w:rPr>
      </w:pPr>
    </w:p>
    <w:p w14:paraId="72598371" w14:textId="77777777" w:rsidR="00E6764B" w:rsidRPr="006879CC" w:rsidRDefault="00E6764B" w:rsidP="00E6764B">
      <w:pPr>
        <w:spacing w:line="276" w:lineRule="auto"/>
        <w:jc w:val="center"/>
        <w:rPr>
          <w:rFonts w:ascii="Verdana" w:hAnsi="Verdana"/>
          <w:b/>
          <w:sz w:val="20"/>
          <w:szCs w:val="20"/>
          <w:lang w:val="en-US"/>
        </w:rPr>
      </w:pPr>
      <w:r w:rsidRPr="006879CC">
        <w:rPr>
          <w:rFonts w:ascii="Verdana" w:hAnsi="Verdana"/>
          <w:b/>
          <w:sz w:val="20"/>
          <w:szCs w:val="20"/>
          <w:lang w:val="en-US"/>
        </w:rPr>
        <w:t>PARTIALLY DISSENTING OPINION OF JUDGE EDUARDO VIO GROSSI,</w:t>
      </w:r>
    </w:p>
    <w:p w14:paraId="6F148A5F" w14:textId="77777777" w:rsidR="00E6764B" w:rsidRPr="006879CC" w:rsidRDefault="00E6764B" w:rsidP="00E6764B">
      <w:pPr>
        <w:spacing w:line="276" w:lineRule="auto"/>
        <w:jc w:val="center"/>
        <w:rPr>
          <w:rFonts w:ascii="Verdana" w:hAnsi="Verdana"/>
          <w:b/>
          <w:sz w:val="20"/>
          <w:szCs w:val="20"/>
          <w:lang w:val="en-US"/>
        </w:rPr>
      </w:pPr>
      <w:r w:rsidRPr="006879CC">
        <w:rPr>
          <w:rFonts w:ascii="Verdana" w:hAnsi="Verdana"/>
          <w:b/>
          <w:sz w:val="20"/>
          <w:szCs w:val="20"/>
          <w:lang w:val="en-US"/>
        </w:rPr>
        <w:t xml:space="preserve">INTER-AMERICAN COURT OF HUMAN RIGHTS, </w:t>
      </w:r>
    </w:p>
    <w:p w14:paraId="020D5653" w14:textId="77777777" w:rsidR="00E6764B" w:rsidRPr="006879CC" w:rsidRDefault="00E6764B" w:rsidP="00E6764B">
      <w:pPr>
        <w:spacing w:line="276" w:lineRule="auto"/>
        <w:jc w:val="center"/>
        <w:rPr>
          <w:rFonts w:ascii="Verdana" w:hAnsi="Verdana"/>
          <w:b/>
          <w:sz w:val="20"/>
          <w:szCs w:val="20"/>
          <w:lang w:val="en-US"/>
        </w:rPr>
      </w:pPr>
      <w:r w:rsidRPr="006879CC">
        <w:rPr>
          <w:rFonts w:ascii="Verdana" w:hAnsi="Verdana"/>
          <w:b/>
          <w:sz w:val="20"/>
          <w:szCs w:val="20"/>
          <w:lang w:val="en-US"/>
        </w:rPr>
        <w:t xml:space="preserve">CASE OF MUELLE FLORES </w:t>
      </w:r>
      <w:r w:rsidRPr="006879CC">
        <w:rPr>
          <w:rFonts w:ascii="Verdana" w:hAnsi="Verdana"/>
          <w:b/>
          <w:i/>
          <w:sz w:val="20"/>
          <w:szCs w:val="20"/>
          <w:lang w:val="en-US"/>
        </w:rPr>
        <w:t>V</w:t>
      </w:r>
      <w:r w:rsidRPr="006879CC">
        <w:rPr>
          <w:rFonts w:ascii="Verdana" w:hAnsi="Verdana"/>
          <w:b/>
          <w:sz w:val="20"/>
          <w:szCs w:val="20"/>
          <w:lang w:val="en-US"/>
        </w:rPr>
        <w:t>.</w:t>
      </w:r>
      <w:r w:rsidRPr="006879CC">
        <w:rPr>
          <w:rFonts w:ascii="Verdana" w:hAnsi="Verdana"/>
          <w:b/>
          <w:i/>
          <w:sz w:val="20"/>
          <w:szCs w:val="20"/>
          <w:lang w:val="en-US"/>
        </w:rPr>
        <w:t xml:space="preserve"> </w:t>
      </w:r>
      <w:r w:rsidRPr="006879CC">
        <w:rPr>
          <w:rFonts w:ascii="Verdana" w:hAnsi="Verdana"/>
          <w:b/>
          <w:sz w:val="20"/>
          <w:szCs w:val="20"/>
          <w:lang w:val="en-US"/>
        </w:rPr>
        <w:t>PERU,</w:t>
      </w:r>
    </w:p>
    <w:p w14:paraId="54B572B6" w14:textId="77777777" w:rsidR="00E6764B" w:rsidRPr="006879CC" w:rsidRDefault="00E6764B" w:rsidP="00E6764B">
      <w:pPr>
        <w:spacing w:line="276" w:lineRule="auto"/>
        <w:jc w:val="center"/>
        <w:rPr>
          <w:rFonts w:ascii="Verdana" w:hAnsi="Verdana"/>
          <w:b/>
          <w:sz w:val="20"/>
          <w:szCs w:val="20"/>
          <w:lang w:val="en-US"/>
        </w:rPr>
      </w:pPr>
      <w:r w:rsidRPr="006879CC">
        <w:rPr>
          <w:rFonts w:ascii="Verdana" w:hAnsi="Verdana"/>
          <w:b/>
          <w:sz w:val="20"/>
          <w:szCs w:val="20"/>
          <w:lang w:val="en-US"/>
        </w:rPr>
        <w:t>JUDGMENT OF MARCH 6, 2019,</w:t>
      </w:r>
    </w:p>
    <w:p w14:paraId="4FFE91AD" w14:textId="77777777" w:rsidR="00E6764B" w:rsidRPr="006879CC" w:rsidRDefault="00E6764B" w:rsidP="00E6764B">
      <w:pPr>
        <w:spacing w:line="276" w:lineRule="auto"/>
        <w:jc w:val="center"/>
        <w:rPr>
          <w:rFonts w:ascii="Verdana" w:hAnsi="Verdana"/>
          <w:b/>
          <w:sz w:val="20"/>
          <w:szCs w:val="20"/>
          <w:lang w:val="en-US"/>
        </w:rPr>
      </w:pPr>
      <w:r w:rsidRPr="006879CC">
        <w:rPr>
          <w:rFonts w:ascii="Verdana" w:hAnsi="Verdana"/>
          <w:b/>
          <w:i/>
          <w:sz w:val="20"/>
          <w:szCs w:val="20"/>
          <w:lang w:val="en-US"/>
        </w:rPr>
        <w:t>(Preliminary objections, Merits, Reparations and Costs).</w:t>
      </w:r>
    </w:p>
    <w:p w14:paraId="7427775B" w14:textId="77777777" w:rsidR="00E6764B" w:rsidRPr="006879CC" w:rsidRDefault="00E6764B" w:rsidP="00E6764B">
      <w:pPr>
        <w:spacing w:line="276" w:lineRule="auto"/>
        <w:jc w:val="center"/>
        <w:rPr>
          <w:rFonts w:ascii="Verdana" w:hAnsi="Verdana"/>
          <w:b/>
          <w:sz w:val="20"/>
          <w:szCs w:val="20"/>
          <w:lang w:val="en-US"/>
        </w:rPr>
      </w:pPr>
      <w:r w:rsidRPr="006879CC">
        <w:rPr>
          <w:rFonts w:ascii="Verdana" w:hAnsi="Verdana"/>
          <w:b/>
          <w:sz w:val="20"/>
          <w:szCs w:val="20"/>
          <w:lang w:val="en-US"/>
        </w:rPr>
        <w:t xml:space="preserve"> </w:t>
      </w:r>
    </w:p>
    <w:p w14:paraId="291AD246" w14:textId="77777777" w:rsidR="00E6764B" w:rsidRPr="006879CC" w:rsidRDefault="00E6764B" w:rsidP="00E6764B">
      <w:pPr>
        <w:spacing w:line="276" w:lineRule="auto"/>
        <w:rPr>
          <w:rFonts w:ascii="Verdana" w:hAnsi="Verdana"/>
          <w:sz w:val="20"/>
          <w:szCs w:val="20"/>
          <w:lang w:val="en-US"/>
        </w:rPr>
      </w:pPr>
    </w:p>
    <w:p w14:paraId="050196C8"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 issue this partially dissenting opinion in relation to the Judgment in the above</w:t>
      </w:r>
      <w:r w:rsidRPr="006879CC">
        <w:rPr>
          <w:rFonts w:ascii="Verdana" w:hAnsi="Verdana"/>
          <w:sz w:val="20"/>
          <w:szCs w:val="20"/>
          <w:lang w:val="en-GB"/>
        </w:rPr>
        <w:t>-mentioned case</w:t>
      </w:r>
      <w:r w:rsidRPr="006879CC">
        <w:rPr>
          <w:rFonts w:ascii="Verdana" w:hAnsi="Verdana"/>
          <w:sz w:val="20"/>
          <w:szCs w:val="20"/>
          <w:vertAlign w:val="superscript"/>
          <w:lang w:val="en-US"/>
        </w:rPr>
        <w:footnoteReference w:id="359"/>
      </w:r>
      <w:r w:rsidRPr="006879CC">
        <w:rPr>
          <w:rFonts w:ascii="Verdana" w:hAnsi="Verdana"/>
          <w:sz w:val="20"/>
          <w:szCs w:val="20"/>
          <w:lang w:val="en-US"/>
        </w:rPr>
        <w:t xml:space="preserve"> because I disagree with the decisions set forth in Operative Paragraphs N° 2</w:t>
      </w:r>
      <w:r w:rsidRPr="006879CC">
        <w:rPr>
          <w:rFonts w:ascii="Verdana" w:hAnsi="Verdana"/>
          <w:sz w:val="20"/>
          <w:szCs w:val="20"/>
          <w:vertAlign w:val="superscript"/>
          <w:lang w:val="en-US"/>
        </w:rPr>
        <w:footnoteReference w:id="360"/>
      </w:r>
      <w:r w:rsidRPr="006879CC">
        <w:rPr>
          <w:rFonts w:ascii="Verdana" w:hAnsi="Verdana"/>
          <w:sz w:val="20"/>
          <w:szCs w:val="20"/>
          <w:lang w:val="en-US"/>
        </w:rPr>
        <w:t>, 5</w:t>
      </w:r>
      <w:r w:rsidRPr="006879CC">
        <w:rPr>
          <w:rFonts w:ascii="Verdana" w:hAnsi="Verdana"/>
          <w:sz w:val="20"/>
          <w:szCs w:val="20"/>
          <w:vertAlign w:val="superscript"/>
          <w:lang w:val="en-US"/>
        </w:rPr>
        <w:footnoteReference w:id="361"/>
      </w:r>
      <w:r w:rsidRPr="006879CC">
        <w:rPr>
          <w:rFonts w:ascii="Verdana" w:hAnsi="Verdana"/>
          <w:sz w:val="20"/>
          <w:szCs w:val="20"/>
          <w:lang w:val="en-US"/>
        </w:rPr>
        <w:t xml:space="preserve"> and 6</w:t>
      </w:r>
      <w:r w:rsidRPr="006879CC">
        <w:rPr>
          <w:rFonts w:ascii="Verdana" w:hAnsi="Verdana"/>
          <w:sz w:val="20"/>
          <w:szCs w:val="20"/>
          <w:vertAlign w:val="superscript"/>
          <w:lang w:val="en-US"/>
        </w:rPr>
        <w:footnoteReference w:id="362"/>
      </w:r>
      <w:r w:rsidRPr="006879CC">
        <w:rPr>
          <w:rFonts w:ascii="Verdana" w:hAnsi="Verdana"/>
          <w:sz w:val="20"/>
          <w:szCs w:val="20"/>
          <w:lang w:val="en-US"/>
        </w:rPr>
        <w:t>, which, based on the provisions, among other norms</w:t>
      </w:r>
      <w:r w:rsidRPr="006879CC">
        <w:rPr>
          <w:rFonts w:ascii="Verdana" w:hAnsi="Verdana"/>
          <w:sz w:val="20"/>
          <w:szCs w:val="20"/>
          <w:vertAlign w:val="superscript"/>
          <w:lang w:val="en-US"/>
        </w:rPr>
        <w:footnoteReference w:id="363"/>
      </w:r>
      <w:r w:rsidRPr="006879CC">
        <w:rPr>
          <w:rFonts w:ascii="Verdana" w:hAnsi="Verdana"/>
          <w:sz w:val="20"/>
          <w:szCs w:val="20"/>
          <w:lang w:val="en-US"/>
        </w:rPr>
        <w:t>, of Article 26</w:t>
      </w:r>
      <w:r w:rsidRPr="006879CC">
        <w:rPr>
          <w:rFonts w:ascii="Verdana" w:hAnsi="Verdana"/>
          <w:sz w:val="20"/>
          <w:szCs w:val="20"/>
          <w:vertAlign w:val="superscript"/>
          <w:lang w:val="en-US"/>
        </w:rPr>
        <w:footnoteReference w:id="364"/>
      </w:r>
      <w:r w:rsidRPr="006879CC">
        <w:rPr>
          <w:rFonts w:ascii="Verdana" w:hAnsi="Verdana"/>
          <w:sz w:val="20"/>
          <w:szCs w:val="20"/>
          <w:lang w:val="en-US"/>
        </w:rPr>
        <w:t xml:space="preserve"> of the American Convention on Human Rights</w:t>
      </w:r>
      <w:r w:rsidRPr="006879CC">
        <w:rPr>
          <w:rFonts w:ascii="Verdana" w:hAnsi="Verdana"/>
          <w:sz w:val="20"/>
          <w:szCs w:val="20"/>
          <w:vertAlign w:val="superscript"/>
          <w:lang w:val="en-US"/>
        </w:rPr>
        <w:footnoteReference w:id="365"/>
      </w:r>
      <w:r w:rsidRPr="006879CC">
        <w:rPr>
          <w:rFonts w:ascii="Verdana" w:hAnsi="Verdana"/>
          <w:sz w:val="20"/>
          <w:szCs w:val="20"/>
          <w:lang w:val="en-US"/>
        </w:rPr>
        <w:t>, dismiss the preliminary objection filed by the Republic of Peru</w:t>
      </w:r>
      <w:r w:rsidRPr="006879CC">
        <w:rPr>
          <w:rFonts w:ascii="Verdana" w:hAnsi="Verdana"/>
          <w:sz w:val="20"/>
          <w:szCs w:val="20"/>
          <w:vertAlign w:val="superscript"/>
          <w:lang w:val="en-US"/>
        </w:rPr>
        <w:footnoteReference w:id="366"/>
      </w:r>
      <w:r w:rsidRPr="006879CC">
        <w:rPr>
          <w:rFonts w:ascii="Verdana" w:hAnsi="Verdana"/>
          <w:sz w:val="20"/>
          <w:szCs w:val="20"/>
          <w:lang w:val="en-US"/>
        </w:rPr>
        <w:t xml:space="preserve"> regarding the lack of jurisdiction of the Inter-American Court of Human Rights</w:t>
      </w:r>
      <w:r w:rsidRPr="006879CC">
        <w:rPr>
          <w:rFonts w:ascii="Verdana" w:hAnsi="Verdana"/>
          <w:sz w:val="20"/>
          <w:szCs w:val="20"/>
          <w:vertAlign w:val="superscript"/>
          <w:lang w:val="en-US"/>
        </w:rPr>
        <w:footnoteReference w:id="367"/>
      </w:r>
      <w:r w:rsidRPr="006879CC">
        <w:rPr>
          <w:rFonts w:ascii="Verdana" w:hAnsi="Verdana"/>
          <w:sz w:val="20"/>
          <w:szCs w:val="20"/>
          <w:lang w:val="en-US"/>
        </w:rPr>
        <w:t xml:space="preserve"> and declare that the State is responsible for the violation of the right to social security and the right to property.</w:t>
      </w:r>
    </w:p>
    <w:p w14:paraId="290237D8" w14:textId="77777777" w:rsidR="00E6764B" w:rsidRPr="006879CC" w:rsidRDefault="00E6764B" w:rsidP="00E6764B">
      <w:pPr>
        <w:pStyle w:val="Prrafodelista"/>
        <w:ind w:left="0"/>
        <w:rPr>
          <w:rFonts w:ascii="Verdana" w:hAnsi="Verdana"/>
          <w:sz w:val="20"/>
          <w:szCs w:val="20"/>
          <w:lang w:val="en-US"/>
        </w:rPr>
      </w:pPr>
    </w:p>
    <w:p w14:paraId="5525345B"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Certainly, given the importance of this matter and having regard to the reasons set forth in this opinion, I reiterate and supplement the comments I have made on other occasions.</w:t>
      </w:r>
      <w:r w:rsidRPr="006879CC">
        <w:rPr>
          <w:rFonts w:ascii="Verdana" w:hAnsi="Verdana"/>
          <w:sz w:val="20"/>
          <w:szCs w:val="20"/>
          <w:vertAlign w:val="superscript"/>
          <w:lang w:val="en-US"/>
        </w:rPr>
        <w:footnoteReference w:id="368"/>
      </w:r>
      <w:r w:rsidRPr="006879CC">
        <w:rPr>
          <w:rFonts w:ascii="Verdana" w:hAnsi="Verdana"/>
          <w:sz w:val="20"/>
          <w:szCs w:val="20"/>
          <w:lang w:val="en-US"/>
        </w:rPr>
        <w:t xml:space="preserve"> Thus, after mentioning some prior considerations related to this opinion, I will address the reasons that explain </w:t>
      </w:r>
      <w:r w:rsidRPr="006879CC">
        <w:rPr>
          <w:rFonts w:ascii="Verdana" w:hAnsi="Verdana"/>
          <w:sz w:val="20"/>
          <w:szCs w:val="20"/>
          <w:lang w:val="en-US"/>
        </w:rPr>
        <w:lastRenderedPageBreak/>
        <w:t xml:space="preserve">my position with reference to treaty interpretation methods, the interpretation of Article 26 and, finally, other arguments outlined in the Judgment. </w:t>
      </w:r>
    </w:p>
    <w:p w14:paraId="0F566D90" w14:textId="77777777" w:rsidR="00E6764B" w:rsidRPr="006879CC" w:rsidRDefault="00E6764B" w:rsidP="00E6764B">
      <w:pPr>
        <w:spacing w:line="276" w:lineRule="auto"/>
        <w:rPr>
          <w:rFonts w:ascii="Verdana" w:hAnsi="Verdana"/>
          <w:sz w:val="20"/>
          <w:szCs w:val="20"/>
          <w:lang w:val="en-US"/>
        </w:rPr>
      </w:pPr>
    </w:p>
    <w:p w14:paraId="01B5F360" w14:textId="77777777" w:rsidR="00E6764B" w:rsidRPr="006879CC" w:rsidRDefault="00E6764B" w:rsidP="007720B1">
      <w:pPr>
        <w:pStyle w:val="Prrafodelista"/>
        <w:widowControl/>
        <w:numPr>
          <w:ilvl w:val="0"/>
          <w:numId w:val="20"/>
        </w:numPr>
        <w:adjustRightInd/>
        <w:spacing w:line="276" w:lineRule="auto"/>
        <w:ind w:left="380" w:hanging="380"/>
        <w:textAlignment w:val="auto"/>
        <w:rPr>
          <w:rFonts w:ascii="Verdana" w:hAnsi="Verdana"/>
          <w:b/>
          <w:sz w:val="20"/>
          <w:szCs w:val="20"/>
          <w:lang w:val="en-US"/>
        </w:rPr>
      </w:pPr>
      <w:r w:rsidRPr="006879CC">
        <w:rPr>
          <w:rFonts w:ascii="Verdana" w:hAnsi="Verdana"/>
          <w:b/>
          <w:sz w:val="20"/>
          <w:szCs w:val="20"/>
          <w:lang w:val="en-US"/>
        </w:rPr>
        <w:t>PRIOR CONSIDERATIONS</w:t>
      </w:r>
    </w:p>
    <w:p w14:paraId="3C4656FB" w14:textId="77777777" w:rsidR="00E6764B" w:rsidRPr="006879CC" w:rsidRDefault="00E6764B" w:rsidP="00E6764B">
      <w:pPr>
        <w:spacing w:line="276" w:lineRule="auto"/>
        <w:rPr>
          <w:rFonts w:ascii="Verdana" w:hAnsi="Verdana"/>
          <w:b/>
          <w:sz w:val="20"/>
          <w:szCs w:val="20"/>
          <w:lang w:val="en-US"/>
        </w:rPr>
      </w:pPr>
    </w:p>
    <w:p w14:paraId="7183C25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The prior considerations concerning the matter at hand are related to the role of the separate opinion, the function of the Court and the present dissenting opinion.</w:t>
      </w:r>
    </w:p>
    <w:p w14:paraId="66C438D5" w14:textId="77777777" w:rsidR="00E6764B" w:rsidRPr="006879CC" w:rsidRDefault="00E6764B" w:rsidP="00E6764B">
      <w:pPr>
        <w:spacing w:line="276" w:lineRule="auto"/>
        <w:rPr>
          <w:rFonts w:ascii="Verdana" w:hAnsi="Verdana"/>
          <w:b/>
          <w:sz w:val="20"/>
          <w:szCs w:val="20"/>
          <w:lang w:val="en-US"/>
        </w:rPr>
      </w:pPr>
    </w:p>
    <w:p w14:paraId="10C5357F" w14:textId="77777777" w:rsidR="00E6764B" w:rsidRPr="006879CC" w:rsidRDefault="00E6764B" w:rsidP="007720B1">
      <w:pPr>
        <w:pStyle w:val="Prrafodelista"/>
        <w:widowControl/>
        <w:numPr>
          <w:ilvl w:val="0"/>
          <w:numId w:val="24"/>
        </w:numPr>
        <w:adjustRightInd/>
        <w:spacing w:line="276" w:lineRule="auto"/>
        <w:textAlignment w:val="auto"/>
        <w:rPr>
          <w:rFonts w:ascii="Verdana" w:hAnsi="Verdana"/>
          <w:b/>
          <w:sz w:val="20"/>
          <w:szCs w:val="20"/>
          <w:lang w:val="en-US"/>
        </w:rPr>
      </w:pPr>
      <w:r w:rsidRPr="006879CC">
        <w:rPr>
          <w:rFonts w:ascii="Verdana" w:hAnsi="Verdana"/>
          <w:b/>
          <w:sz w:val="20"/>
          <w:szCs w:val="20"/>
          <w:lang w:val="en-US"/>
        </w:rPr>
        <w:t>Regarding the role of the separate opinion</w:t>
      </w:r>
    </w:p>
    <w:p w14:paraId="78A2151C" w14:textId="77777777" w:rsidR="00E6764B" w:rsidRPr="006879CC" w:rsidRDefault="00E6764B" w:rsidP="00E6764B">
      <w:pPr>
        <w:spacing w:line="276" w:lineRule="auto"/>
        <w:rPr>
          <w:rFonts w:ascii="Verdana" w:hAnsi="Verdana"/>
          <w:b/>
          <w:sz w:val="20"/>
          <w:szCs w:val="20"/>
          <w:lang w:val="en-US"/>
        </w:rPr>
      </w:pPr>
    </w:p>
    <w:p w14:paraId="7D10DA6A"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This partially dissenting opinion</w:t>
      </w:r>
      <w:r w:rsidRPr="006879CC">
        <w:rPr>
          <w:rStyle w:val="Refdenotaalpie"/>
          <w:szCs w:val="20"/>
          <w:lang w:val="en-US"/>
        </w:rPr>
        <w:footnoteReference w:id="369"/>
      </w:r>
      <w:r w:rsidRPr="006879CC">
        <w:rPr>
          <w:rFonts w:ascii="Verdana" w:hAnsi="Verdana"/>
          <w:sz w:val="20"/>
          <w:szCs w:val="20"/>
          <w:lang w:val="en-US"/>
        </w:rPr>
        <w:t xml:space="preserve"> is formulated, as are my previous opinions, with full and absolute respect for the decision issued by the Court in this case, which must therefore be complied with. Thus, this opinion cannot be interpreted, in any way or under any circumstance, as undermining the legitimacy of the decision adopted in the instant case. </w:t>
      </w:r>
    </w:p>
    <w:p w14:paraId="0A980F78" w14:textId="77777777" w:rsidR="00E6764B" w:rsidRPr="006879CC" w:rsidRDefault="00E6764B" w:rsidP="00E6764B">
      <w:pPr>
        <w:spacing w:line="276" w:lineRule="auto"/>
        <w:rPr>
          <w:rFonts w:ascii="Verdana" w:hAnsi="Verdana"/>
          <w:b/>
          <w:sz w:val="20"/>
          <w:szCs w:val="20"/>
          <w:lang w:val="en-US"/>
        </w:rPr>
      </w:pPr>
    </w:p>
    <w:p w14:paraId="069624E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It is also appropriate to clearly state that the view expressed in this opinion does not seek to weaken or restrict, in any way, the effective exercise of human rights; in fact, it seeks precisely the opposite. Indeed, what I state here responds to an inner certainty that effective respect for human rights can only be achieved if the States Parties to the Convention are required to do what they actually agreed to, in a free and sovereign manner. In this regard, legal certainty has a fundamental role and, therefore, cannot be considered as a limitation or restriction to the development of human rights. Rather, it should be considered as the instrument that can best ensure that these rights are fully respected; or, if such rights have been breached, that they are promptly restored by the respective State. It is not merely a question, then, of issuing solid and well-founded judgments aimed at developing human rights; rather, when these have been breached, the aim is to restore their effective exercise as soon as possible by the State concerned.</w:t>
      </w:r>
      <w:r w:rsidRPr="006879CC">
        <w:rPr>
          <w:rFonts w:ascii="Verdana" w:hAnsi="Verdana"/>
          <w:sz w:val="20"/>
          <w:szCs w:val="20"/>
          <w:vertAlign w:val="superscript"/>
          <w:lang w:val="en-US"/>
        </w:rPr>
        <w:footnoteReference w:id="370"/>
      </w:r>
    </w:p>
    <w:p w14:paraId="4913194C" w14:textId="77777777" w:rsidR="00E6764B" w:rsidRPr="006879CC" w:rsidRDefault="00E6764B" w:rsidP="00E6764B">
      <w:pPr>
        <w:pStyle w:val="Prrafodelista"/>
        <w:ind w:left="0"/>
        <w:rPr>
          <w:rFonts w:ascii="Verdana" w:hAnsi="Verdana"/>
          <w:sz w:val="20"/>
          <w:szCs w:val="20"/>
          <w:lang w:val="en-US"/>
        </w:rPr>
      </w:pPr>
    </w:p>
    <w:p w14:paraId="7CBE4ED9"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Furthermore, the issuance of separate opinions not only constitutes the exercise of a right, but is fundamentally the fulfilment of a duty to contribute to a better understanding of the judgment to which it refers. </w:t>
      </w:r>
    </w:p>
    <w:p w14:paraId="2BE3DDA9" w14:textId="77777777" w:rsidR="00E6764B" w:rsidRPr="006879CC" w:rsidRDefault="00E6764B" w:rsidP="00E6764B">
      <w:pPr>
        <w:spacing w:line="276" w:lineRule="auto"/>
        <w:rPr>
          <w:rFonts w:ascii="Verdana" w:hAnsi="Verdana"/>
          <w:sz w:val="20"/>
          <w:szCs w:val="20"/>
          <w:lang w:val="en-US"/>
        </w:rPr>
      </w:pPr>
    </w:p>
    <w:p w14:paraId="5FBB5590"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lastRenderedPageBreak/>
        <w:t>It is for this last reason that the institution of the separate opinion is also contemplated in the rules of other international courts and is a document that must be published together with the respective judgment.</w:t>
      </w:r>
      <w:r w:rsidRPr="006879CC">
        <w:rPr>
          <w:rStyle w:val="Refdenotaalpie"/>
          <w:szCs w:val="20"/>
          <w:lang w:val="en-US"/>
        </w:rPr>
        <w:footnoteReference w:id="371"/>
      </w:r>
    </w:p>
    <w:p w14:paraId="30CE65DB" w14:textId="77777777" w:rsidR="00E6764B" w:rsidRPr="006879CC" w:rsidRDefault="00E6764B" w:rsidP="00E6764B">
      <w:pPr>
        <w:pStyle w:val="Prrafodelista"/>
        <w:rPr>
          <w:rFonts w:ascii="Verdana" w:hAnsi="Verdana"/>
          <w:sz w:val="20"/>
          <w:szCs w:val="20"/>
          <w:lang w:val="en-US"/>
        </w:rPr>
      </w:pPr>
    </w:p>
    <w:p w14:paraId="792655A7"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Accordingly, I must emphasize that this opinion, along with others issued by the judges in this and in other proceedings, is a clear demonstration of the dialogue and diversity of views that exist in this Court, as well as of the deferential consideration accorded to one another by its members. This undoubtedly enriches the delicate and transcendent work that has been entrusted to the Court.</w:t>
      </w:r>
    </w:p>
    <w:p w14:paraId="4EB0D25E" w14:textId="77777777" w:rsidR="00E6764B" w:rsidRPr="006879CC" w:rsidRDefault="00E6764B" w:rsidP="00E6764B">
      <w:pPr>
        <w:pStyle w:val="Prrafodelista"/>
        <w:ind w:left="0"/>
        <w:rPr>
          <w:rFonts w:ascii="Verdana" w:hAnsi="Verdana"/>
          <w:sz w:val="20"/>
          <w:szCs w:val="20"/>
          <w:lang w:val="en-US"/>
        </w:rPr>
      </w:pPr>
    </w:p>
    <w:p w14:paraId="70832CC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 offer this opinion, then, harboring the illusion that in the future its content will be accepted, either by the Court’s own case law, or by a new rule of international law. In the first case, given that the Court’s ruling is binding only for the State Party involved in the case under examination,</w:t>
      </w:r>
      <w:r w:rsidRPr="006879CC">
        <w:rPr>
          <w:rFonts w:ascii="Verdana" w:hAnsi="Verdana"/>
          <w:sz w:val="20"/>
          <w:szCs w:val="20"/>
          <w:vertAlign w:val="superscript"/>
          <w:lang w:val="en-US"/>
        </w:rPr>
        <w:footnoteReference w:id="372"/>
      </w:r>
      <w:r w:rsidRPr="006879CC">
        <w:rPr>
          <w:rFonts w:ascii="Verdana" w:hAnsi="Verdana"/>
          <w:sz w:val="20"/>
          <w:szCs w:val="20"/>
          <w:lang w:val="en-US"/>
        </w:rPr>
        <w:t xml:space="preserve"> the Court, as an auxiliary source of international law, and therefore responsible for “</w:t>
      </w:r>
      <w:r w:rsidRPr="006879CC">
        <w:rPr>
          <w:rFonts w:ascii="Verdana" w:hAnsi="Verdana"/>
          <w:i/>
          <w:sz w:val="20"/>
          <w:szCs w:val="20"/>
          <w:lang w:val="en-US"/>
        </w:rPr>
        <w:t>determining the rules of law</w:t>
      </w:r>
      <w:r w:rsidRPr="006879CC">
        <w:rPr>
          <w:rFonts w:ascii="Verdana" w:hAnsi="Verdana"/>
          <w:sz w:val="20"/>
          <w:szCs w:val="20"/>
          <w:lang w:val="en-US"/>
        </w:rPr>
        <w:t>” established by an autonomous source of international law, that is, by a treaty, a custom, a general principle of law or a unilateral legal act,</w:t>
      </w:r>
      <w:r w:rsidRPr="006879CC">
        <w:rPr>
          <w:rFonts w:ascii="Verdana" w:hAnsi="Verdana"/>
          <w:sz w:val="20"/>
          <w:szCs w:val="20"/>
          <w:vertAlign w:val="superscript"/>
          <w:lang w:val="en-US"/>
        </w:rPr>
        <w:footnoteReference w:id="373"/>
      </w:r>
      <w:r w:rsidRPr="006879CC">
        <w:rPr>
          <w:rFonts w:ascii="Verdana" w:hAnsi="Verdana"/>
          <w:sz w:val="20"/>
          <w:szCs w:val="20"/>
          <w:lang w:val="en-US"/>
        </w:rPr>
        <w:t xml:space="preserve"> may in future adopt variations when ruling on another case. With respect to the second situation, by virtue of the fact that the States have an international regulatory function and, in the case of the Convention, the States Parties, this would occur through amendments to the latter.</w:t>
      </w:r>
      <w:r w:rsidRPr="006879CC">
        <w:rPr>
          <w:rFonts w:ascii="Verdana" w:hAnsi="Verdana"/>
          <w:sz w:val="20"/>
          <w:szCs w:val="20"/>
          <w:vertAlign w:val="superscript"/>
          <w:lang w:val="en-US"/>
        </w:rPr>
        <w:footnoteReference w:id="374"/>
      </w:r>
      <w:r w:rsidRPr="006879CC">
        <w:rPr>
          <w:rFonts w:ascii="Verdana" w:hAnsi="Verdana"/>
          <w:b/>
          <w:sz w:val="20"/>
          <w:szCs w:val="20"/>
          <w:lang w:val="en-US"/>
        </w:rPr>
        <w:t xml:space="preserve"> </w:t>
      </w:r>
    </w:p>
    <w:p w14:paraId="735A8757" w14:textId="77777777" w:rsidR="00E6764B" w:rsidRPr="006879CC" w:rsidRDefault="00E6764B" w:rsidP="00E6764B">
      <w:pPr>
        <w:pStyle w:val="Prrafodelista"/>
        <w:ind w:left="0"/>
        <w:rPr>
          <w:rFonts w:ascii="Verdana" w:hAnsi="Verdana"/>
          <w:b/>
          <w:sz w:val="20"/>
          <w:szCs w:val="20"/>
          <w:lang w:val="en-US"/>
        </w:rPr>
      </w:pPr>
    </w:p>
    <w:p w14:paraId="730710E9" w14:textId="77777777" w:rsidR="00E6764B" w:rsidRPr="006879CC" w:rsidRDefault="00E6764B" w:rsidP="007720B1">
      <w:pPr>
        <w:pStyle w:val="Prrafodelista"/>
        <w:widowControl/>
        <w:numPr>
          <w:ilvl w:val="0"/>
          <w:numId w:val="24"/>
        </w:numPr>
        <w:adjustRightInd/>
        <w:spacing w:line="276" w:lineRule="auto"/>
        <w:textAlignment w:val="auto"/>
        <w:rPr>
          <w:rFonts w:ascii="Verdana" w:hAnsi="Verdana"/>
          <w:b/>
          <w:sz w:val="20"/>
          <w:szCs w:val="20"/>
          <w:lang w:val="en-US"/>
        </w:rPr>
      </w:pPr>
      <w:r w:rsidRPr="006879CC">
        <w:rPr>
          <w:rFonts w:ascii="Verdana" w:hAnsi="Verdana"/>
          <w:b/>
          <w:sz w:val="20"/>
          <w:szCs w:val="20"/>
          <w:lang w:val="en-US"/>
        </w:rPr>
        <w:t>Regarding the function of the Court.</w:t>
      </w:r>
      <w:r w:rsidRPr="006879CC">
        <w:rPr>
          <w:rFonts w:ascii="Verdana" w:hAnsi="Verdana"/>
          <w:sz w:val="20"/>
          <w:szCs w:val="20"/>
          <w:lang w:val="en-US"/>
        </w:rPr>
        <w:t xml:space="preserve"> </w:t>
      </w:r>
    </w:p>
    <w:p w14:paraId="7120A1AB" w14:textId="77777777" w:rsidR="00E6764B" w:rsidRPr="006879CC" w:rsidRDefault="00E6764B" w:rsidP="00E6764B">
      <w:pPr>
        <w:spacing w:line="276" w:lineRule="auto"/>
        <w:rPr>
          <w:rFonts w:ascii="Verdana" w:hAnsi="Verdana"/>
          <w:sz w:val="20"/>
          <w:szCs w:val="20"/>
          <w:lang w:val="en-US"/>
        </w:rPr>
      </w:pPr>
    </w:p>
    <w:p w14:paraId="0BE71409"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The first point to make in this regard is that the Court must fulfill its mission within the institutional legal framework of the Convention.</w:t>
      </w:r>
      <w:r w:rsidRPr="006879CC">
        <w:rPr>
          <w:rFonts w:ascii="Verdana" w:hAnsi="Verdana"/>
          <w:sz w:val="20"/>
          <w:szCs w:val="20"/>
          <w:vertAlign w:val="superscript"/>
          <w:lang w:val="en-US"/>
        </w:rPr>
        <w:footnoteReference w:id="375"/>
      </w:r>
      <w:r w:rsidRPr="006879CC">
        <w:rPr>
          <w:rFonts w:ascii="Verdana" w:hAnsi="Verdana"/>
          <w:sz w:val="20"/>
          <w:szCs w:val="20"/>
          <w:lang w:val="en-US"/>
        </w:rPr>
        <w:t xml:space="preserve"> This is important, since the latter is an instrument of public international law and therefore, within its framework, the Court must exercise its contentious jurisdiction and issue rulings,</w:t>
      </w:r>
      <w:r w:rsidRPr="006879CC">
        <w:rPr>
          <w:rStyle w:val="Refdenotaalpie"/>
          <w:szCs w:val="20"/>
          <w:lang w:val="en-US"/>
        </w:rPr>
        <w:footnoteReference w:id="376"/>
      </w:r>
      <w:r w:rsidRPr="006879CC">
        <w:rPr>
          <w:rFonts w:ascii="Verdana" w:hAnsi="Verdana"/>
          <w:sz w:val="20"/>
          <w:szCs w:val="20"/>
          <w:lang w:val="en-US"/>
        </w:rPr>
        <w:t xml:space="preserve"> or, by reason of its advisory or non-contentious jurisdiction, issue its opinions.</w:t>
      </w:r>
      <w:r w:rsidRPr="006879CC">
        <w:rPr>
          <w:rStyle w:val="Refdenotaalpie"/>
          <w:szCs w:val="20"/>
          <w:lang w:val="en-US"/>
        </w:rPr>
        <w:footnoteReference w:id="377"/>
      </w:r>
      <w:r w:rsidRPr="006879CC">
        <w:rPr>
          <w:rFonts w:ascii="Verdana" w:hAnsi="Verdana"/>
          <w:sz w:val="20"/>
          <w:szCs w:val="20"/>
          <w:lang w:val="en-US"/>
        </w:rPr>
        <w:t xml:space="preserve"> Although it may seem an obvious statement, the Court is, therefore, prohibited from basing its mandate on the domestic laws of the States, which in turn are governed by conventional and customary rules that prohibit them from invoking provisions of their domestic laws to avoid complying with an international obligation</w:t>
      </w:r>
      <w:r w:rsidRPr="006879CC">
        <w:rPr>
          <w:rStyle w:val="Refdenotaalpie"/>
          <w:szCs w:val="20"/>
          <w:lang w:val="en-US"/>
        </w:rPr>
        <w:footnoteReference w:id="378"/>
      </w:r>
      <w:r w:rsidRPr="006879CC">
        <w:rPr>
          <w:rFonts w:ascii="Verdana" w:hAnsi="Verdana"/>
          <w:sz w:val="20"/>
          <w:szCs w:val="20"/>
          <w:lang w:val="en-US"/>
        </w:rPr>
        <w:t xml:space="preserve"> and </w:t>
      </w:r>
      <w:r w:rsidRPr="006879CC">
        <w:rPr>
          <w:rStyle w:val="Refdenotaalpie"/>
          <w:szCs w:val="20"/>
          <w:lang w:val="en-US"/>
        </w:rPr>
        <w:footnoteReference w:id="379"/>
      </w:r>
      <w:r w:rsidRPr="006879CC">
        <w:rPr>
          <w:rFonts w:ascii="Verdana" w:hAnsi="Verdana"/>
          <w:sz w:val="20"/>
          <w:szCs w:val="20"/>
          <w:lang w:val="en-US"/>
        </w:rPr>
        <w:t>. This applies, except in cases where various domestic legal systems converge to express either an international custom, that is, they reflect a common, consistent and concordant practice, followed with the conviction of acting according to law, or a general principle of law that is common to all, is recognized as such and is applicable in situations governed by international law. Under such hypotheses, the Court’s ruling is not, or would not be, issued in line with the domestic laws of the States, but would abide by the custom or general principle of law, based on sources of public international law.</w:t>
      </w:r>
      <w:r w:rsidRPr="006879CC">
        <w:rPr>
          <w:rStyle w:val="Refdenotaalpie"/>
          <w:szCs w:val="20"/>
          <w:lang w:val="en-US"/>
        </w:rPr>
        <w:footnoteReference w:id="380"/>
      </w:r>
      <w:r w:rsidRPr="006879CC">
        <w:rPr>
          <w:rFonts w:ascii="Verdana" w:hAnsi="Verdana"/>
          <w:sz w:val="20"/>
          <w:szCs w:val="20"/>
          <w:lang w:val="en-US"/>
        </w:rPr>
        <w:t xml:space="preserve"> The use of comparative law helps in that regard.</w:t>
      </w:r>
    </w:p>
    <w:p w14:paraId="3AF85AF0" w14:textId="77777777" w:rsidR="00E6764B" w:rsidRPr="006879CC" w:rsidRDefault="00E6764B" w:rsidP="00E6764B">
      <w:pPr>
        <w:pStyle w:val="Prrafodelista"/>
        <w:rPr>
          <w:rFonts w:ascii="Verdana" w:hAnsi="Verdana"/>
          <w:sz w:val="20"/>
          <w:szCs w:val="20"/>
          <w:lang w:val="en-US"/>
        </w:rPr>
      </w:pPr>
    </w:p>
    <w:p w14:paraId="64C56F78"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However, the foregoing certainly does not imply that the Court should not or cannot analyze the provisions of the domestic laws of the State in question, in order to determine whether any act attributable to that State entails international responsibility.</w:t>
      </w:r>
      <w:r w:rsidRPr="006879CC">
        <w:rPr>
          <w:rStyle w:val="Refdenotaalpie"/>
          <w:szCs w:val="20"/>
          <w:lang w:val="en-US"/>
        </w:rPr>
        <w:footnoteReference w:id="381"/>
      </w:r>
      <w:r w:rsidRPr="006879CC">
        <w:rPr>
          <w:rFonts w:ascii="Verdana" w:hAnsi="Verdana"/>
          <w:sz w:val="20"/>
          <w:szCs w:val="20"/>
          <w:lang w:val="en-US"/>
        </w:rPr>
        <w:t xml:space="preserve"> In such eventuality, the respective </w:t>
      </w:r>
      <w:r w:rsidRPr="006879CC">
        <w:rPr>
          <w:rFonts w:ascii="Verdana" w:hAnsi="Verdana"/>
          <w:sz w:val="20"/>
          <w:szCs w:val="20"/>
          <w:lang w:val="en-US"/>
        </w:rPr>
        <w:lastRenderedPageBreak/>
        <w:t>domestic law is not, for the purposes of the Court’s respective ruling, more than a “</w:t>
      </w:r>
      <w:r w:rsidRPr="006879CC">
        <w:rPr>
          <w:rFonts w:ascii="Verdana" w:hAnsi="Verdana"/>
          <w:i/>
          <w:sz w:val="20"/>
          <w:szCs w:val="20"/>
          <w:lang w:val="en-US"/>
        </w:rPr>
        <w:t>fact</w:t>
      </w:r>
      <w:r w:rsidRPr="006879CC">
        <w:rPr>
          <w:rFonts w:ascii="Verdana" w:hAnsi="Verdana"/>
          <w:sz w:val="20"/>
          <w:szCs w:val="20"/>
          <w:lang w:val="en-US"/>
        </w:rPr>
        <w:t>” and more specifically and generally, an “</w:t>
      </w:r>
      <w:r w:rsidRPr="006879CC">
        <w:rPr>
          <w:rFonts w:ascii="Verdana" w:hAnsi="Verdana"/>
          <w:i/>
          <w:sz w:val="20"/>
          <w:szCs w:val="20"/>
          <w:lang w:val="en-US"/>
        </w:rPr>
        <w:t>act.</w:t>
      </w:r>
      <w:r w:rsidRPr="006879CC">
        <w:rPr>
          <w:rFonts w:ascii="Verdana" w:hAnsi="Verdana"/>
          <w:sz w:val="20"/>
          <w:szCs w:val="20"/>
          <w:lang w:val="en-US"/>
        </w:rPr>
        <w:t>” Therefore, in interpreting an international legal norm it is important to distinguish between this situation and the one addressed in the preceding paragraph.</w:t>
      </w:r>
    </w:p>
    <w:p w14:paraId="055236F9" w14:textId="77777777" w:rsidR="00E6764B" w:rsidRPr="006879CC" w:rsidRDefault="00E6764B" w:rsidP="00E6764B">
      <w:pPr>
        <w:pStyle w:val="Prrafodelista"/>
        <w:rPr>
          <w:rFonts w:ascii="Verdana" w:hAnsi="Verdana"/>
          <w:sz w:val="20"/>
          <w:szCs w:val="20"/>
          <w:lang w:val="en-US"/>
        </w:rPr>
      </w:pPr>
    </w:p>
    <w:p w14:paraId="3E13A2E8" w14:textId="77777777" w:rsidR="00E6764B" w:rsidRPr="006879CC" w:rsidRDefault="00E6764B" w:rsidP="007720B1">
      <w:pPr>
        <w:pStyle w:val="Prrafodelista"/>
        <w:widowControl/>
        <w:numPr>
          <w:ilvl w:val="0"/>
          <w:numId w:val="19"/>
        </w:numPr>
        <w:adjustRightInd/>
        <w:spacing w:after="120" w:line="276" w:lineRule="auto"/>
        <w:ind w:left="0" w:firstLine="0"/>
        <w:textAlignment w:val="auto"/>
        <w:rPr>
          <w:rFonts w:ascii="Verdana" w:hAnsi="Verdana"/>
          <w:sz w:val="20"/>
          <w:szCs w:val="20"/>
          <w:lang w:val="en-US"/>
        </w:rPr>
      </w:pPr>
      <w:r w:rsidRPr="006879CC">
        <w:rPr>
          <w:rFonts w:ascii="Verdana" w:hAnsi="Verdana"/>
          <w:sz w:val="20"/>
          <w:szCs w:val="20"/>
          <w:lang w:val="en-US"/>
        </w:rPr>
        <w:t>The above is also related to the fact that the Court’s imperative to rule according to public international law means that it must consider the law as it is established, and not as it wishes it to be. Among other peculiarities of that branch of law that essentially governs inter-state relations and which, as regards the Convention, is reflected in the fact that only the States Parties - those that signed and ratified it -</w:t>
      </w:r>
      <w:r w:rsidRPr="006879CC">
        <w:rPr>
          <w:rStyle w:val="Refdenotaalpie"/>
          <w:szCs w:val="20"/>
          <w:lang w:val="en-US"/>
        </w:rPr>
        <w:footnoteReference w:id="382"/>
      </w:r>
      <w:r w:rsidRPr="006879CC">
        <w:rPr>
          <w:rFonts w:ascii="Verdana" w:hAnsi="Verdana"/>
          <w:sz w:val="20"/>
          <w:szCs w:val="20"/>
          <w:lang w:val="en-US"/>
        </w:rPr>
        <w:t xml:space="preserve"> are obligated to respect and guarantee the rights recognized therein,</w:t>
      </w:r>
      <w:r w:rsidRPr="006879CC">
        <w:rPr>
          <w:rStyle w:val="Refdenotaalpie"/>
          <w:szCs w:val="20"/>
          <w:lang w:val="en-US"/>
        </w:rPr>
        <w:footnoteReference w:id="383"/>
      </w:r>
      <w:r w:rsidRPr="006879CC">
        <w:rPr>
          <w:rFonts w:ascii="Verdana" w:hAnsi="Verdana"/>
          <w:sz w:val="20"/>
          <w:szCs w:val="20"/>
          <w:lang w:val="en-US"/>
        </w:rPr>
        <w:t xml:space="preserve"> it is important to bear in mind that only those who have recognized the contentious jurisdiction of the Court and of the Inter-American Commission for Human Rights</w:t>
      </w:r>
      <w:r w:rsidRPr="006879CC">
        <w:rPr>
          <w:rStyle w:val="Refdenotaalpie"/>
          <w:szCs w:val="20"/>
          <w:lang w:val="en-US"/>
        </w:rPr>
        <w:footnoteReference w:id="384"/>
      </w:r>
      <w:r w:rsidRPr="006879CC">
        <w:rPr>
          <w:rFonts w:ascii="Verdana" w:hAnsi="Verdana"/>
          <w:sz w:val="20"/>
          <w:szCs w:val="20"/>
          <w:lang w:val="en-US"/>
        </w:rPr>
        <w:t xml:space="preserve"> can submit a case to these organs.</w:t>
      </w:r>
      <w:r w:rsidRPr="006879CC">
        <w:rPr>
          <w:rStyle w:val="Refdenotaalpie"/>
          <w:szCs w:val="20"/>
          <w:lang w:val="en-US"/>
        </w:rPr>
        <w:footnoteReference w:id="385"/>
      </w:r>
      <w:r w:rsidRPr="006879CC">
        <w:rPr>
          <w:rFonts w:ascii="Verdana" w:hAnsi="Verdana"/>
          <w:sz w:val="20"/>
          <w:szCs w:val="20"/>
          <w:lang w:val="en-US"/>
        </w:rPr>
        <w:t xml:space="preserve"> It should also be recalled that the Commission represents all the States,</w:t>
      </w:r>
      <w:r w:rsidRPr="006879CC">
        <w:rPr>
          <w:rStyle w:val="Refdenotaalpie"/>
          <w:szCs w:val="20"/>
          <w:lang w:val="en-US"/>
        </w:rPr>
        <w:footnoteReference w:id="386"/>
      </w:r>
      <w:r w:rsidRPr="006879CC">
        <w:rPr>
          <w:rFonts w:ascii="Verdana" w:hAnsi="Verdana"/>
          <w:sz w:val="20"/>
          <w:szCs w:val="20"/>
          <w:lang w:val="en-US"/>
        </w:rPr>
        <w:t xml:space="preserve"> that the States Parties to the Convention that appear before the Court undertake to abide by its decisions</w:t>
      </w:r>
      <w:r w:rsidRPr="006879CC">
        <w:rPr>
          <w:rStyle w:val="Refdenotaalpie"/>
          <w:szCs w:val="20"/>
          <w:lang w:val="en-US"/>
        </w:rPr>
        <w:footnoteReference w:id="387"/>
      </w:r>
      <w:r w:rsidRPr="006879CC">
        <w:rPr>
          <w:rFonts w:ascii="Verdana" w:hAnsi="Verdana"/>
          <w:sz w:val="20"/>
          <w:szCs w:val="20"/>
          <w:lang w:val="en-US"/>
        </w:rPr>
        <w:t xml:space="preserve"> and that, in the event of non-compliance, the Court must notify the General Assembly of the Organization of American States</w:t>
      </w:r>
      <w:r w:rsidRPr="006879CC">
        <w:rPr>
          <w:rStyle w:val="Refdenotaalpie"/>
          <w:szCs w:val="20"/>
          <w:lang w:val="en-US"/>
        </w:rPr>
        <w:footnoteReference w:id="388"/>
      </w:r>
      <w:r w:rsidRPr="006879CC">
        <w:rPr>
          <w:rFonts w:ascii="Verdana" w:hAnsi="Verdana"/>
          <w:sz w:val="20"/>
          <w:szCs w:val="20"/>
          <w:lang w:val="en-US"/>
        </w:rPr>
        <w:t xml:space="preserve"> </w:t>
      </w:r>
      <w:r w:rsidRPr="006879CC">
        <w:rPr>
          <w:rFonts w:ascii="Verdana" w:hAnsi="Verdana"/>
          <w:sz w:val="16"/>
          <w:szCs w:val="16"/>
          <w:lang w:val="en-US"/>
        </w:rPr>
        <w:t>and</w:t>
      </w:r>
      <w:r w:rsidRPr="006879CC">
        <w:rPr>
          <w:rFonts w:ascii="Verdana" w:hAnsi="Verdana"/>
          <w:sz w:val="20"/>
          <w:szCs w:val="20"/>
          <w:lang w:val="en-US"/>
        </w:rPr>
        <w:t xml:space="preserve"> </w:t>
      </w:r>
      <w:r w:rsidRPr="006879CC">
        <w:rPr>
          <w:rStyle w:val="Refdenotaalpie"/>
          <w:szCs w:val="20"/>
          <w:lang w:val="en-US"/>
        </w:rPr>
        <w:footnoteReference w:id="389"/>
      </w:r>
      <w:r w:rsidRPr="006879CC">
        <w:rPr>
          <w:rFonts w:ascii="Verdana" w:hAnsi="Verdana"/>
          <w:sz w:val="20"/>
          <w:szCs w:val="20"/>
          <w:lang w:val="en-US"/>
        </w:rPr>
        <w:t xml:space="preserve">. Certainly, this is not an obstacle for the Convention to provide for the rights </w:t>
      </w:r>
      <w:r w:rsidRPr="006879CC">
        <w:rPr>
          <w:rFonts w:ascii="Verdana" w:hAnsi="Verdana"/>
          <w:sz w:val="20"/>
          <w:szCs w:val="20"/>
          <w:lang w:val="en-US"/>
        </w:rPr>
        <w:lastRenderedPageBreak/>
        <w:t>of individuals, or for them to be its beneficiaries and even have recourse to the Court in defense of their rights.</w:t>
      </w:r>
      <w:r w:rsidRPr="006879CC">
        <w:rPr>
          <w:rStyle w:val="Refdenotaalpie"/>
          <w:szCs w:val="20"/>
          <w:lang w:val="en-US"/>
        </w:rPr>
        <w:footnoteReference w:id="390"/>
      </w:r>
      <w:r w:rsidRPr="006879CC">
        <w:rPr>
          <w:rFonts w:ascii="Verdana" w:hAnsi="Verdana"/>
          <w:sz w:val="20"/>
          <w:szCs w:val="20"/>
          <w:lang w:val="en-US"/>
        </w:rPr>
        <w:t xml:space="preserve"> Nevertheless, the Convention continues to be a treaty.</w:t>
      </w:r>
      <w:r w:rsidRPr="006879CC">
        <w:rPr>
          <w:rStyle w:val="Refdenotaalpie"/>
          <w:szCs w:val="20"/>
          <w:lang w:val="en-US"/>
        </w:rPr>
        <w:footnoteReference w:id="391"/>
      </w:r>
      <w:r w:rsidRPr="006879CC">
        <w:rPr>
          <w:rFonts w:ascii="Verdana" w:hAnsi="Verdana"/>
          <w:sz w:val="20"/>
          <w:szCs w:val="20"/>
          <w:lang w:val="en-US"/>
        </w:rPr>
        <w:t xml:space="preserve"> </w:t>
      </w:r>
    </w:p>
    <w:p w14:paraId="125D7DD1" w14:textId="77777777" w:rsidR="00E6764B" w:rsidRPr="006879CC" w:rsidRDefault="00E6764B" w:rsidP="00E6764B">
      <w:pPr>
        <w:pStyle w:val="Prrafodelista"/>
        <w:spacing w:after="120"/>
        <w:ind w:left="0"/>
        <w:rPr>
          <w:rFonts w:ascii="Verdana" w:hAnsi="Verdana"/>
          <w:sz w:val="20"/>
          <w:szCs w:val="20"/>
          <w:lang w:val="en-US"/>
        </w:rPr>
      </w:pPr>
    </w:p>
    <w:p w14:paraId="27B0851B" w14:textId="77777777" w:rsidR="00E6764B" w:rsidRPr="006879CC" w:rsidRDefault="00E6764B" w:rsidP="007720B1">
      <w:pPr>
        <w:pStyle w:val="Prrafodelista"/>
        <w:widowControl/>
        <w:numPr>
          <w:ilvl w:val="0"/>
          <w:numId w:val="19"/>
        </w:numPr>
        <w:adjustRightInd/>
        <w:spacing w:after="120" w:line="276" w:lineRule="auto"/>
        <w:ind w:left="0" w:firstLine="0"/>
        <w:textAlignment w:val="auto"/>
        <w:rPr>
          <w:rFonts w:ascii="Verdana" w:hAnsi="Verdana"/>
          <w:sz w:val="20"/>
          <w:szCs w:val="20"/>
          <w:lang w:val="en-US"/>
        </w:rPr>
      </w:pPr>
      <w:r w:rsidRPr="006879CC">
        <w:rPr>
          <w:rFonts w:ascii="Verdana" w:hAnsi="Verdana"/>
          <w:sz w:val="20"/>
          <w:szCs w:val="20"/>
          <w:lang w:val="en-US"/>
        </w:rPr>
        <w:t>Similarly, the view outlined in this opinion concerns one of the peculiarities of public international law that still exists - though to a lesser extent than in the past, but probably to a greater extent that one would wish - namely, the sphere of the internal, domestic, or exclusive jurisdiction of the States.</w:t>
      </w:r>
      <w:r w:rsidRPr="006879CC">
        <w:rPr>
          <w:rFonts w:ascii="Verdana" w:hAnsi="Verdana"/>
          <w:sz w:val="20"/>
          <w:szCs w:val="20"/>
          <w:vertAlign w:val="superscript"/>
          <w:lang w:val="en-US"/>
        </w:rPr>
        <w:footnoteReference w:id="392"/>
      </w:r>
      <w:r w:rsidRPr="006879CC">
        <w:rPr>
          <w:rFonts w:ascii="Verdana" w:hAnsi="Verdana"/>
          <w:sz w:val="20"/>
          <w:szCs w:val="20"/>
          <w:lang w:val="en-US"/>
        </w:rPr>
        <w:t xml:space="preserve"> This is also known as a margin of appreciation,</w:t>
      </w:r>
      <w:r w:rsidRPr="006879CC">
        <w:rPr>
          <w:rFonts w:ascii="Verdana" w:hAnsi="Verdana"/>
          <w:sz w:val="20"/>
          <w:szCs w:val="20"/>
          <w:vertAlign w:val="superscript"/>
          <w:lang w:val="en-US"/>
        </w:rPr>
        <w:footnoteReference w:id="393"/>
      </w:r>
      <w:r w:rsidRPr="006879CC">
        <w:rPr>
          <w:rFonts w:ascii="Verdana" w:hAnsi="Verdana"/>
          <w:sz w:val="20"/>
          <w:szCs w:val="20"/>
          <w:lang w:val="en-US"/>
        </w:rPr>
        <w:t xml:space="preserve"> or more simply as sovereignty, which demonstrates or implies that not everything is regulated by public international law. However, this situation does not constitute a defect or an imperfection in the international legal order, but responds to the type of society that it regulates or seeks to regulate. For this reason, in order to understand public international </w:t>
      </w:r>
      <w:proofErr w:type="gramStart"/>
      <w:r w:rsidRPr="006879CC">
        <w:rPr>
          <w:rFonts w:ascii="Verdana" w:hAnsi="Verdana"/>
          <w:sz w:val="20"/>
          <w:szCs w:val="20"/>
          <w:lang w:val="en-US"/>
        </w:rPr>
        <w:t>law</w:t>
      </w:r>
      <w:proofErr w:type="gramEnd"/>
      <w:r w:rsidRPr="006879CC">
        <w:rPr>
          <w:rFonts w:ascii="Verdana" w:hAnsi="Verdana"/>
          <w:sz w:val="20"/>
          <w:szCs w:val="20"/>
          <w:lang w:val="en-US"/>
        </w:rPr>
        <w:t xml:space="preserve"> it is essential to consider, albeit in general terms, the type of society that it seeks to govern. Such a society is characterized by States that basically recognize each other as sovereign and that consequently do not have executive, legislative and judicial branches that are centralized and hierarchical</w:t>
      </w:r>
      <w:r w:rsidRPr="006879CC">
        <w:rPr>
          <w:rFonts w:ascii="Verdana" w:hAnsi="Verdana"/>
          <w:sz w:val="20"/>
          <w:szCs w:val="20"/>
          <w:lang w:val="en-GB"/>
        </w:rPr>
        <w:t>;</w:t>
      </w:r>
      <w:r w:rsidRPr="006879CC">
        <w:rPr>
          <w:rFonts w:ascii="Verdana" w:hAnsi="Verdana"/>
          <w:sz w:val="20"/>
          <w:szCs w:val="20"/>
          <w:lang w:val="en-US"/>
        </w:rPr>
        <w:t xml:space="preserve"> States that cannot be judged without their consent, where there is no monopoly on the use of force, where the power structure is </w:t>
      </w:r>
      <w:r w:rsidRPr="006879CC">
        <w:rPr>
          <w:rFonts w:ascii="Verdana" w:hAnsi="Verdana"/>
          <w:i/>
          <w:sz w:val="20"/>
          <w:szCs w:val="20"/>
          <w:lang w:val="en-US"/>
        </w:rPr>
        <w:t xml:space="preserve">de facto </w:t>
      </w:r>
      <w:r w:rsidRPr="006879CC">
        <w:rPr>
          <w:rFonts w:ascii="Verdana" w:hAnsi="Verdana"/>
          <w:sz w:val="20"/>
          <w:szCs w:val="20"/>
          <w:lang w:val="en-US"/>
        </w:rPr>
        <w:t>and</w:t>
      </w:r>
      <w:r w:rsidRPr="006879CC">
        <w:rPr>
          <w:rFonts w:ascii="Verdana" w:hAnsi="Verdana"/>
          <w:i/>
          <w:sz w:val="20"/>
          <w:szCs w:val="20"/>
          <w:lang w:val="en-US"/>
        </w:rPr>
        <w:t>,</w:t>
      </w:r>
      <w:r w:rsidRPr="006879CC">
        <w:rPr>
          <w:rFonts w:ascii="Verdana" w:hAnsi="Verdana"/>
          <w:sz w:val="20"/>
          <w:szCs w:val="20"/>
          <w:lang w:val="en-US"/>
        </w:rPr>
        <w:t xml:space="preserve"> therefore, changes only according to political factors and there is no hierarchy among the norms, only, at the most, a preference in their application.</w:t>
      </w:r>
    </w:p>
    <w:p w14:paraId="39EF2FE8" w14:textId="77777777" w:rsidR="00E6764B" w:rsidRPr="006879CC" w:rsidRDefault="00E6764B" w:rsidP="00E6764B">
      <w:pPr>
        <w:pStyle w:val="Prrafodelista"/>
        <w:spacing w:before="120" w:after="120"/>
        <w:ind w:left="0"/>
        <w:rPr>
          <w:rFonts w:ascii="Verdana" w:hAnsi="Verdana"/>
          <w:sz w:val="20"/>
          <w:szCs w:val="20"/>
          <w:lang w:val="en-US"/>
        </w:rPr>
      </w:pPr>
    </w:p>
    <w:p w14:paraId="280D9B9E" w14:textId="77777777" w:rsidR="00E6764B" w:rsidRPr="006879CC" w:rsidRDefault="00E6764B" w:rsidP="007720B1">
      <w:pPr>
        <w:pStyle w:val="Prrafodelista"/>
        <w:widowControl/>
        <w:numPr>
          <w:ilvl w:val="0"/>
          <w:numId w:val="19"/>
        </w:numPr>
        <w:adjustRightInd/>
        <w:spacing w:before="120" w:after="120" w:line="276" w:lineRule="auto"/>
        <w:ind w:left="0" w:firstLine="0"/>
        <w:textAlignment w:val="auto"/>
        <w:rPr>
          <w:rFonts w:ascii="Verdana" w:hAnsi="Verdana"/>
          <w:sz w:val="20"/>
          <w:szCs w:val="20"/>
          <w:lang w:val="en-US"/>
        </w:rPr>
      </w:pPr>
      <w:r w:rsidRPr="006879CC">
        <w:rPr>
          <w:rFonts w:ascii="Verdana" w:hAnsi="Verdana"/>
          <w:sz w:val="20"/>
          <w:szCs w:val="20"/>
          <w:lang w:val="en-US"/>
        </w:rPr>
        <w:t>It is in that context, then, that the inter-American System of Human Rights</w:t>
      </w:r>
      <w:r w:rsidRPr="006879CC">
        <w:rPr>
          <w:rStyle w:val="Refdenotaalpie"/>
          <w:szCs w:val="20"/>
          <w:lang w:val="en-US"/>
        </w:rPr>
        <w:footnoteReference w:id="394"/>
      </w:r>
      <w:r w:rsidRPr="006879CC">
        <w:rPr>
          <w:rFonts w:ascii="Verdana" w:hAnsi="Verdana"/>
          <w:sz w:val="20"/>
          <w:szCs w:val="20"/>
          <w:lang w:val="en-US"/>
        </w:rPr>
        <w:t xml:space="preserve"> is inserted and must be understood. Within that system the main function of the Commission is “</w:t>
      </w:r>
      <w:r w:rsidRPr="006879CC">
        <w:rPr>
          <w:rFonts w:ascii="Verdana" w:hAnsi="Verdana"/>
          <w:i/>
          <w:sz w:val="20"/>
          <w:szCs w:val="20"/>
          <w:lang w:val="en-US"/>
        </w:rPr>
        <w:t>to promote respect for and defense of human rights,”</w:t>
      </w:r>
      <w:r w:rsidRPr="006879CC">
        <w:rPr>
          <w:rFonts w:ascii="Verdana" w:hAnsi="Verdana"/>
          <w:i/>
          <w:sz w:val="20"/>
          <w:szCs w:val="20"/>
          <w:vertAlign w:val="superscript"/>
          <w:lang w:val="en-US"/>
        </w:rPr>
        <w:footnoteReference w:id="395"/>
      </w:r>
      <w:r w:rsidRPr="006879CC">
        <w:rPr>
          <w:rFonts w:ascii="Verdana" w:hAnsi="Verdana"/>
          <w:sz w:val="20"/>
          <w:szCs w:val="20"/>
          <w:lang w:val="en-US"/>
        </w:rPr>
        <w:t xml:space="preserve"> while the Court, in relation to its contentious jurisdiction, is </w:t>
      </w:r>
      <w:r w:rsidRPr="006879CC">
        <w:rPr>
          <w:rFonts w:ascii="Verdana" w:hAnsi="Verdana"/>
          <w:sz w:val="20"/>
          <w:szCs w:val="20"/>
          <w:lang w:val="en-US"/>
        </w:rPr>
        <w:lastRenderedPageBreak/>
        <w:t xml:space="preserve">responsible for </w:t>
      </w:r>
      <w:r w:rsidRPr="006879CC">
        <w:rPr>
          <w:rFonts w:ascii="Verdana" w:hAnsi="Verdana"/>
          <w:i/>
          <w:sz w:val="20"/>
          <w:szCs w:val="20"/>
          <w:lang w:val="en-US"/>
        </w:rPr>
        <w:t>“the interpretation and application</w:t>
      </w:r>
      <w:r w:rsidRPr="006879CC">
        <w:rPr>
          <w:rFonts w:ascii="Verdana" w:hAnsi="Verdana"/>
          <w:sz w:val="20"/>
          <w:szCs w:val="20"/>
          <w:lang w:val="en-US"/>
        </w:rPr>
        <w:t>” of the Convention.</w:t>
      </w:r>
      <w:r w:rsidRPr="006879CC">
        <w:rPr>
          <w:rFonts w:ascii="Verdana" w:hAnsi="Verdana"/>
          <w:sz w:val="20"/>
          <w:szCs w:val="20"/>
          <w:vertAlign w:val="superscript"/>
          <w:lang w:val="en-US"/>
        </w:rPr>
        <w:footnoteReference w:id="396"/>
      </w:r>
      <w:r w:rsidRPr="006879CC">
        <w:rPr>
          <w:rFonts w:ascii="Verdana" w:hAnsi="Verdana"/>
          <w:sz w:val="20"/>
          <w:szCs w:val="20"/>
          <w:lang w:val="en-US"/>
        </w:rPr>
        <w:t xml:space="preserve"> In relation to the Court’s non-contentious or advisory jurisdiction, a member State may consult it regarding the “</w:t>
      </w:r>
      <w:r w:rsidRPr="006879CC">
        <w:rPr>
          <w:rFonts w:ascii="Verdana" w:hAnsi="Verdana"/>
          <w:i/>
          <w:sz w:val="20"/>
          <w:szCs w:val="20"/>
          <w:lang w:val="en-US"/>
        </w:rPr>
        <w:t>interpretation</w:t>
      </w:r>
      <w:r w:rsidRPr="006879CC">
        <w:rPr>
          <w:rFonts w:ascii="Verdana" w:hAnsi="Verdana"/>
          <w:sz w:val="20"/>
          <w:szCs w:val="20"/>
          <w:lang w:val="en-US"/>
        </w:rPr>
        <w:t>” of the Convention or of “</w:t>
      </w:r>
      <w:r w:rsidRPr="006879CC">
        <w:rPr>
          <w:rFonts w:ascii="Verdana" w:hAnsi="Verdana"/>
          <w:i/>
          <w:sz w:val="20"/>
          <w:szCs w:val="20"/>
          <w:lang w:val="en-US"/>
        </w:rPr>
        <w:t>other treaties concerning the protection of human rights;</w:t>
      </w:r>
      <w:r w:rsidRPr="006879CC">
        <w:rPr>
          <w:rFonts w:ascii="Verdana" w:hAnsi="Verdana"/>
          <w:sz w:val="20"/>
          <w:szCs w:val="20"/>
          <w:lang w:val="en-US"/>
        </w:rPr>
        <w:t>”</w:t>
      </w:r>
      <w:r w:rsidRPr="006879CC">
        <w:rPr>
          <w:rFonts w:ascii="Verdana" w:hAnsi="Verdana"/>
          <w:i/>
          <w:sz w:val="20"/>
          <w:szCs w:val="20"/>
          <w:lang w:val="en-US"/>
        </w:rPr>
        <w:t xml:space="preserve"> </w:t>
      </w:r>
      <w:r w:rsidRPr="006879CC">
        <w:rPr>
          <w:rFonts w:ascii="Verdana" w:hAnsi="Verdana"/>
          <w:sz w:val="20"/>
          <w:szCs w:val="20"/>
          <w:lang w:val="en-US"/>
        </w:rPr>
        <w:t>or, the Court may provide that State with</w:t>
      </w:r>
      <w:r w:rsidRPr="006879CC">
        <w:rPr>
          <w:rFonts w:ascii="Verdana" w:hAnsi="Verdana"/>
          <w:i/>
          <w:sz w:val="20"/>
          <w:szCs w:val="20"/>
          <w:lang w:val="en-US"/>
        </w:rPr>
        <w:t xml:space="preserve"> “opinions regarding the compatibility of any of its domestic laws with the aforesaid international instruments.”</w:t>
      </w:r>
      <w:r w:rsidRPr="006879CC">
        <w:rPr>
          <w:rStyle w:val="Refdenotaalpie"/>
          <w:i/>
          <w:szCs w:val="20"/>
          <w:lang w:val="en-US"/>
        </w:rPr>
        <w:footnoteReference w:id="397"/>
      </w:r>
      <w:r w:rsidRPr="006879CC">
        <w:rPr>
          <w:rFonts w:ascii="Verdana" w:hAnsi="Verdana"/>
          <w:i/>
          <w:sz w:val="20"/>
          <w:szCs w:val="20"/>
          <w:lang w:val="en-US"/>
        </w:rPr>
        <w:t xml:space="preserve"> </w:t>
      </w:r>
      <w:r w:rsidRPr="006879CC">
        <w:rPr>
          <w:rFonts w:ascii="Verdana" w:hAnsi="Verdana"/>
          <w:sz w:val="20"/>
          <w:szCs w:val="20"/>
          <w:lang w:val="en-US"/>
        </w:rPr>
        <w:t>For its part, the OAS General Assembly is entrusted with the task of adopting the measures deemed necessary to ensure compliance with the rulings.</w:t>
      </w:r>
      <w:r w:rsidRPr="006879CC">
        <w:rPr>
          <w:rStyle w:val="Refdenotaalpie"/>
          <w:szCs w:val="20"/>
          <w:lang w:val="en-US"/>
        </w:rPr>
        <w:footnoteReference w:id="398"/>
      </w:r>
      <w:r w:rsidRPr="006879CC">
        <w:rPr>
          <w:rFonts w:ascii="Verdana" w:hAnsi="Verdana"/>
          <w:sz w:val="20"/>
          <w:szCs w:val="20"/>
          <w:lang w:val="en-US"/>
        </w:rPr>
        <w:t xml:space="preserve"> The efficacy of the Inter-American System of Human Rights depends on ensuring that each of these organs duly fulfills its role. </w:t>
      </w:r>
    </w:p>
    <w:p w14:paraId="2D17C90D" w14:textId="77777777" w:rsidR="00E6764B" w:rsidRPr="006879CC" w:rsidRDefault="00E6764B" w:rsidP="00E6764B">
      <w:pPr>
        <w:pStyle w:val="Prrafodelista"/>
        <w:spacing w:before="120" w:after="120"/>
        <w:ind w:left="0"/>
        <w:rPr>
          <w:rFonts w:ascii="Verdana" w:hAnsi="Verdana"/>
          <w:sz w:val="20"/>
          <w:szCs w:val="20"/>
          <w:lang w:val="en-US"/>
        </w:rPr>
      </w:pPr>
    </w:p>
    <w:p w14:paraId="0488CA99"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Thus, in accordance with that system, the Commission may, among other actions, make recommendations to the States Parties to the Convention, respond to their consultations, advise them and represent all member States in proceedings before the Court. To this end, it must necessarily take sides, take a stance, commit to a faction and be partial to a position, namely, that of promoting and defending human rights. That is its role.</w:t>
      </w:r>
    </w:p>
    <w:p w14:paraId="0ED0FF04" w14:textId="77777777" w:rsidR="00E6764B" w:rsidRPr="006879CC" w:rsidRDefault="00E6764B" w:rsidP="00E6764B">
      <w:pPr>
        <w:spacing w:line="276" w:lineRule="auto"/>
        <w:rPr>
          <w:rFonts w:ascii="Verdana" w:hAnsi="Verdana"/>
          <w:sz w:val="20"/>
          <w:szCs w:val="20"/>
          <w:lang w:val="en-US"/>
        </w:rPr>
      </w:pPr>
    </w:p>
    <w:p w14:paraId="02D3EF1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By contrast, under the aforementioned system, the Court’s task is to impart justice on matters of human rights, and to do so it must be “</w:t>
      </w:r>
      <w:r w:rsidRPr="006879CC">
        <w:rPr>
          <w:rFonts w:ascii="Verdana" w:hAnsi="Verdana"/>
          <w:i/>
          <w:sz w:val="20"/>
          <w:szCs w:val="20"/>
          <w:lang w:val="en-US"/>
        </w:rPr>
        <w:t>the final interpreter of the Convention.</w:t>
      </w:r>
      <w:r w:rsidRPr="006879CC">
        <w:rPr>
          <w:rFonts w:ascii="Verdana" w:hAnsi="Verdana"/>
          <w:sz w:val="20"/>
          <w:szCs w:val="20"/>
          <w:lang w:val="en-US"/>
        </w:rPr>
        <w:t>”</w:t>
      </w:r>
      <w:r w:rsidRPr="006879CC">
        <w:rPr>
          <w:rFonts w:ascii="Verdana" w:hAnsi="Verdana"/>
          <w:sz w:val="20"/>
          <w:szCs w:val="20"/>
          <w:vertAlign w:val="superscript"/>
          <w:lang w:val="en-US"/>
        </w:rPr>
        <w:footnoteReference w:id="399"/>
      </w:r>
      <w:r w:rsidRPr="006879CC">
        <w:rPr>
          <w:rFonts w:ascii="Verdana" w:hAnsi="Verdana"/>
          <w:sz w:val="20"/>
          <w:szCs w:val="20"/>
          <w:lang w:val="en-US"/>
        </w:rPr>
        <w:t xml:space="preserve"> Accordingly, to fulfill that role, it must strictly protect the independence and impartiality that characterizes it,</w:t>
      </w:r>
      <w:r w:rsidRPr="006879CC">
        <w:rPr>
          <w:rFonts w:ascii="Verdana" w:hAnsi="Verdana"/>
          <w:sz w:val="20"/>
          <w:szCs w:val="20"/>
          <w:vertAlign w:val="superscript"/>
          <w:lang w:val="en-US"/>
        </w:rPr>
        <w:footnoteReference w:id="400"/>
      </w:r>
      <w:r w:rsidRPr="006879CC">
        <w:rPr>
          <w:rFonts w:ascii="Verdana" w:hAnsi="Verdana"/>
          <w:sz w:val="20"/>
          <w:szCs w:val="20"/>
          <w:lang w:val="en-US"/>
        </w:rPr>
        <w:t xml:space="preserve"> especially in contentious cases that are submitted to it. Therefore, its judges must not advance or put forward an opinion that could undermine that privileged position or transform it into a promotor and defender of human rights, thereby invading the jurisdiction of the Commission.</w:t>
      </w:r>
    </w:p>
    <w:p w14:paraId="1788B08F" w14:textId="77777777" w:rsidR="00E6764B" w:rsidRPr="006879CC" w:rsidRDefault="00E6764B" w:rsidP="00E6764B">
      <w:pPr>
        <w:pStyle w:val="Prrafodelista"/>
        <w:rPr>
          <w:rFonts w:ascii="Verdana" w:hAnsi="Verdana"/>
          <w:sz w:val="20"/>
          <w:szCs w:val="20"/>
          <w:lang w:val="en-US"/>
        </w:rPr>
      </w:pPr>
    </w:p>
    <w:p w14:paraId="71EA17F1"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Hence, it is appropriate to recall that this document responds to the circumstance that the Court, as a jurisdictional body, enjoys the broadest autonomy,</w:t>
      </w:r>
      <w:r w:rsidRPr="006879CC">
        <w:rPr>
          <w:rStyle w:val="Refdenotaalpie"/>
          <w:szCs w:val="20"/>
          <w:lang w:val="en-US"/>
        </w:rPr>
        <w:footnoteReference w:id="401"/>
      </w:r>
      <w:r w:rsidRPr="006879CC">
        <w:rPr>
          <w:rFonts w:ascii="Verdana" w:hAnsi="Verdana"/>
          <w:sz w:val="20"/>
          <w:szCs w:val="20"/>
          <w:lang w:val="en-US"/>
        </w:rPr>
        <w:t xml:space="preserve"> since there is no higher body that can oversee its conduct. This characteristic requires it</w:t>
      </w:r>
      <w:r w:rsidRPr="006879CC">
        <w:rPr>
          <w:rFonts w:ascii="Verdana" w:hAnsi="Verdana"/>
          <w:sz w:val="20"/>
          <w:szCs w:val="20"/>
          <w:lang w:val="en-GB"/>
        </w:rPr>
        <w:t xml:space="preserve"> to</w:t>
      </w:r>
      <w:r w:rsidRPr="006879CC">
        <w:rPr>
          <w:rFonts w:ascii="Verdana" w:hAnsi="Verdana"/>
          <w:sz w:val="20"/>
          <w:szCs w:val="20"/>
          <w:lang w:val="en-US"/>
        </w:rPr>
        <w:t xml:space="preserve"> be very rigorous in the exercise of its jurisdiction, so that it does not distort its nature and, consequently, weaken the inter-American system for the protection of human rights. For this reason, the views expressed below seek to ensure </w:t>
      </w:r>
      <w:r w:rsidRPr="006879CC">
        <w:rPr>
          <w:rFonts w:ascii="Verdana" w:hAnsi="Verdana"/>
          <w:sz w:val="20"/>
          <w:szCs w:val="20"/>
          <w:lang w:val="en-US"/>
        </w:rPr>
        <w:lastRenderedPageBreak/>
        <w:t xml:space="preserve">the broadest possible recognition of the Court on the part of all those who appear before it, as the most consolidated entity with continental scope that has been developed to safeguard human rights. Therefore, it is vital to continue with its consolidation and improvement, without subjecting it to risks that could negatively affect that effort. </w:t>
      </w:r>
    </w:p>
    <w:p w14:paraId="3CA58006" w14:textId="77777777" w:rsidR="00E6764B" w:rsidRPr="006879CC" w:rsidRDefault="00E6764B" w:rsidP="00E6764B">
      <w:pPr>
        <w:pStyle w:val="Prrafodelista"/>
        <w:rPr>
          <w:rFonts w:ascii="Verdana" w:hAnsi="Verdana"/>
          <w:sz w:val="20"/>
          <w:szCs w:val="20"/>
          <w:lang w:val="en-US"/>
        </w:rPr>
      </w:pPr>
    </w:p>
    <w:p w14:paraId="342D293E" w14:textId="77777777" w:rsidR="00E6764B" w:rsidRPr="006879CC" w:rsidRDefault="00E6764B" w:rsidP="007720B1">
      <w:pPr>
        <w:pStyle w:val="Prrafodelista"/>
        <w:widowControl/>
        <w:numPr>
          <w:ilvl w:val="0"/>
          <w:numId w:val="19"/>
        </w:numPr>
        <w:adjustRightInd/>
        <w:spacing w:after="120"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However, the Court must act with such prudence bearing in mind that the </w:t>
      </w:r>
      <w:proofErr w:type="spellStart"/>
      <w:r w:rsidRPr="006879CC">
        <w:rPr>
          <w:rFonts w:ascii="Verdana" w:hAnsi="Verdana"/>
          <w:bCs/>
          <w:i/>
          <w:spacing w:val="3"/>
          <w:sz w:val="20"/>
          <w:szCs w:val="20"/>
          <w:shd w:val="clear" w:color="auto" w:fill="FFFFFF"/>
        </w:rPr>
        <w:t>raison</w:t>
      </w:r>
      <w:proofErr w:type="spellEnd"/>
      <w:r w:rsidRPr="006879CC">
        <w:rPr>
          <w:rFonts w:ascii="Verdana" w:hAnsi="Verdana"/>
          <w:bCs/>
          <w:i/>
          <w:spacing w:val="3"/>
          <w:sz w:val="20"/>
          <w:szCs w:val="20"/>
          <w:shd w:val="clear" w:color="auto" w:fill="FFFFFF"/>
        </w:rPr>
        <w:t xml:space="preserve"> </w:t>
      </w:r>
      <w:proofErr w:type="spellStart"/>
      <w:r w:rsidRPr="006879CC">
        <w:rPr>
          <w:rFonts w:ascii="Verdana" w:hAnsi="Verdana"/>
          <w:bCs/>
          <w:i/>
          <w:spacing w:val="3"/>
          <w:sz w:val="20"/>
          <w:szCs w:val="20"/>
          <w:shd w:val="clear" w:color="auto" w:fill="FFFFFF"/>
        </w:rPr>
        <w:t>d'être</w:t>
      </w:r>
      <w:proofErr w:type="spellEnd"/>
      <w:r w:rsidRPr="006879CC">
        <w:rPr>
          <w:rFonts w:ascii="Verdana" w:hAnsi="Verdana"/>
          <w:sz w:val="20"/>
          <w:szCs w:val="20"/>
          <w:lang w:val="en-US"/>
        </w:rPr>
        <w:t xml:space="preserve"> of the Convention</w:t>
      </w:r>
      <w:r w:rsidRPr="006879CC">
        <w:rPr>
          <w:rFonts w:ascii="Verdana" w:hAnsi="Verdana"/>
          <w:sz w:val="20"/>
          <w:szCs w:val="20"/>
          <w:vertAlign w:val="superscript"/>
          <w:lang w:val="en-US"/>
        </w:rPr>
        <w:footnoteReference w:id="402"/>
      </w:r>
      <w:r w:rsidRPr="006879CC">
        <w:rPr>
          <w:rFonts w:ascii="Verdana" w:hAnsi="Verdana"/>
          <w:sz w:val="20"/>
          <w:szCs w:val="20"/>
          <w:lang w:val="en-US"/>
        </w:rPr>
        <w:t xml:space="preserve"> is to ensure respect for human rights</w:t>
      </w:r>
      <w:r w:rsidRPr="006879CC">
        <w:rPr>
          <w:rFonts w:ascii="Verdana" w:hAnsi="Verdana"/>
          <w:sz w:val="20"/>
          <w:szCs w:val="20"/>
          <w:vertAlign w:val="superscript"/>
          <w:lang w:val="en-US"/>
        </w:rPr>
        <w:footnoteReference w:id="403"/>
      </w:r>
      <w:r w:rsidRPr="006879CC">
        <w:rPr>
          <w:rFonts w:ascii="Verdana" w:hAnsi="Verdana"/>
          <w:sz w:val="20"/>
          <w:szCs w:val="20"/>
          <w:lang w:val="en-US"/>
        </w:rPr>
        <w:t xml:space="preserve"> and, in particular, that the inter-American jurisdiction reinforces and complements the protection provided by the domestic laws of the American States.</w:t>
      </w:r>
      <w:r w:rsidRPr="006879CC">
        <w:rPr>
          <w:rStyle w:val="Refdenotaalpie"/>
          <w:szCs w:val="20"/>
          <w:lang w:val="en-US"/>
        </w:rPr>
        <w:footnoteReference w:id="404"/>
      </w:r>
      <w:r w:rsidRPr="006879CC">
        <w:rPr>
          <w:rFonts w:ascii="Verdana" w:hAnsi="Verdana"/>
          <w:sz w:val="20"/>
          <w:szCs w:val="20"/>
          <w:lang w:val="en-US"/>
        </w:rPr>
        <w:t xml:space="preserve"> Thus, any decision adopted by the Court in exercise of its contentious jurisdiction must result in the most effective respect for human rights by the States, or in the prompt restoration of their effective exercise where these have been violated;</w:t>
      </w:r>
      <w:r w:rsidRPr="006879CC">
        <w:rPr>
          <w:rFonts w:ascii="Verdana" w:hAnsi="Verdana"/>
          <w:sz w:val="20"/>
          <w:szCs w:val="20"/>
          <w:vertAlign w:val="superscript"/>
          <w:lang w:val="en-US"/>
        </w:rPr>
        <w:footnoteReference w:id="405"/>
      </w:r>
      <w:r w:rsidRPr="006879CC">
        <w:rPr>
          <w:rFonts w:ascii="Verdana" w:hAnsi="Verdana"/>
          <w:sz w:val="20"/>
          <w:szCs w:val="20"/>
          <w:lang w:val="en-US"/>
        </w:rPr>
        <w:t xml:space="preserve"> and, any advisory opinion issued in exercise of its non-contentious or advisory role must effectively contribute, not obligate, those States or organs that request such counsel, to act according to the provisions of the Convention, so that they do not commit any international wrongful acts.</w:t>
      </w:r>
      <w:r w:rsidRPr="006879CC">
        <w:rPr>
          <w:rStyle w:val="Refdenotaalpie"/>
          <w:szCs w:val="20"/>
          <w:lang w:val="en-US"/>
        </w:rPr>
        <w:footnoteReference w:id="406"/>
      </w:r>
      <w:r w:rsidRPr="006879CC">
        <w:rPr>
          <w:rFonts w:ascii="Verdana" w:hAnsi="Verdana"/>
          <w:sz w:val="20"/>
          <w:szCs w:val="20"/>
          <w:lang w:val="en-US"/>
        </w:rPr>
        <w:t xml:space="preserve"> The Court’s task would be similar, then, to what occurs within the domestic sphere, for example with family, labor or environmental courts, which must protect the rights of children, workers or the inhabitants of protected areas, respectively, while acting with absolute impartiality in that regard. The Court must therefore reconcile the special interest that should prevail with the impartiality with which this must be put into practice.</w:t>
      </w:r>
    </w:p>
    <w:p w14:paraId="4393F8CE" w14:textId="77777777" w:rsidR="00E6764B" w:rsidRPr="006879CC" w:rsidRDefault="00E6764B" w:rsidP="00E6764B">
      <w:pPr>
        <w:pStyle w:val="Prrafodelista"/>
        <w:spacing w:after="120"/>
        <w:ind w:left="0"/>
        <w:rPr>
          <w:rFonts w:ascii="Verdana" w:hAnsi="Verdana"/>
          <w:sz w:val="20"/>
          <w:szCs w:val="20"/>
          <w:lang w:val="en-US"/>
        </w:rPr>
      </w:pPr>
    </w:p>
    <w:p w14:paraId="1EBCC30A"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That said, in accomplishing this task, the Court must specify the meaning and scope of its provisions which, because they are sometimes perceived as obscure or vague, present various options in terms of their application. In this order of ideas, it is appropriate to bear in mind that the interpretation of a treaty seeks to clarify any obscure or ambiguous aspects that it may contain, from which we may conclude that, if the provisions contained therein make sense, that will be the end of the matter.</w:t>
      </w:r>
      <w:r w:rsidRPr="006879CC">
        <w:rPr>
          <w:rFonts w:ascii="Verdana" w:hAnsi="Verdana"/>
          <w:sz w:val="20"/>
          <w:szCs w:val="20"/>
          <w:vertAlign w:val="superscript"/>
          <w:lang w:val="en-US"/>
        </w:rPr>
        <w:footnoteReference w:id="407"/>
      </w:r>
      <w:r w:rsidRPr="006879CC">
        <w:rPr>
          <w:rFonts w:ascii="Verdana" w:hAnsi="Verdana"/>
          <w:sz w:val="20"/>
          <w:szCs w:val="20"/>
          <w:lang w:val="en-US"/>
        </w:rPr>
        <w:t xml:space="preserve"> Therefore, the challenge of interpretation lies in ascertaining the will expressed by the </w:t>
      </w:r>
      <w:r w:rsidRPr="006879CC">
        <w:rPr>
          <w:rFonts w:ascii="Verdana" w:hAnsi="Verdana"/>
          <w:sz w:val="20"/>
          <w:szCs w:val="20"/>
          <w:lang w:val="en-US"/>
        </w:rPr>
        <w:lastRenderedPageBreak/>
        <w:t xml:space="preserve">States Parties to the Convention when they signed it and, ultimately, how that conventional expression should be understood when faced with new situations. In this order of ideas, it is important to recall that judgments and advisory opinions must, on the one hand, indicate only what is actually stipulated in the Convention including, of course, the </w:t>
      </w:r>
      <w:r w:rsidRPr="006879CC">
        <w:rPr>
          <w:rFonts w:ascii="Verdana" w:hAnsi="Verdana"/>
          <w:i/>
          <w:sz w:val="20"/>
          <w:szCs w:val="20"/>
          <w:lang w:val="en-US"/>
        </w:rPr>
        <w:t>pro personae</w:t>
      </w:r>
      <w:r w:rsidRPr="006879CC">
        <w:rPr>
          <w:rFonts w:ascii="Verdana" w:hAnsi="Verdana"/>
          <w:sz w:val="20"/>
          <w:szCs w:val="20"/>
          <w:lang w:val="en-US"/>
        </w:rPr>
        <w:t xml:space="preserve"> principle,</w:t>
      </w:r>
      <w:r w:rsidRPr="006879CC">
        <w:rPr>
          <w:rStyle w:val="Refdenotaalpie"/>
          <w:i/>
          <w:szCs w:val="20"/>
          <w:lang w:val="en-US"/>
        </w:rPr>
        <w:footnoteReference w:id="408"/>
      </w:r>
      <w:r w:rsidRPr="006879CC">
        <w:rPr>
          <w:rFonts w:ascii="Verdana" w:hAnsi="Verdana"/>
          <w:sz w:val="20"/>
          <w:szCs w:val="20"/>
          <w:lang w:val="en-US"/>
        </w:rPr>
        <w:t xml:space="preserve"> and not what one might wish to find stipulated, and on the other hand, they must avoid modifying them.</w:t>
      </w:r>
    </w:p>
    <w:p w14:paraId="4A93260E" w14:textId="77777777" w:rsidR="00E6764B" w:rsidRPr="006879CC" w:rsidRDefault="00E6764B" w:rsidP="00E6764B">
      <w:pPr>
        <w:spacing w:line="276" w:lineRule="auto"/>
        <w:rPr>
          <w:rFonts w:ascii="Verdana" w:hAnsi="Verdana"/>
          <w:sz w:val="20"/>
          <w:szCs w:val="20"/>
          <w:lang w:val="en-US"/>
        </w:rPr>
      </w:pPr>
    </w:p>
    <w:p w14:paraId="0A27D59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Thus, for the foregoing reasons the Court’s judgments and advisory opinions must refer, as they claim to do</w:t>
      </w:r>
      <w:r w:rsidRPr="006879CC">
        <w:rPr>
          <w:rFonts w:ascii="Verdana" w:hAnsi="Verdana"/>
          <w:sz w:val="20"/>
          <w:szCs w:val="20"/>
          <w:vertAlign w:val="superscript"/>
          <w:lang w:val="en-US"/>
        </w:rPr>
        <w:footnoteReference w:id="409"/>
      </w:r>
      <w:r w:rsidRPr="006879CC">
        <w:rPr>
          <w:rFonts w:ascii="Verdana" w:hAnsi="Verdana"/>
          <w:sz w:val="20"/>
          <w:szCs w:val="20"/>
          <w:vertAlign w:val="superscript"/>
          <w:lang w:val="en-US"/>
        </w:rPr>
        <w:t xml:space="preserve"> and </w:t>
      </w:r>
      <w:r w:rsidRPr="006879CC">
        <w:rPr>
          <w:rStyle w:val="Refdenotaalpie"/>
          <w:szCs w:val="20"/>
          <w:lang w:val="en-US"/>
        </w:rPr>
        <w:footnoteReference w:id="410"/>
      </w:r>
      <w:r w:rsidRPr="006879CC">
        <w:rPr>
          <w:rFonts w:ascii="Verdana" w:hAnsi="Verdana"/>
          <w:sz w:val="20"/>
          <w:szCs w:val="20"/>
          <w:lang w:val="en-US"/>
        </w:rPr>
        <w:t>, to the provisions concerning the interpretation of treaties established in the Vienna Convention.</w:t>
      </w:r>
      <w:r w:rsidRPr="006879CC">
        <w:rPr>
          <w:rFonts w:ascii="Verdana" w:hAnsi="Verdana"/>
          <w:sz w:val="20"/>
          <w:szCs w:val="20"/>
          <w:vertAlign w:val="superscript"/>
          <w:lang w:val="en-US"/>
        </w:rPr>
        <w:footnoteReference w:id="411"/>
      </w:r>
      <w:r w:rsidRPr="006879CC">
        <w:rPr>
          <w:rFonts w:ascii="Verdana" w:hAnsi="Verdana"/>
          <w:sz w:val="20"/>
          <w:szCs w:val="20"/>
          <w:lang w:val="en-US"/>
        </w:rPr>
        <w:t xml:space="preserve"> </w:t>
      </w:r>
    </w:p>
    <w:p w14:paraId="353A7214" w14:textId="77777777" w:rsidR="00E6764B" w:rsidRPr="006879CC" w:rsidRDefault="00E6764B" w:rsidP="00E6764B">
      <w:pPr>
        <w:spacing w:line="276" w:lineRule="auto"/>
        <w:rPr>
          <w:rFonts w:ascii="Verdana" w:hAnsi="Verdana"/>
          <w:sz w:val="20"/>
          <w:szCs w:val="20"/>
          <w:lang w:val="en-US"/>
        </w:rPr>
      </w:pPr>
    </w:p>
    <w:p w14:paraId="1E3729C8"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Courier New"/>
          <w:sz w:val="20"/>
          <w:szCs w:val="20"/>
          <w:shd w:val="clear" w:color="auto" w:fill="FFFFFF"/>
          <w:lang w:val="en-US"/>
        </w:rPr>
      </w:pPr>
      <w:r w:rsidRPr="006879CC">
        <w:rPr>
          <w:rFonts w:ascii="Verdana" w:hAnsi="Verdana"/>
          <w:sz w:val="20"/>
          <w:szCs w:val="20"/>
          <w:lang w:val="en-US"/>
        </w:rPr>
        <w:t xml:space="preserve">These provisions include </w:t>
      </w:r>
      <w:r w:rsidRPr="006879CC">
        <w:rPr>
          <w:rFonts w:ascii="Verdana" w:hAnsi="Verdana" w:cs="Courier New"/>
          <w:sz w:val="20"/>
          <w:szCs w:val="20"/>
          <w:shd w:val="clear" w:color="auto" w:fill="FFFFFF"/>
          <w:lang w:val="en-US"/>
        </w:rPr>
        <w:t xml:space="preserve">three approaches to interpretation. One is the </w:t>
      </w:r>
      <w:r w:rsidRPr="006879CC">
        <w:rPr>
          <w:rFonts w:ascii="Verdana" w:hAnsi="Verdana"/>
          <w:sz w:val="20"/>
          <w:szCs w:val="20"/>
          <w:lang w:val="en-US"/>
        </w:rPr>
        <w:t>textual or literal method that focuses on analyzing the text of the treaty, the vocabulary used and the ordinary meaning of its terms. Another is the subjective method, which tries to ascertain the will of the parties to the treaty and, to that end, also analyzes the preparatory work and subsequent conduct of the parties. The third approach is the functional or teleological method, which aims to determine the purpose or function of the treaty in order to fulfill its object and purpose.</w:t>
      </w:r>
      <w:r w:rsidRPr="006879CC">
        <w:rPr>
          <w:rFonts w:ascii="Verdana" w:hAnsi="Verdana" w:cs="Courier New"/>
          <w:sz w:val="20"/>
          <w:szCs w:val="20"/>
          <w:shd w:val="clear" w:color="auto" w:fill="FFFFFF"/>
          <w:lang w:val="en-US"/>
        </w:rPr>
        <w:t xml:space="preserve"> </w:t>
      </w:r>
    </w:p>
    <w:p w14:paraId="454AA031" w14:textId="77777777" w:rsidR="00E6764B" w:rsidRPr="006879CC" w:rsidRDefault="00E6764B" w:rsidP="00E6764B">
      <w:pPr>
        <w:pStyle w:val="Prrafodelista"/>
        <w:ind w:left="0"/>
        <w:rPr>
          <w:rFonts w:ascii="Verdana" w:hAnsi="Verdana" w:cs="Courier New"/>
          <w:sz w:val="20"/>
          <w:szCs w:val="20"/>
          <w:shd w:val="clear" w:color="auto" w:fill="FFFFFF"/>
          <w:lang w:val="en-US"/>
        </w:rPr>
      </w:pPr>
    </w:p>
    <w:p w14:paraId="5AF05D07" w14:textId="77777777" w:rsidR="00E6764B" w:rsidRPr="006879CC" w:rsidRDefault="00E6764B" w:rsidP="007720B1">
      <w:pPr>
        <w:pStyle w:val="Prrafodelista"/>
        <w:widowControl/>
        <w:numPr>
          <w:ilvl w:val="0"/>
          <w:numId w:val="19"/>
        </w:numPr>
        <w:adjustRightInd/>
        <w:spacing w:before="120" w:line="276" w:lineRule="auto"/>
        <w:ind w:left="0" w:firstLine="0"/>
        <w:textAlignment w:val="auto"/>
        <w:rPr>
          <w:rFonts w:ascii="Verdana" w:hAnsi="Verdana" w:cs="Courier New"/>
          <w:sz w:val="20"/>
          <w:szCs w:val="20"/>
          <w:shd w:val="clear" w:color="auto" w:fill="FFFFFF"/>
          <w:lang w:val="en-US"/>
        </w:rPr>
      </w:pPr>
      <w:r w:rsidRPr="006879CC">
        <w:rPr>
          <w:rFonts w:ascii="Verdana" w:hAnsi="Verdana" w:cs="Courier New"/>
          <w:sz w:val="20"/>
          <w:szCs w:val="20"/>
          <w:shd w:val="clear" w:color="auto" w:fill="FFFFFF"/>
          <w:lang w:val="en-US"/>
        </w:rPr>
        <w:t>These three methods incorporate four rules, namely, good faith, the terms, their context and the object and purpose pursued, which must be applied simultaneously and harmoniously, without omitting any of these elements, or favoring one over another.</w:t>
      </w:r>
    </w:p>
    <w:p w14:paraId="522DBE97" w14:textId="77777777" w:rsidR="00E6764B" w:rsidRPr="006879CC" w:rsidRDefault="00E6764B" w:rsidP="00E6764B">
      <w:pPr>
        <w:spacing w:line="276" w:lineRule="auto"/>
        <w:rPr>
          <w:rFonts w:ascii="Verdana" w:hAnsi="Verdana" w:cs="Courier New"/>
          <w:sz w:val="20"/>
          <w:szCs w:val="20"/>
          <w:shd w:val="clear" w:color="auto" w:fill="FFFFFF"/>
          <w:lang w:val="en-US"/>
        </w:rPr>
      </w:pPr>
    </w:p>
    <w:p w14:paraId="3FF59A05"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lastRenderedPageBreak/>
        <w:t>In synthesis, the Court’s mission of imparting justice on matters of human rights is accomplished by means of the law and not by promoting human rights, at least not exclusively and directly, although that is ultimately and precisely one of its effects. Consequently, as a jurisdictional body, the Court does not have the power to adjudicate outside of, or disregarding the provisions of law, as stated in the Convention. By acting in accordance with what is envisaged in the Convention, the Court, which is comprised of individuals who can make mistakes, ensures that the margin of error is as small as possible and guarantees the impartiality of its judges, thereby conferring the necessary and appropriate legal certainty upon its decisions.</w:t>
      </w:r>
    </w:p>
    <w:p w14:paraId="4C2292A0" w14:textId="77777777" w:rsidR="00E6764B" w:rsidRPr="006879CC" w:rsidRDefault="00E6764B" w:rsidP="00E6764B">
      <w:pPr>
        <w:pStyle w:val="Prrafodelista"/>
        <w:rPr>
          <w:rFonts w:ascii="Verdana" w:hAnsi="Verdana"/>
          <w:sz w:val="20"/>
          <w:szCs w:val="20"/>
          <w:lang w:val="en-US"/>
        </w:rPr>
      </w:pPr>
    </w:p>
    <w:p w14:paraId="655FD1AD"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The idea underlying the points expressed in these lines is that the law is the means to achieving justice and peace and that because International Human Rights Law forms part of Public International Law, the interpretation and application of the former must be undertaken in conformity with the latter.</w:t>
      </w:r>
      <w:r w:rsidRPr="006879CC">
        <w:rPr>
          <w:rFonts w:ascii="Verdana" w:hAnsi="Verdana"/>
          <w:sz w:val="20"/>
          <w:szCs w:val="20"/>
          <w:vertAlign w:val="superscript"/>
          <w:lang w:val="en-US"/>
        </w:rPr>
        <w:footnoteReference w:id="412"/>
      </w:r>
      <w:r w:rsidRPr="006879CC">
        <w:rPr>
          <w:rFonts w:ascii="Verdana" w:hAnsi="Verdana"/>
          <w:sz w:val="20"/>
          <w:szCs w:val="20"/>
          <w:lang w:val="en-US"/>
        </w:rPr>
        <w:t xml:space="preserve"> </w:t>
      </w:r>
    </w:p>
    <w:p w14:paraId="27FBB39D" w14:textId="77777777" w:rsidR="00E6764B" w:rsidRPr="006879CC" w:rsidRDefault="00E6764B" w:rsidP="00E6764B">
      <w:pPr>
        <w:spacing w:line="276" w:lineRule="auto"/>
        <w:rPr>
          <w:rFonts w:ascii="Verdana" w:hAnsi="Verdana"/>
          <w:sz w:val="20"/>
          <w:szCs w:val="20"/>
          <w:lang w:val="en-US"/>
        </w:rPr>
      </w:pPr>
    </w:p>
    <w:p w14:paraId="7E2658BC" w14:textId="77777777" w:rsidR="00E6764B" w:rsidRPr="006879CC" w:rsidRDefault="00E6764B" w:rsidP="007720B1">
      <w:pPr>
        <w:pStyle w:val="Prrafodelista"/>
        <w:widowControl/>
        <w:numPr>
          <w:ilvl w:val="0"/>
          <w:numId w:val="24"/>
        </w:numPr>
        <w:adjustRightInd/>
        <w:spacing w:line="276" w:lineRule="auto"/>
        <w:textAlignment w:val="auto"/>
        <w:rPr>
          <w:rFonts w:ascii="Verdana" w:hAnsi="Verdana"/>
          <w:b/>
          <w:sz w:val="20"/>
          <w:szCs w:val="20"/>
          <w:lang w:val="en-US"/>
        </w:rPr>
      </w:pPr>
      <w:r w:rsidRPr="006879CC">
        <w:rPr>
          <w:rFonts w:ascii="Verdana" w:hAnsi="Verdana"/>
          <w:b/>
          <w:sz w:val="20"/>
          <w:szCs w:val="20"/>
          <w:lang w:val="en-US"/>
        </w:rPr>
        <w:t xml:space="preserve">Regarding this dissenting opinion </w:t>
      </w:r>
    </w:p>
    <w:p w14:paraId="2027282C" w14:textId="77777777" w:rsidR="00E6764B" w:rsidRPr="006879CC" w:rsidRDefault="00E6764B" w:rsidP="00E6764B">
      <w:pPr>
        <w:tabs>
          <w:tab w:val="left" w:pos="1032"/>
        </w:tabs>
        <w:spacing w:line="276" w:lineRule="auto"/>
        <w:ind w:firstLine="1035"/>
        <w:rPr>
          <w:rFonts w:ascii="Verdana" w:hAnsi="Verdana"/>
          <w:b/>
          <w:sz w:val="20"/>
          <w:szCs w:val="20"/>
          <w:lang w:val="en-US"/>
        </w:rPr>
      </w:pPr>
    </w:p>
    <w:p w14:paraId="193CEDD6"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The case at hand refers, primarily or substantively, to the “</w:t>
      </w:r>
      <w:r w:rsidRPr="006879CC">
        <w:rPr>
          <w:rFonts w:ascii="Verdana" w:hAnsi="Verdana" w:cs="Arial"/>
          <w:i/>
          <w:sz w:val="20"/>
          <w:szCs w:val="20"/>
          <w:lang w:val="en-US"/>
        </w:rPr>
        <w:t>violation of the right to effective judicial protection</w:t>
      </w:r>
      <w:r w:rsidRPr="006879CC">
        <w:rPr>
          <w:rFonts w:ascii="Verdana" w:hAnsi="Verdana" w:cs="Arial"/>
          <w:sz w:val="20"/>
          <w:szCs w:val="20"/>
          <w:lang w:val="en-US"/>
        </w:rPr>
        <w:t>” for non-compliance with a judicial ruling that ordered that the victim be reinstated in a pension system implemented by the State.</w:t>
      </w:r>
      <w:r w:rsidRPr="006879CC">
        <w:rPr>
          <w:rFonts w:ascii="Verdana" w:hAnsi="Verdana"/>
          <w:sz w:val="20"/>
          <w:szCs w:val="20"/>
          <w:vertAlign w:val="superscript"/>
          <w:lang w:val="en-US"/>
        </w:rPr>
        <w:footnoteReference w:id="413"/>
      </w:r>
      <w:r w:rsidRPr="006879CC">
        <w:rPr>
          <w:rFonts w:ascii="Verdana" w:hAnsi="Verdana" w:cs="Arial"/>
          <w:sz w:val="20"/>
          <w:szCs w:val="20"/>
          <w:lang w:val="en-US"/>
        </w:rPr>
        <w:t xml:space="preserve"> Consequently, the dispute concerned the violation of that right.</w:t>
      </w:r>
    </w:p>
    <w:p w14:paraId="517CFA04" w14:textId="77777777" w:rsidR="00E6764B" w:rsidRPr="006879CC" w:rsidRDefault="00E6764B" w:rsidP="00E6764B">
      <w:pPr>
        <w:spacing w:line="276" w:lineRule="auto"/>
        <w:rPr>
          <w:rFonts w:ascii="Verdana" w:hAnsi="Verdana"/>
          <w:sz w:val="20"/>
          <w:szCs w:val="20"/>
          <w:lang w:val="en-US"/>
        </w:rPr>
      </w:pPr>
    </w:p>
    <w:p w14:paraId="42904C09"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However, in its Judgment the Court decided, among other things, that the State violated Article 26 of the Convention given that it did not respect the victim’s right to social security and, consequently, also violated his right to property, thereby adding new elements to the dispute. It should be recalled that upon submitting the case to the Court, the Commission did not allege the violation of Article 26 in relation to the right to social security; however, the petitioners did so.</w:t>
      </w:r>
      <w:r w:rsidRPr="006879CC">
        <w:rPr>
          <w:rFonts w:ascii="Verdana" w:hAnsi="Verdana"/>
          <w:sz w:val="20"/>
          <w:szCs w:val="20"/>
          <w:vertAlign w:val="superscript"/>
          <w:lang w:val="en-US"/>
        </w:rPr>
        <w:footnoteReference w:id="414"/>
      </w:r>
      <w:r w:rsidRPr="006879CC">
        <w:rPr>
          <w:rFonts w:ascii="Verdana" w:hAnsi="Verdana"/>
          <w:sz w:val="20"/>
          <w:szCs w:val="20"/>
          <w:lang w:val="en-US"/>
        </w:rPr>
        <w:t xml:space="preserve"> </w:t>
      </w:r>
    </w:p>
    <w:p w14:paraId="34C1D448" w14:textId="77777777" w:rsidR="00E6764B" w:rsidRPr="006879CC" w:rsidRDefault="00E6764B" w:rsidP="00E6764B">
      <w:pPr>
        <w:spacing w:line="276" w:lineRule="auto"/>
        <w:rPr>
          <w:rFonts w:ascii="Verdana" w:hAnsi="Verdana"/>
          <w:sz w:val="20"/>
          <w:szCs w:val="20"/>
          <w:lang w:val="en-US"/>
        </w:rPr>
      </w:pPr>
    </w:p>
    <w:p w14:paraId="0AF98DE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In that order of ideas, it is of the utmost importance to point out that this opinion does not concern the existence of the right to social security, and less still, that of the right to property, or to the other economic, social and cultural rights. It merely addresses the question of whether such rights could be justiciable before the Court.</w:t>
      </w:r>
    </w:p>
    <w:p w14:paraId="22C66051" w14:textId="77777777" w:rsidR="00E6764B" w:rsidRPr="006879CC" w:rsidRDefault="00E6764B" w:rsidP="00E6764B">
      <w:pPr>
        <w:spacing w:line="276" w:lineRule="auto"/>
        <w:rPr>
          <w:rFonts w:ascii="Verdana" w:hAnsi="Verdana"/>
          <w:sz w:val="20"/>
          <w:szCs w:val="20"/>
          <w:lang w:val="en-US"/>
        </w:rPr>
      </w:pPr>
    </w:p>
    <w:p w14:paraId="2F69C524"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Regarding the right to property, it is sufficient to note that the basis for its justiciability before the Court lies not in the OAS Charter but in the Convention itself;</w:t>
      </w:r>
      <w:r w:rsidRPr="006879CC">
        <w:rPr>
          <w:rFonts w:ascii="Verdana" w:hAnsi="Verdana"/>
          <w:sz w:val="20"/>
          <w:szCs w:val="20"/>
          <w:vertAlign w:val="superscript"/>
          <w:lang w:val="en-US"/>
        </w:rPr>
        <w:footnoteReference w:id="415"/>
      </w:r>
      <w:r w:rsidRPr="006879CC">
        <w:rPr>
          <w:rFonts w:ascii="Verdana" w:hAnsi="Verdana"/>
          <w:sz w:val="20"/>
          <w:szCs w:val="20"/>
          <w:lang w:val="en-US"/>
        </w:rPr>
        <w:t xml:space="preserve"> therefore, it is not necessary to invoke Article 26 to justify that point.</w:t>
      </w:r>
    </w:p>
    <w:p w14:paraId="07BCB506" w14:textId="77777777" w:rsidR="00E6764B" w:rsidRPr="006879CC" w:rsidRDefault="00E6764B" w:rsidP="00E6764B">
      <w:pPr>
        <w:spacing w:line="276" w:lineRule="auto"/>
        <w:rPr>
          <w:rFonts w:ascii="Verdana" w:hAnsi="Verdana"/>
          <w:sz w:val="20"/>
          <w:szCs w:val="20"/>
          <w:lang w:val="en-US"/>
        </w:rPr>
      </w:pPr>
    </w:p>
    <w:p w14:paraId="6D794A78"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As to the right to social security, in this opinion I argue that the Court, contrary to what is indicated in the Judgment, lacks competence to examine its violation; in other words, that right is not subject to being internationally justiciable by the Court. Consequently, this matter is the subject of the present opinion.</w:t>
      </w:r>
    </w:p>
    <w:p w14:paraId="612ACCA3" w14:textId="77777777" w:rsidR="00E6764B" w:rsidRPr="006879CC" w:rsidRDefault="00E6764B" w:rsidP="00E6764B">
      <w:pPr>
        <w:spacing w:line="276" w:lineRule="auto"/>
        <w:rPr>
          <w:rFonts w:ascii="Verdana" w:hAnsi="Verdana"/>
          <w:sz w:val="20"/>
          <w:szCs w:val="20"/>
          <w:lang w:val="en-US"/>
        </w:rPr>
      </w:pPr>
    </w:p>
    <w:p w14:paraId="41F96A8C" w14:textId="77777777" w:rsidR="00E6764B" w:rsidRPr="006879CC" w:rsidRDefault="00E6764B" w:rsidP="007720B1">
      <w:pPr>
        <w:pStyle w:val="Prrafodelista"/>
        <w:widowControl/>
        <w:numPr>
          <w:ilvl w:val="0"/>
          <w:numId w:val="20"/>
        </w:numPr>
        <w:adjustRightInd/>
        <w:spacing w:line="276" w:lineRule="auto"/>
        <w:ind w:left="709"/>
        <w:textAlignment w:val="auto"/>
        <w:rPr>
          <w:rFonts w:ascii="Verdana" w:hAnsi="Verdana"/>
          <w:b/>
          <w:sz w:val="20"/>
          <w:szCs w:val="20"/>
          <w:lang w:val="en-US"/>
        </w:rPr>
      </w:pPr>
      <w:r w:rsidRPr="006879CC">
        <w:rPr>
          <w:rFonts w:ascii="Verdana" w:hAnsi="Verdana"/>
          <w:b/>
          <w:sz w:val="20"/>
          <w:szCs w:val="20"/>
          <w:lang w:val="en-US"/>
        </w:rPr>
        <w:t>INTERPRETATION OF ARTICLE 26</w:t>
      </w:r>
    </w:p>
    <w:p w14:paraId="187954D4" w14:textId="77777777" w:rsidR="00E6764B" w:rsidRPr="006879CC" w:rsidRDefault="00E6764B" w:rsidP="00E6764B">
      <w:pPr>
        <w:spacing w:line="276" w:lineRule="auto"/>
        <w:rPr>
          <w:rFonts w:ascii="Verdana" w:hAnsi="Verdana"/>
          <w:b/>
          <w:sz w:val="20"/>
          <w:szCs w:val="20"/>
          <w:lang w:val="en-US"/>
        </w:rPr>
      </w:pPr>
    </w:p>
    <w:p w14:paraId="01B805F0"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That said, prior to stating the reasons why I disagree with this Judgment, and to ensure that these reasons can be properly understood, it is important to offer an interpretation of the aforementioned Article 26,</w:t>
      </w:r>
      <w:r w:rsidRPr="006879CC">
        <w:rPr>
          <w:rStyle w:val="Refdenotaalpie"/>
          <w:szCs w:val="20"/>
          <w:lang w:val="en-US"/>
        </w:rPr>
        <w:footnoteReference w:id="416"/>
      </w:r>
      <w:r w:rsidRPr="006879CC">
        <w:rPr>
          <w:rFonts w:ascii="Verdana" w:hAnsi="Verdana"/>
          <w:sz w:val="20"/>
          <w:szCs w:val="20"/>
          <w:lang w:val="en-US"/>
        </w:rPr>
        <w:t xml:space="preserve"> according to the treaty interpretation methods established in the Vienna Convention. </w:t>
      </w:r>
    </w:p>
    <w:p w14:paraId="0BC86F27" w14:textId="77777777" w:rsidR="00E6764B" w:rsidRPr="006879CC" w:rsidRDefault="00E6764B" w:rsidP="00E6764B">
      <w:pPr>
        <w:spacing w:line="276" w:lineRule="auto"/>
        <w:rPr>
          <w:rFonts w:ascii="Verdana" w:hAnsi="Verdana"/>
          <w:i/>
          <w:sz w:val="20"/>
          <w:szCs w:val="20"/>
          <w:lang w:val="en-US"/>
        </w:rPr>
      </w:pPr>
    </w:p>
    <w:p w14:paraId="235CF008" w14:textId="77777777" w:rsidR="00E6764B" w:rsidRPr="006879CC" w:rsidRDefault="00E6764B" w:rsidP="007720B1">
      <w:pPr>
        <w:pStyle w:val="Prrafodelista"/>
        <w:widowControl/>
        <w:numPr>
          <w:ilvl w:val="0"/>
          <w:numId w:val="25"/>
        </w:numPr>
        <w:adjustRightInd/>
        <w:spacing w:line="276" w:lineRule="auto"/>
        <w:textAlignment w:val="auto"/>
        <w:rPr>
          <w:rFonts w:ascii="Verdana" w:hAnsi="Verdana"/>
          <w:sz w:val="20"/>
          <w:szCs w:val="20"/>
          <w:lang w:val="en-US"/>
        </w:rPr>
      </w:pPr>
      <w:r w:rsidRPr="006879CC">
        <w:rPr>
          <w:rFonts w:ascii="Verdana" w:hAnsi="Verdana"/>
          <w:b/>
          <w:sz w:val="20"/>
          <w:szCs w:val="20"/>
          <w:lang w:val="en-US"/>
        </w:rPr>
        <w:t>Textual or literal method.</w:t>
      </w:r>
    </w:p>
    <w:p w14:paraId="3F712A9B" w14:textId="77777777" w:rsidR="00E6764B" w:rsidRPr="006879CC" w:rsidRDefault="00E6764B" w:rsidP="00E6764B">
      <w:pPr>
        <w:spacing w:line="276" w:lineRule="auto"/>
        <w:rPr>
          <w:rFonts w:ascii="Verdana" w:hAnsi="Verdana"/>
          <w:sz w:val="20"/>
          <w:szCs w:val="20"/>
          <w:lang w:val="en-US"/>
        </w:rPr>
      </w:pPr>
    </w:p>
    <w:p w14:paraId="737C4061"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In interpreting the article in question, we may conclude that:</w:t>
      </w:r>
    </w:p>
    <w:p w14:paraId="00BEB716" w14:textId="77777777" w:rsidR="00E6764B" w:rsidRPr="006879CC" w:rsidRDefault="00E6764B" w:rsidP="00E6764B">
      <w:pPr>
        <w:spacing w:line="276" w:lineRule="auto"/>
        <w:rPr>
          <w:rFonts w:ascii="Verdana" w:hAnsi="Verdana"/>
          <w:sz w:val="20"/>
          <w:szCs w:val="20"/>
          <w:lang w:val="en-US"/>
        </w:rPr>
      </w:pPr>
    </w:p>
    <w:p w14:paraId="2F82858F" w14:textId="77777777" w:rsidR="00E6764B" w:rsidRPr="006879CC" w:rsidRDefault="00E6764B" w:rsidP="007720B1">
      <w:pPr>
        <w:widowControl/>
        <w:numPr>
          <w:ilvl w:val="0"/>
          <w:numId w:val="21"/>
        </w:numPr>
        <w:adjustRightInd/>
        <w:spacing w:after="120" w:line="276" w:lineRule="auto"/>
        <w:ind w:left="360"/>
        <w:contextualSpacing/>
        <w:textAlignment w:val="auto"/>
        <w:rPr>
          <w:rFonts w:ascii="Verdana" w:hAnsi="Verdana"/>
          <w:i/>
          <w:sz w:val="20"/>
          <w:szCs w:val="20"/>
          <w:lang w:val="en-US"/>
        </w:rPr>
      </w:pPr>
      <w:r w:rsidRPr="006879CC">
        <w:rPr>
          <w:rFonts w:ascii="Verdana" w:hAnsi="Verdana"/>
          <w:sz w:val="20"/>
          <w:szCs w:val="20"/>
          <w:lang w:val="en-US"/>
        </w:rPr>
        <w:t>it contemplates an obligation to act, not to produce a result, on the part of the States Parties to the Convention, and specifically, “</w:t>
      </w:r>
      <w:r w:rsidRPr="006879CC">
        <w:rPr>
          <w:rFonts w:ascii="Verdana" w:hAnsi="Verdana"/>
          <w:i/>
          <w:color w:val="000000"/>
          <w:sz w:val="20"/>
          <w:szCs w:val="20"/>
          <w:lang w:val="en-US"/>
        </w:rPr>
        <w:t>to adopt measures, both internally and through international cooperation, especially those of an economic and technical nature, with a view to achieving progressively, by legislation or other appropriate means</w:t>
      </w:r>
      <w:r w:rsidRPr="006879CC">
        <w:rPr>
          <w:rFonts w:ascii="Verdana" w:hAnsi="Verdana"/>
          <w:i/>
          <w:sz w:val="20"/>
          <w:szCs w:val="20"/>
          <w:lang w:val="en-US"/>
        </w:rPr>
        <w:t xml:space="preserve">, </w:t>
      </w:r>
      <w:r w:rsidRPr="006879CC">
        <w:rPr>
          <w:rFonts w:ascii="Verdana" w:hAnsi="Verdana"/>
          <w:i/>
          <w:color w:val="000000"/>
          <w:sz w:val="20"/>
          <w:szCs w:val="20"/>
          <w:lang w:val="en-US"/>
        </w:rPr>
        <w:t>the full realization of the rights</w:t>
      </w:r>
      <w:r w:rsidRPr="006879CC">
        <w:rPr>
          <w:rFonts w:ascii="Verdana" w:hAnsi="Verdana"/>
          <w:i/>
          <w:sz w:val="20"/>
          <w:szCs w:val="20"/>
          <w:lang w:val="en-US"/>
        </w:rPr>
        <w:t>”</w:t>
      </w:r>
      <w:r w:rsidRPr="006879CC">
        <w:rPr>
          <w:rFonts w:ascii="Verdana" w:hAnsi="Verdana"/>
          <w:sz w:val="20"/>
          <w:szCs w:val="20"/>
          <w:lang w:val="en-US"/>
        </w:rPr>
        <w:t xml:space="preserve"> mentioned therein</w:t>
      </w:r>
      <w:r w:rsidRPr="006879CC">
        <w:rPr>
          <w:rFonts w:ascii="Verdana" w:hAnsi="Verdana"/>
          <w:i/>
          <w:sz w:val="20"/>
          <w:szCs w:val="20"/>
          <w:lang w:val="en-US"/>
        </w:rPr>
        <w:t>;</w:t>
      </w:r>
    </w:p>
    <w:p w14:paraId="3D4A8C21" w14:textId="77777777" w:rsidR="00E6764B" w:rsidRPr="006879CC" w:rsidRDefault="00E6764B" w:rsidP="00E6764B">
      <w:pPr>
        <w:spacing w:line="276" w:lineRule="auto"/>
        <w:contextualSpacing/>
        <w:rPr>
          <w:rFonts w:ascii="Verdana" w:hAnsi="Verdana"/>
          <w:i/>
          <w:sz w:val="20"/>
          <w:szCs w:val="20"/>
          <w:lang w:val="en-US"/>
        </w:rPr>
      </w:pPr>
    </w:p>
    <w:p w14:paraId="6FEE9069" w14:textId="77777777" w:rsidR="00E6764B" w:rsidRPr="006879CC" w:rsidRDefault="00E6764B" w:rsidP="007720B1">
      <w:pPr>
        <w:widowControl/>
        <w:numPr>
          <w:ilvl w:val="0"/>
          <w:numId w:val="21"/>
        </w:numPr>
        <w:adjustRightInd/>
        <w:spacing w:line="276" w:lineRule="auto"/>
        <w:ind w:left="360"/>
        <w:contextualSpacing/>
        <w:textAlignment w:val="auto"/>
        <w:rPr>
          <w:rFonts w:ascii="Verdana" w:hAnsi="Verdana"/>
          <w:sz w:val="20"/>
          <w:szCs w:val="20"/>
          <w:lang w:val="en-US"/>
        </w:rPr>
      </w:pPr>
      <w:r w:rsidRPr="006879CC">
        <w:rPr>
          <w:rFonts w:ascii="Verdana" w:hAnsi="Verdana"/>
          <w:sz w:val="20"/>
          <w:szCs w:val="20"/>
          <w:lang w:val="en-US"/>
        </w:rPr>
        <w:t>indeed, as indicated in the title of the article, namely, “</w:t>
      </w:r>
      <w:r w:rsidRPr="006879CC">
        <w:rPr>
          <w:rFonts w:ascii="Verdana" w:hAnsi="Verdana"/>
          <w:i/>
          <w:sz w:val="20"/>
          <w:szCs w:val="20"/>
          <w:lang w:val="en-US"/>
        </w:rPr>
        <w:t>Progressive Development</w:t>
      </w:r>
      <w:r w:rsidRPr="006879CC">
        <w:rPr>
          <w:rFonts w:ascii="Verdana" w:hAnsi="Verdana"/>
          <w:sz w:val="20"/>
          <w:szCs w:val="20"/>
          <w:lang w:val="en-US"/>
        </w:rPr>
        <w:t xml:space="preserve">”, this obligation involves the gradual development of the rights alluded to, precisely because they have not been fully realized; </w:t>
      </w:r>
    </w:p>
    <w:p w14:paraId="2E26FA24" w14:textId="77777777" w:rsidR="00E6764B" w:rsidRPr="006879CC" w:rsidRDefault="00E6764B" w:rsidP="00E6764B">
      <w:pPr>
        <w:spacing w:line="276" w:lineRule="auto"/>
        <w:contextualSpacing/>
        <w:rPr>
          <w:rFonts w:ascii="Verdana" w:hAnsi="Verdana"/>
          <w:sz w:val="20"/>
          <w:szCs w:val="20"/>
          <w:lang w:val="en-US"/>
        </w:rPr>
      </w:pPr>
    </w:p>
    <w:p w14:paraId="2857036F" w14:textId="77777777" w:rsidR="00E6764B" w:rsidRPr="006879CC" w:rsidRDefault="00E6764B" w:rsidP="007720B1">
      <w:pPr>
        <w:widowControl/>
        <w:numPr>
          <w:ilvl w:val="0"/>
          <w:numId w:val="21"/>
        </w:numPr>
        <w:adjustRightInd/>
        <w:spacing w:after="120" w:line="276" w:lineRule="auto"/>
        <w:ind w:left="360"/>
        <w:contextualSpacing/>
        <w:textAlignment w:val="auto"/>
        <w:rPr>
          <w:rFonts w:ascii="Verdana" w:hAnsi="Verdana"/>
          <w:sz w:val="20"/>
          <w:szCs w:val="20"/>
          <w:lang w:val="en-US"/>
        </w:rPr>
      </w:pPr>
      <w:r w:rsidRPr="006879CC">
        <w:rPr>
          <w:rFonts w:ascii="Verdana" w:hAnsi="Verdana"/>
          <w:sz w:val="20"/>
          <w:szCs w:val="20"/>
          <w:lang w:val="en-US"/>
        </w:rPr>
        <w:t>this provision refers to “</w:t>
      </w:r>
      <w:r w:rsidRPr="006879CC">
        <w:rPr>
          <w:rFonts w:ascii="Verdana" w:hAnsi="Verdana"/>
          <w:i/>
          <w:sz w:val="20"/>
          <w:szCs w:val="20"/>
          <w:lang w:val="en-US"/>
        </w:rPr>
        <w:t>rights derived</w:t>
      </w:r>
      <w:r w:rsidRPr="006879CC">
        <w:rPr>
          <w:rFonts w:ascii="Verdana" w:hAnsi="Verdana"/>
          <w:i/>
          <w:sz w:val="20"/>
          <w:szCs w:val="20"/>
          <w:vertAlign w:val="superscript"/>
          <w:lang w:val="en-US"/>
        </w:rPr>
        <w:footnoteReference w:id="417"/>
      </w:r>
      <w:r w:rsidRPr="006879CC">
        <w:rPr>
          <w:rFonts w:ascii="Verdana" w:hAnsi="Verdana"/>
          <w:i/>
          <w:sz w:val="20"/>
          <w:szCs w:val="20"/>
          <w:lang w:val="en-US"/>
        </w:rPr>
        <w:t xml:space="preserve"> </w:t>
      </w:r>
      <w:r w:rsidRPr="006879CC">
        <w:rPr>
          <w:rFonts w:ascii="Verdana" w:hAnsi="Verdana"/>
          <w:i/>
          <w:color w:val="000000"/>
          <w:sz w:val="20"/>
          <w:szCs w:val="20"/>
          <w:lang w:val="en-US"/>
        </w:rPr>
        <w:t>from the economic, social, educational, scientific, and cultural standards set forth in the Charter of the Organization of American States,</w:t>
      </w:r>
      <w:r w:rsidRPr="006879CC">
        <w:rPr>
          <w:rFonts w:ascii="Verdana" w:hAnsi="Verdana"/>
          <w:sz w:val="20"/>
          <w:szCs w:val="20"/>
          <w:lang w:val="en-US"/>
        </w:rPr>
        <w:t>” that is, rights that are implicit in or may be inferred</w:t>
      </w:r>
      <w:r w:rsidRPr="006879CC">
        <w:rPr>
          <w:rFonts w:ascii="Verdana" w:hAnsi="Verdana"/>
          <w:sz w:val="20"/>
          <w:szCs w:val="20"/>
          <w:vertAlign w:val="superscript"/>
          <w:lang w:val="en-US"/>
        </w:rPr>
        <w:footnoteReference w:id="418"/>
      </w:r>
      <w:r w:rsidRPr="006879CC">
        <w:rPr>
          <w:rFonts w:ascii="Verdana" w:hAnsi="Verdana"/>
          <w:sz w:val="20"/>
          <w:szCs w:val="20"/>
          <w:lang w:val="en-US"/>
        </w:rPr>
        <w:t xml:space="preserve"> from the latter’s provisions. However, these rights are not enshrined or contemplated; instead their definition is left for interpretation;</w:t>
      </w:r>
    </w:p>
    <w:p w14:paraId="2D2B7053" w14:textId="77777777" w:rsidR="00E6764B" w:rsidRPr="006879CC" w:rsidRDefault="00E6764B" w:rsidP="00E6764B">
      <w:pPr>
        <w:spacing w:line="276" w:lineRule="auto"/>
        <w:contextualSpacing/>
        <w:rPr>
          <w:rFonts w:ascii="Verdana" w:hAnsi="Verdana"/>
          <w:sz w:val="20"/>
          <w:szCs w:val="20"/>
          <w:lang w:val="en-US"/>
        </w:rPr>
      </w:pPr>
    </w:p>
    <w:p w14:paraId="7680E010" w14:textId="77777777" w:rsidR="00E6764B" w:rsidRPr="006879CC" w:rsidRDefault="00E6764B" w:rsidP="007720B1">
      <w:pPr>
        <w:widowControl/>
        <w:numPr>
          <w:ilvl w:val="0"/>
          <w:numId w:val="21"/>
        </w:numPr>
        <w:adjustRightInd/>
        <w:spacing w:line="276" w:lineRule="auto"/>
        <w:ind w:left="360"/>
        <w:contextualSpacing/>
        <w:textAlignment w:val="auto"/>
        <w:rPr>
          <w:rFonts w:ascii="Verdana" w:hAnsi="Verdana"/>
          <w:sz w:val="20"/>
          <w:szCs w:val="20"/>
          <w:lang w:val="en-US"/>
        </w:rPr>
      </w:pPr>
      <w:r w:rsidRPr="006879CC">
        <w:rPr>
          <w:rFonts w:ascii="Verdana" w:hAnsi="Verdana"/>
          <w:sz w:val="20"/>
          <w:szCs w:val="20"/>
          <w:lang w:val="en-US"/>
        </w:rPr>
        <w:t>therefore, those rights are not “</w:t>
      </w:r>
      <w:r w:rsidRPr="006879CC">
        <w:rPr>
          <w:rFonts w:ascii="Verdana" w:hAnsi="Verdana"/>
          <w:i/>
          <w:sz w:val="20"/>
          <w:szCs w:val="20"/>
          <w:lang w:val="en-US"/>
        </w:rPr>
        <w:t>recognized</w:t>
      </w:r>
      <w:r w:rsidRPr="006879CC">
        <w:rPr>
          <w:rFonts w:ascii="Verdana" w:hAnsi="Verdana"/>
          <w:sz w:val="20"/>
          <w:szCs w:val="20"/>
          <w:lang w:val="en-US"/>
        </w:rPr>
        <w:t>” by the Convention;</w:t>
      </w:r>
      <w:r w:rsidRPr="006879CC">
        <w:rPr>
          <w:rStyle w:val="Refdenotaalpie"/>
          <w:szCs w:val="20"/>
          <w:lang w:val="en-US"/>
        </w:rPr>
        <w:footnoteReference w:id="419"/>
      </w:r>
    </w:p>
    <w:p w14:paraId="4920C3B1" w14:textId="77777777" w:rsidR="00E6764B" w:rsidRPr="006879CC" w:rsidRDefault="00E6764B" w:rsidP="00E6764B">
      <w:pPr>
        <w:spacing w:line="276" w:lineRule="auto"/>
        <w:contextualSpacing/>
        <w:rPr>
          <w:rFonts w:ascii="Verdana" w:hAnsi="Verdana"/>
          <w:sz w:val="20"/>
          <w:szCs w:val="20"/>
          <w:lang w:val="en-US"/>
        </w:rPr>
      </w:pPr>
    </w:p>
    <w:p w14:paraId="09003D23" w14:textId="77777777" w:rsidR="00E6764B" w:rsidRPr="006879CC" w:rsidRDefault="00E6764B" w:rsidP="007720B1">
      <w:pPr>
        <w:widowControl/>
        <w:numPr>
          <w:ilvl w:val="0"/>
          <w:numId w:val="21"/>
        </w:numPr>
        <w:adjustRightInd/>
        <w:spacing w:line="276" w:lineRule="auto"/>
        <w:ind w:left="360"/>
        <w:contextualSpacing/>
        <w:textAlignment w:val="auto"/>
        <w:rPr>
          <w:rFonts w:ascii="Verdana" w:hAnsi="Verdana"/>
          <w:sz w:val="20"/>
          <w:szCs w:val="20"/>
          <w:lang w:val="en-US"/>
        </w:rPr>
      </w:pPr>
      <w:r w:rsidRPr="006879CC">
        <w:rPr>
          <w:rFonts w:ascii="Verdana" w:hAnsi="Verdana"/>
          <w:sz w:val="20"/>
          <w:szCs w:val="20"/>
          <w:lang w:val="en-US"/>
        </w:rPr>
        <w:lastRenderedPageBreak/>
        <w:t>the article in question makes compliance with the obligation to act conditional, i.e. “</w:t>
      </w:r>
      <w:r w:rsidRPr="006879CC">
        <w:rPr>
          <w:rFonts w:ascii="Verdana" w:hAnsi="Verdana"/>
          <w:i/>
          <w:sz w:val="20"/>
          <w:szCs w:val="20"/>
          <w:lang w:val="en-US"/>
        </w:rPr>
        <w:t>subject to available resources</w:t>
      </w:r>
      <w:r w:rsidRPr="006879CC">
        <w:rPr>
          <w:rFonts w:ascii="Verdana" w:hAnsi="Verdana"/>
          <w:sz w:val="20"/>
          <w:szCs w:val="20"/>
          <w:lang w:val="en-US"/>
        </w:rPr>
        <w:t>” and precisely for this reason indicates the means to accomplish this, namely, “</w:t>
      </w:r>
      <w:r w:rsidRPr="006879CC">
        <w:rPr>
          <w:rFonts w:ascii="Verdana" w:hAnsi="Verdana"/>
          <w:i/>
          <w:color w:val="000000"/>
          <w:sz w:val="20"/>
          <w:szCs w:val="20"/>
          <w:lang w:val="en-US"/>
        </w:rPr>
        <w:t>by legislation or other appropriate means;</w:t>
      </w:r>
      <w:r w:rsidRPr="006879CC">
        <w:rPr>
          <w:rFonts w:ascii="Verdana" w:hAnsi="Verdana"/>
          <w:sz w:val="20"/>
          <w:szCs w:val="20"/>
          <w:lang w:val="en-US"/>
        </w:rPr>
        <w:t>” and</w:t>
      </w:r>
    </w:p>
    <w:p w14:paraId="69362767" w14:textId="77777777" w:rsidR="00E6764B" w:rsidRPr="006879CC" w:rsidRDefault="00E6764B" w:rsidP="00E6764B">
      <w:pPr>
        <w:spacing w:line="276" w:lineRule="auto"/>
        <w:contextualSpacing/>
        <w:rPr>
          <w:rFonts w:ascii="Verdana" w:hAnsi="Verdana"/>
          <w:sz w:val="20"/>
          <w:szCs w:val="20"/>
          <w:lang w:val="en-US"/>
        </w:rPr>
      </w:pPr>
    </w:p>
    <w:p w14:paraId="5D928364" w14:textId="77777777" w:rsidR="00E6764B" w:rsidRPr="006879CC" w:rsidRDefault="00E6764B" w:rsidP="007720B1">
      <w:pPr>
        <w:widowControl/>
        <w:numPr>
          <w:ilvl w:val="0"/>
          <w:numId w:val="21"/>
        </w:numPr>
        <w:adjustRightInd/>
        <w:spacing w:line="276" w:lineRule="auto"/>
        <w:ind w:left="360"/>
        <w:contextualSpacing/>
        <w:textAlignment w:val="auto"/>
        <w:rPr>
          <w:rFonts w:ascii="Verdana" w:hAnsi="Verdana"/>
          <w:sz w:val="20"/>
          <w:szCs w:val="20"/>
          <w:lang w:val="en-US"/>
        </w:rPr>
      </w:pPr>
      <w:r w:rsidRPr="006879CC">
        <w:rPr>
          <w:rFonts w:ascii="Verdana" w:hAnsi="Verdana"/>
          <w:sz w:val="20"/>
          <w:szCs w:val="20"/>
          <w:lang w:val="en-US"/>
        </w:rPr>
        <w:t>under the provisions contemplated in that article, the States Parties to the Convention are required, not to respect human rights or guarantee respect for these,</w:t>
      </w:r>
      <w:r w:rsidRPr="006879CC">
        <w:rPr>
          <w:rStyle w:val="Refdenotaalpie"/>
          <w:szCs w:val="20"/>
          <w:lang w:val="en-US"/>
        </w:rPr>
        <w:footnoteReference w:id="420"/>
      </w:r>
      <w:r w:rsidRPr="006879CC">
        <w:rPr>
          <w:rFonts w:ascii="Verdana" w:hAnsi="Verdana"/>
          <w:sz w:val="20"/>
          <w:szCs w:val="20"/>
          <w:lang w:val="en-US"/>
        </w:rPr>
        <w:t xml:space="preserve"> but rather to adopt “</w:t>
      </w:r>
      <w:r w:rsidRPr="006879CC">
        <w:rPr>
          <w:rFonts w:ascii="Verdana" w:hAnsi="Verdana"/>
          <w:i/>
          <w:sz w:val="20"/>
          <w:szCs w:val="20"/>
          <w:lang w:val="en-US"/>
        </w:rPr>
        <w:t xml:space="preserve">measures, </w:t>
      </w:r>
      <w:r w:rsidRPr="006879CC">
        <w:rPr>
          <w:rFonts w:ascii="Verdana" w:hAnsi="Verdana"/>
          <w:i/>
          <w:color w:val="000000"/>
          <w:sz w:val="20"/>
          <w:szCs w:val="20"/>
          <w:lang w:val="en-US"/>
        </w:rPr>
        <w:t>both internally and through international cooperation,</w:t>
      </w:r>
      <w:r w:rsidRPr="006879CC">
        <w:rPr>
          <w:rFonts w:ascii="Verdana" w:hAnsi="Verdana"/>
          <w:i/>
          <w:sz w:val="20"/>
          <w:szCs w:val="20"/>
          <w:lang w:val="en-US"/>
        </w:rPr>
        <w:t xml:space="preserve"> </w:t>
      </w:r>
      <w:r w:rsidRPr="006879CC">
        <w:rPr>
          <w:rFonts w:ascii="Verdana" w:hAnsi="Verdana"/>
          <w:i/>
          <w:color w:val="000000"/>
          <w:sz w:val="20"/>
          <w:szCs w:val="20"/>
          <w:lang w:val="en-US"/>
        </w:rPr>
        <w:t>especially those of an economic and technical nature, with a view to achieving progressively</w:t>
      </w:r>
      <w:r w:rsidRPr="006879CC">
        <w:rPr>
          <w:rFonts w:ascii="Verdana" w:hAnsi="Verdana"/>
          <w:i/>
          <w:sz w:val="20"/>
          <w:szCs w:val="20"/>
          <w:lang w:val="en-US"/>
        </w:rPr>
        <w:t xml:space="preserve"> […]</w:t>
      </w:r>
      <w:r w:rsidRPr="006879CC">
        <w:rPr>
          <w:rFonts w:ascii="Verdana" w:hAnsi="Verdana"/>
          <w:i/>
          <w:color w:val="000000"/>
          <w:sz w:val="20"/>
          <w:szCs w:val="20"/>
          <w:lang w:val="en-US"/>
        </w:rPr>
        <w:t>the full realization of the rights implicit in the economic, social, educational, scientific, and cultural standards set forth</w:t>
      </w:r>
      <w:r w:rsidRPr="006879CC">
        <w:rPr>
          <w:rFonts w:ascii="Verdana" w:hAnsi="Verdana"/>
          <w:i/>
          <w:sz w:val="20"/>
          <w:szCs w:val="20"/>
          <w:lang w:val="en-US"/>
        </w:rPr>
        <w:t xml:space="preserve"> in the Charter” </w:t>
      </w:r>
      <w:r w:rsidRPr="006879CC">
        <w:rPr>
          <w:rFonts w:ascii="Verdana" w:hAnsi="Verdana"/>
          <w:sz w:val="20"/>
          <w:szCs w:val="20"/>
          <w:lang w:val="en-US"/>
        </w:rPr>
        <w:t>of the OAS.</w:t>
      </w:r>
    </w:p>
    <w:p w14:paraId="58C77F86" w14:textId="77777777" w:rsidR="00E6764B" w:rsidRPr="006879CC" w:rsidRDefault="00E6764B" w:rsidP="00E6764B">
      <w:pPr>
        <w:spacing w:line="276" w:lineRule="auto"/>
        <w:contextualSpacing/>
        <w:rPr>
          <w:rFonts w:ascii="Verdana" w:hAnsi="Verdana"/>
          <w:sz w:val="20"/>
          <w:szCs w:val="20"/>
          <w:lang w:val="en-US"/>
        </w:rPr>
      </w:pPr>
    </w:p>
    <w:p w14:paraId="78741C9B" w14:textId="77777777" w:rsidR="00E6764B" w:rsidRPr="006879CC" w:rsidRDefault="00E6764B" w:rsidP="007720B1">
      <w:pPr>
        <w:pStyle w:val="Prrafodelista"/>
        <w:widowControl/>
        <w:numPr>
          <w:ilvl w:val="0"/>
          <w:numId w:val="19"/>
        </w:numPr>
        <w:adjustRightInd/>
        <w:spacing w:after="120" w:line="276" w:lineRule="auto"/>
        <w:ind w:left="20" w:hanging="20"/>
        <w:textAlignment w:val="auto"/>
        <w:rPr>
          <w:rFonts w:ascii="Verdana" w:hAnsi="Verdana"/>
          <w:sz w:val="20"/>
          <w:szCs w:val="20"/>
          <w:lang w:val="en-US"/>
        </w:rPr>
      </w:pPr>
      <w:r w:rsidRPr="006879CC">
        <w:rPr>
          <w:rFonts w:ascii="Verdana" w:hAnsi="Verdana"/>
          <w:sz w:val="20"/>
          <w:szCs w:val="20"/>
          <w:lang w:val="en-US"/>
        </w:rPr>
        <w:t>Consequently, it is reasonable to affirm that, according to its literal meaning, Article 26 of the Convention, on the one hand, does not offer various possibilities for its application, i.e. doubts as to its meaning and scope and, on the other, does not establish any human right and, even less, one that it can be enforced by the Court. Instead, it refers to obligations to act, not to produce results, assumed by the States Parties to the Convention.</w:t>
      </w:r>
    </w:p>
    <w:p w14:paraId="197A59DA" w14:textId="77777777" w:rsidR="00E6764B" w:rsidRPr="006879CC" w:rsidRDefault="00E6764B" w:rsidP="00E6764B">
      <w:pPr>
        <w:pStyle w:val="Prrafodelista"/>
        <w:spacing w:after="120"/>
        <w:ind w:left="20"/>
        <w:rPr>
          <w:rFonts w:ascii="Verdana" w:hAnsi="Verdana"/>
          <w:sz w:val="20"/>
          <w:szCs w:val="20"/>
          <w:lang w:val="en-US"/>
        </w:rPr>
      </w:pPr>
    </w:p>
    <w:p w14:paraId="05D5B746" w14:textId="77777777" w:rsidR="00E6764B" w:rsidRPr="006879CC" w:rsidRDefault="00E6764B" w:rsidP="007720B1">
      <w:pPr>
        <w:pStyle w:val="Prrafodelista"/>
        <w:widowControl/>
        <w:numPr>
          <w:ilvl w:val="0"/>
          <w:numId w:val="25"/>
        </w:numPr>
        <w:adjustRightInd/>
        <w:spacing w:line="276" w:lineRule="auto"/>
        <w:textAlignment w:val="auto"/>
        <w:rPr>
          <w:rFonts w:ascii="Verdana" w:hAnsi="Verdana"/>
          <w:b/>
          <w:sz w:val="20"/>
          <w:szCs w:val="20"/>
          <w:lang w:val="en-US"/>
        </w:rPr>
      </w:pPr>
      <w:r w:rsidRPr="006879CC">
        <w:rPr>
          <w:rFonts w:ascii="Verdana" w:hAnsi="Verdana"/>
          <w:b/>
          <w:sz w:val="20"/>
          <w:szCs w:val="20"/>
          <w:lang w:val="en-US"/>
        </w:rPr>
        <w:t>Subjective method</w:t>
      </w:r>
    </w:p>
    <w:p w14:paraId="72E498F2" w14:textId="77777777" w:rsidR="00E6764B" w:rsidRPr="006879CC" w:rsidRDefault="00E6764B" w:rsidP="00E6764B">
      <w:pPr>
        <w:spacing w:line="276" w:lineRule="auto"/>
        <w:rPr>
          <w:rFonts w:ascii="Verdana" w:hAnsi="Verdana"/>
          <w:b/>
          <w:sz w:val="20"/>
          <w:szCs w:val="20"/>
          <w:lang w:val="en-US"/>
        </w:rPr>
      </w:pPr>
    </w:p>
    <w:p w14:paraId="46CC75AC"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In attempting to elucidate the will of the States Parties to the Convention regarding the provision under discussion, it is necessary to refer to the context of the terms, as envisaged in the Vienna Convention. To do so, we must refer to the system enshrined in the Convention, in which Article 26 is inserted: </w:t>
      </w:r>
    </w:p>
    <w:p w14:paraId="2CCB27C5" w14:textId="77777777" w:rsidR="00E6764B" w:rsidRPr="006879CC" w:rsidRDefault="00E6764B" w:rsidP="00E6764B">
      <w:pPr>
        <w:pStyle w:val="Prrafodelista"/>
        <w:ind w:left="0"/>
        <w:rPr>
          <w:rFonts w:ascii="Verdana" w:hAnsi="Verdana"/>
          <w:sz w:val="20"/>
          <w:szCs w:val="20"/>
          <w:lang w:val="en-US"/>
        </w:rPr>
      </w:pPr>
    </w:p>
    <w:p w14:paraId="08C173B5" w14:textId="77777777" w:rsidR="00E6764B" w:rsidRPr="006879CC"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6879CC">
        <w:rPr>
          <w:rFonts w:ascii="Verdana" w:hAnsi="Verdana"/>
          <w:sz w:val="20"/>
          <w:szCs w:val="20"/>
          <w:lang w:val="en-US"/>
        </w:rPr>
        <w:t>that system is comprised of the obligations and rights provided for,</w:t>
      </w:r>
      <w:r w:rsidRPr="006879CC">
        <w:rPr>
          <w:rFonts w:ascii="Verdana" w:hAnsi="Verdana"/>
          <w:sz w:val="20"/>
          <w:szCs w:val="20"/>
          <w:vertAlign w:val="superscript"/>
          <w:lang w:val="en-US"/>
        </w:rPr>
        <w:footnoteReference w:id="421"/>
      </w:r>
      <w:r w:rsidRPr="006879CC">
        <w:rPr>
          <w:rFonts w:ascii="Verdana" w:hAnsi="Verdana"/>
          <w:sz w:val="20"/>
          <w:szCs w:val="20"/>
          <w:lang w:val="en-US"/>
        </w:rPr>
        <w:t xml:space="preserve"> the organs responsible for ensuring respect for and compliance with these, respectively</w:t>
      </w:r>
      <w:r w:rsidRPr="006879CC">
        <w:rPr>
          <w:rFonts w:ascii="Verdana" w:hAnsi="Verdana"/>
          <w:sz w:val="20"/>
          <w:szCs w:val="20"/>
          <w:vertAlign w:val="superscript"/>
          <w:lang w:val="en-US"/>
        </w:rPr>
        <w:footnoteReference w:id="422"/>
      </w:r>
      <w:r w:rsidRPr="006879CC">
        <w:rPr>
          <w:rFonts w:ascii="Verdana" w:hAnsi="Verdana"/>
          <w:sz w:val="20"/>
          <w:szCs w:val="20"/>
          <w:lang w:val="en-US"/>
        </w:rPr>
        <w:t xml:space="preserve"> and provisions concerning the Convention;</w:t>
      </w:r>
      <w:r w:rsidRPr="006879CC">
        <w:rPr>
          <w:rFonts w:ascii="Verdana" w:hAnsi="Verdana"/>
          <w:sz w:val="20"/>
          <w:szCs w:val="20"/>
          <w:vertAlign w:val="superscript"/>
          <w:lang w:val="en-US"/>
        </w:rPr>
        <w:footnoteReference w:id="423"/>
      </w:r>
    </w:p>
    <w:p w14:paraId="008090A5" w14:textId="77777777" w:rsidR="00E6764B" w:rsidRPr="006879CC" w:rsidRDefault="00E6764B" w:rsidP="00E6764B">
      <w:pPr>
        <w:pStyle w:val="Prrafodelista"/>
        <w:spacing w:after="120"/>
        <w:ind w:left="360"/>
        <w:rPr>
          <w:rFonts w:ascii="Verdana" w:hAnsi="Verdana"/>
          <w:sz w:val="20"/>
          <w:szCs w:val="20"/>
          <w:lang w:val="en-US"/>
        </w:rPr>
      </w:pPr>
    </w:p>
    <w:p w14:paraId="5F39ABA8" w14:textId="77777777" w:rsidR="00E6764B" w:rsidRPr="006879CC"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6879CC">
        <w:rPr>
          <w:rFonts w:ascii="Verdana" w:hAnsi="Verdana"/>
          <w:sz w:val="20"/>
          <w:szCs w:val="20"/>
          <w:lang w:val="en-US"/>
        </w:rPr>
        <w:lastRenderedPageBreak/>
        <w:t>in relation to the obligations, there are two, namely, the “</w:t>
      </w:r>
      <w:r w:rsidRPr="006879CC">
        <w:rPr>
          <w:rFonts w:ascii="Verdana" w:hAnsi="Verdana"/>
          <w:i/>
          <w:sz w:val="20"/>
          <w:szCs w:val="20"/>
          <w:lang w:val="en-US"/>
        </w:rPr>
        <w:t>Obligation to Respect Rights</w:t>
      </w:r>
      <w:r w:rsidRPr="006879CC">
        <w:rPr>
          <w:rFonts w:ascii="Verdana" w:hAnsi="Verdana"/>
          <w:sz w:val="20"/>
          <w:szCs w:val="20"/>
          <w:lang w:val="en-US"/>
        </w:rPr>
        <w:t>”</w:t>
      </w:r>
      <w:r w:rsidRPr="006879CC">
        <w:rPr>
          <w:rFonts w:ascii="Verdana" w:hAnsi="Verdana"/>
          <w:sz w:val="20"/>
          <w:szCs w:val="20"/>
          <w:vertAlign w:val="superscript"/>
          <w:lang w:val="en-US"/>
        </w:rPr>
        <w:footnoteReference w:id="424"/>
      </w:r>
      <w:r w:rsidRPr="006879CC">
        <w:rPr>
          <w:rFonts w:ascii="Verdana" w:hAnsi="Verdana"/>
          <w:sz w:val="20"/>
          <w:szCs w:val="20"/>
          <w:lang w:val="en-US"/>
        </w:rPr>
        <w:t xml:space="preserve"> and the “</w:t>
      </w:r>
      <w:r w:rsidRPr="006879CC">
        <w:rPr>
          <w:rFonts w:ascii="Verdana" w:hAnsi="Verdana"/>
          <w:i/>
          <w:sz w:val="20"/>
          <w:szCs w:val="20"/>
          <w:lang w:val="en-US"/>
        </w:rPr>
        <w:t>Duty to Adopt Domestic Legal Effects;</w:t>
      </w:r>
      <w:r w:rsidRPr="006879CC">
        <w:rPr>
          <w:rFonts w:ascii="Verdana" w:hAnsi="Verdana"/>
          <w:sz w:val="20"/>
          <w:szCs w:val="20"/>
          <w:lang w:val="en-US"/>
        </w:rPr>
        <w:t>”</w:t>
      </w:r>
      <w:r w:rsidRPr="006879CC">
        <w:rPr>
          <w:rFonts w:ascii="Verdana" w:hAnsi="Verdana"/>
          <w:sz w:val="20"/>
          <w:szCs w:val="20"/>
          <w:vertAlign w:val="superscript"/>
          <w:lang w:val="en-US"/>
        </w:rPr>
        <w:footnoteReference w:id="425"/>
      </w:r>
      <w:r w:rsidRPr="006879CC">
        <w:rPr>
          <w:rFonts w:ascii="Verdana" w:hAnsi="Verdana"/>
          <w:sz w:val="20"/>
          <w:szCs w:val="20"/>
          <w:lang w:val="en-US"/>
        </w:rPr>
        <w:t xml:space="preserve"> in relation to rights, there are “</w:t>
      </w:r>
      <w:r w:rsidRPr="006879CC">
        <w:rPr>
          <w:rFonts w:ascii="Verdana" w:hAnsi="Verdana"/>
          <w:i/>
          <w:sz w:val="20"/>
          <w:szCs w:val="20"/>
          <w:lang w:val="en-US"/>
        </w:rPr>
        <w:t>Civil and Political Rights</w:t>
      </w:r>
      <w:r w:rsidRPr="006879CC">
        <w:rPr>
          <w:rFonts w:ascii="Verdana" w:hAnsi="Verdana"/>
          <w:sz w:val="20"/>
          <w:szCs w:val="20"/>
          <w:lang w:val="en-US"/>
        </w:rPr>
        <w:t>”</w:t>
      </w:r>
      <w:r w:rsidRPr="006879CC">
        <w:rPr>
          <w:rFonts w:ascii="Verdana" w:hAnsi="Verdana"/>
          <w:sz w:val="20"/>
          <w:szCs w:val="20"/>
          <w:vertAlign w:val="superscript"/>
          <w:lang w:val="en-US"/>
        </w:rPr>
        <w:footnoteReference w:id="426"/>
      </w:r>
      <w:r w:rsidRPr="006879CC">
        <w:rPr>
          <w:rFonts w:ascii="Verdana" w:hAnsi="Verdana"/>
          <w:sz w:val="20"/>
          <w:szCs w:val="20"/>
          <w:lang w:val="en-US"/>
        </w:rPr>
        <w:t xml:space="preserve"> and “</w:t>
      </w:r>
      <w:r w:rsidRPr="006879CC">
        <w:rPr>
          <w:rFonts w:ascii="Verdana" w:hAnsi="Verdana"/>
          <w:i/>
          <w:sz w:val="20"/>
          <w:szCs w:val="20"/>
          <w:lang w:val="en-US"/>
        </w:rPr>
        <w:t>Economic, Social and Cultural Rights;”</w:t>
      </w:r>
      <w:r w:rsidRPr="006879CC">
        <w:rPr>
          <w:rFonts w:ascii="Verdana" w:hAnsi="Verdana"/>
          <w:sz w:val="20"/>
          <w:szCs w:val="20"/>
          <w:vertAlign w:val="superscript"/>
          <w:lang w:val="en-US"/>
        </w:rPr>
        <w:footnoteReference w:id="427"/>
      </w:r>
    </w:p>
    <w:p w14:paraId="427B4232" w14:textId="77777777" w:rsidR="00E6764B" w:rsidRPr="006879CC" w:rsidRDefault="00E6764B" w:rsidP="00E6764B">
      <w:pPr>
        <w:pStyle w:val="Prrafodelista"/>
        <w:rPr>
          <w:rFonts w:ascii="Verdana" w:hAnsi="Verdana"/>
          <w:sz w:val="20"/>
          <w:szCs w:val="20"/>
          <w:lang w:val="en-US"/>
        </w:rPr>
      </w:pPr>
    </w:p>
    <w:p w14:paraId="712FA1CC" w14:textId="77777777" w:rsidR="00BF082B"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6879CC">
        <w:rPr>
          <w:rFonts w:ascii="Verdana" w:hAnsi="Verdana"/>
          <w:sz w:val="20"/>
          <w:szCs w:val="20"/>
          <w:lang w:val="en-US"/>
        </w:rPr>
        <w:t>with regard to the organs of this system, namely the Commission, the Court</w:t>
      </w:r>
      <w:r w:rsidRPr="006879CC">
        <w:rPr>
          <w:rStyle w:val="Refdenotaalpie"/>
          <w:szCs w:val="20"/>
          <w:lang w:val="en-US"/>
        </w:rPr>
        <w:footnoteReference w:id="428"/>
      </w:r>
      <w:r w:rsidRPr="006879CC">
        <w:rPr>
          <w:rFonts w:ascii="Verdana" w:hAnsi="Verdana"/>
          <w:sz w:val="20"/>
          <w:szCs w:val="20"/>
          <w:lang w:val="en-US"/>
        </w:rPr>
        <w:t xml:space="preserve"> and the OAS General Assembly,</w:t>
      </w:r>
      <w:r w:rsidRPr="006879CC">
        <w:rPr>
          <w:rStyle w:val="Refdenotaalpie"/>
          <w:szCs w:val="20"/>
          <w:lang w:val="en-US"/>
        </w:rPr>
        <w:footnoteReference w:id="429"/>
      </w:r>
      <w:r w:rsidRPr="006879CC">
        <w:rPr>
          <w:rFonts w:ascii="Verdana" w:hAnsi="Verdana"/>
          <w:sz w:val="20"/>
          <w:szCs w:val="20"/>
          <w:lang w:val="en-US"/>
        </w:rPr>
        <w:t xml:space="preserve"> the first is tasked with promoting and defending human rights</w:t>
      </w:r>
      <w:r w:rsidRPr="006879CC">
        <w:rPr>
          <w:rFonts w:ascii="Verdana" w:hAnsi="Verdana"/>
          <w:sz w:val="20"/>
          <w:szCs w:val="20"/>
          <w:vertAlign w:val="superscript"/>
          <w:lang w:val="en-US"/>
        </w:rPr>
        <w:footnoteReference w:id="430"/>
      </w:r>
      <w:r w:rsidRPr="006879CC">
        <w:rPr>
          <w:rFonts w:ascii="Verdana" w:hAnsi="Verdana"/>
          <w:sz w:val="20"/>
          <w:szCs w:val="20"/>
          <w:lang w:val="en-US"/>
        </w:rPr>
        <w:t>, the second with the interpretation and application of the Convention</w:t>
      </w:r>
      <w:r w:rsidRPr="006879CC">
        <w:rPr>
          <w:rFonts w:ascii="Verdana" w:hAnsi="Verdana"/>
          <w:sz w:val="20"/>
          <w:szCs w:val="20"/>
          <w:vertAlign w:val="superscript"/>
          <w:lang w:val="en-US"/>
        </w:rPr>
        <w:footnoteReference w:id="431"/>
      </w:r>
      <w:r w:rsidRPr="006879CC">
        <w:rPr>
          <w:rFonts w:ascii="Verdana" w:hAnsi="Verdana"/>
          <w:sz w:val="20"/>
          <w:szCs w:val="20"/>
          <w:lang w:val="en-US"/>
        </w:rPr>
        <w:t xml:space="preserve"> and the third with the adoption of necessary measures to enforce the corresponding ruling;</w:t>
      </w:r>
      <w:r w:rsidRPr="006879CC">
        <w:rPr>
          <w:rStyle w:val="Refdenotaalpie"/>
          <w:szCs w:val="20"/>
          <w:lang w:val="en-US"/>
        </w:rPr>
        <w:footnoteReference w:id="432"/>
      </w:r>
    </w:p>
    <w:p w14:paraId="4B5EF6F6" w14:textId="77777777" w:rsidR="00BF082B" w:rsidRPr="00BF082B" w:rsidRDefault="00BF082B" w:rsidP="00BF082B">
      <w:pPr>
        <w:pStyle w:val="Prrafodelista"/>
        <w:rPr>
          <w:lang w:val="en-US"/>
        </w:rPr>
      </w:pPr>
    </w:p>
    <w:p w14:paraId="49BBE6DF" w14:textId="4DCFC730" w:rsidR="00E6764B" w:rsidRPr="00BF082B"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BF082B">
        <w:rPr>
          <w:rFonts w:ascii="Verdana" w:hAnsi="Verdana"/>
          <w:sz w:val="20"/>
          <w:szCs w:val="20"/>
          <w:lang w:val="en-US"/>
        </w:rPr>
        <w:t>based on a harmonious interpretation of the corresponding rules regarding the Court’s jurisdiction to impart justice in the cases submitted to it, we may infer that the Convention distinguishes between two types of rights: the rights that are “recognized,”</w:t>
      </w:r>
      <w:r w:rsidRPr="00BF082B">
        <w:rPr>
          <w:rFonts w:ascii="Verdana" w:hAnsi="Verdana"/>
          <w:sz w:val="20"/>
          <w:szCs w:val="20"/>
          <w:vertAlign w:val="superscript"/>
          <w:lang w:val="en-US"/>
        </w:rPr>
        <w:footnoteReference w:id="433"/>
      </w:r>
      <w:r w:rsidRPr="00BF082B">
        <w:rPr>
          <w:rFonts w:ascii="Verdana" w:hAnsi="Verdana"/>
          <w:sz w:val="20"/>
          <w:szCs w:val="20"/>
          <w:lang w:val="en-US"/>
        </w:rPr>
        <w:t xml:space="preserve"> and </w:t>
      </w:r>
      <w:r w:rsidRPr="00BF082B">
        <w:rPr>
          <w:vertAlign w:val="superscript"/>
        </w:rPr>
        <w:footnoteReference w:id="434"/>
      </w:r>
      <w:r w:rsidRPr="00BF082B">
        <w:rPr>
          <w:rFonts w:ascii="Verdana" w:hAnsi="Verdana"/>
          <w:sz w:val="20"/>
          <w:szCs w:val="20"/>
          <w:lang w:val="en-US"/>
        </w:rPr>
        <w:t>, “established,”</w:t>
      </w:r>
      <w:r w:rsidRPr="00BF082B">
        <w:rPr>
          <w:rFonts w:ascii="Verdana" w:hAnsi="Verdana"/>
          <w:sz w:val="20"/>
          <w:szCs w:val="20"/>
          <w:vertAlign w:val="superscript"/>
          <w:lang w:val="en-US"/>
        </w:rPr>
        <w:footnoteReference w:id="435"/>
      </w:r>
      <w:r w:rsidRPr="00BF082B">
        <w:rPr>
          <w:rFonts w:ascii="Verdana" w:hAnsi="Verdana"/>
          <w:sz w:val="20"/>
          <w:szCs w:val="20"/>
          <w:vertAlign w:val="superscript"/>
          <w:lang w:val="en-US"/>
        </w:rPr>
        <w:t xml:space="preserve"> </w:t>
      </w:r>
      <w:r w:rsidRPr="00BF082B">
        <w:rPr>
          <w:rFonts w:ascii="Verdana" w:hAnsi="Verdana"/>
          <w:sz w:val="20"/>
          <w:szCs w:val="20"/>
          <w:lang w:val="en-US"/>
        </w:rPr>
        <w:t>guaranteed,”</w:t>
      </w:r>
      <w:r w:rsidRPr="00BF082B">
        <w:rPr>
          <w:rFonts w:ascii="Verdana" w:hAnsi="Verdana"/>
          <w:sz w:val="20"/>
          <w:szCs w:val="20"/>
          <w:vertAlign w:val="superscript"/>
          <w:lang w:val="en-US"/>
        </w:rPr>
        <w:footnoteReference w:id="436"/>
      </w:r>
      <w:r w:rsidRPr="00BF082B">
        <w:rPr>
          <w:rFonts w:ascii="Verdana" w:hAnsi="Verdana"/>
          <w:sz w:val="20"/>
          <w:szCs w:val="20"/>
          <w:vertAlign w:val="superscript"/>
          <w:lang w:val="en-US"/>
        </w:rPr>
        <w:t xml:space="preserve"> </w:t>
      </w:r>
      <w:r w:rsidRPr="00BF082B">
        <w:rPr>
          <w:rFonts w:ascii="Verdana" w:hAnsi="Verdana"/>
          <w:sz w:val="20"/>
          <w:szCs w:val="20"/>
          <w:lang w:val="en-US"/>
        </w:rPr>
        <w:t>“enshrined”</w:t>
      </w:r>
      <w:r w:rsidRPr="00BF082B">
        <w:rPr>
          <w:rFonts w:ascii="Verdana" w:hAnsi="Verdana"/>
          <w:sz w:val="20"/>
          <w:szCs w:val="20"/>
          <w:vertAlign w:val="superscript"/>
          <w:lang w:val="en-US"/>
        </w:rPr>
        <w:footnoteReference w:id="437"/>
      </w:r>
      <w:r w:rsidRPr="00BF082B">
        <w:rPr>
          <w:rFonts w:ascii="Verdana" w:hAnsi="Verdana"/>
          <w:sz w:val="20"/>
          <w:szCs w:val="20"/>
          <w:lang w:val="en-US"/>
        </w:rPr>
        <w:t xml:space="preserve"> or “protected”</w:t>
      </w:r>
      <w:r w:rsidRPr="00BF082B">
        <w:rPr>
          <w:vertAlign w:val="superscript"/>
        </w:rPr>
        <w:footnoteReference w:id="438"/>
      </w:r>
      <w:r w:rsidRPr="00BF082B">
        <w:rPr>
          <w:rFonts w:ascii="Verdana" w:hAnsi="Verdana"/>
          <w:sz w:val="20"/>
          <w:szCs w:val="20"/>
          <w:lang w:val="en-US"/>
        </w:rPr>
        <w:t xml:space="preserve"> by or in the Convention, and others that are </w:t>
      </w:r>
      <w:r w:rsidR="000555E7">
        <w:rPr>
          <w:rFonts w:ascii="Verdana" w:hAnsi="Verdana"/>
          <w:sz w:val="20"/>
          <w:szCs w:val="20"/>
          <w:lang w:val="en-US"/>
        </w:rPr>
        <w:t xml:space="preserve"> </w:t>
      </w:r>
      <w:r w:rsidRPr="00BF082B">
        <w:rPr>
          <w:rFonts w:ascii="Verdana" w:hAnsi="Verdana"/>
          <w:sz w:val="20"/>
          <w:szCs w:val="20"/>
          <w:lang w:val="en-US"/>
        </w:rPr>
        <w:lastRenderedPageBreak/>
        <w:t>“derived from the economic, social, educational, scientific and cultural standards set forth in the Charter of the Organization of American States, as amended by the Protocol of Buenos Aires;”</w:t>
      </w:r>
      <w:r w:rsidRPr="00BF082B">
        <w:rPr>
          <w:rFonts w:ascii="Verdana" w:hAnsi="Verdana"/>
          <w:sz w:val="20"/>
          <w:szCs w:val="20"/>
          <w:lang w:val="en-US"/>
        </w:rPr>
        <w:footnoteReference w:id="439"/>
      </w:r>
      <w:r w:rsidRPr="00BF082B">
        <w:rPr>
          <w:lang w:val="en-US"/>
        </w:rPr>
        <w:t xml:space="preserve"> </w:t>
      </w:r>
    </w:p>
    <w:p w14:paraId="4894E343" w14:textId="77777777" w:rsidR="00E6764B" w:rsidRPr="006879CC" w:rsidRDefault="00E6764B" w:rsidP="00E6764B">
      <w:pPr>
        <w:pStyle w:val="Prrafodelista"/>
        <w:rPr>
          <w:rFonts w:ascii="Verdana" w:hAnsi="Verdana"/>
          <w:sz w:val="20"/>
          <w:szCs w:val="20"/>
          <w:lang w:val="en-US"/>
        </w:rPr>
      </w:pPr>
    </w:p>
    <w:p w14:paraId="12DF4A8C" w14:textId="77777777" w:rsidR="00E6764B" w:rsidRPr="006879CC"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6879CC">
        <w:rPr>
          <w:rFonts w:ascii="Verdana" w:hAnsi="Verdana"/>
          <w:sz w:val="20"/>
          <w:szCs w:val="20"/>
          <w:lang w:val="en-US"/>
        </w:rPr>
        <w:t>in relation to the first, “</w:t>
      </w:r>
      <w:r w:rsidRPr="006879CC">
        <w:rPr>
          <w:rFonts w:ascii="Verdana" w:hAnsi="Verdana"/>
          <w:i/>
          <w:sz w:val="20"/>
          <w:szCs w:val="20"/>
          <w:lang w:val="en-US"/>
        </w:rPr>
        <w:t xml:space="preserve">the </w:t>
      </w:r>
      <w:r w:rsidRPr="006879CC">
        <w:rPr>
          <w:rFonts w:ascii="Verdana" w:hAnsi="Verdana"/>
          <w:i/>
          <w:color w:val="000000"/>
          <w:sz w:val="20"/>
          <w:szCs w:val="20"/>
          <w:lang w:val="en-US"/>
        </w:rPr>
        <w:t xml:space="preserve">jurisdiction of the Court shall comprise all cases concerning the interpretation and application of the provisions of </w:t>
      </w:r>
      <w:proofErr w:type="spellStart"/>
      <w:r w:rsidRPr="006879CC">
        <w:rPr>
          <w:rFonts w:ascii="Verdana" w:hAnsi="Verdana"/>
          <w:i/>
          <w:color w:val="000000"/>
          <w:sz w:val="20"/>
          <w:szCs w:val="20"/>
          <w:lang w:val="en-US"/>
        </w:rPr>
        <w:t>th</w:t>
      </w:r>
      <w:proofErr w:type="spellEnd"/>
      <w:r w:rsidRPr="006879CC">
        <w:rPr>
          <w:rFonts w:ascii="Verdana" w:hAnsi="Verdana"/>
          <w:i/>
          <w:color w:val="000000"/>
          <w:sz w:val="20"/>
          <w:szCs w:val="20"/>
          <w:lang w:val="en-US"/>
        </w:rPr>
        <w:t>[e] Convention that are submitted to it</w:t>
      </w:r>
      <w:r w:rsidRPr="006879CC">
        <w:rPr>
          <w:rFonts w:ascii="Verdana" w:hAnsi="Verdana"/>
          <w:i/>
          <w:sz w:val="20"/>
          <w:szCs w:val="20"/>
          <w:lang w:val="en-US"/>
        </w:rPr>
        <w:t>;”</w:t>
      </w:r>
      <w:r w:rsidRPr="006879CC">
        <w:rPr>
          <w:rFonts w:ascii="Verdana" w:hAnsi="Verdana"/>
          <w:sz w:val="20"/>
          <w:szCs w:val="20"/>
          <w:vertAlign w:val="superscript"/>
          <w:lang w:val="en-US"/>
        </w:rPr>
        <w:t xml:space="preserve"> </w:t>
      </w:r>
      <w:r w:rsidRPr="006879CC">
        <w:rPr>
          <w:rFonts w:ascii="Verdana" w:hAnsi="Verdana"/>
          <w:sz w:val="20"/>
          <w:szCs w:val="20"/>
          <w:vertAlign w:val="superscript"/>
          <w:lang w:val="en-US"/>
        </w:rPr>
        <w:footnoteReference w:id="440"/>
      </w:r>
    </w:p>
    <w:p w14:paraId="1B3BA218" w14:textId="77777777" w:rsidR="00E6764B" w:rsidRPr="006879CC" w:rsidRDefault="00E6764B" w:rsidP="00E6764B">
      <w:pPr>
        <w:pStyle w:val="Prrafodelista"/>
        <w:rPr>
          <w:rFonts w:ascii="Verdana" w:hAnsi="Verdana"/>
          <w:sz w:val="20"/>
          <w:szCs w:val="20"/>
          <w:lang w:val="en-US"/>
        </w:rPr>
      </w:pPr>
    </w:p>
    <w:p w14:paraId="59C64643" w14:textId="77777777" w:rsidR="00E6764B" w:rsidRPr="006879CC"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6879CC">
        <w:rPr>
          <w:rFonts w:ascii="Verdana" w:hAnsi="Verdana"/>
          <w:sz w:val="20"/>
          <w:szCs w:val="20"/>
          <w:lang w:val="en-US"/>
        </w:rPr>
        <w:t>consequently, when such a case is submitted to the Court, those States that have recognized its contentious jurisdiction can only be required to ensure due respect for the civil and political rights that it “</w:t>
      </w:r>
      <w:r w:rsidRPr="006879CC">
        <w:rPr>
          <w:rFonts w:ascii="Verdana" w:hAnsi="Verdana"/>
          <w:i/>
          <w:sz w:val="20"/>
          <w:szCs w:val="20"/>
          <w:lang w:val="en-US"/>
        </w:rPr>
        <w:t>recognizes</w:t>
      </w:r>
      <w:r w:rsidRPr="006879CC">
        <w:rPr>
          <w:rFonts w:ascii="Verdana" w:hAnsi="Verdana"/>
          <w:sz w:val="20"/>
          <w:szCs w:val="20"/>
          <w:lang w:val="en-US"/>
        </w:rPr>
        <w:t>” and “</w:t>
      </w:r>
      <w:r w:rsidRPr="006879CC">
        <w:rPr>
          <w:rFonts w:ascii="Verdana" w:hAnsi="Verdana"/>
          <w:i/>
          <w:sz w:val="20"/>
          <w:szCs w:val="20"/>
          <w:lang w:val="en-US"/>
        </w:rPr>
        <w:t>guarantees;”</w:t>
      </w:r>
      <w:r w:rsidRPr="006879CC">
        <w:rPr>
          <w:rFonts w:ascii="Verdana" w:hAnsi="Verdana"/>
          <w:sz w:val="20"/>
          <w:szCs w:val="20"/>
          <w:vertAlign w:val="superscript"/>
          <w:lang w:val="en-US"/>
        </w:rPr>
        <w:footnoteReference w:id="441"/>
      </w:r>
    </w:p>
    <w:p w14:paraId="2682667C" w14:textId="77777777" w:rsidR="00E6764B" w:rsidRPr="006879CC" w:rsidRDefault="00E6764B" w:rsidP="00E6764B">
      <w:pPr>
        <w:pStyle w:val="Prrafodelista"/>
        <w:rPr>
          <w:rFonts w:ascii="Verdana" w:hAnsi="Verdana"/>
          <w:sz w:val="20"/>
          <w:szCs w:val="20"/>
          <w:lang w:val="en-US"/>
        </w:rPr>
      </w:pPr>
    </w:p>
    <w:p w14:paraId="73A27D55" w14:textId="77777777" w:rsidR="00E6764B" w:rsidRPr="006879CC" w:rsidRDefault="00E6764B" w:rsidP="007720B1">
      <w:pPr>
        <w:pStyle w:val="Prrafodelista"/>
        <w:widowControl/>
        <w:numPr>
          <w:ilvl w:val="0"/>
          <w:numId w:val="23"/>
        </w:numPr>
        <w:adjustRightInd/>
        <w:spacing w:after="120" w:line="276" w:lineRule="auto"/>
        <w:ind w:left="360"/>
        <w:textAlignment w:val="auto"/>
        <w:rPr>
          <w:rFonts w:ascii="Verdana" w:hAnsi="Verdana"/>
          <w:sz w:val="20"/>
          <w:szCs w:val="20"/>
          <w:lang w:val="en-US"/>
        </w:rPr>
      </w:pPr>
      <w:r w:rsidRPr="006879CC">
        <w:rPr>
          <w:rFonts w:ascii="Verdana" w:hAnsi="Verdana"/>
          <w:sz w:val="20"/>
          <w:szCs w:val="20"/>
          <w:lang w:val="en-US"/>
        </w:rPr>
        <w:t>also, the States may be eventually required to adopt, “</w:t>
      </w:r>
      <w:r w:rsidRPr="006879CC">
        <w:rPr>
          <w:rFonts w:ascii="Verdana" w:hAnsi="Verdana"/>
          <w:i/>
          <w:color w:val="000000"/>
          <w:sz w:val="20"/>
          <w:szCs w:val="20"/>
          <w:lang w:val="en-US"/>
        </w:rPr>
        <w:t>in accordance with their constitutional processes and the provisions of this Convention, such legislative or other measures as may be necessary to give effect to those rights or freedoms</w:t>
      </w:r>
      <w:r w:rsidRPr="006879CC">
        <w:rPr>
          <w:rFonts w:ascii="Verdana" w:hAnsi="Verdana"/>
          <w:i/>
          <w:sz w:val="20"/>
          <w:szCs w:val="20"/>
          <w:lang w:val="en-US"/>
        </w:rPr>
        <w:t>;</w:t>
      </w:r>
      <w:r w:rsidRPr="006879CC">
        <w:rPr>
          <w:rFonts w:ascii="Verdana" w:hAnsi="Verdana"/>
          <w:sz w:val="20"/>
          <w:szCs w:val="20"/>
          <w:lang w:val="en-US"/>
        </w:rPr>
        <w:t>”</w:t>
      </w:r>
      <w:r w:rsidRPr="006879CC">
        <w:rPr>
          <w:rFonts w:ascii="Verdana" w:hAnsi="Verdana"/>
          <w:sz w:val="20"/>
          <w:szCs w:val="20"/>
          <w:vertAlign w:val="superscript"/>
          <w:lang w:val="en-US"/>
        </w:rPr>
        <w:footnoteReference w:id="442"/>
      </w:r>
    </w:p>
    <w:p w14:paraId="3BAF215C" w14:textId="77777777" w:rsidR="00E6764B" w:rsidRPr="006879CC" w:rsidRDefault="00E6764B" w:rsidP="00E6764B">
      <w:pPr>
        <w:pStyle w:val="Prrafodelista"/>
        <w:spacing w:before="120"/>
        <w:ind w:left="0"/>
        <w:rPr>
          <w:rFonts w:ascii="Verdana" w:hAnsi="Verdana"/>
          <w:sz w:val="20"/>
          <w:szCs w:val="20"/>
          <w:lang w:val="en-US"/>
        </w:rPr>
      </w:pPr>
    </w:p>
    <w:p w14:paraId="489FAD73" w14:textId="77777777" w:rsidR="00E6764B" w:rsidRPr="006879CC" w:rsidRDefault="00E6764B" w:rsidP="007720B1">
      <w:pPr>
        <w:pStyle w:val="Prrafodelista"/>
        <w:widowControl/>
        <w:numPr>
          <w:ilvl w:val="0"/>
          <w:numId w:val="23"/>
        </w:numPr>
        <w:adjustRightInd/>
        <w:spacing w:before="120" w:after="200" w:line="276" w:lineRule="auto"/>
        <w:ind w:left="360"/>
        <w:textAlignment w:val="auto"/>
        <w:rPr>
          <w:rFonts w:ascii="Verdana" w:hAnsi="Verdana"/>
          <w:sz w:val="20"/>
          <w:szCs w:val="20"/>
          <w:lang w:val="en-US"/>
        </w:rPr>
      </w:pPr>
      <w:r w:rsidRPr="006879CC">
        <w:rPr>
          <w:rFonts w:ascii="Verdana" w:hAnsi="Verdana"/>
          <w:sz w:val="20"/>
          <w:szCs w:val="20"/>
          <w:lang w:val="en-US"/>
        </w:rPr>
        <w:t>by contrast, in relation to the rights “</w:t>
      </w:r>
      <w:r w:rsidRPr="006879CC">
        <w:rPr>
          <w:rFonts w:ascii="Verdana" w:hAnsi="Verdana"/>
          <w:i/>
          <w:sz w:val="20"/>
          <w:szCs w:val="20"/>
          <w:lang w:val="en-US"/>
        </w:rPr>
        <w:t xml:space="preserve">derived from the economic, social, </w:t>
      </w:r>
      <w:r w:rsidRPr="006879CC">
        <w:rPr>
          <w:rFonts w:ascii="Verdana" w:eastAsia="Times" w:hAnsi="Verdana" w:cs="Arial"/>
          <w:i/>
          <w:sz w:val="20"/>
          <w:szCs w:val="20"/>
          <w:lang w:val="en-US"/>
        </w:rPr>
        <w:t xml:space="preserve">educational, scientific and cultural standards set forth in the </w:t>
      </w:r>
      <w:r w:rsidRPr="006879CC">
        <w:rPr>
          <w:rFonts w:ascii="Verdana" w:hAnsi="Verdana"/>
          <w:i/>
          <w:sz w:val="20"/>
          <w:szCs w:val="20"/>
          <w:lang w:val="en-US"/>
        </w:rPr>
        <w:t>Charter of the Organization of the American States, as amended by the Protocol of Buenos Aires,</w:t>
      </w:r>
      <w:r w:rsidRPr="006879CC">
        <w:rPr>
          <w:rFonts w:ascii="Verdana" w:hAnsi="Verdana"/>
          <w:sz w:val="20"/>
          <w:szCs w:val="20"/>
          <w:lang w:val="en-US"/>
        </w:rPr>
        <w:t>” only States Parties to the Convention could be required to adopt “</w:t>
      </w:r>
      <w:r w:rsidRPr="006879CC">
        <w:rPr>
          <w:rFonts w:ascii="Verdana" w:hAnsi="Verdana"/>
          <w:i/>
          <w:color w:val="000000"/>
          <w:sz w:val="20"/>
          <w:szCs w:val="20"/>
          <w:lang w:val="en-US"/>
        </w:rPr>
        <w:t>by legislation or other appropriate means,</w:t>
      </w:r>
      <w:r w:rsidRPr="006879CC">
        <w:rPr>
          <w:rFonts w:ascii="Verdana" w:hAnsi="Verdana"/>
          <w:sz w:val="20"/>
          <w:szCs w:val="20"/>
          <w:lang w:val="en-US"/>
        </w:rPr>
        <w:t>” “</w:t>
      </w:r>
      <w:r w:rsidRPr="006879CC">
        <w:rPr>
          <w:rFonts w:ascii="Verdana" w:hAnsi="Verdana"/>
          <w:i/>
          <w:color w:val="000000"/>
          <w:sz w:val="20"/>
          <w:szCs w:val="20"/>
          <w:lang w:val="en-US"/>
        </w:rPr>
        <w:t>measures, both internally and through international cooperation, especially those of an economic and technical nature, with a view to achieving progressively</w:t>
      </w:r>
      <w:r w:rsidRPr="006879CC">
        <w:rPr>
          <w:rFonts w:ascii="Verdana" w:hAnsi="Verdana"/>
          <w:i/>
          <w:sz w:val="20"/>
          <w:szCs w:val="20"/>
          <w:lang w:val="en-US"/>
        </w:rPr>
        <w:t xml:space="preserve"> […]</w:t>
      </w:r>
      <w:r w:rsidRPr="006879CC">
        <w:rPr>
          <w:rFonts w:ascii="Verdana" w:hAnsi="Verdana"/>
          <w:i/>
          <w:color w:val="000000"/>
          <w:sz w:val="20"/>
          <w:szCs w:val="20"/>
          <w:lang w:val="en-US"/>
        </w:rPr>
        <w:t>the full realization of the rights,</w:t>
      </w:r>
      <w:r w:rsidRPr="006879CC">
        <w:rPr>
          <w:rFonts w:ascii="Verdana" w:hAnsi="Verdana"/>
          <w:sz w:val="20"/>
          <w:szCs w:val="20"/>
          <w:lang w:val="en-US"/>
        </w:rPr>
        <w:t>” and this is “</w:t>
      </w:r>
      <w:r w:rsidRPr="006879CC">
        <w:rPr>
          <w:rFonts w:ascii="Verdana" w:hAnsi="Verdana"/>
          <w:i/>
          <w:sz w:val="20"/>
          <w:szCs w:val="20"/>
          <w:lang w:val="en-US"/>
        </w:rPr>
        <w:t>subject to available resources;</w:t>
      </w:r>
      <w:r w:rsidRPr="006879CC">
        <w:rPr>
          <w:rFonts w:ascii="Verdana" w:hAnsi="Verdana"/>
          <w:sz w:val="20"/>
          <w:szCs w:val="20"/>
          <w:lang w:val="en-US"/>
        </w:rPr>
        <w:t>”</w:t>
      </w:r>
    </w:p>
    <w:p w14:paraId="30CDE540" w14:textId="77777777" w:rsidR="00E6764B" w:rsidRPr="006879CC" w:rsidRDefault="00E6764B" w:rsidP="00E6764B">
      <w:pPr>
        <w:pStyle w:val="Prrafodelista"/>
        <w:ind w:left="0"/>
        <w:rPr>
          <w:rFonts w:ascii="Verdana" w:hAnsi="Verdana"/>
          <w:sz w:val="20"/>
          <w:szCs w:val="20"/>
          <w:lang w:val="en-US"/>
        </w:rPr>
      </w:pPr>
    </w:p>
    <w:p w14:paraId="65E0A53C" w14:textId="77777777" w:rsidR="00E6764B" w:rsidRPr="006879CC" w:rsidRDefault="00E6764B" w:rsidP="007720B1">
      <w:pPr>
        <w:pStyle w:val="Prrafodelista"/>
        <w:widowControl/>
        <w:numPr>
          <w:ilvl w:val="0"/>
          <w:numId w:val="23"/>
        </w:numPr>
        <w:adjustRightInd/>
        <w:spacing w:before="120" w:after="200" w:line="276" w:lineRule="auto"/>
        <w:ind w:left="360"/>
        <w:textAlignment w:val="auto"/>
        <w:rPr>
          <w:rFonts w:ascii="Verdana" w:hAnsi="Verdana"/>
          <w:sz w:val="20"/>
          <w:szCs w:val="20"/>
          <w:lang w:val="en-US"/>
        </w:rPr>
      </w:pPr>
      <w:r w:rsidRPr="006879CC">
        <w:rPr>
          <w:rFonts w:ascii="Verdana" w:hAnsi="Verdana"/>
          <w:sz w:val="20"/>
          <w:szCs w:val="20"/>
          <w:lang w:val="en-US"/>
        </w:rPr>
        <w:t xml:space="preserve">as to the supplementary means of interpretation, these confirm that the States Parties to the Convention did not wish to include economic, social and cultural rights within the established system of protection; </w:t>
      </w:r>
    </w:p>
    <w:p w14:paraId="762FD898" w14:textId="77777777" w:rsidR="00E6764B" w:rsidRPr="006879CC" w:rsidRDefault="00E6764B" w:rsidP="00E6764B">
      <w:pPr>
        <w:pStyle w:val="Prrafodelista"/>
        <w:ind w:left="0"/>
        <w:rPr>
          <w:rFonts w:ascii="Verdana" w:hAnsi="Verdana"/>
          <w:sz w:val="20"/>
          <w:szCs w:val="20"/>
          <w:lang w:val="en-US"/>
        </w:rPr>
      </w:pPr>
    </w:p>
    <w:p w14:paraId="24952B58" w14:textId="7E2CB3F0" w:rsidR="00E6764B" w:rsidRDefault="00E6764B" w:rsidP="007720B1">
      <w:pPr>
        <w:pStyle w:val="Prrafodelista"/>
        <w:widowControl/>
        <w:numPr>
          <w:ilvl w:val="0"/>
          <w:numId w:val="23"/>
        </w:numPr>
        <w:adjustRightInd/>
        <w:spacing w:after="200" w:line="276" w:lineRule="auto"/>
        <w:ind w:left="360"/>
        <w:textAlignment w:val="auto"/>
        <w:rPr>
          <w:rFonts w:ascii="Verdana" w:hAnsi="Verdana"/>
          <w:sz w:val="20"/>
          <w:szCs w:val="20"/>
          <w:lang w:val="en-US"/>
        </w:rPr>
      </w:pPr>
      <w:r w:rsidRPr="006879CC">
        <w:rPr>
          <w:rFonts w:ascii="Verdana" w:hAnsi="Verdana"/>
          <w:sz w:val="20"/>
          <w:szCs w:val="20"/>
          <w:lang w:val="en-US"/>
        </w:rPr>
        <w:t>indeed, during the Specialized Inter-American Conference on Human Rights, during which the final text of the Convention was adopted, Colombia proposed the definition of the economic, social and cultural rights to be protected by the mechanism provided therein, while Mexico argued that none of those rights should be included. Consequently, “(</w:t>
      </w:r>
      <w:r w:rsidRPr="006879CC">
        <w:rPr>
          <w:rFonts w:ascii="Verdana" w:hAnsi="Verdana"/>
          <w:i/>
          <w:sz w:val="20"/>
          <w:szCs w:val="20"/>
          <w:lang w:val="en-US"/>
        </w:rPr>
        <w:t>f)</w:t>
      </w:r>
      <w:proofErr w:type="spellStart"/>
      <w:r w:rsidRPr="006879CC">
        <w:rPr>
          <w:rFonts w:ascii="Verdana" w:hAnsi="Verdana"/>
          <w:i/>
          <w:sz w:val="20"/>
          <w:szCs w:val="20"/>
          <w:lang w:val="en-US"/>
        </w:rPr>
        <w:t>ollowing</w:t>
      </w:r>
      <w:proofErr w:type="spellEnd"/>
      <w:r w:rsidRPr="006879CC">
        <w:rPr>
          <w:rFonts w:ascii="Verdana" w:hAnsi="Verdana"/>
          <w:i/>
          <w:sz w:val="20"/>
          <w:szCs w:val="20"/>
          <w:lang w:val="en-US"/>
        </w:rPr>
        <w:t xml:space="preserve"> discussions during which some of the preceding positions were repeated without reaching a consensus, and during which it was never proposed to include economic, social and cultural rights in the system of protection contemplated for civil and political rights, a chapter was drafted with two articles.</w:t>
      </w:r>
      <w:r w:rsidRPr="006879CC">
        <w:rPr>
          <w:rFonts w:ascii="Verdana" w:hAnsi="Verdana"/>
          <w:sz w:val="20"/>
          <w:szCs w:val="20"/>
          <w:lang w:val="en-US"/>
        </w:rPr>
        <w:t>”</w:t>
      </w:r>
      <w:r w:rsidRPr="006879CC">
        <w:rPr>
          <w:rFonts w:ascii="Verdana" w:hAnsi="Verdana"/>
          <w:sz w:val="20"/>
          <w:szCs w:val="20"/>
          <w:vertAlign w:val="superscript"/>
          <w:lang w:val="en-US"/>
        </w:rPr>
        <w:footnoteReference w:id="443"/>
      </w:r>
      <w:r w:rsidRPr="006879CC">
        <w:rPr>
          <w:rFonts w:ascii="Verdana" w:hAnsi="Verdana"/>
          <w:sz w:val="20"/>
          <w:szCs w:val="20"/>
          <w:lang w:val="en-US"/>
        </w:rPr>
        <w:t xml:space="preserve"> The first of these articles, proposed by Brazil as a formula for conciliation, was included by virtue of the corresponding vote, in the final text of the Convention, as Article 26.</w:t>
      </w:r>
    </w:p>
    <w:p w14:paraId="5D288702" w14:textId="77777777" w:rsidR="000555E7" w:rsidRPr="000555E7" w:rsidRDefault="000555E7" w:rsidP="000555E7">
      <w:pPr>
        <w:pStyle w:val="Prrafodelista"/>
        <w:rPr>
          <w:rFonts w:ascii="Verdana" w:hAnsi="Verdana"/>
          <w:sz w:val="20"/>
          <w:szCs w:val="20"/>
          <w:lang w:val="en-US"/>
        </w:rPr>
      </w:pPr>
    </w:p>
    <w:p w14:paraId="13FFF361" w14:textId="77777777" w:rsidR="000555E7" w:rsidRPr="000555E7" w:rsidRDefault="000555E7" w:rsidP="000555E7">
      <w:pPr>
        <w:widowControl/>
        <w:adjustRightInd/>
        <w:spacing w:after="200" w:line="276" w:lineRule="auto"/>
        <w:textAlignment w:val="auto"/>
        <w:rPr>
          <w:rFonts w:ascii="Verdana" w:hAnsi="Verdana"/>
          <w:sz w:val="20"/>
          <w:szCs w:val="20"/>
          <w:lang w:val="en-US"/>
        </w:rPr>
      </w:pPr>
    </w:p>
    <w:p w14:paraId="7B66E41F" w14:textId="77777777" w:rsidR="000555E7" w:rsidRPr="000555E7" w:rsidRDefault="000555E7" w:rsidP="000555E7">
      <w:pPr>
        <w:pStyle w:val="Prrafodelista"/>
        <w:rPr>
          <w:rFonts w:ascii="Verdana" w:hAnsi="Verdana"/>
          <w:sz w:val="20"/>
          <w:szCs w:val="20"/>
          <w:lang w:val="en-US"/>
        </w:rPr>
      </w:pPr>
    </w:p>
    <w:p w14:paraId="3AB619D8" w14:textId="77777777" w:rsidR="00E6764B" w:rsidRPr="000555E7" w:rsidRDefault="00E6764B" w:rsidP="007720B1">
      <w:pPr>
        <w:pStyle w:val="Prrafodelista"/>
        <w:widowControl/>
        <w:numPr>
          <w:ilvl w:val="0"/>
          <w:numId w:val="23"/>
        </w:numPr>
        <w:adjustRightInd/>
        <w:spacing w:after="200" w:line="276" w:lineRule="auto"/>
        <w:ind w:left="360"/>
        <w:textAlignment w:val="auto"/>
        <w:rPr>
          <w:rFonts w:ascii="Verdana" w:hAnsi="Verdana"/>
          <w:sz w:val="20"/>
          <w:szCs w:val="20"/>
          <w:lang w:val="en-US"/>
        </w:rPr>
      </w:pPr>
      <w:r w:rsidRPr="000555E7">
        <w:rPr>
          <w:rFonts w:ascii="Verdana" w:hAnsi="Verdana"/>
          <w:sz w:val="20"/>
          <w:szCs w:val="20"/>
          <w:lang w:val="en-US"/>
        </w:rPr>
        <w:t>for its part, the second article, No. 27, stated the following: “</w:t>
      </w:r>
      <w:r w:rsidRPr="000555E7">
        <w:rPr>
          <w:rFonts w:ascii="Verdana" w:hAnsi="Verdana"/>
          <w:i/>
          <w:sz w:val="20"/>
          <w:szCs w:val="20"/>
          <w:lang w:val="en-US"/>
        </w:rPr>
        <w:t>Monitoring Compliance with the Obligations. The States Parties shall transmit to the Inter-American Commission of Human Rights a copy of each of the reports and studies that they submit annually to the Executive Committees of the Inter-American Economic and Social Council and the Inter-American Council for Education, Science and Culture, in their respective fields, so that the Commission can verify their compliance with the obligations</w:t>
      </w:r>
      <w:r w:rsidRPr="000555E7">
        <w:rPr>
          <w:rFonts w:ascii="Verdana" w:hAnsi="Verdana"/>
          <w:sz w:val="20"/>
          <w:szCs w:val="20"/>
          <w:lang w:val="en-US"/>
        </w:rPr>
        <w:t xml:space="preserve"> </w:t>
      </w:r>
      <w:r w:rsidRPr="000555E7">
        <w:rPr>
          <w:rFonts w:ascii="Verdana" w:hAnsi="Verdana"/>
          <w:i/>
          <w:sz w:val="20"/>
          <w:szCs w:val="20"/>
          <w:lang w:val="en-US"/>
        </w:rPr>
        <w:t>determined previously, which are the essential basis for the exercise of other rights enshrined in this Convention;</w:t>
      </w:r>
      <w:r w:rsidRPr="000555E7">
        <w:rPr>
          <w:rFonts w:ascii="Verdana" w:hAnsi="Verdana"/>
          <w:sz w:val="20"/>
          <w:szCs w:val="20"/>
          <w:lang w:val="en-US"/>
        </w:rPr>
        <w:t xml:space="preserve">” </w:t>
      </w:r>
    </w:p>
    <w:p w14:paraId="770A4C41" w14:textId="77777777" w:rsidR="00E6764B" w:rsidRPr="006879CC" w:rsidRDefault="00E6764B" w:rsidP="00E6764B">
      <w:pPr>
        <w:pStyle w:val="Prrafodelista"/>
        <w:ind w:left="0"/>
        <w:rPr>
          <w:rFonts w:ascii="Verdana" w:hAnsi="Verdana"/>
          <w:sz w:val="20"/>
          <w:szCs w:val="20"/>
          <w:lang w:val="en-US"/>
        </w:rPr>
      </w:pPr>
    </w:p>
    <w:p w14:paraId="611C632E" w14:textId="77777777" w:rsidR="00E6764B" w:rsidRPr="006879CC" w:rsidRDefault="00E6764B" w:rsidP="007720B1">
      <w:pPr>
        <w:pStyle w:val="Prrafodelista"/>
        <w:widowControl/>
        <w:numPr>
          <w:ilvl w:val="0"/>
          <w:numId w:val="23"/>
        </w:numPr>
        <w:adjustRightInd/>
        <w:spacing w:line="276" w:lineRule="auto"/>
        <w:ind w:left="360"/>
        <w:textAlignment w:val="auto"/>
        <w:rPr>
          <w:rFonts w:ascii="Verdana" w:hAnsi="Verdana"/>
          <w:sz w:val="20"/>
          <w:szCs w:val="20"/>
          <w:lang w:val="en-US"/>
        </w:rPr>
      </w:pPr>
      <w:r w:rsidRPr="006879CC">
        <w:rPr>
          <w:rFonts w:ascii="Verdana" w:hAnsi="Verdana"/>
          <w:sz w:val="20"/>
          <w:szCs w:val="20"/>
          <w:lang w:val="en-US"/>
        </w:rPr>
        <w:t xml:space="preserve">the proposal regarding the aforementioned Article 27 referred to </w:t>
      </w:r>
      <w:r w:rsidRPr="006879CC">
        <w:rPr>
          <w:rFonts w:ascii="Verdana" w:hAnsi="Verdana"/>
          <w:i/>
          <w:sz w:val="20"/>
          <w:szCs w:val="20"/>
          <w:lang w:val="en-US"/>
        </w:rPr>
        <w:t xml:space="preserve">“reports and studies” </w:t>
      </w:r>
      <w:r w:rsidRPr="006879CC">
        <w:rPr>
          <w:rFonts w:ascii="Verdana" w:hAnsi="Verdana"/>
          <w:sz w:val="20"/>
          <w:szCs w:val="20"/>
          <w:lang w:val="en-US"/>
        </w:rPr>
        <w:t>that would enable the Commission to verify whether States were complying with their obligations and distinguished between “</w:t>
      </w:r>
      <w:r w:rsidRPr="006879CC">
        <w:rPr>
          <w:rFonts w:ascii="Verdana" w:hAnsi="Verdana"/>
          <w:i/>
          <w:sz w:val="20"/>
          <w:szCs w:val="20"/>
          <w:lang w:val="en-US"/>
        </w:rPr>
        <w:t>obligations determined previously</w:t>
      </w:r>
      <w:r w:rsidRPr="006879CC">
        <w:rPr>
          <w:rFonts w:ascii="Verdana" w:hAnsi="Verdana"/>
          <w:sz w:val="20"/>
          <w:szCs w:val="20"/>
          <w:lang w:val="en-US"/>
        </w:rPr>
        <w:t>”, obviously in Article 26, and “</w:t>
      </w:r>
      <w:r w:rsidRPr="006879CC">
        <w:rPr>
          <w:rFonts w:ascii="Verdana" w:hAnsi="Verdana"/>
          <w:i/>
          <w:sz w:val="20"/>
          <w:szCs w:val="20"/>
          <w:lang w:val="en-US"/>
        </w:rPr>
        <w:t>other rights enshrined in this Convention</w:t>
      </w:r>
      <w:r w:rsidRPr="006879CC">
        <w:rPr>
          <w:rFonts w:ascii="Verdana" w:hAnsi="Verdana"/>
          <w:sz w:val="20"/>
          <w:szCs w:val="20"/>
          <w:lang w:val="en-US"/>
        </w:rPr>
        <w:t>”; and</w:t>
      </w:r>
    </w:p>
    <w:p w14:paraId="1915C86F" w14:textId="77777777" w:rsidR="00E6764B" w:rsidRPr="006879CC" w:rsidRDefault="00E6764B" w:rsidP="00E6764B">
      <w:pPr>
        <w:pStyle w:val="Prrafodelista"/>
        <w:rPr>
          <w:rFonts w:ascii="Verdana" w:hAnsi="Verdana"/>
          <w:sz w:val="20"/>
          <w:szCs w:val="20"/>
          <w:lang w:val="en-US"/>
        </w:rPr>
      </w:pPr>
    </w:p>
    <w:p w14:paraId="73B7134D" w14:textId="77777777" w:rsidR="00E6764B" w:rsidRPr="006879CC" w:rsidRDefault="00E6764B" w:rsidP="007720B1">
      <w:pPr>
        <w:pStyle w:val="Prrafodelista"/>
        <w:widowControl/>
        <w:numPr>
          <w:ilvl w:val="0"/>
          <w:numId w:val="23"/>
        </w:numPr>
        <w:adjustRightInd/>
        <w:spacing w:line="276" w:lineRule="auto"/>
        <w:ind w:left="360"/>
        <w:textAlignment w:val="auto"/>
        <w:rPr>
          <w:rFonts w:ascii="Verdana" w:hAnsi="Verdana"/>
          <w:sz w:val="20"/>
          <w:szCs w:val="20"/>
          <w:lang w:val="en-US"/>
        </w:rPr>
      </w:pPr>
      <w:r w:rsidRPr="006879CC">
        <w:rPr>
          <w:rFonts w:ascii="Verdana" w:hAnsi="Verdana"/>
          <w:sz w:val="20"/>
          <w:szCs w:val="20"/>
          <w:lang w:val="en-US"/>
        </w:rPr>
        <w:t>we may conclude, therefore, that at no time were the economic, social and cultural rights “</w:t>
      </w:r>
      <w:r w:rsidRPr="006879CC">
        <w:rPr>
          <w:rFonts w:ascii="Verdana" w:hAnsi="Verdana"/>
          <w:i/>
          <w:sz w:val="20"/>
          <w:szCs w:val="20"/>
          <w:lang w:val="en-US"/>
        </w:rPr>
        <w:t>derived</w:t>
      </w:r>
      <w:r w:rsidRPr="006879CC">
        <w:rPr>
          <w:rFonts w:ascii="Verdana" w:hAnsi="Verdana"/>
          <w:sz w:val="20"/>
          <w:szCs w:val="20"/>
          <w:lang w:val="en-US"/>
        </w:rPr>
        <w:t>” from the standards set forth in the OAS Charter - among them the right to social security - included in the protection system along with the civil and political rights “</w:t>
      </w:r>
      <w:r w:rsidRPr="006879CC">
        <w:rPr>
          <w:rFonts w:ascii="Verdana" w:hAnsi="Verdana"/>
          <w:i/>
          <w:sz w:val="20"/>
          <w:szCs w:val="20"/>
          <w:lang w:val="en-US"/>
        </w:rPr>
        <w:t xml:space="preserve">recognized” </w:t>
      </w:r>
      <w:r w:rsidRPr="006879CC">
        <w:rPr>
          <w:rFonts w:ascii="Verdana" w:hAnsi="Verdana"/>
          <w:sz w:val="20"/>
          <w:szCs w:val="20"/>
          <w:lang w:val="en-US"/>
        </w:rPr>
        <w:t>in</w:t>
      </w:r>
      <w:r w:rsidRPr="006879CC">
        <w:rPr>
          <w:rFonts w:ascii="Verdana" w:hAnsi="Verdana"/>
          <w:i/>
          <w:sz w:val="20"/>
          <w:szCs w:val="20"/>
          <w:lang w:val="en-US"/>
        </w:rPr>
        <w:t xml:space="preserve"> </w:t>
      </w:r>
      <w:r w:rsidRPr="006879CC">
        <w:rPr>
          <w:rFonts w:ascii="Verdana" w:hAnsi="Verdana"/>
          <w:sz w:val="20"/>
          <w:szCs w:val="20"/>
          <w:lang w:val="en-US"/>
        </w:rPr>
        <w:t xml:space="preserve">the Convention. </w:t>
      </w:r>
    </w:p>
    <w:p w14:paraId="516C6E07" w14:textId="77777777" w:rsidR="00E6764B" w:rsidRPr="006879CC" w:rsidRDefault="00E6764B" w:rsidP="00E6764B">
      <w:pPr>
        <w:spacing w:line="276" w:lineRule="auto"/>
        <w:rPr>
          <w:rFonts w:ascii="Verdana" w:hAnsi="Verdana"/>
          <w:sz w:val="20"/>
          <w:szCs w:val="20"/>
          <w:lang w:val="en-US"/>
        </w:rPr>
      </w:pPr>
    </w:p>
    <w:p w14:paraId="47C5E287" w14:textId="77777777" w:rsidR="00E6764B" w:rsidRPr="006879CC" w:rsidRDefault="00E6764B" w:rsidP="007720B1">
      <w:pPr>
        <w:pStyle w:val="Prrafodelista"/>
        <w:widowControl/>
        <w:numPr>
          <w:ilvl w:val="0"/>
          <w:numId w:val="19"/>
        </w:numPr>
        <w:adjustRightInd/>
        <w:spacing w:after="200" w:line="276" w:lineRule="auto"/>
        <w:ind w:left="0" w:hanging="20"/>
        <w:textAlignment w:val="auto"/>
        <w:rPr>
          <w:rFonts w:ascii="Verdana" w:hAnsi="Verdana"/>
          <w:sz w:val="20"/>
          <w:szCs w:val="20"/>
          <w:lang w:val="en-US"/>
        </w:rPr>
      </w:pPr>
      <w:r w:rsidRPr="006879CC">
        <w:rPr>
          <w:rFonts w:ascii="Verdana" w:hAnsi="Verdana"/>
          <w:sz w:val="20"/>
          <w:szCs w:val="20"/>
          <w:lang w:val="en-US"/>
        </w:rPr>
        <w:t xml:space="preserve">In synthesis, there is no doubt whatsoever that Article 26 was adopted in good faith, so that it would actually have the </w:t>
      </w:r>
      <w:r w:rsidRPr="006879CC">
        <w:rPr>
          <w:rFonts w:ascii="Verdana" w:hAnsi="Verdana"/>
          <w:i/>
          <w:sz w:val="20"/>
          <w:szCs w:val="20"/>
          <w:lang w:val="en-US"/>
        </w:rPr>
        <w:t>’</w:t>
      </w:r>
      <w:proofErr w:type="spellStart"/>
      <w:r w:rsidRPr="006879CC">
        <w:rPr>
          <w:rFonts w:ascii="Verdana" w:hAnsi="Verdana"/>
          <w:i/>
          <w:sz w:val="20"/>
          <w:szCs w:val="20"/>
          <w:lang w:val="en-US"/>
        </w:rPr>
        <w:t>effet</w:t>
      </w:r>
      <w:proofErr w:type="spellEnd"/>
      <w:r w:rsidRPr="006879CC">
        <w:rPr>
          <w:rFonts w:ascii="Verdana" w:hAnsi="Verdana"/>
          <w:i/>
          <w:sz w:val="20"/>
          <w:szCs w:val="20"/>
          <w:lang w:val="en-US"/>
        </w:rPr>
        <w:t xml:space="preserve"> utile’</w:t>
      </w:r>
      <w:r w:rsidRPr="006879CC">
        <w:rPr>
          <w:rFonts w:ascii="Verdana" w:hAnsi="Verdana"/>
          <w:sz w:val="20"/>
          <w:szCs w:val="20"/>
          <w:lang w:val="en-US"/>
        </w:rPr>
        <w:t xml:space="preserve"> of being applied in a manner different from that envisaged in the previous provisions contained in Chapter II of Part I of the Convention. The element that distinguishes it is, precisely, that the rights to which it refers are not “</w:t>
      </w:r>
      <w:r w:rsidRPr="006879CC">
        <w:rPr>
          <w:rFonts w:ascii="Verdana" w:hAnsi="Verdana"/>
          <w:i/>
          <w:sz w:val="20"/>
          <w:szCs w:val="20"/>
          <w:lang w:val="en-US"/>
        </w:rPr>
        <w:t>enshrined</w:t>
      </w:r>
      <w:r w:rsidRPr="006879CC">
        <w:rPr>
          <w:rFonts w:ascii="Verdana" w:hAnsi="Verdana"/>
          <w:sz w:val="20"/>
          <w:szCs w:val="20"/>
          <w:lang w:val="en-US"/>
        </w:rPr>
        <w:t>” in the Convention, but are “</w:t>
      </w:r>
      <w:r w:rsidRPr="006879CC">
        <w:rPr>
          <w:rFonts w:ascii="Verdana" w:hAnsi="Verdana"/>
          <w:i/>
          <w:sz w:val="20"/>
          <w:szCs w:val="20"/>
          <w:lang w:val="en-US"/>
        </w:rPr>
        <w:t>derived</w:t>
      </w:r>
      <w:r w:rsidRPr="006879CC">
        <w:rPr>
          <w:rFonts w:ascii="Verdana" w:hAnsi="Verdana"/>
          <w:sz w:val="20"/>
          <w:szCs w:val="20"/>
          <w:lang w:val="en-US"/>
        </w:rPr>
        <w:t>” from the standards set forth in the OAS Charter, and also that they are not justiciable before the Court.</w:t>
      </w:r>
    </w:p>
    <w:p w14:paraId="0D9022AC" w14:textId="77777777" w:rsidR="00E6764B" w:rsidRPr="006879CC" w:rsidRDefault="00E6764B" w:rsidP="00E6764B">
      <w:pPr>
        <w:pStyle w:val="Prrafodelista"/>
        <w:ind w:left="0"/>
        <w:rPr>
          <w:rFonts w:ascii="Verdana" w:hAnsi="Verdana"/>
          <w:b/>
          <w:sz w:val="20"/>
          <w:szCs w:val="20"/>
          <w:lang w:val="en-US"/>
        </w:rPr>
      </w:pPr>
    </w:p>
    <w:p w14:paraId="6D8EDADA" w14:textId="77777777" w:rsidR="00E6764B" w:rsidRPr="006879CC" w:rsidRDefault="00E6764B" w:rsidP="007720B1">
      <w:pPr>
        <w:pStyle w:val="Prrafodelista"/>
        <w:widowControl/>
        <w:numPr>
          <w:ilvl w:val="0"/>
          <w:numId w:val="25"/>
        </w:numPr>
        <w:adjustRightInd/>
        <w:spacing w:after="200" w:line="276" w:lineRule="auto"/>
        <w:textAlignment w:val="auto"/>
        <w:rPr>
          <w:rFonts w:ascii="Verdana" w:hAnsi="Verdana"/>
          <w:b/>
          <w:sz w:val="20"/>
          <w:szCs w:val="20"/>
          <w:lang w:val="en-US"/>
        </w:rPr>
      </w:pPr>
      <w:r w:rsidRPr="006879CC">
        <w:rPr>
          <w:rFonts w:ascii="Verdana" w:hAnsi="Verdana"/>
          <w:b/>
          <w:sz w:val="20"/>
          <w:szCs w:val="20"/>
          <w:lang w:val="en-US"/>
        </w:rPr>
        <w:t>Functional or teleological method</w:t>
      </w:r>
    </w:p>
    <w:p w14:paraId="1C6ECA25" w14:textId="77777777" w:rsidR="00E6764B" w:rsidRPr="006879CC" w:rsidRDefault="00E6764B" w:rsidP="00E6764B">
      <w:pPr>
        <w:pStyle w:val="Prrafodelista"/>
        <w:ind w:left="0"/>
        <w:rPr>
          <w:rFonts w:ascii="Verdana" w:hAnsi="Verdana"/>
          <w:b/>
          <w:sz w:val="20"/>
          <w:szCs w:val="20"/>
          <w:lang w:val="en-US"/>
        </w:rPr>
      </w:pPr>
    </w:p>
    <w:p w14:paraId="614DA51D"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In attempting to specify the object and purpose of the conventional provision in question, it seems obvious that:</w:t>
      </w:r>
    </w:p>
    <w:p w14:paraId="7AC421CC" w14:textId="77777777" w:rsidR="00E6764B" w:rsidRPr="006879CC" w:rsidRDefault="00E6764B" w:rsidP="007720B1">
      <w:pPr>
        <w:widowControl/>
        <w:numPr>
          <w:ilvl w:val="0"/>
          <w:numId w:val="22"/>
        </w:numPr>
        <w:adjustRightInd/>
        <w:spacing w:after="200" w:line="276" w:lineRule="auto"/>
        <w:ind w:left="340"/>
        <w:contextualSpacing/>
        <w:textAlignment w:val="auto"/>
        <w:rPr>
          <w:rFonts w:ascii="Verdana" w:hAnsi="Verdana"/>
          <w:sz w:val="20"/>
          <w:szCs w:val="20"/>
          <w:lang w:val="en-US"/>
        </w:rPr>
      </w:pPr>
      <w:r w:rsidRPr="006879CC">
        <w:rPr>
          <w:rFonts w:ascii="Verdana" w:hAnsi="Verdana"/>
          <w:sz w:val="20"/>
          <w:szCs w:val="20"/>
          <w:lang w:val="en-US"/>
        </w:rPr>
        <w:t xml:space="preserve">the purpose of the States Parties to the Convention is </w:t>
      </w:r>
      <w:r w:rsidRPr="006879CC">
        <w:rPr>
          <w:rFonts w:ascii="Verdana" w:hAnsi="Verdana"/>
          <w:i/>
          <w:sz w:val="20"/>
          <w:szCs w:val="20"/>
          <w:lang w:val="en-US"/>
        </w:rPr>
        <w:t>“</w:t>
      </w:r>
      <w:r w:rsidRPr="006879CC">
        <w:rPr>
          <w:rFonts w:ascii="Verdana" w:hAnsi="Verdana"/>
          <w:sz w:val="20"/>
          <w:szCs w:val="20"/>
          <w:lang w:val="en-US"/>
        </w:rPr>
        <w:t>to consolidate in this hemisphere, within the framework of democratic institutions, a system of personal liberty and social justice based on respect for the essential rights of Man</w:t>
      </w:r>
      <w:r w:rsidRPr="006879CC">
        <w:rPr>
          <w:rFonts w:ascii="Verdana" w:hAnsi="Verdana"/>
          <w:i/>
          <w:sz w:val="20"/>
          <w:szCs w:val="20"/>
          <w:lang w:val="en-US"/>
        </w:rPr>
        <w:t>;</w:t>
      </w:r>
      <w:r w:rsidRPr="006879CC">
        <w:rPr>
          <w:rFonts w:ascii="Verdana" w:hAnsi="Verdana"/>
          <w:sz w:val="20"/>
          <w:szCs w:val="20"/>
          <w:lang w:val="en-US"/>
        </w:rPr>
        <w:t>”</w:t>
      </w:r>
      <w:r w:rsidRPr="006879CC">
        <w:rPr>
          <w:rFonts w:ascii="Verdana" w:hAnsi="Verdana"/>
          <w:sz w:val="20"/>
          <w:szCs w:val="20"/>
          <w:vertAlign w:val="superscript"/>
          <w:lang w:val="en-US"/>
        </w:rPr>
        <w:footnoteReference w:id="444"/>
      </w:r>
      <w:r w:rsidRPr="006879CC">
        <w:rPr>
          <w:rFonts w:ascii="Verdana" w:hAnsi="Verdana"/>
          <w:sz w:val="20"/>
          <w:szCs w:val="20"/>
          <w:lang w:val="en-US"/>
        </w:rPr>
        <w:t xml:space="preserve"> </w:t>
      </w:r>
    </w:p>
    <w:p w14:paraId="51518E43" w14:textId="77777777" w:rsidR="00E6764B" w:rsidRPr="006879CC" w:rsidRDefault="00E6764B" w:rsidP="00E6764B">
      <w:pPr>
        <w:spacing w:after="200" w:line="276" w:lineRule="auto"/>
        <w:ind w:left="340"/>
        <w:contextualSpacing/>
        <w:rPr>
          <w:rFonts w:ascii="Verdana" w:hAnsi="Verdana"/>
          <w:sz w:val="20"/>
          <w:szCs w:val="20"/>
          <w:lang w:val="en-US"/>
        </w:rPr>
      </w:pPr>
    </w:p>
    <w:p w14:paraId="40CB839F" w14:textId="77777777" w:rsidR="00E6764B" w:rsidRPr="006879CC" w:rsidRDefault="00E6764B" w:rsidP="007720B1">
      <w:pPr>
        <w:widowControl/>
        <w:numPr>
          <w:ilvl w:val="0"/>
          <w:numId w:val="22"/>
        </w:numPr>
        <w:adjustRightInd/>
        <w:spacing w:after="200" w:line="276" w:lineRule="auto"/>
        <w:ind w:left="340"/>
        <w:contextualSpacing/>
        <w:textAlignment w:val="auto"/>
        <w:rPr>
          <w:rFonts w:ascii="Verdana" w:hAnsi="Verdana"/>
          <w:sz w:val="20"/>
          <w:szCs w:val="20"/>
          <w:lang w:val="en-US"/>
        </w:rPr>
      </w:pPr>
      <w:r w:rsidRPr="006879CC">
        <w:rPr>
          <w:rFonts w:ascii="Verdana" w:hAnsi="Verdana"/>
          <w:sz w:val="20"/>
          <w:szCs w:val="20"/>
          <w:lang w:val="en-US"/>
        </w:rPr>
        <w:t xml:space="preserve">in general, as I have reiterated to the Court on several occasions, </w:t>
      </w:r>
      <w:r w:rsidRPr="006879CC">
        <w:rPr>
          <w:rFonts w:ascii="Verdana" w:eastAsia="Times" w:hAnsi="Verdana" w:cs="Arial"/>
          <w:i/>
          <w:sz w:val="20"/>
          <w:szCs w:val="20"/>
          <w:lang w:val="en-US"/>
        </w:rPr>
        <w:t>“the object and purpose of the Convention is to protect the fundamental rights of human beings;”</w:t>
      </w:r>
      <w:r w:rsidRPr="006879CC">
        <w:rPr>
          <w:rFonts w:ascii="Verdana" w:eastAsia="Times" w:hAnsi="Verdana" w:cs="Arial"/>
          <w:i/>
          <w:sz w:val="20"/>
          <w:szCs w:val="20"/>
          <w:vertAlign w:val="superscript"/>
          <w:lang w:val="en-US"/>
        </w:rPr>
        <w:footnoteReference w:id="445"/>
      </w:r>
    </w:p>
    <w:p w14:paraId="5A853816" w14:textId="77777777" w:rsidR="00E6764B" w:rsidRPr="006879CC" w:rsidRDefault="00E6764B" w:rsidP="00E6764B">
      <w:pPr>
        <w:spacing w:line="276" w:lineRule="auto"/>
        <w:ind w:left="340"/>
        <w:contextualSpacing/>
        <w:rPr>
          <w:rFonts w:ascii="Verdana" w:hAnsi="Verdana"/>
          <w:sz w:val="20"/>
          <w:szCs w:val="20"/>
          <w:lang w:val="en-US"/>
        </w:rPr>
      </w:pPr>
    </w:p>
    <w:p w14:paraId="0D14080D" w14:textId="53DBC9B8" w:rsidR="00E6764B" w:rsidRDefault="00E6764B" w:rsidP="007720B1">
      <w:pPr>
        <w:widowControl/>
        <w:numPr>
          <w:ilvl w:val="0"/>
          <w:numId w:val="22"/>
        </w:numPr>
        <w:adjustRightInd/>
        <w:spacing w:after="200" w:line="276" w:lineRule="auto"/>
        <w:ind w:left="340"/>
        <w:contextualSpacing/>
        <w:textAlignment w:val="auto"/>
        <w:rPr>
          <w:rFonts w:ascii="Verdana" w:hAnsi="Verdana"/>
          <w:sz w:val="20"/>
          <w:szCs w:val="20"/>
          <w:lang w:val="en-US"/>
        </w:rPr>
      </w:pPr>
      <w:r w:rsidRPr="000555E7">
        <w:rPr>
          <w:rFonts w:ascii="Verdana" w:eastAsia="Times" w:hAnsi="Verdana" w:cs="Arial"/>
          <w:sz w:val="20"/>
          <w:szCs w:val="20"/>
          <w:lang w:val="en-US"/>
        </w:rPr>
        <w:t>however, its more specific object and purpose, explicitly stated therein, is to determine</w:t>
      </w:r>
      <w:r w:rsidRPr="000555E7">
        <w:rPr>
          <w:rFonts w:ascii="Verdana" w:hAnsi="Verdana"/>
          <w:i/>
          <w:sz w:val="20"/>
          <w:szCs w:val="20"/>
          <w:lang w:val="en-US"/>
        </w:rPr>
        <w:t xml:space="preserve"> “the structure, competence and procedure of the organs responsible for these matters;”</w:t>
      </w:r>
      <w:r w:rsidRPr="006879CC">
        <w:rPr>
          <w:rFonts w:ascii="Verdana" w:hAnsi="Verdana"/>
          <w:i/>
          <w:sz w:val="20"/>
          <w:szCs w:val="20"/>
          <w:vertAlign w:val="superscript"/>
          <w:lang w:val="en-US"/>
        </w:rPr>
        <w:footnoteReference w:id="446"/>
      </w:r>
      <w:r w:rsidRPr="000555E7">
        <w:rPr>
          <w:rFonts w:ascii="Verdana" w:hAnsi="Verdana"/>
          <w:i/>
          <w:sz w:val="20"/>
          <w:szCs w:val="20"/>
          <w:lang w:val="en-US"/>
        </w:rPr>
        <w:t xml:space="preserve"> </w:t>
      </w:r>
      <w:r w:rsidRPr="000555E7">
        <w:rPr>
          <w:rFonts w:ascii="Verdana" w:hAnsi="Verdana"/>
          <w:sz w:val="20"/>
          <w:szCs w:val="20"/>
          <w:lang w:val="en-US"/>
        </w:rPr>
        <w:t>and</w:t>
      </w:r>
    </w:p>
    <w:p w14:paraId="31D6798D" w14:textId="77777777" w:rsidR="000555E7" w:rsidRPr="000555E7" w:rsidRDefault="000555E7" w:rsidP="000555E7">
      <w:pPr>
        <w:widowControl/>
        <w:adjustRightInd/>
        <w:spacing w:after="200" w:line="276" w:lineRule="auto"/>
        <w:ind w:left="340"/>
        <w:contextualSpacing/>
        <w:textAlignment w:val="auto"/>
        <w:rPr>
          <w:rFonts w:ascii="Verdana" w:hAnsi="Verdana"/>
          <w:sz w:val="20"/>
          <w:szCs w:val="20"/>
          <w:lang w:val="en-US"/>
        </w:rPr>
      </w:pPr>
    </w:p>
    <w:p w14:paraId="548590BF" w14:textId="77777777" w:rsidR="00E6764B" w:rsidRPr="006879CC" w:rsidRDefault="00E6764B" w:rsidP="007720B1">
      <w:pPr>
        <w:widowControl/>
        <w:numPr>
          <w:ilvl w:val="0"/>
          <w:numId w:val="22"/>
        </w:numPr>
        <w:adjustRightInd/>
        <w:spacing w:after="200" w:line="276" w:lineRule="auto"/>
        <w:ind w:left="340"/>
        <w:contextualSpacing/>
        <w:textAlignment w:val="auto"/>
        <w:rPr>
          <w:rFonts w:ascii="Verdana" w:hAnsi="Verdana"/>
          <w:sz w:val="20"/>
          <w:szCs w:val="20"/>
          <w:lang w:val="en-US"/>
        </w:rPr>
      </w:pPr>
      <w:r w:rsidRPr="006879CC">
        <w:rPr>
          <w:rFonts w:ascii="Verdana" w:hAnsi="Verdana"/>
          <w:sz w:val="20"/>
          <w:szCs w:val="20"/>
          <w:lang w:val="en-US"/>
        </w:rPr>
        <w:t>within that structural framework, it is clear that the specific object and purpose of Article 26 of the Convention is that the States Parties “</w:t>
      </w:r>
      <w:r w:rsidRPr="006879CC">
        <w:rPr>
          <w:rFonts w:ascii="Verdana" w:hAnsi="Verdana"/>
          <w:i/>
          <w:sz w:val="20"/>
          <w:szCs w:val="20"/>
          <w:lang w:val="en-US"/>
        </w:rPr>
        <w:t xml:space="preserve">adopt measures, </w:t>
      </w:r>
      <w:r w:rsidRPr="006879CC">
        <w:rPr>
          <w:rFonts w:ascii="Verdana" w:hAnsi="Verdana"/>
          <w:i/>
          <w:color w:val="000000"/>
          <w:sz w:val="20"/>
          <w:szCs w:val="20"/>
          <w:lang w:val="en-US"/>
        </w:rPr>
        <w:t xml:space="preserve">both internally and through </w:t>
      </w:r>
      <w:r w:rsidRPr="006879CC">
        <w:rPr>
          <w:rFonts w:ascii="Verdana" w:hAnsi="Verdana"/>
          <w:i/>
          <w:color w:val="000000"/>
          <w:sz w:val="20"/>
          <w:szCs w:val="20"/>
          <w:lang w:val="en-US"/>
        </w:rPr>
        <w:lastRenderedPageBreak/>
        <w:t>international cooperation</w:t>
      </w:r>
      <w:r w:rsidRPr="006879CC">
        <w:rPr>
          <w:rFonts w:ascii="Verdana" w:hAnsi="Verdana"/>
          <w:i/>
          <w:sz w:val="20"/>
          <w:szCs w:val="20"/>
          <w:lang w:val="en-US"/>
        </w:rPr>
        <w:t xml:space="preserve">, </w:t>
      </w:r>
      <w:r w:rsidRPr="006879CC">
        <w:rPr>
          <w:rFonts w:ascii="Verdana" w:hAnsi="Verdana"/>
          <w:i/>
          <w:color w:val="000000"/>
          <w:sz w:val="20"/>
          <w:szCs w:val="20"/>
          <w:lang w:val="en-US"/>
        </w:rPr>
        <w:t>especially those of an economic and technical nature</w:t>
      </w:r>
      <w:r w:rsidRPr="006879CC">
        <w:rPr>
          <w:rFonts w:ascii="Verdana" w:hAnsi="Verdana"/>
          <w:i/>
          <w:sz w:val="20"/>
          <w:szCs w:val="20"/>
          <w:lang w:val="en-US"/>
        </w:rPr>
        <w:t xml:space="preserve">, </w:t>
      </w:r>
      <w:r w:rsidRPr="006879CC">
        <w:rPr>
          <w:rFonts w:ascii="Verdana" w:hAnsi="Verdana"/>
          <w:i/>
          <w:color w:val="000000"/>
          <w:sz w:val="20"/>
          <w:szCs w:val="20"/>
          <w:lang w:val="en-US"/>
        </w:rPr>
        <w:t>with a view to achieving</w:t>
      </w:r>
      <w:r w:rsidRPr="006879CC">
        <w:rPr>
          <w:rFonts w:ascii="Verdana" w:hAnsi="Verdana"/>
          <w:color w:val="000000"/>
          <w:sz w:val="20"/>
          <w:szCs w:val="20"/>
          <w:lang w:val="en-US"/>
        </w:rPr>
        <w:t xml:space="preserve"> </w:t>
      </w:r>
      <w:r w:rsidRPr="006879CC">
        <w:rPr>
          <w:rFonts w:ascii="Verdana" w:hAnsi="Verdana"/>
          <w:i/>
          <w:color w:val="000000"/>
          <w:sz w:val="20"/>
          <w:szCs w:val="20"/>
          <w:lang w:val="en-US"/>
        </w:rPr>
        <w:t>progressively,</w:t>
      </w:r>
      <w:r w:rsidRPr="006879CC">
        <w:rPr>
          <w:rFonts w:ascii="Verdana" w:hAnsi="Verdana"/>
          <w:i/>
          <w:sz w:val="20"/>
          <w:szCs w:val="20"/>
          <w:lang w:val="en-US"/>
        </w:rPr>
        <w:t xml:space="preserve"> </w:t>
      </w:r>
      <w:r w:rsidRPr="006879CC">
        <w:rPr>
          <w:rFonts w:ascii="Verdana" w:hAnsi="Verdana"/>
          <w:i/>
          <w:color w:val="000000"/>
          <w:sz w:val="20"/>
          <w:szCs w:val="20"/>
          <w:lang w:val="en-US"/>
        </w:rPr>
        <w:t xml:space="preserve">the full realization of the rights </w:t>
      </w:r>
      <w:r w:rsidRPr="006879CC">
        <w:rPr>
          <w:rFonts w:ascii="Verdana" w:hAnsi="Verdana"/>
          <w:i/>
          <w:sz w:val="20"/>
          <w:szCs w:val="20"/>
          <w:lang w:val="en-US"/>
        </w:rPr>
        <w:t xml:space="preserve">derived from the </w:t>
      </w:r>
      <w:r w:rsidRPr="006879CC">
        <w:rPr>
          <w:rFonts w:ascii="Verdana" w:hAnsi="Verdana"/>
          <w:i/>
          <w:color w:val="000000"/>
          <w:sz w:val="20"/>
          <w:szCs w:val="20"/>
          <w:lang w:val="en-US"/>
        </w:rPr>
        <w:t xml:space="preserve">economic, social, educational, scientific, and cultural standards set forth in the Charter of the </w:t>
      </w:r>
      <w:r w:rsidRPr="006879CC">
        <w:rPr>
          <w:rFonts w:ascii="Verdana" w:hAnsi="Verdana"/>
          <w:i/>
          <w:sz w:val="20"/>
          <w:szCs w:val="20"/>
          <w:lang w:val="en-US"/>
        </w:rPr>
        <w:t xml:space="preserve">Organization of American States, </w:t>
      </w:r>
      <w:r w:rsidRPr="006879CC">
        <w:rPr>
          <w:rFonts w:ascii="Verdana" w:hAnsi="Verdana"/>
          <w:i/>
          <w:color w:val="000000"/>
          <w:sz w:val="20"/>
          <w:szCs w:val="20"/>
          <w:lang w:val="en-US"/>
        </w:rPr>
        <w:t>as amended by the Protocol of Buenos Aires</w:t>
      </w:r>
      <w:r w:rsidRPr="006879CC">
        <w:rPr>
          <w:rFonts w:ascii="Verdana" w:hAnsi="Verdana"/>
          <w:i/>
          <w:sz w:val="20"/>
          <w:szCs w:val="20"/>
          <w:lang w:val="en-US"/>
        </w:rPr>
        <w:t>, subject to available resources, by legislation or other appropriate means.</w:t>
      </w:r>
      <w:r w:rsidRPr="006879CC">
        <w:rPr>
          <w:rFonts w:ascii="Verdana" w:hAnsi="Verdana"/>
          <w:sz w:val="20"/>
          <w:szCs w:val="20"/>
          <w:lang w:val="en-US"/>
        </w:rPr>
        <w:t>”</w:t>
      </w:r>
    </w:p>
    <w:p w14:paraId="230EC7CE" w14:textId="77777777" w:rsidR="00E6764B" w:rsidRPr="006879CC" w:rsidRDefault="00E6764B" w:rsidP="007720B1">
      <w:pPr>
        <w:pStyle w:val="Prrafodelista"/>
        <w:widowControl/>
        <w:numPr>
          <w:ilvl w:val="0"/>
          <w:numId w:val="19"/>
        </w:numPr>
        <w:adjustRightInd/>
        <w:spacing w:before="120" w:after="120" w:line="276" w:lineRule="auto"/>
        <w:ind w:left="20" w:hanging="20"/>
        <w:textAlignment w:val="auto"/>
        <w:rPr>
          <w:rFonts w:ascii="Verdana" w:hAnsi="Verdana"/>
          <w:sz w:val="20"/>
          <w:szCs w:val="20"/>
          <w:lang w:val="en-US"/>
        </w:rPr>
      </w:pPr>
      <w:r w:rsidRPr="006879CC">
        <w:rPr>
          <w:rFonts w:ascii="Verdana" w:hAnsi="Verdana"/>
          <w:sz w:val="20"/>
          <w:szCs w:val="20"/>
          <w:lang w:val="en-US"/>
        </w:rPr>
        <w:t>Finally, the application of the functional or teleological method of treaty interpretation in relation to Article 26 of the Convention leads to the same conclusion reached by using the other methods of treaty interpretation, namely, that this provision is not intended to establish a human right, but only to enshrine the obligation of the States Parties to adopt measures to fully realize the economic, social and cultural rights “</w:t>
      </w:r>
      <w:r w:rsidRPr="006879CC">
        <w:rPr>
          <w:rFonts w:ascii="Verdana" w:hAnsi="Verdana"/>
          <w:i/>
          <w:sz w:val="20"/>
          <w:szCs w:val="20"/>
          <w:lang w:val="en-US"/>
        </w:rPr>
        <w:t>derived</w:t>
      </w:r>
      <w:r w:rsidRPr="006879CC">
        <w:rPr>
          <w:rFonts w:ascii="Verdana" w:hAnsi="Verdana"/>
          <w:sz w:val="20"/>
          <w:szCs w:val="20"/>
          <w:lang w:val="en-US"/>
        </w:rPr>
        <w:t>” from the OAS Charter.</w:t>
      </w:r>
    </w:p>
    <w:p w14:paraId="0913EA34" w14:textId="77777777" w:rsidR="00E6764B" w:rsidRPr="006879CC" w:rsidRDefault="00E6764B" w:rsidP="00E6764B">
      <w:pPr>
        <w:pStyle w:val="Prrafodelista"/>
        <w:ind w:left="0"/>
        <w:rPr>
          <w:rFonts w:ascii="Verdana" w:hAnsi="Verdana"/>
          <w:sz w:val="20"/>
          <w:szCs w:val="20"/>
          <w:lang w:val="en-US"/>
        </w:rPr>
      </w:pPr>
    </w:p>
    <w:p w14:paraId="5C0C817D" w14:textId="77777777" w:rsidR="00E6764B" w:rsidRPr="006879CC" w:rsidRDefault="00E6764B" w:rsidP="007720B1">
      <w:pPr>
        <w:pStyle w:val="Prrafodelista"/>
        <w:widowControl/>
        <w:numPr>
          <w:ilvl w:val="0"/>
          <w:numId w:val="20"/>
        </w:numPr>
        <w:adjustRightInd/>
        <w:spacing w:line="276" w:lineRule="auto"/>
        <w:ind w:left="709"/>
        <w:textAlignment w:val="auto"/>
        <w:rPr>
          <w:rFonts w:ascii="Verdana" w:hAnsi="Verdana"/>
          <w:b/>
          <w:sz w:val="20"/>
          <w:szCs w:val="20"/>
          <w:lang w:val="en-US"/>
        </w:rPr>
      </w:pPr>
      <w:r w:rsidRPr="006879CC">
        <w:rPr>
          <w:rFonts w:ascii="Verdana" w:hAnsi="Verdana"/>
          <w:b/>
          <w:sz w:val="20"/>
          <w:szCs w:val="20"/>
          <w:lang w:val="en-US"/>
        </w:rPr>
        <w:t>DISAGREEMENT WITH THE JUDGMENT.</w:t>
      </w:r>
    </w:p>
    <w:p w14:paraId="66D085E1" w14:textId="77777777" w:rsidR="00E6764B" w:rsidRPr="006879CC" w:rsidRDefault="00E6764B" w:rsidP="00E6764B">
      <w:pPr>
        <w:spacing w:line="276" w:lineRule="auto"/>
        <w:rPr>
          <w:rFonts w:ascii="Verdana" w:hAnsi="Verdana"/>
          <w:b/>
          <w:sz w:val="20"/>
          <w:szCs w:val="20"/>
          <w:lang w:val="en-US"/>
        </w:rPr>
      </w:pPr>
    </w:p>
    <w:p w14:paraId="68ACF109" w14:textId="77777777" w:rsidR="00E6764B" w:rsidRPr="006879CC" w:rsidRDefault="00E6764B" w:rsidP="007720B1">
      <w:pPr>
        <w:pStyle w:val="Prrafodelista"/>
        <w:widowControl/>
        <w:numPr>
          <w:ilvl w:val="0"/>
          <w:numId w:val="19"/>
        </w:numPr>
        <w:tabs>
          <w:tab w:val="left" w:pos="567"/>
        </w:tabs>
        <w:adjustRightInd/>
        <w:spacing w:line="276" w:lineRule="auto"/>
        <w:ind w:left="0" w:firstLine="0"/>
        <w:textAlignment w:val="auto"/>
        <w:rPr>
          <w:rFonts w:ascii="Verdana" w:hAnsi="Verdana" w:cs="Verdana"/>
          <w:i/>
          <w:sz w:val="20"/>
          <w:szCs w:val="20"/>
          <w:lang w:val="en-US"/>
        </w:rPr>
      </w:pPr>
      <w:r w:rsidRPr="006879CC">
        <w:rPr>
          <w:rFonts w:ascii="Verdana" w:hAnsi="Verdana"/>
          <w:sz w:val="20"/>
          <w:szCs w:val="20"/>
          <w:lang w:val="en-US"/>
        </w:rPr>
        <w:t>Based on the foregoing analysis, which highlights the difference between the interpretation of Article 26 made in the Judgment, and the one expressed in this opinion, it nevertheless seems appropriate or useful to explain this divergence in greater detail. To that end, I will begin by pointing out that, for the purposes of interpreting Article 26 of the Convention, I will refer to the content of the judgments issued in the cases of</w:t>
      </w:r>
      <w:r w:rsidRPr="006879CC">
        <w:rPr>
          <w:rFonts w:ascii="Verdana" w:hAnsi="Verdana"/>
          <w:i/>
          <w:sz w:val="20"/>
          <w:szCs w:val="20"/>
          <w:lang w:val="en-US"/>
        </w:rPr>
        <w:t xml:space="preserve"> “Acevedo </w:t>
      </w:r>
      <w:proofErr w:type="spellStart"/>
      <w:r w:rsidRPr="006879CC">
        <w:rPr>
          <w:rFonts w:ascii="Verdana" w:hAnsi="Verdana"/>
          <w:i/>
          <w:sz w:val="20"/>
          <w:szCs w:val="20"/>
          <w:lang w:val="en-US"/>
        </w:rPr>
        <w:t>Buendía</w:t>
      </w:r>
      <w:proofErr w:type="spellEnd"/>
      <w:r w:rsidRPr="006879CC">
        <w:rPr>
          <w:rFonts w:ascii="Verdana" w:hAnsi="Verdana"/>
          <w:i/>
          <w:sz w:val="20"/>
          <w:szCs w:val="20"/>
          <w:lang w:val="en-US"/>
        </w:rPr>
        <w:t xml:space="preserve"> et al. (“Discharged and Retired Employees of the Comptroller’s Office”) v. Peru,”</w:t>
      </w:r>
      <w:r w:rsidRPr="006879CC">
        <w:rPr>
          <w:rFonts w:ascii="Verdana" w:hAnsi="Verdana"/>
          <w:i/>
          <w:sz w:val="20"/>
          <w:szCs w:val="20"/>
          <w:vertAlign w:val="superscript"/>
          <w:lang w:val="en-US"/>
        </w:rPr>
        <w:footnoteReference w:id="447"/>
      </w:r>
      <w:r w:rsidRPr="006879CC">
        <w:rPr>
          <w:rFonts w:ascii="Verdana" w:hAnsi="Verdana"/>
          <w:i/>
          <w:sz w:val="20"/>
          <w:szCs w:val="20"/>
          <w:lang w:val="en-US"/>
        </w:rPr>
        <w:t xml:space="preserve"> “Lagos del Campo v. Peru</w:t>
      </w:r>
      <w:r w:rsidRPr="006879CC">
        <w:rPr>
          <w:rFonts w:ascii="Verdana" w:hAnsi="Verdana"/>
          <w:sz w:val="20"/>
          <w:szCs w:val="20"/>
          <w:lang w:val="en-US"/>
        </w:rPr>
        <w:t>”</w:t>
      </w:r>
      <w:r w:rsidRPr="006879CC">
        <w:rPr>
          <w:rFonts w:ascii="Verdana" w:hAnsi="Verdana"/>
          <w:sz w:val="20"/>
          <w:szCs w:val="20"/>
          <w:vertAlign w:val="superscript"/>
          <w:lang w:val="en-US"/>
        </w:rPr>
        <w:footnoteReference w:id="448"/>
      </w:r>
      <w:r w:rsidRPr="006879CC">
        <w:rPr>
          <w:rFonts w:ascii="Verdana" w:hAnsi="Verdana"/>
          <w:sz w:val="20"/>
          <w:szCs w:val="20"/>
          <w:lang w:val="en-US"/>
        </w:rPr>
        <w:t xml:space="preserve"> and most </w:t>
      </w:r>
      <w:r w:rsidRPr="006879CC">
        <w:rPr>
          <w:rFonts w:ascii="Verdana" w:hAnsi="Verdana" w:cs="Verdana"/>
          <w:sz w:val="20"/>
          <w:szCs w:val="20"/>
          <w:lang w:val="en-US"/>
        </w:rPr>
        <w:t>especially, “</w:t>
      </w:r>
      <w:proofErr w:type="spellStart"/>
      <w:r w:rsidRPr="006879CC">
        <w:rPr>
          <w:rFonts w:ascii="Verdana" w:hAnsi="Verdana" w:cs="Verdana"/>
          <w:i/>
          <w:sz w:val="20"/>
          <w:szCs w:val="20"/>
          <w:lang w:val="en-US"/>
        </w:rPr>
        <w:t>Cuscúl</w:t>
      </w:r>
      <w:proofErr w:type="spellEnd"/>
      <w:r w:rsidRPr="006879CC">
        <w:rPr>
          <w:rFonts w:ascii="Verdana" w:hAnsi="Verdana" w:cs="Verdana"/>
          <w:i/>
          <w:sz w:val="20"/>
          <w:szCs w:val="20"/>
          <w:lang w:val="en-US"/>
        </w:rPr>
        <w:t xml:space="preserve"> </w:t>
      </w:r>
      <w:proofErr w:type="spellStart"/>
      <w:r w:rsidRPr="006879CC">
        <w:rPr>
          <w:rFonts w:ascii="Verdana" w:hAnsi="Verdana" w:cs="Verdana"/>
          <w:i/>
          <w:sz w:val="20"/>
          <w:szCs w:val="20"/>
          <w:lang w:val="en-US"/>
        </w:rPr>
        <w:t>Pivaral</w:t>
      </w:r>
      <w:proofErr w:type="spellEnd"/>
      <w:r w:rsidRPr="006879CC">
        <w:rPr>
          <w:rFonts w:ascii="Verdana" w:hAnsi="Verdana" w:cs="Verdana"/>
          <w:i/>
          <w:sz w:val="20"/>
          <w:szCs w:val="20"/>
          <w:lang w:val="en-US"/>
        </w:rPr>
        <w:t xml:space="preserve"> et al. v. Guatemala.”</w:t>
      </w:r>
      <w:r w:rsidRPr="006879CC">
        <w:rPr>
          <w:rFonts w:ascii="Verdana" w:hAnsi="Verdana" w:cs="Verdana"/>
          <w:i/>
          <w:sz w:val="20"/>
          <w:szCs w:val="20"/>
          <w:vertAlign w:val="superscript"/>
          <w:lang w:val="en-US"/>
        </w:rPr>
        <w:footnoteReference w:id="449"/>
      </w:r>
      <w:r w:rsidRPr="006879CC">
        <w:rPr>
          <w:rFonts w:ascii="Verdana" w:hAnsi="Verdana" w:cs="Verdana"/>
          <w:sz w:val="20"/>
          <w:szCs w:val="20"/>
          <w:lang w:val="en-US"/>
        </w:rPr>
        <w:t xml:space="preserve"> Considering that, in the first two judgments separate opinions were issued</w:t>
      </w:r>
      <w:r w:rsidRPr="006879CC">
        <w:rPr>
          <w:rStyle w:val="Refdenotaalpie"/>
          <w:rFonts w:cs="Verdana"/>
          <w:szCs w:val="20"/>
          <w:lang w:val="en-US"/>
        </w:rPr>
        <w:footnoteReference w:id="450"/>
      </w:r>
      <w:r w:rsidRPr="006879CC">
        <w:rPr>
          <w:rFonts w:ascii="Verdana" w:hAnsi="Verdana" w:cs="Verdana"/>
          <w:sz w:val="20"/>
          <w:szCs w:val="20"/>
          <w:lang w:val="en-US"/>
        </w:rPr>
        <w:t xml:space="preserve"> which were ratified, and that the Judgment in the instant case makes particular </w:t>
      </w:r>
      <w:r w:rsidRPr="006879CC">
        <w:rPr>
          <w:rFonts w:ascii="Verdana" w:hAnsi="Verdana"/>
          <w:sz w:val="20"/>
          <w:szCs w:val="20"/>
          <w:lang w:val="en-US"/>
        </w:rPr>
        <w:t>mention of the last of these rulings</w:t>
      </w:r>
      <w:r w:rsidRPr="006879CC">
        <w:rPr>
          <w:rFonts w:ascii="Verdana" w:hAnsi="Verdana"/>
          <w:sz w:val="20"/>
          <w:szCs w:val="20"/>
          <w:vertAlign w:val="superscript"/>
          <w:lang w:val="en-US"/>
        </w:rPr>
        <w:footnoteReference w:id="451"/>
      </w:r>
      <w:r w:rsidRPr="006879CC">
        <w:rPr>
          <w:rFonts w:ascii="Verdana" w:hAnsi="Verdana"/>
          <w:sz w:val="20"/>
          <w:szCs w:val="20"/>
          <w:lang w:val="en-US"/>
        </w:rPr>
        <w:t xml:space="preserve"> (i.e. </w:t>
      </w:r>
      <w:proofErr w:type="spellStart"/>
      <w:r w:rsidRPr="006879CC">
        <w:rPr>
          <w:rFonts w:ascii="Verdana" w:hAnsi="Verdana" w:cs="Verdana"/>
          <w:i/>
          <w:sz w:val="20"/>
          <w:szCs w:val="20"/>
          <w:lang w:val="en-US"/>
        </w:rPr>
        <w:t>Cuscúl</w:t>
      </w:r>
      <w:proofErr w:type="spellEnd"/>
      <w:r w:rsidRPr="006879CC">
        <w:rPr>
          <w:rFonts w:ascii="Verdana" w:hAnsi="Verdana" w:cs="Verdana"/>
          <w:i/>
          <w:sz w:val="20"/>
          <w:szCs w:val="20"/>
          <w:lang w:val="en-US"/>
        </w:rPr>
        <w:t xml:space="preserve"> </w:t>
      </w:r>
      <w:proofErr w:type="spellStart"/>
      <w:r w:rsidRPr="006879CC">
        <w:rPr>
          <w:rFonts w:ascii="Verdana" w:hAnsi="Verdana" w:cs="Verdana"/>
          <w:i/>
          <w:sz w:val="20"/>
          <w:szCs w:val="20"/>
          <w:lang w:val="en-US"/>
        </w:rPr>
        <w:t>Pivaral</w:t>
      </w:r>
      <w:proofErr w:type="spellEnd"/>
      <w:r w:rsidRPr="006879CC">
        <w:rPr>
          <w:rFonts w:ascii="Verdana" w:hAnsi="Verdana" w:cs="Verdana"/>
          <w:i/>
          <w:sz w:val="20"/>
          <w:szCs w:val="20"/>
          <w:lang w:val="en-US"/>
        </w:rPr>
        <w:t xml:space="preserve"> et al. v. Guatemala)</w:t>
      </w:r>
      <w:r w:rsidRPr="006879CC">
        <w:rPr>
          <w:rFonts w:ascii="Verdana" w:hAnsi="Verdana"/>
          <w:sz w:val="20"/>
          <w:szCs w:val="20"/>
          <w:lang w:val="en-US"/>
        </w:rPr>
        <w:t xml:space="preserve"> in which the undersigned did not participate,</w:t>
      </w:r>
      <w:r w:rsidRPr="006879CC">
        <w:rPr>
          <w:rFonts w:ascii="Verdana" w:hAnsi="Verdana" w:cs="Verdana"/>
          <w:sz w:val="20"/>
          <w:szCs w:val="20"/>
          <w:vertAlign w:val="superscript"/>
          <w:lang w:val="en-US"/>
        </w:rPr>
        <w:footnoteReference w:id="452"/>
      </w:r>
      <w:r w:rsidRPr="006879CC">
        <w:rPr>
          <w:rFonts w:ascii="Verdana" w:hAnsi="Verdana"/>
          <w:sz w:val="20"/>
          <w:szCs w:val="20"/>
          <w:lang w:val="en-US"/>
        </w:rPr>
        <w:t xml:space="preserve"> in order to fully understand the disagreement I express in this opinion it is imperative to refer to it.</w:t>
      </w:r>
      <w:r w:rsidRPr="006879CC">
        <w:rPr>
          <w:rFonts w:ascii="Verdana" w:hAnsi="Verdana"/>
          <w:sz w:val="20"/>
          <w:szCs w:val="20"/>
          <w:vertAlign w:val="superscript"/>
          <w:lang w:val="en-US"/>
        </w:rPr>
        <w:footnoteReference w:id="453"/>
      </w:r>
      <w:r w:rsidRPr="006879CC">
        <w:rPr>
          <w:rFonts w:ascii="Verdana" w:hAnsi="Verdana"/>
          <w:sz w:val="20"/>
          <w:szCs w:val="20"/>
          <w:lang w:val="en-US"/>
        </w:rPr>
        <w:t xml:space="preserve"> </w:t>
      </w:r>
    </w:p>
    <w:p w14:paraId="4DA7E07A" w14:textId="77777777" w:rsidR="00E6764B" w:rsidRPr="006879CC" w:rsidRDefault="00E6764B" w:rsidP="00E6764B">
      <w:pPr>
        <w:pStyle w:val="Prrafodelista"/>
        <w:tabs>
          <w:tab w:val="left" w:pos="567"/>
        </w:tabs>
        <w:ind w:left="0"/>
        <w:rPr>
          <w:rFonts w:ascii="Verdana" w:hAnsi="Verdana" w:cs="Verdana"/>
          <w:i/>
          <w:sz w:val="20"/>
          <w:szCs w:val="20"/>
          <w:lang w:val="en-US"/>
        </w:rPr>
      </w:pPr>
    </w:p>
    <w:p w14:paraId="3C5B8BFA" w14:textId="77777777" w:rsidR="00E6764B" w:rsidRPr="006879CC" w:rsidRDefault="00E6764B" w:rsidP="007720B1">
      <w:pPr>
        <w:pStyle w:val="Prrafodelista"/>
        <w:widowControl/>
        <w:numPr>
          <w:ilvl w:val="0"/>
          <w:numId w:val="19"/>
        </w:numPr>
        <w:tabs>
          <w:tab w:val="left" w:pos="567"/>
        </w:tabs>
        <w:adjustRightInd/>
        <w:spacing w:line="276" w:lineRule="auto"/>
        <w:ind w:left="20" w:hanging="20"/>
        <w:textAlignment w:val="auto"/>
        <w:rPr>
          <w:rFonts w:ascii="Verdana" w:hAnsi="Verdana" w:cs="Verdana"/>
          <w:i/>
          <w:sz w:val="20"/>
          <w:szCs w:val="20"/>
          <w:lang w:val="en-US"/>
        </w:rPr>
      </w:pPr>
      <w:r w:rsidRPr="006879CC">
        <w:rPr>
          <w:rFonts w:ascii="Verdana" w:hAnsi="Verdana" w:cs="Verdana"/>
          <w:sz w:val="20"/>
          <w:szCs w:val="20"/>
          <w:lang w:val="en-US"/>
        </w:rPr>
        <w:t xml:space="preserve">That said, as a prior consideration, it should be noted that </w:t>
      </w:r>
      <w:r w:rsidRPr="006879CC">
        <w:rPr>
          <w:rFonts w:ascii="Verdana" w:hAnsi="Verdana"/>
          <w:sz w:val="20"/>
          <w:szCs w:val="20"/>
          <w:lang w:val="en-US"/>
        </w:rPr>
        <w:t>in other judgments the Court achieved a result analogous to the one sought in this case by applying only those provisions of the Convention that refer to the rights recognized therein, logically within their limits, such as those that protect the right to personal integrity, property, judicial guarantees and judicial protection, without the need to refer to the aforementioned Article 26.</w:t>
      </w:r>
    </w:p>
    <w:p w14:paraId="1F15BFA1" w14:textId="77777777" w:rsidR="00E6764B" w:rsidRPr="006879CC" w:rsidRDefault="00E6764B" w:rsidP="00E6764B">
      <w:pPr>
        <w:pStyle w:val="Prrafodelista"/>
        <w:rPr>
          <w:rFonts w:ascii="Verdana" w:hAnsi="Verdana" w:cs="Verdana"/>
          <w:i/>
          <w:sz w:val="20"/>
          <w:szCs w:val="20"/>
          <w:lang w:val="en-US"/>
        </w:rPr>
      </w:pPr>
    </w:p>
    <w:p w14:paraId="206533BF" w14:textId="77777777" w:rsidR="00E6764B" w:rsidRPr="006879CC" w:rsidRDefault="00E6764B" w:rsidP="007720B1">
      <w:pPr>
        <w:pStyle w:val="Prrafodelista"/>
        <w:widowControl/>
        <w:numPr>
          <w:ilvl w:val="0"/>
          <w:numId w:val="19"/>
        </w:numPr>
        <w:tabs>
          <w:tab w:val="left" w:pos="567"/>
        </w:tabs>
        <w:adjustRightInd/>
        <w:spacing w:line="276" w:lineRule="auto"/>
        <w:ind w:left="20" w:hanging="20"/>
        <w:textAlignment w:val="auto"/>
        <w:rPr>
          <w:rFonts w:ascii="Verdana" w:hAnsi="Verdana" w:cs="Verdana"/>
          <w:i/>
          <w:sz w:val="20"/>
          <w:szCs w:val="20"/>
          <w:lang w:val="en-US"/>
        </w:rPr>
      </w:pPr>
      <w:r w:rsidRPr="006879CC">
        <w:rPr>
          <w:rFonts w:ascii="Verdana" w:hAnsi="Verdana" w:cs="Verdana"/>
          <w:sz w:val="20"/>
          <w:szCs w:val="20"/>
          <w:lang w:val="en-US"/>
        </w:rPr>
        <w:t xml:space="preserve">Also, as a second preliminary consideration, it is noteworthy that </w:t>
      </w:r>
      <w:r w:rsidRPr="006879CC">
        <w:rPr>
          <w:rFonts w:ascii="Verdana" w:eastAsia="Times" w:hAnsi="Verdana" w:cs="Arial"/>
          <w:sz w:val="20"/>
          <w:szCs w:val="20"/>
          <w:lang w:val="en-US"/>
        </w:rPr>
        <w:t xml:space="preserve">the Judgment in the instant case indicates that in the Ruling (issued in the case of </w:t>
      </w:r>
      <w:proofErr w:type="spellStart"/>
      <w:r w:rsidRPr="006879CC">
        <w:rPr>
          <w:rFonts w:ascii="Verdana" w:hAnsi="Verdana" w:cs="Verdana"/>
          <w:i/>
          <w:sz w:val="20"/>
          <w:szCs w:val="20"/>
          <w:lang w:val="en-US"/>
        </w:rPr>
        <w:t>Cuscúl</w:t>
      </w:r>
      <w:proofErr w:type="spellEnd"/>
      <w:r w:rsidRPr="006879CC">
        <w:rPr>
          <w:rFonts w:ascii="Verdana" w:hAnsi="Verdana" w:cs="Verdana"/>
          <w:i/>
          <w:sz w:val="20"/>
          <w:szCs w:val="20"/>
          <w:lang w:val="en-US"/>
        </w:rPr>
        <w:t xml:space="preserve"> </w:t>
      </w:r>
      <w:proofErr w:type="spellStart"/>
      <w:r w:rsidRPr="006879CC">
        <w:rPr>
          <w:rFonts w:ascii="Verdana" w:hAnsi="Verdana" w:cs="Verdana"/>
          <w:i/>
          <w:sz w:val="20"/>
          <w:szCs w:val="20"/>
          <w:lang w:val="en-US"/>
        </w:rPr>
        <w:t>Pivaral</w:t>
      </w:r>
      <w:proofErr w:type="spellEnd"/>
      <w:r w:rsidRPr="006879CC">
        <w:rPr>
          <w:rFonts w:ascii="Verdana" w:hAnsi="Verdana" w:cs="Verdana"/>
          <w:i/>
          <w:sz w:val="20"/>
          <w:szCs w:val="20"/>
          <w:lang w:val="en-US"/>
        </w:rPr>
        <w:t xml:space="preserve"> et al.)</w:t>
      </w:r>
      <w:r w:rsidRPr="006879CC">
        <w:rPr>
          <w:rFonts w:ascii="Verdana" w:eastAsia="Times" w:hAnsi="Verdana" w:cs="Arial"/>
          <w:sz w:val="20"/>
          <w:szCs w:val="20"/>
          <w:lang w:val="en-US"/>
        </w:rPr>
        <w:t xml:space="preserve"> the Court undertook a </w:t>
      </w:r>
      <w:r w:rsidRPr="006879CC">
        <w:rPr>
          <w:rFonts w:ascii="Verdana" w:hAnsi="Verdana" w:cs="Verdana"/>
          <w:sz w:val="20"/>
          <w:szCs w:val="20"/>
          <w:lang w:val="en-US"/>
        </w:rPr>
        <w:t>“</w:t>
      </w:r>
      <w:r w:rsidRPr="006879CC">
        <w:rPr>
          <w:rFonts w:ascii="Verdana" w:hAnsi="Verdana" w:cs="Verdana"/>
          <w:i/>
          <w:sz w:val="20"/>
          <w:szCs w:val="20"/>
          <w:lang w:val="en-US"/>
        </w:rPr>
        <w:t xml:space="preserve">literal, </w:t>
      </w:r>
      <w:r w:rsidRPr="006879CC">
        <w:rPr>
          <w:rFonts w:ascii="Verdana" w:hAnsi="Verdana"/>
          <w:i/>
          <w:sz w:val="20"/>
          <w:szCs w:val="20"/>
          <w:lang w:val="en-US"/>
        </w:rPr>
        <w:t xml:space="preserve">systematic, teleological and evolutive </w:t>
      </w:r>
      <w:r w:rsidRPr="006879CC">
        <w:rPr>
          <w:rFonts w:ascii="Verdana" w:hAnsi="Verdana" w:cs="Verdana"/>
          <w:i/>
          <w:sz w:val="20"/>
          <w:szCs w:val="20"/>
          <w:lang w:val="en-US"/>
        </w:rPr>
        <w:t xml:space="preserve">interpretation regarding the scope of </w:t>
      </w:r>
      <w:r w:rsidRPr="006879CC">
        <w:rPr>
          <w:rFonts w:ascii="Verdana" w:hAnsi="Verdana" w:cs="Verdana"/>
          <w:sz w:val="20"/>
          <w:szCs w:val="20"/>
          <w:lang w:val="en-US"/>
        </w:rPr>
        <w:t xml:space="preserve">(the Court’s) </w:t>
      </w:r>
      <w:r w:rsidRPr="006879CC">
        <w:rPr>
          <w:rFonts w:ascii="Verdana" w:hAnsi="Verdana" w:cs="Verdana"/>
          <w:i/>
          <w:sz w:val="20"/>
          <w:szCs w:val="20"/>
          <w:lang w:val="en-US"/>
        </w:rPr>
        <w:lastRenderedPageBreak/>
        <w:t>jurisdiction in relation to Article 26 of the Convention,</w:t>
      </w:r>
      <w:r w:rsidRPr="006879CC">
        <w:rPr>
          <w:rFonts w:ascii="Verdana" w:hAnsi="Verdana" w:cs="Verdana"/>
          <w:sz w:val="20"/>
          <w:szCs w:val="20"/>
          <w:lang w:val="en-US"/>
        </w:rPr>
        <w:t>”</w:t>
      </w:r>
      <w:r w:rsidRPr="006879CC">
        <w:rPr>
          <w:rFonts w:ascii="Verdana" w:hAnsi="Verdana"/>
          <w:sz w:val="20"/>
          <w:szCs w:val="20"/>
          <w:shd w:val="clear" w:color="auto" w:fill="FFFFFF"/>
          <w:vertAlign w:val="superscript"/>
          <w:lang w:val="en-US"/>
        </w:rPr>
        <w:footnoteReference w:id="454"/>
      </w:r>
      <w:r w:rsidRPr="006879CC">
        <w:rPr>
          <w:rFonts w:ascii="Verdana" w:hAnsi="Verdana" w:cs="Courier New"/>
          <w:sz w:val="20"/>
          <w:szCs w:val="20"/>
          <w:shd w:val="clear" w:color="auto" w:fill="FFFFFF"/>
          <w:lang w:val="en-US"/>
        </w:rPr>
        <w:t xml:space="preserve"> something that did not really occur. Nevertheless, the Judgment itself does have recourse to an evolutive interpretation of the matter; it does so by recalling that this is contemplated in Article 31 of the Vienna Convention,</w:t>
      </w:r>
      <w:r w:rsidRPr="006879CC">
        <w:rPr>
          <w:rStyle w:val="Refdenotaalpie"/>
          <w:rFonts w:cs="Courier New"/>
          <w:szCs w:val="20"/>
          <w:shd w:val="clear" w:color="auto" w:fill="FFFFFF"/>
          <w:lang w:val="en-US"/>
        </w:rPr>
        <w:footnoteReference w:id="455"/>
      </w:r>
      <w:r w:rsidRPr="006879CC">
        <w:rPr>
          <w:rFonts w:ascii="Verdana" w:hAnsi="Verdana" w:cs="Courier New"/>
          <w:sz w:val="20"/>
          <w:szCs w:val="20"/>
          <w:shd w:val="clear" w:color="auto" w:fill="FFFFFF"/>
          <w:lang w:val="en-US"/>
        </w:rPr>
        <w:t xml:space="preserve"> and proceeds to apply that provision to determine the scope and content of the right to social security. The latter is clearly not the purpose of this partially dissenting opinion, which is restricted to the question of the judicialization of that right before the Court.</w:t>
      </w:r>
    </w:p>
    <w:p w14:paraId="657ED8F6" w14:textId="77777777" w:rsidR="00E6764B" w:rsidRPr="006879CC" w:rsidRDefault="00E6764B" w:rsidP="00E6764B">
      <w:pPr>
        <w:pStyle w:val="Prrafodelista"/>
        <w:rPr>
          <w:rFonts w:ascii="Verdana" w:hAnsi="Verdana" w:cs="Verdana"/>
          <w:sz w:val="20"/>
          <w:szCs w:val="20"/>
          <w:lang w:val="en-US"/>
        </w:rPr>
      </w:pPr>
    </w:p>
    <w:p w14:paraId="4E564682" w14:textId="77777777" w:rsidR="00E6764B" w:rsidRPr="006879CC" w:rsidRDefault="00E6764B" w:rsidP="007720B1">
      <w:pPr>
        <w:pStyle w:val="Prrafodelista"/>
        <w:widowControl/>
        <w:numPr>
          <w:ilvl w:val="0"/>
          <w:numId w:val="19"/>
        </w:numPr>
        <w:tabs>
          <w:tab w:val="left" w:pos="567"/>
        </w:tabs>
        <w:adjustRightInd/>
        <w:spacing w:line="276" w:lineRule="auto"/>
        <w:ind w:left="0" w:firstLine="0"/>
        <w:textAlignment w:val="auto"/>
        <w:rPr>
          <w:rFonts w:ascii="Verdana" w:hAnsi="Verdana" w:cs="Verdana"/>
          <w:i/>
          <w:sz w:val="20"/>
          <w:szCs w:val="20"/>
          <w:lang w:val="en-US"/>
        </w:rPr>
      </w:pPr>
      <w:r w:rsidRPr="006879CC">
        <w:rPr>
          <w:rFonts w:ascii="Verdana" w:hAnsi="Verdana" w:cs="Verdana"/>
          <w:sz w:val="20"/>
          <w:szCs w:val="20"/>
          <w:lang w:val="en-US"/>
        </w:rPr>
        <w:t xml:space="preserve">However, (in the case of </w:t>
      </w:r>
      <w:proofErr w:type="spellStart"/>
      <w:r w:rsidRPr="006879CC">
        <w:rPr>
          <w:rFonts w:ascii="Verdana" w:hAnsi="Verdana" w:cs="Verdana"/>
          <w:i/>
          <w:sz w:val="20"/>
          <w:szCs w:val="20"/>
          <w:lang w:val="en-US"/>
        </w:rPr>
        <w:t>Cuscúl</w:t>
      </w:r>
      <w:proofErr w:type="spellEnd"/>
      <w:r w:rsidRPr="006879CC">
        <w:rPr>
          <w:rFonts w:ascii="Verdana" w:hAnsi="Verdana" w:cs="Verdana"/>
          <w:i/>
          <w:sz w:val="20"/>
          <w:szCs w:val="20"/>
          <w:lang w:val="en-US"/>
        </w:rPr>
        <w:t xml:space="preserve"> </w:t>
      </w:r>
      <w:proofErr w:type="spellStart"/>
      <w:r w:rsidRPr="006879CC">
        <w:rPr>
          <w:rFonts w:ascii="Verdana" w:hAnsi="Verdana" w:cs="Verdana"/>
          <w:i/>
          <w:sz w:val="20"/>
          <w:szCs w:val="20"/>
          <w:lang w:val="en-US"/>
        </w:rPr>
        <w:t>Pivaral</w:t>
      </w:r>
      <w:proofErr w:type="spellEnd"/>
      <w:r w:rsidRPr="006879CC">
        <w:rPr>
          <w:rFonts w:ascii="Verdana" w:hAnsi="Verdana" w:cs="Verdana"/>
          <w:i/>
          <w:sz w:val="20"/>
          <w:szCs w:val="20"/>
          <w:lang w:val="en-US"/>
        </w:rPr>
        <w:t xml:space="preserve"> et al.</w:t>
      </w:r>
      <w:r w:rsidRPr="006879CC">
        <w:rPr>
          <w:rFonts w:ascii="Verdana" w:hAnsi="Verdana" w:cs="Verdana"/>
          <w:sz w:val="20"/>
          <w:szCs w:val="20"/>
          <w:lang w:val="en-US"/>
        </w:rPr>
        <w:t xml:space="preserve">) the Ruling actually adheres to the system comprised of the </w:t>
      </w:r>
      <w:r w:rsidRPr="006879CC">
        <w:rPr>
          <w:rFonts w:ascii="Verdana" w:eastAsia="Verdana" w:hAnsi="Verdana"/>
          <w:bCs/>
          <w:sz w:val="20"/>
          <w:szCs w:val="20"/>
          <w:lang w:val="en-US" w:eastAsia="x-none"/>
        </w:rPr>
        <w:t xml:space="preserve">literal interpretation, internal </w:t>
      </w:r>
      <w:r w:rsidRPr="006879CC">
        <w:rPr>
          <w:rFonts w:ascii="Verdana" w:eastAsia="Times" w:hAnsi="Verdana" w:cs="Arial"/>
          <w:sz w:val="20"/>
          <w:szCs w:val="20"/>
          <w:lang w:val="en-US"/>
        </w:rPr>
        <w:t xml:space="preserve">context– systematic interpretation, the </w:t>
      </w:r>
      <w:r w:rsidRPr="006879CC">
        <w:rPr>
          <w:rFonts w:ascii="Verdana" w:eastAsia="Verdana" w:hAnsi="Verdana"/>
          <w:bCs/>
          <w:sz w:val="20"/>
          <w:szCs w:val="20"/>
          <w:lang w:val="en-US" w:eastAsia="x-none"/>
        </w:rPr>
        <w:t xml:space="preserve">teleological interpretation and supplementary </w:t>
      </w:r>
      <w:r w:rsidRPr="006879CC">
        <w:rPr>
          <w:rFonts w:ascii="Verdana" w:eastAsia="Times" w:hAnsi="Verdana" w:cs="Arial"/>
          <w:sz w:val="20"/>
          <w:szCs w:val="20"/>
          <w:lang w:val="en-US"/>
        </w:rPr>
        <w:t xml:space="preserve">interpretation methods, an order that I will follow in this analysis. </w:t>
      </w:r>
    </w:p>
    <w:p w14:paraId="5EDBCDB4" w14:textId="77777777" w:rsidR="00E6764B" w:rsidRPr="006879CC" w:rsidRDefault="00E6764B" w:rsidP="00E6764B">
      <w:pPr>
        <w:tabs>
          <w:tab w:val="left" w:pos="567"/>
          <w:tab w:val="num" w:pos="12305"/>
        </w:tabs>
        <w:spacing w:line="276" w:lineRule="auto"/>
        <w:rPr>
          <w:rFonts w:ascii="Verdana" w:eastAsia="Times" w:hAnsi="Verdana" w:cs="Arial"/>
          <w:b/>
          <w:sz w:val="20"/>
          <w:szCs w:val="20"/>
          <w:lang w:val="en-US"/>
        </w:rPr>
      </w:pPr>
    </w:p>
    <w:p w14:paraId="316F627C" w14:textId="77777777" w:rsidR="00E6764B" w:rsidRPr="006879CC" w:rsidRDefault="00E6764B" w:rsidP="007720B1">
      <w:pPr>
        <w:pStyle w:val="Prrafodelista"/>
        <w:widowControl/>
        <w:numPr>
          <w:ilvl w:val="0"/>
          <w:numId w:val="26"/>
        </w:numPr>
        <w:tabs>
          <w:tab w:val="left" w:pos="567"/>
        </w:tabs>
        <w:adjustRightInd/>
        <w:spacing w:line="276" w:lineRule="auto"/>
        <w:textAlignment w:val="auto"/>
        <w:rPr>
          <w:rFonts w:ascii="Verdana" w:eastAsia="Times" w:hAnsi="Verdana" w:cs="Arial"/>
          <w:b/>
          <w:sz w:val="20"/>
          <w:szCs w:val="20"/>
          <w:lang w:val="en-US"/>
        </w:rPr>
      </w:pPr>
      <w:r w:rsidRPr="006879CC">
        <w:rPr>
          <w:rFonts w:ascii="Verdana" w:eastAsia="Times" w:hAnsi="Verdana" w:cs="Arial"/>
          <w:b/>
          <w:sz w:val="20"/>
          <w:szCs w:val="20"/>
          <w:lang w:val="en-US"/>
        </w:rPr>
        <w:t xml:space="preserve">Literal interpretation </w:t>
      </w:r>
    </w:p>
    <w:p w14:paraId="1921FEB3" w14:textId="77777777" w:rsidR="00E6764B" w:rsidRPr="006879CC" w:rsidRDefault="00E6764B" w:rsidP="00E6764B">
      <w:pPr>
        <w:tabs>
          <w:tab w:val="left" w:pos="567"/>
          <w:tab w:val="num" w:pos="12305"/>
        </w:tabs>
        <w:spacing w:line="276" w:lineRule="auto"/>
        <w:rPr>
          <w:rFonts w:ascii="Verdana" w:eastAsia="Times" w:hAnsi="Verdana" w:cs="Arial"/>
          <w:sz w:val="20"/>
          <w:szCs w:val="20"/>
          <w:lang w:val="en-US"/>
        </w:rPr>
      </w:pPr>
    </w:p>
    <w:p w14:paraId="4834CFBA"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Verdana"/>
          <w:sz w:val="20"/>
          <w:szCs w:val="20"/>
          <w:lang w:val="en-US"/>
        </w:rPr>
      </w:pPr>
      <w:r w:rsidRPr="006879CC">
        <w:rPr>
          <w:rFonts w:ascii="Verdana" w:hAnsi="Verdana"/>
          <w:sz w:val="20"/>
          <w:szCs w:val="20"/>
          <w:lang w:val="en-US"/>
        </w:rPr>
        <w:t>Although the Ruling indicates that it applies the literal or textual method of treaty interpretation, this does not really appear to be the case</w:t>
      </w:r>
      <w:r w:rsidRPr="006879CC">
        <w:rPr>
          <w:rFonts w:ascii="Verdana" w:hAnsi="Verdana" w:cs="Verdana"/>
          <w:sz w:val="20"/>
          <w:szCs w:val="20"/>
          <w:lang w:val="en-US"/>
        </w:rPr>
        <w:t xml:space="preserve">. </w:t>
      </w:r>
    </w:p>
    <w:p w14:paraId="2D11DCFA" w14:textId="77777777" w:rsidR="00E6764B" w:rsidRPr="006879CC" w:rsidRDefault="00E6764B" w:rsidP="00E6764B">
      <w:pPr>
        <w:pStyle w:val="Prrafodelista"/>
        <w:ind w:left="0"/>
        <w:rPr>
          <w:rFonts w:ascii="Verdana" w:hAnsi="Verdana" w:cs="Verdana"/>
          <w:sz w:val="20"/>
          <w:szCs w:val="20"/>
          <w:lang w:val="en-US"/>
        </w:rPr>
      </w:pPr>
    </w:p>
    <w:p w14:paraId="21572476"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Verdana"/>
          <w:sz w:val="20"/>
          <w:szCs w:val="20"/>
          <w:lang w:val="en-US"/>
        </w:rPr>
      </w:pPr>
      <w:r w:rsidRPr="006879CC">
        <w:rPr>
          <w:rFonts w:ascii="Verdana" w:hAnsi="Verdana"/>
          <w:sz w:val="20"/>
          <w:szCs w:val="20"/>
          <w:lang w:val="en-US"/>
        </w:rPr>
        <w:t>Indeed, the literal interpretation invoked in the Ruling</w:t>
      </w:r>
      <w:r w:rsidRPr="006879CC">
        <w:rPr>
          <w:rStyle w:val="Refdenotaalpie"/>
          <w:szCs w:val="20"/>
          <w:lang w:val="en-US"/>
        </w:rPr>
        <w:footnoteReference w:id="456"/>
      </w:r>
      <w:r w:rsidRPr="006879CC">
        <w:rPr>
          <w:rFonts w:ascii="Verdana" w:hAnsi="Verdana"/>
          <w:sz w:val="20"/>
          <w:szCs w:val="20"/>
          <w:lang w:val="en-US"/>
        </w:rPr>
        <w:t xml:space="preserve"> is confused </w:t>
      </w:r>
      <w:r w:rsidRPr="006879CC">
        <w:rPr>
          <w:rFonts w:ascii="Verdana" w:eastAsia="Times" w:hAnsi="Verdana" w:cs="Arial"/>
          <w:sz w:val="20"/>
          <w:szCs w:val="20"/>
          <w:lang w:val="en-US"/>
        </w:rPr>
        <w:t xml:space="preserve">with the </w:t>
      </w:r>
      <w:r w:rsidRPr="006879CC">
        <w:rPr>
          <w:rFonts w:ascii="Verdana" w:hAnsi="Verdana"/>
          <w:sz w:val="20"/>
          <w:szCs w:val="20"/>
          <w:lang w:val="en-US"/>
        </w:rPr>
        <w:t>teleological</w:t>
      </w:r>
      <w:r w:rsidRPr="006879CC">
        <w:rPr>
          <w:rFonts w:ascii="Verdana" w:eastAsia="Times" w:hAnsi="Verdana" w:cs="Arial"/>
          <w:sz w:val="20"/>
          <w:szCs w:val="20"/>
          <w:lang w:val="en-US"/>
        </w:rPr>
        <w:t xml:space="preserve"> method of interpretation or, at least, the latter prevails over the former, insofar as it argues that </w:t>
      </w:r>
      <w:r w:rsidRPr="006879CC">
        <w:rPr>
          <w:rFonts w:ascii="Verdana" w:hAnsi="Verdana"/>
          <w:sz w:val="20"/>
          <w:szCs w:val="20"/>
          <w:lang w:val="en-US"/>
        </w:rPr>
        <w:t>“</w:t>
      </w:r>
      <w:r w:rsidRPr="006879CC">
        <w:rPr>
          <w:rFonts w:ascii="Verdana" w:eastAsia="Times" w:hAnsi="Verdana" w:cs="Arial"/>
          <w:i/>
          <w:sz w:val="20"/>
          <w:szCs w:val="20"/>
          <w:lang w:val="en-US"/>
        </w:rPr>
        <w:t>the Court considers that the ordinary meaning that should be given to the rule established in Article 26 of the Convention is that the States undertook to realize “rights” derived from the economic, social, educational, scientific and cultural rights set forth in the Charter”</w:t>
      </w:r>
      <w:r w:rsidRPr="006879CC">
        <w:rPr>
          <w:rFonts w:eastAsia="Times" w:cs="Arial"/>
          <w:szCs w:val="20"/>
          <w:lang w:val="en-US"/>
        </w:rPr>
        <w:t xml:space="preserve"> </w:t>
      </w:r>
      <w:r w:rsidRPr="006879CC">
        <w:rPr>
          <w:rFonts w:ascii="Verdana" w:eastAsia="Times" w:hAnsi="Verdana" w:cs="Arial"/>
          <w:sz w:val="20"/>
          <w:szCs w:val="20"/>
          <w:lang w:val="en-US"/>
        </w:rPr>
        <w:t xml:space="preserve">of the OAS. Thus, </w:t>
      </w:r>
      <w:r w:rsidRPr="006879CC">
        <w:rPr>
          <w:rFonts w:ascii="Verdana" w:eastAsia="Times" w:hAnsi="Verdana" w:cs="Arial"/>
          <w:i/>
          <w:sz w:val="20"/>
          <w:szCs w:val="20"/>
          <w:lang w:val="en-US"/>
        </w:rPr>
        <w:t>“(t)he text of the provision should be interpreted in such a way that its terms acquire meaning and a specific significance, which, in the case of Article 26, means understanding that the States agreed to adopt measures in order to fully realize the “rights” recognized in the OAS Charter.”</w:t>
      </w:r>
      <w:r w:rsidRPr="006879CC">
        <w:rPr>
          <w:rFonts w:ascii="Verdana" w:eastAsia="Times" w:hAnsi="Verdana" w:cs="Arial"/>
          <w:i/>
          <w:sz w:val="20"/>
          <w:szCs w:val="20"/>
          <w:vertAlign w:val="superscript"/>
          <w:lang w:val="en-US"/>
        </w:rPr>
        <w:footnoteReference w:id="457"/>
      </w:r>
      <w:r w:rsidRPr="006879CC">
        <w:rPr>
          <w:rFonts w:ascii="Verdana" w:eastAsia="Times" w:hAnsi="Verdana" w:cs="Arial"/>
          <w:sz w:val="20"/>
          <w:szCs w:val="20"/>
          <w:lang w:val="en-US"/>
        </w:rPr>
        <w:t xml:space="preserve">  In other words, what the Court considers, or could be considered, as the object and purpose of the rule, prevails over its terms.</w:t>
      </w:r>
    </w:p>
    <w:p w14:paraId="271E7AD7" w14:textId="77777777" w:rsidR="00E6764B" w:rsidRPr="006879CC" w:rsidRDefault="00E6764B" w:rsidP="00E6764B">
      <w:pPr>
        <w:pStyle w:val="Prrafodelista"/>
        <w:rPr>
          <w:rFonts w:ascii="Verdana" w:eastAsia="Times" w:hAnsi="Verdana" w:cs="Arial"/>
          <w:sz w:val="20"/>
          <w:szCs w:val="20"/>
          <w:lang w:val="en-US"/>
        </w:rPr>
      </w:pPr>
    </w:p>
    <w:p w14:paraId="575B57E1"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Verdana"/>
          <w:sz w:val="20"/>
          <w:szCs w:val="20"/>
          <w:lang w:val="en-US"/>
        </w:rPr>
      </w:pPr>
      <w:r w:rsidRPr="006879CC">
        <w:rPr>
          <w:rFonts w:ascii="Verdana" w:eastAsia="Times" w:hAnsi="Verdana" w:cs="Arial"/>
          <w:sz w:val="20"/>
          <w:szCs w:val="20"/>
          <w:lang w:val="en-US"/>
        </w:rPr>
        <w:t xml:space="preserve">Indeed, what the </w:t>
      </w:r>
      <w:r w:rsidRPr="006879CC">
        <w:rPr>
          <w:rFonts w:ascii="Verdana" w:hAnsi="Verdana"/>
          <w:sz w:val="20"/>
          <w:szCs w:val="20"/>
          <w:lang w:val="en-US"/>
        </w:rPr>
        <w:t xml:space="preserve">States Parties to the Convention actually undertake to do, according to Article 26, is </w:t>
      </w:r>
      <w:r w:rsidRPr="006879CC">
        <w:rPr>
          <w:rFonts w:ascii="Verdana" w:hAnsi="Verdana"/>
          <w:i/>
          <w:sz w:val="20"/>
          <w:szCs w:val="20"/>
          <w:lang w:val="en-US"/>
        </w:rPr>
        <w:t>“to adopt measures”</w:t>
      </w:r>
      <w:r w:rsidRPr="006879CC">
        <w:rPr>
          <w:rFonts w:ascii="Verdana" w:hAnsi="Verdana"/>
          <w:sz w:val="20"/>
          <w:szCs w:val="20"/>
          <w:lang w:val="en-US"/>
        </w:rPr>
        <w:t xml:space="preserve"> with the aim of “</w:t>
      </w:r>
      <w:r w:rsidRPr="006879CC">
        <w:rPr>
          <w:rFonts w:ascii="Verdana" w:hAnsi="Verdana"/>
          <w:i/>
          <w:color w:val="000000"/>
          <w:sz w:val="20"/>
          <w:szCs w:val="20"/>
          <w:lang w:val="en-US"/>
        </w:rPr>
        <w:t>achieving progressively</w:t>
      </w:r>
      <w:r w:rsidRPr="006879CC">
        <w:rPr>
          <w:rFonts w:ascii="Verdana" w:hAnsi="Verdana"/>
          <w:i/>
          <w:sz w:val="20"/>
          <w:szCs w:val="20"/>
          <w:lang w:val="en-US"/>
        </w:rPr>
        <w:t xml:space="preserve"> the full realization of the rights derived from” </w:t>
      </w:r>
      <w:r w:rsidRPr="006879CC">
        <w:rPr>
          <w:rFonts w:ascii="Verdana" w:hAnsi="Verdana"/>
          <w:sz w:val="20"/>
          <w:szCs w:val="20"/>
          <w:lang w:val="en-US"/>
        </w:rPr>
        <w:t>the OAS Charter</w:t>
      </w:r>
      <w:r w:rsidRPr="006879CC">
        <w:rPr>
          <w:rFonts w:ascii="Verdana" w:eastAsia="Times" w:hAnsi="Verdana" w:cs="Arial"/>
          <w:sz w:val="20"/>
          <w:szCs w:val="20"/>
          <w:lang w:val="en-US"/>
        </w:rPr>
        <w:t>. Thus, they are not obligated to realize such rights but to adopt measures to achieve this objective.</w:t>
      </w:r>
      <w:r w:rsidRPr="006879CC">
        <w:rPr>
          <w:rFonts w:ascii="Verdana" w:hAnsi="Verdana" w:cs="Verdana"/>
          <w:sz w:val="20"/>
          <w:szCs w:val="20"/>
          <w:lang w:val="en-US"/>
        </w:rPr>
        <w:t xml:space="preserve"> T</w:t>
      </w:r>
      <w:r w:rsidRPr="006879CC">
        <w:rPr>
          <w:rFonts w:ascii="Verdana" w:eastAsia="Times" w:hAnsi="Verdana" w:cs="Arial"/>
          <w:sz w:val="20"/>
          <w:szCs w:val="20"/>
          <w:lang w:val="en-US"/>
        </w:rPr>
        <w:t>he Ruling explicitly recognizes that the rights referred to in Article 26 are, on the one hand, not truly “realized”, in other words, “</w:t>
      </w:r>
      <w:r w:rsidRPr="006879CC">
        <w:rPr>
          <w:rFonts w:ascii="Verdana" w:eastAsia="Times" w:hAnsi="Verdana" w:cs="Arial"/>
          <w:i/>
          <w:sz w:val="20"/>
          <w:szCs w:val="20"/>
          <w:lang w:val="en-US"/>
        </w:rPr>
        <w:t>real or true,</w:t>
      </w:r>
      <w:r w:rsidRPr="006879CC">
        <w:rPr>
          <w:rFonts w:ascii="Verdana" w:eastAsia="Times" w:hAnsi="Verdana" w:cs="Arial"/>
          <w:sz w:val="20"/>
          <w:szCs w:val="20"/>
          <w:lang w:val="en-US"/>
        </w:rPr>
        <w:t>”</w:t>
      </w:r>
      <w:r w:rsidRPr="006879CC">
        <w:rPr>
          <w:rStyle w:val="Refdenotaalpie"/>
          <w:rFonts w:eastAsia="Times" w:cs="Arial"/>
          <w:szCs w:val="20"/>
          <w:lang w:val="en-US"/>
        </w:rPr>
        <w:footnoteReference w:id="458"/>
      </w:r>
      <w:r w:rsidRPr="006879CC">
        <w:rPr>
          <w:rFonts w:ascii="Verdana" w:eastAsia="Times" w:hAnsi="Verdana" w:cs="Arial"/>
          <w:sz w:val="20"/>
          <w:szCs w:val="20"/>
          <w:lang w:val="en-US"/>
        </w:rPr>
        <w:t xml:space="preserve"> for which reason “</w:t>
      </w:r>
      <w:r w:rsidRPr="006879CC">
        <w:rPr>
          <w:rFonts w:ascii="Verdana" w:eastAsia="Times" w:hAnsi="Verdana" w:cs="Arial"/>
          <w:i/>
          <w:sz w:val="20"/>
          <w:szCs w:val="20"/>
          <w:lang w:val="en-US"/>
        </w:rPr>
        <w:t xml:space="preserve">the States undertake to adopt measures […] with a view to achieving […] </w:t>
      </w:r>
      <w:r w:rsidRPr="006879CC">
        <w:rPr>
          <w:rFonts w:ascii="Verdana" w:eastAsia="Times" w:hAnsi="Verdana" w:cs="Arial"/>
          <w:sz w:val="20"/>
          <w:szCs w:val="20"/>
          <w:lang w:val="en-US"/>
        </w:rPr>
        <w:t>(</w:t>
      </w:r>
      <w:r w:rsidRPr="006879CC">
        <w:rPr>
          <w:rFonts w:ascii="Verdana" w:eastAsia="Times" w:hAnsi="Verdana" w:cs="Arial"/>
          <w:i/>
          <w:sz w:val="20"/>
          <w:szCs w:val="20"/>
          <w:lang w:val="en-US"/>
        </w:rPr>
        <w:t>their</w:t>
      </w:r>
      <w:r w:rsidRPr="006879CC">
        <w:rPr>
          <w:rFonts w:ascii="Verdana" w:eastAsia="Times" w:hAnsi="Verdana" w:cs="Arial"/>
          <w:sz w:val="20"/>
          <w:szCs w:val="20"/>
          <w:lang w:val="en-US"/>
        </w:rPr>
        <w:t>)</w:t>
      </w:r>
      <w:r w:rsidRPr="006879CC">
        <w:rPr>
          <w:rFonts w:ascii="Verdana" w:eastAsia="Times" w:hAnsi="Verdana" w:cs="Arial"/>
          <w:i/>
          <w:sz w:val="20"/>
          <w:szCs w:val="20"/>
          <w:lang w:val="en-US"/>
        </w:rPr>
        <w:t xml:space="preserve"> full realization”</w:t>
      </w:r>
      <w:r w:rsidRPr="006879CC">
        <w:rPr>
          <w:rFonts w:ascii="Verdana" w:eastAsia="Times" w:hAnsi="Verdana" w:cs="Arial"/>
          <w:sz w:val="20"/>
          <w:szCs w:val="20"/>
          <w:lang w:val="en-US"/>
        </w:rPr>
        <w:t xml:space="preserve"> and, on the other hand, that they are not “</w:t>
      </w:r>
      <w:r w:rsidRPr="006879CC">
        <w:rPr>
          <w:rFonts w:ascii="Verdana" w:eastAsia="Times" w:hAnsi="Verdana" w:cs="Arial"/>
          <w:i/>
          <w:sz w:val="20"/>
          <w:szCs w:val="20"/>
          <w:lang w:val="en-US"/>
        </w:rPr>
        <w:t>recognized</w:t>
      </w:r>
      <w:r w:rsidRPr="006879CC">
        <w:rPr>
          <w:rFonts w:ascii="Verdana" w:eastAsia="Times" w:hAnsi="Verdana" w:cs="Arial"/>
          <w:sz w:val="20"/>
          <w:szCs w:val="20"/>
          <w:lang w:val="en-US"/>
        </w:rPr>
        <w:t>” by the American Convention, but derived from “</w:t>
      </w:r>
      <w:r w:rsidRPr="006879CC">
        <w:rPr>
          <w:rFonts w:ascii="Verdana" w:eastAsia="Times" w:hAnsi="Verdana" w:cs="Arial"/>
          <w:i/>
          <w:sz w:val="20"/>
          <w:szCs w:val="20"/>
          <w:lang w:val="en-US"/>
        </w:rPr>
        <w:t xml:space="preserve">the Charter” </w:t>
      </w:r>
      <w:r w:rsidRPr="006879CC">
        <w:rPr>
          <w:rFonts w:ascii="Verdana" w:eastAsia="Times" w:hAnsi="Verdana" w:cs="Arial"/>
          <w:sz w:val="20"/>
          <w:szCs w:val="20"/>
          <w:lang w:val="en-US"/>
        </w:rPr>
        <w:t xml:space="preserve">of the OAS, completely departing from the literal meaning of that norm, inasmuch as it  disregards what it has established. </w:t>
      </w:r>
    </w:p>
    <w:p w14:paraId="66474168" w14:textId="77777777" w:rsidR="00E6764B" w:rsidRPr="006879CC" w:rsidRDefault="00E6764B" w:rsidP="00E6764B">
      <w:pPr>
        <w:pStyle w:val="Prrafodelista"/>
        <w:rPr>
          <w:rFonts w:ascii="Verdana" w:hAnsi="Verdana" w:cs="Verdana"/>
          <w:sz w:val="20"/>
          <w:szCs w:val="20"/>
          <w:lang w:val="en-US"/>
        </w:rPr>
      </w:pPr>
    </w:p>
    <w:p w14:paraId="56A5177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Verdana"/>
          <w:sz w:val="20"/>
          <w:szCs w:val="20"/>
          <w:lang w:val="en-US"/>
        </w:rPr>
      </w:pPr>
      <w:r w:rsidRPr="006879CC">
        <w:rPr>
          <w:rFonts w:ascii="Verdana" w:hAnsi="Verdana" w:cs="Verdana"/>
          <w:sz w:val="20"/>
          <w:szCs w:val="20"/>
          <w:lang w:val="en-US"/>
        </w:rPr>
        <w:lastRenderedPageBreak/>
        <w:t>It is also useful to recall that the literal interpretation method does not imply attributing the ordinary meaning to a “</w:t>
      </w:r>
      <w:r w:rsidRPr="006879CC">
        <w:rPr>
          <w:rFonts w:ascii="Verdana" w:hAnsi="Verdana" w:cs="Verdana"/>
          <w:i/>
          <w:sz w:val="20"/>
          <w:szCs w:val="20"/>
          <w:lang w:val="en-US"/>
        </w:rPr>
        <w:t>provision,</w:t>
      </w:r>
      <w:r w:rsidRPr="006879CC">
        <w:rPr>
          <w:rFonts w:ascii="Verdana" w:hAnsi="Verdana" w:cs="Verdana"/>
          <w:sz w:val="20"/>
          <w:szCs w:val="20"/>
          <w:lang w:val="en-US"/>
        </w:rPr>
        <w:t>” as the Ruling does,</w:t>
      </w:r>
      <w:r w:rsidRPr="006879CC">
        <w:rPr>
          <w:rStyle w:val="Refdenotaalpie"/>
          <w:rFonts w:cs="Verdana"/>
          <w:szCs w:val="20"/>
          <w:lang w:val="en-US"/>
        </w:rPr>
        <w:footnoteReference w:id="459"/>
      </w:r>
      <w:r w:rsidRPr="006879CC">
        <w:rPr>
          <w:rFonts w:ascii="Verdana" w:hAnsi="Verdana" w:cs="Verdana"/>
          <w:sz w:val="20"/>
          <w:szCs w:val="20"/>
          <w:lang w:val="en-US"/>
        </w:rPr>
        <w:t xml:space="preserve"> but rather to “</w:t>
      </w:r>
      <w:r w:rsidRPr="006879CC">
        <w:rPr>
          <w:rFonts w:ascii="Verdana" w:hAnsi="Verdana" w:cs="Verdana"/>
          <w:i/>
          <w:sz w:val="20"/>
          <w:szCs w:val="20"/>
          <w:lang w:val="en-US"/>
        </w:rPr>
        <w:t>terms,</w:t>
      </w:r>
      <w:r w:rsidRPr="006879CC">
        <w:rPr>
          <w:rFonts w:ascii="Verdana" w:hAnsi="Verdana" w:cs="Verdana"/>
          <w:sz w:val="20"/>
          <w:szCs w:val="20"/>
          <w:lang w:val="en-US"/>
        </w:rPr>
        <w:t>”</w:t>
      </w:r>
      <w:r w:rsidRPr="006879CC">
        <w:rPr>
          <w:rStyle w:val="Refdenotaalpie"/>
          <w:rFonts w:cs="Verdana"/>
          <w:szCs w:val="20"/>
          <w:lang w:val="en-US"/>
        </w:rPr>
        <w:footnoteReference w:id="460"/>
      </w:r>
      <w:r w:rsidRPr="006879CC">
        <w:rPr>
          <w:rFonts w:ascii="Verdana" w:hAnsi="Verdana" w:cs="Verdana"/>
          <w:sz w:val="20"/>
          <w:szCs w:val="20"/>
          <w:lang w:val="en-US"/>
        </w:rPr>
        <w:t xml:space="preserve"> or “</w:t>
      </w:r>
      <w:r w:rsidRPr="006879CC">
        <w:rPr>
          <w:rFonts w:ascii="Verdana" w:hAnsi="Verdana" w:cs="Verdana"/>
          <w:i/>
          <w:sz w:val="20"/>
          <w:szCs w:val="20"/>
          <w:lang w:val="en-US"/>
        </w:rPr>
        <w:t>words</w:t>
      </w:r>
      <w:r w:rsidRPr="006879CC">
        <w:rPr>
          <w:rFonts w:ascii="Verdana" w:hAnsi="Verdana" w:cs="Verdana"/>
          <w:sz w:val="20"/>
          <w:szCs w:val="20"/>
          <w:lang w:val="en-US"/>
        </w:rPr>
        <w:t>,”</w:t>
      </w:r>
      <w:r w:rsidRPr="006879CC">
        <w:rPr>
          <w:rStyle w:val="Refdenotaalpie"/>
          <w:rFonts w:cs="Verdana"/>
          <w:szCs w:val="20"/>
          <w:lang w:val="en-US"/>
        </w:rPr>
        <w:footnoteReference w:id="461"/>
      </w:r>
      <w:r w:rsidRPr="006879CC">
        <w:rPr>
          <w:rFonts w:ascii="Verdana" w:hAnsi="Verdana" w:cs="Verdana"/>
          <w:sz w:val="20"/>
          <w:szCs w:val="20"/>
          <w:lang w:val="en-US"/>
        </w:rPr>
        <w:t xml:space="preserve"> something that is confirmed if we bear in mind the provision of the Vienna Convention that states, “</w:t>
      </w:r>
      <w:r w:rsidRPr="006879CC">
        <w:rPr>
          <w:rFonts w:ascii="Verdana" w:hAnsi="Verdana"/>
          <w:i/>
          <w:sz w:val="20"/>
          <w:szCs w:val="20"/>
          <w:lang w:val="en-US"/>
        </w:rPr>
        <w:t>a special meaning shall be given to a term if it is established that the parties so intended.”</w:t>
      </w:r>
      <w:r w:rsidRPr="006879CC">
        <w:rPr>
          <w:rFonts w:ascii="Verdana" w:hAnsi="Verdana" w:cs="Verdana"/>
          <w:sz w:val="20"/>
          <w:szCs w:val="20"/>
          <w:lang w:val="en-US"/>
        </w:rPr>
        <w:t xml:space="preserve"> </w:t>
      </w:r>
      <w:r w:rsidRPr="006879CC">
        <w:rPr>
          <w:rStyle w:val="Refdenotaalpie"/>
          <w:rFonts w:cs="Verdana"/>
          <w:szCs w:val="20"/>
          <w:lang w:val="en-US"/>
        </w:rPr>
        <w:footnoteReference w:id="462"/>
      </w:r>
    </w:p>
    <w:p w14:paraId="1682CEAF" w14:textId="77777777" w:rsidR="00E6764B" w:rsidRPr="006879CC" w:rsidRDefault="00E6764B" w:rsidP="00E6764B">
      <w:pPr>
        <w:spacing w:line="276" w:lineRule="auto"/>
        <w:rPr>
          <w:rFonts w:ascii="Verdana" w:eastAsia="Times" w:hAnsi="Verdana" w:cs="Arial"/>
          <w:sz w:val="20"/>
          <w:szCs w:val="20"/>
          <w:lang w:val="en-US"/>
        </w:rPr>
      </w:pPr>
    </w:p>
    <w:p w14:paraId="333FD2D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eastAsia="Times" w:hAnsi="Verdana" w:cs="Arial"/>
          <w:sz w:val="20"/>
          <w:szCs w:val="20"/>
          <w:lang w:val="en-US"/>
        </w:rPr>
        <w:t>To all the aforementioned points, we should add that the Ruling does not ponder the fact that the Convention utilizes, as mentioned previously,</w:t>
      </w:r>
      <w:r w:rsidRPr="006879CC">
        <w:rPr>
          <w:rStyle w:val="Refdenotaalpie"/>
          <w:rFonts w:eastAsia="Times" w:cs="Arial"/>
          <w:szCs w:val="20"/>
          <w:lang w:val="en-US"/>
        </w:rPr>
        <w:footnoteReference w:id="463"/>
      </w:r>
      <w:r w:rsidRPr="006879CC">
        <w:rPr>
          <w:rFonts w:ascii="Verdana" w:eastAsia="Times" w:hAnsi="Verdana" w:cs="Arial"/>
          <w:sz w:val="20"/>
          <w:szCs w:val="20"/>
          <w:lang w:val="en-US"/>
        </w:rPr>
        <w:t xml:space="preserve"> the terms “</w:t>
      </w:r>
      <w:r w:rsidRPr="006879CC">
        <w:rPr>
          <w:rFonts w:ascii="Verdana" w:eastAsia="Times" w:hAnsi="Verdana" w:cs="Arial"/>
          <w:i/>
          <w:sz w:val="20"/>
          <w:szCs w:val="20"/>
          <w:lang w:val="en-US"/>
        </w:rPr>
        <w:t>recognized,</w:t>
      </w:r>
      <w:r w:rsidRPr="006879CC">
        <w:rPr>
          <w:rFonts w:ascii="Verdana" w:eastAsia="Times" w:hAnsi="Verdana" w:cs="Arial"/>
          <w:sz w:val="20"/>
          <w:szCs w:val="20"/>
          <w:lang w:val="en-US"/>
        </w:rPr>
        <w:t>” “</w:t>
      </w:r>
      <w:r w:rsidRPr="006879CC">
        <w:rPr>
          <w:rFonts w:ascii="Verdana" w:hAnsi="Verdana"/>
          <w:i/>
          <w:sz w:val="20"/>
          <w:szCs w:val="20"/>
          <w:lang w:val="en-US"/>
        </w:rPr>
        <w:t>rights established,</w:t>
      </w:r>
      <w:r w:rsidRPr="006879CC">
        <w:rPr>
          <w:rFonts w:ascii="Verdana" w:hAnsi="Verdana"/>
          <w:sz w:val="20"/>
          <w:szCs w:val="20"/>
          <w:lang w:val="en-US"/>
        </w:rPr>
        <w:t>” “</w:t>
      </w:r>
      <w:r w:rsidRPr="006879CC">
        <w:rPr>
          <w:rFonts w:ascii="Verdana" w:hAnsi="Verdana"/>
          <w:i/>
          <w:sz w:val="20"/>
          <w:szCs w:val="20"/>
          <w:lang w:val="en-US"/>
        </w:rPr>
        <w:t>guaranteed,”</w:t>
      </w:r>
      <w:r w:rsidRPr="006879CC">
        <w:rPr>
          <w:rFonts w:ascii="Verdana" w:hAnsi="Verdana"/>
          <w:sz w:val="20"/>
          <w:szCs w:val="20"/>
          <w:lang w:val="en-US"/>
        </w:rPr>
        <w:t xml:space="preserve"> “</w:t>
      </w:r>
      <w:r w:rsidRPr="006879CC">
        <w:rPr>
          <w:rFonts w:ascii="Verdana" w:hAnsi="Verdana"/>
          <w:i/>
          <w:sz w:val="20"/>
          <w:szCs w:val="20"/>
          <w:lang w:val="en-US"/>
        </w:rPr>
        <w:t>enshrined</w:t>
      </w:r>
      <w:r w:rsidRPr="006879CC">
        <w:rPr>
          <w:rFonts w:ascii="Verdana" w:hAnsi="Verdana"/>
          <w:sz w:val="20"/>
          <w:szCs w:val="20"/>
          <w:lang w:val="en-US"/>
        </w:rPr>
        <w:t>” or “</w:t>
      </w:r>
      <w:r w:rsidRPr="006879CC">
        <w:rPr>
          <w:rFonts w:ascii="Verdana" w:hAnsi="Verdana"/>
          <w:i/>
          <w:sz w:val="20"/>
          <w:szCs w:val="20"/>
          <w:lang w:val="en-US"/>
        </w:rPr>
        <w:t>protected</w:t>
      </w:r>
      <w:r w:rsidRPr="006879CC">
        <w:rPr>
          <w:rFonts w:ascii="Verdana" w:hAnsi="Verdana"/>
          <w:sz w:val="20"/>
          <w:szCs w:val="20"/>
          <w:lang w:val="en-US"/>
        </w:rPr>
        <w:t>” by or in the Convention, and that it also alludes to other rights, namely, “</w:t>
      </w:r>
      <w:r w:rsidRPr="006879CC">
        <w:rPr>
          <w:rFonts w:ascii="Verdana" w:hAnsi="Verdana"/>
          <w:i/>
          <w:sz w:val="20"/>
          <w:szCs w:val="20"/>
          <w:lang w:val="en-US"/>
        </w:rPr>
        <w:t>economic, social and cultural rights,</w:t>
      </w:r>
      <w:r w:rsidRPr="006879CC">
        <w:rPr>
          <w:rFonts w:ascii="Verdana" w:hAnsi="Verdana"/>
          <w:sz w:val="20"/>
          <w:szCs w:val="20"/>
          <w:lang w:val="en-US"/>
        </w:rPr>
        <w:t>” that are “</w:t>
      </w:r>
      <w:r w:rsidRPr="006879CC">
        <w:rPr>
          <w:rFonts w:ascii="Verdana" w:hAnsi="Verdana"/>
          <w:i/>
          <w:sz w:val="20"/>
          <w:szCs w:val="20"/>
          <w:lang w:val="en-US"/>
        </w:rPr>
        <w:t>derived</w:t>
      </w:r>
      <w:r w:rsidRPr="006879CC">
        <w:rPr>
          <w:rFonts w:ascii="Verdana" w:hAnsi="Verdana"/>
          <w:sz w:val="20"/>
          <w:szCs w:val="20"/>
          <w:lang w:val="en-US"/>
        </w:rPr>
        <w:t>” from the standards of the OAS Charter; those “</w:t>
      </w:r>
      <w:r w:rsidRPr="006879CC">
        <w:rPr>
          <w:rFonts w:ascii="Verdana" w:hAnsi="Verdana"/>
          <w:i/>
          <w:sz w:val="20"/>
          <w:szCs w:val="20"/>
          <w:lang w:val="en-US"/>
        </w:rPr>
        <w:t>recognized</w:t>
      </w:r>
      <w:r w:rsidRPr="006879CC">
        <w:rPr>
          <w:rFonts w:ascii="Verdana" w:hAnsi="Verdana"/>
          <w:sz w:val="20"/>
          <w:szCs w:val="20"/>
          <w:lang w:val="en-US"/>
        </w:rPr>
        <w:t>” by the laws of the States or other conventions and those “</w:t>
      </w:r>
      <w:r w:rsidRPr="006879CC">
        <w:rPr>
          <w:rFonts w:ascii="Verdana" w:hAnsi="Verdana"/>
          <w:i/>
          <w:sz w:val="20"/>
          <w:szCs w:val="20"/>
          <w:lang w:val="en-US"/>
        </w:rPr>
        <w:t xml:space="preserve">inherent to the human being or that derive from </w:t>
      </w:r>
      <w:r w:rsidRPr="006879CC">
        <w:rPr>
          <w:rFonts w:ascii="Verdana" w:hAnsi="Verdana" w:cs="Tahoma"/>
          <w:i/>
          <w:color w:val="000000"/>
          <w:sz w:val="20"/>
          <w:szCs w:val="20"/>
          <w:shd w:val="clear" w:color="auto" w:fill="FFFFFF"/>
          <w:lang w:val="en-US"/>
        </w:rPr>
        <w:t>a democratic representative form of government</w:t>
      </w:r>
      <w:r w:rsidRPr="006879CC">
        <w:rPr>
          <w:rFonts w:ascii="Verdana" w:hAnsi="Verdana"/>
          <w:i/>
          <w:sz w:val="20"/>
          <w:szCs w:val="20"/>
          <w:lang w:val="en-US"/>
        </w:rPr>
        <w:t>.</w:t>
      </w:r>
      <w:r w:rsidRPr="006879CC">
        <w:rPr>
          <w:rFonts w:ascii="Verdana" w:hAnsi="Verdana"/>
          <w:sz w:val="20"/>
          <w:szCs w:val="20"/>
          <w:lang w:val="en-US"/>
        </w:rPr>
        <w:t>”</w:t>
      </w:r>
      <w:r w:rsidRPr="006879CC">
        <w:rPr>
          <w:rStyle w:val="Refdenotaalpie"/>
          <w:szCs w:val="20"/>
          <w:lang w:val="en-US"/>
        </w:rPr>
        <w:footnoteReference w:id="464"/>
      </w:r>
      <w:r w:rsidRPr="006879CC">
        <w:rPr>
          <w:rFonts w:ascii="Verdana" w:hAnsi="Verdana"/>
          <w:sz w:val="20"/>
          <w:szCs w:val="20"/>
          <w:lang w:val="en-US"/>
        </w:rPr>
        <w:t xml:space="preserve"> </w:t>
      </w:r>
    </w:p>
    <w:p w14:paraId="3289201C" w14:textId="77777777" w:rsidR="00E6764B" w:rsidRPr="006879CC" w:rsidRDefault="00E6764B" w:rsidP="00E6764B">
      <w:pPr>
        <w:pStyle w:val="Prrafodelista"/>
        <w:ind w:left="0"/>
        <w:rPr>
          <w:rFonts w:ascii="Verdana" w:hAnsi="Verdana"/>
          <w:sz w:val="20"/>
          <w:szCs w:val="20"/>
          <w:lang w:val="en-US"/>
        </w:rPr>
      </w:pPr>
    </w:p>
    <w:p w14:paraId="51A19203"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In other words, it is important to note that the Ruling not only does not consider all the terms transcribed in the </w:t>
      </w:r>
      <w:r w:rsidRPr="006879CC">
        <w:rPr>
          <w:rFonts w:ascii="Verdana" w:hAnsi="Verdana"/>
          <w:i/>
          <w:sz w:val="20"/>
          <w:szCs w:val="20"/>
          <w:lang w:val="en-US"/>
        </w:rPr>
        <w:t>“ordinary meaning to be given to [them]”</w:t>
      </w:r>
      <w:r w:rsidRPr="006879CC">
        <w:rPr>
          <w:rFonts w:ascii="Verdana" w:hAnsi="Verdana"/>
          <w:sz w:val="20"/>
          <w:szCs w:val="20"/>
          <w:lang w:val="en-US"/>
        </w:rPr>
        <w:t xml:space="preserve">, but also omits to refer to them. In other words, it rules as though they were not used by the Convention. </w:t>
      </w:r>
    </w:p>
    <w:p w14:paraId="3E6B4DA3" w14:textId="77777777" w:rsidR="00E6764B" w:rsidRPr="006879CC" w:rsidRDefault="00E6764B" w:rsidP="00E6764B">
      <w:pPr>
        <w:pStyle w:val="Prrafodelista"/>
        <w:ind w:left="0"/>
        <w:rPr>
          <w:rFonts w:ascii="Verdana" w:hAnsi="Verdana"/>
          <w:sz w:val="20"/>
          <w:szCs w:val="20"/>
          <w:lang w:val="en-US"/>
        </w:rPr>
      </w:pPr>
    </w:p>
    <w:p w14:paraId="358E4A2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In view of the foregoing, we can argue that on this particular matter, and despite affirming to the contrary, the Ruling does not follow the literal or textual approach or, therefore, the rule of treaty interpretation concerning the terms; instead, it ultimately</w:t>
      </w:r>
      <w:r w:rsidRPr="006879CC">
        <w:rPr>
          <w:rFonts w:ascii="Verdana" w:eastAsia="Times" w:hAnsi="Verdana" w:cs="Arial"/>
          <w:sz w:val="20"/>
          <w:szCs w:val="20"/>
          <w:lang w:val="en-US"/>
        </w:rPr>
        <w:t xml:space="preserve"> gives precedence to the </w:t>
      </w:r>
      <w:r w:rsidRPr="006879CC">
        <w:rPr>
          <w:rFonts w:ascii="Verdana" w:hAnsi="Verdana"/>
          <w:sz w:val="20"/>
          <w:szCs w:val="20"/>
          <w:lang w:val="en-US"/>
        </w:rPr>
        <w:t>functional or teleological method over the literal or textual method of treaty interpretation and, of course, this leads to an erroneous interpretation of Article 26 of the Convention.</w:t>
      </w:r>
    </w:p>
    <w:p w14:paraId="2EC0394D" w14:textId="77777777" w:rsidR="00E6764B" w:rsidRPr="006879CC" w:rsidRDefault="00E6764B" w:rsidP="00E6764B">
      <w:pPr>
        <w:spacing w:line="276" w:lineRule="auto"/>
        <w:rPr>
          <w:rFonts w:ascii="Verdana" w:hAnsi="Verdana"/>
          <w:sz w:val="20"/>
          <w:szCs w:val="20"/>
          <w:lang w:val="en-US"/>
        </w:rPr>
      </w:pPr>
    </w:p>
    <w:p w14:paraId="1F63051C" w14:textId="77777777" w:rsidR="00E6764B" w:rsidRPr="006879CC" w:rsidRDefault="00E6764B" w:rsidP="007720B1">
      <w:pPr>
        <w:pStyle w:val="Prrafodelista"/>
        <w:widowControl/>
        <w:numPr>
          <w:ilvl w:val="0"/>
          <w:numId w:val="26"/>
        </w:numPr>
        <w:adjustRightInd/>
        <w:spacing w:line="276" w:lineRule="auto"/>
        <w:textAlignment w:val="auto"/>
        <w:rPr>
          <w:rFonts w:ascii="Verdana" w:hAnsi="Verdana"/>
          <w:b/>
          <w:sz w:val="20"/>
          <w:szCs w:val="20"/>
          <w:lang w:val="en-US"/>
        </w:rPr>
      </w:pPr>
      <w:r w:rsidRPr="006879CC">
        <w:rPr>
          <w:rFonts w:ascii="Verdana" w:eastAsia="Times" w:hAnsi="Verdana" w:cs="Arial"/>
          <w:b/>
          <w:sz w:val="20"/>
          <w:szCs w:val="20"/>
          <w:lang w:val="en-US"/>
        </w:rPr>
        <w:t xml:space="preserve">Internal context – systematic interpretation </w:t>
      </w:r>
    </w:p>
    <w:p w14:paraId="34C7B740" w14:textId="77777777" w:rsidR="00E6764B" w:rsidRPr="006879CC" w:rsidRDefault="00E6764B" w:rsidP="00E6764B">
      <w:pPr>
        <w:spacing w:line="276" w:lineRule="auto"/>
        <w:rPr>
          <w:rFonts w:ascii="Verdana" w:hAnsi="Verdana"/>
          <w:sz w:val="20"/>
          <w:szCs w:val="20"/>
          <w:lang w:val="en-US"/>
        </w:rPr>
      </w:pPr>
    </w:p>
    <w:p w14:paraId="6CCDCEF1"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Verdana"/>
          <w:sz w:val="20"/>
          <w:szCs w:val="20"/>
          <w:lang w:val="en-US"/>
        </w:rPr>
      </w:pPr>
      <w:r w:rsidRPr="006879CC">
        <w:rPr>
          <w:rFonts w:ascii="Verdana" w:hAnsi="Verdana"/>
          <w:sz w:val="20"/>
          <w:szCs w:val="20"/>
          <w:lang w:val="en-US"/>
        </w:rPr>
        <w:t xml:space="preserve">In relation to the so-called </w:t>
      </w:r>
      <w:r w:rsidRPr="006879CC">
        <w:rPr>
          <w:rFonts w:ascii="Verdana" w:hAnsi="Verdana" w:cs="Verdana"/>
          <w:sz w:val="20"/>
          <w:szCs w:val="20"/>
          <w:lang w:val="en-US"/>
        </w:rPr>
        <w:t>“</w:t>
      </w:r>
      <w:r w:rsidRPr="006879CC">
        <w:rPr>
          <w:rFonts w:ascii="Verdana" w:hAnsi="Verdana" w:cs="Verdana"/>
          <w:i/>
          <w:sz w:val="20"/>
          <w:szCs w:val="20"/>
          <w:lang w:val="en-US"/>
        </w:rPr>
        <w:t>Internal context -systematic interpretation</w:t>
      </w:r>
      <w:r w:rsidRPr="006879CC">
        <w:rPr>
          <w:rFonts w:ascii="Verdana" w:hAnsi="Verdana" w:cs="Verdana"/>
          <w:sz w:val="20"/>
          <w:szCs w:val="20"/>
          <w:lang w:val="en-US"/>
        </w:rPr>
        <w:t xml:space="preserve">” in the </w:t>
      </w:r>
      <w:r w:rsidRPr="006879CC">
        <w:rPr>
          <w:rFonts w:ascii="Verdana" w:hAnsi="Verdana"/>
          <w:sz w:val="20"/>
          <w:szCs w:val="20"/>
          <w:lang w:val="en-US"/>
        </w:rPr>
        <w:t xml:space="preserve">Ruling (in the case of </w:t>
      </w:r>
      <w:proofErr w:type="spellStart"/>
      <w:r w:rsidRPr="006879CC">
        <w:rPr>
          <w:rFonts w:ascii="Verdana" w:hAnsi="Verdana" w:cs="Verdana"/>
          <w:i/>
          <w:sz w:val="20"/>
          <w:szCs w:val="20"/>
          <w:lang w:val="en-US"/>
        </w:rPr>
        <w:t>Cuscúl</w:t>
      </w:r>
      <w:proofErr w:type="spellEnd"/>
      <w:r w:rsidRPr="006879CC">
        <w:rPr>
          <w:rFonts w:ascii="Verdana" w:hAnsi="Verdana" w:cs="Verdana"/>
          <w:i/>
          <w:sz w:val="20"/>
          <w:szCs w:val="20"/>
          <w:lang w:val="en-US"/>
        </w:rPr>
        <w:t xml:space="preserve"> </w:t>
      </w:r>
      <w:proofErr w:type="spellStart"/>
      <w:r w:rsidRPr="006879CC">
        <w:rPr>
          <w:rFonts w:ascii="Verdana" w:hAnsi="Verdana" w:cs="Verdana"/>
          <w:i/>
          <w:sz w:val="20"/>
          <w:szCs w:val="20"/>
          <w:lang w:val="en-US"/>
        </w:rPr>
        <w:t>Pivaral</w:t>
      </w:r>
      <w:proofErr w:type="spellEnd"/>
      <w:r w:rsidRPr="006879CC">
        <w:rPr>
          <w:rFonts w:ascii="Verdana" w:hAnsi="Verdana"/>
          <w:i/>
          <w:sz w:val="20"/>
          <w:szCs w:val="20"/>
          <w:lang w:val="en-US"/>
        </w:rPr>
        <w:t xml:space="preserve"> et al.),</w:t>
      </w:r>
      <w:r w:rsidRPr="006879CC">
        <w:rPr>
          <w:rFonts w:ascii="Verdana" w:hAnsi="Verdana"/>
          <w:sz w:val="20"/>
          <w:szCs w:val="20"/>
          <w:lang w:val="en-US"/>
        </w:rPr>
        <w:t xml:space="preserve"> this really appears to </w:t>
      </w:r>
      <w:r w:rsidRPr="006879CC">
        <w:rPr>
          <w:rFonts w:ascii="Verdana" w:hAnsi="Verdana" w:cs="Verdana"/>
          <w:sz w:val="20"/>
          <w:szCs w:val="20"/>
          <w:lang w:val="en-US"/>
        </w:rPr>
        <w:t>refer to the subjective method of treaty interpretation, contemplated in Article 31(2) of the Vienna Convention.</w:t>
      </w:r>
    </w:p>
    <w:p w14:paraId="2E88D256" w14:textId="77777777" w:rsidR="00E6764B" w:rsidRPr="006879CC" w:rsidRDefault="00E6764B" w:rsidP="00E6764B">
      <w:pPr>
        <w:spacing w:line="276" w:lineRule="auto"/>
        <w:rPr>
          <w:rFonts w:ascii="Verdana" w:hAnsi="Verdana" w:cs="Verdana"/>
          <w:sz w:val="20"/>
          <w:szCs w:val="20"/>
          <w:lang w:val="en-US"/>
        </w:rPr>
      </w:pPr>
    </w:p>
    <w:p w14:paraId="51F9FE8A"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cs="Verdana"/>
          <w:sz w:val="20"/>
          <w:szCs w:val="20"/>
          <w:lang w:val="en-US"/>
        </w:rPr>
      </w:pPr>
      <w:r w:rsidRPr="006879CC">
        <w:rPr>
          <w:rFonts w:ascii="Verdana" w:hAnsi="Verdana" w:cs="Verdana"/>
          <w:sz w:val="20"/>
          <w:szCs w:val="20"/>
          <w:lang w:val="en-US"/>
        </w:rPr>
        <w:t>In fact, the Ruling states</w:t>
      </w:r>
      <w:r w:rsidRPr="006879CC">
        <w:rPr>
          <w:rFonts w:ascii="Verdana" w:hAnsi="Verdana"/>
          <w:sz w:val="20"/>
          <w:szCs w:val="20"/>
          <w:lang w:val="en-US"/>
        </w:rPr>
        <w:t xml:space="preserve"> that “</w:t>
      </w:r>
      <w:r w:rsidRPr="006879CC">
        <w:rPr>
          <w:rFonts w:ascii="Verdana" w:hAnsi="Verdana"/>
          <w:i/>
          <w:sz w:val="20"/>
          <w:szCs w:val="20"/>
          <w:lang w:val="en-US"/>
        </w:rPr>
        <w:t>the general obligations “to respect” and “to guarantee” rights, together with the obligation relating to “domestic legal effects” of Article 2 of the Convention, apply to all rights, whether civil and political, or economic, social, cultural and environmental”</w:t>
      </w:r>
      <w:r w:rsidRPr="006879CC">
        <w:rPr>
          <w:rFonts w:ascii="Verdana" w:hAnsi="Verdana"/>
          <w:sz w:val="20"/>
          <w:szCs w:val="20"/>
          <w:vertAlign w:val="superscript"/>
          <w:lang w:val="en-US"/>
        </w:rPr>
        <w:footnoteReference w:id="465"/>
      </w:r>
      <w:r w:rsidRPr="006879CC">
        <w:rPr>
          <w:rFonts w:ascii="Verdana" w:hAnsi="Verdana"/>
          <w:i/>
          <w:sz w:val="20"/>
          <w:szCs w:val="20"/>
          <w:lang w:val="en-US"/>
        </w:rPr>
        <w:t xml:space="preserve"> </w:t>
      </w:r>
      <w:r w:rsidRPr="006879CC">
        <w:rPr>
          <w:rFonts w:ascii="Verdana" w:hAnsi="Verdana"/>
          <w:sz w:val="20"/>
          <w:szCs w:val="20"/>
          <w:lang w:val="en-US"/>
        </w:rPr>
        <w:t>and consequently</w:t>
      </w:r>
      <w:r w:rsidRPr="006879CC">
        <w:rPr>
          <w:rFonts w:ascii="Verdana" w:hAnsi="Verdana"/>
          <w:i/>
          <w:sz w:val="20"/>
          <w:szCs w:val="20"/>
          <w:lang w:val="en-US"/>
        </w:rPr>
        <w:t xml:space="preserve">, </w:t>
      </w:r>
      <w:r w:rsidRPr="006879CC">
        <w:rPr>
          <w:rFonts w:ascii="Verdana" w:hAnsi="Verdana"/>
          <w:sz w:val="20"/>
          <w:szCs w:val="20"/>
          <w:lang w:val="en-US"/>
        </w:rPr>
        <w:t>“</w:t>
      </w:r>
      <w:r w:rsidRPr="006879CC">
        <w:rPr>
          <w:rFonts w:ascii="Verdana" w:eastAsia="Times" w:hAnsi="Verdana" w:cs="Arial"/>
          <w:i/>
          <w:sz w:val="20"/>
          <w:szCs w:val="20"/>
          <w:lang w:val="en-US"/>
        </w:rPr>
        <w:t xml:space="preserve">since States have an obligation to respect and guarantee the rights indicated in Article 26, in the terms of Article 1(1) of the Convention, the Court is competent to assess whether there </w:t>
      </w:r>
      <w:r w:rsidRPr="006879CC">
        <w:rPr>
          <w:rFonts w:ascii="Verdana" w:eastAsia="Times" w:hAnsi="Verdana" w:cs="Arial"/>
          <w:i/>
          <w:sz w:val="20"/>
          <w:szCs w:val="20"/>
          <w:lang w:val="en-US"/>
        </w:rPr>
        <w:lastRenderedPageBreak/>
        <w:t>has been a violation of a right derived from Article 26 in the terms of Articles 62 and 63 of the Convention.”</w:t>
      </w:r>
      <w:r w:rsidRPr="006879CC">
        <w:rPr>
          <w:rFonts w:ascii="Verdana" w:hAnsi="Verdana"/>
          <w:sz w:val="20"/>
          <w:szCs w:val="20"/>
          <w:vertAlign w:val="superscript"/>
          <w:lang w:val="en-US"/>
        </w:rPr>
        <w:footnoteReference w:id="466"/>
      </w:r>
    </w:p>
    <w:p w14:paraId="7EA6D10A" w14:textId="77777777" w:rsidR="00E6764B" w:rsidRPr="006879CC" w:rsidRDefault="00E6764B" w:rsidP="00E6764B">
      <w:pPr>
        <w:spacing w:line="276" w:lineRule="auto"/>
        <w:rPr>
          <w:rFonts w:ascii="Verdana" w:eastAsia="Times" w:hAnsi="Verdana" w:cs="Arial"/>
          <w:i/>
          <w:sz w:val="20"/>
          <w:szCs w:val="20"/>
          <w:lang w:val="en-US"/>
        </w:rPr>
      </w:pPr>
    </w:p>
    <w:p w14:paraId="60AE75D3"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eastAsia="Times" w:hAnsi="Verdana" w:cs="Arial"/>
          <w:sz w:val="20"/>
          <w:szCs w:val="20"/>
          <w:lang w:val="en-US"/>
        </w:rPr>
      </w:pPr>
      <w:r w:rsidRPr="006879CC">
        <w:rPr>
          <w:rFonts w:ascii="Verdana" w:eastAsia="Times" w:hAnsi="Verdana" w:cs="Arial"/>
          <w:sz w:val="20"/>
          <w:szCs w:val="20"/>
          <w:lang w:val="en-US"/>
        </w:rPr>
        <w:t xml:space="preserve">Likewise, the Ruling adds that this </w:t>
      </w:r>
      <w:r w:rsidRPr="006879CC">
        <w:rPr>
          <w:rFonts w:ascii="Verdana" w:eastAsia="Times" w:hAnsi="Verdana" w:cs="Arial"/>
          <w:i/>
          <w:sz w:val="20"/>
          <w:szCs w:val="20"/>
          <w:lang w:val="en-US"/>
        </w:rPr>
        <w:t>“results not only from formal matters, but also from the reciprocal indivisibility and interdependence of the civil and political rights and the economic, social, cultural and environmental rights”</w:t>
      </w:r>
      <w:r w:rsidRPr="006879CC">
        <w:rPr>
          <w:rFonts w:ascii="Verdana" w:hAnsi="Verdana"/>
          <w:i/>
          <w:sz w:val="20"/>
          <w:szCs w:val="20"/>
          <w:vertAlign w:val="superscript"/>
          <w:lang w:val="en-US"/>
        </w:rPr>
        <w:footnoteReference w:id="467"/>
      </w:r>
      <w:r w:rsidRPr="006879CC">
        <w:rPr>
          <w:rFonts w:ascii="Verdana" w:eastAsia="Times" w:hAnsi="Verdana" w:cs="Arial"/>
          <w:i/>
          <w:sz w:val="20"/>
          <w:szCs w:val="20"/>
          <w:lang w:val="en-US"/>
        </w:rPr>
        <w:t xml:space="preserve"> </w:t>
      </w:r>
      <w:r w:rsidRPr="006879CC">
        <w:rPr>
          <w:rFonts w:ascii="Verdana" w:eastAsia="Times" w:hAnsi="Verdana" w:cs="Arial"/>
          <w:sz w:val="20"/>
          <w:szCs w:val="20"/>
          <w:lang w:val="en-US"/>
        </w:rPr>
        <w:t>and that</w:t>
      </w:r>
      <w:r w:rsidRPr="006879CC">
        <w:rPr>
          <w:rFonts w:ascii="Verdana" w:eastAsia="Times" w:hAnsi="Verdana" w:cs="Arial"/>
          <w:i/>
          <w:sz w:val="20"/>
          <w:szCs w:val="20"/>
          <w:lang w:val="en-US"/>
        </w:rPr>
        <w:t xml:space="preserve"> “the interdependence and indivisibility of the rights recognized by the American Convention denies any separation, categorization or hierarchy between rights for the purposes of their respect, protection and guarantee.”</w:t>
      </w:r>
      <w:r w:rsidRPr="006879CC">
        <w:rPr>
          <w:rFonts w:ascii="Verdana" w:hAnsi="Verdana"/>
          <w:sz w:val="20"/>
          <w:szCs w:val="20"/>
          <w:vertAlign w:val="superscript"/>
          <w:lang w:val="en-US"/>
        </w:rPr>
        <w:footnoteReference w:id="468"/>
      </w:r>
    </w:p>
    <w:p w14:paraId="1FEB0FF9" w14:textId="77777777" w:rsidR="00E6764B" w:rsidRPr="006879CC" w:rsidRDefault="00E6764B" w:rsidP="00E6764B">
      <w:pPr>
        <w:spacing w:line="276" w:lineRule="auto"/>
        <w:rPr>
          <w:rFonts w:ascii="Verdana" w:eastAsia="Times" w:hAnsi="Verdana" w:cs="Arial"/>
          <w:i/>
          <w:sz w:val="20"/>
          <w:szCs w:val="20"/>
          <w:lang w:val="en-US"/>
        </w:rPr>
      </w:pPr>
    </w:p>
    <w:p w14:paraId="17D081A6" w14:textId="77777777" w:rsidR="00E6764B" w:rsidRPr="006879CC" w:rsidRDefault="00E6764B" w:rsidP="007720B1">
      <w:pPr>
        <w:pStyle w:val="Prrafodelista"/>
        <w:widowControl/>
        <w:numPr>
          <w:ilvl w:val="0"/>
          <w:numId w:val="19"/>
        </w:numPr>
        <w:tabs>
          <w:tab w:val="left" w:pos="567"/>
        </w:tabs>
        <w:adjustRightInd/>
        <w:spacing w:line="276" w:lineRule="auto"/>
        <w:ind w:left="0" w:firstLine="0"/>
        <w:textAlignment w:val="auto"/>
        <w:rPr>
          <w:rFonts w:ascii="Verdana" w:hAnsi="Verdana"/>
          <w:sz w:val="20"/>
          <w:szCs w:val="20"/>
          <w:lang w:val="en-US"/>
        </w:rPr>
      </w:pPr>
      <w:r w:rsidRPr="006879CC">
        <w:rPr>
          <w:rFonts w:ascii="Verdana" w:eastAsia="Times" w:hAnsi="Verdana" w:cs="Arial"/>
          <w:sz w:val="20"/>
          <w:szCs w:val="20"/>
          <w:lang w:val="en-US"/>
        </w:rPr>
        <w:t xml:space="preserve">In maintaining that position, the Ruling omits to mention that </w:t>
      </w:r>
      <w:r w:rsidRPr="006879CC">
        <w:rPr>
          <w:rFonts w:ascii="Verdana" w:hAnsi="Verdana"/>
          <w:sz w:val="20"/>
          <w:szCs w:val="20"/>
          <w:lang w:val="en-US"/>
        </w:rPr>
        <w:t>Article 1(1) of the Convention requires the State Parties to respect and guarantee the free exercise of the rights “</w:t>
      </w:r>
      <w:r w:rsidRPr="006879CC">
        <w:rPr>
          <w:rFonts w:ascii="Verdana" w:hAnsi="Verdana"/>
          <w:i/>
          <w:sz w:val="20"/>
          <w:szCs w:val="20"/>
          <w:lang w:val="en-US"/>
        </w:rPr>
        <w:t>recognized therein</w:t>
      </w:r>
      <w:r w:rsidRPr="006879CC">
        <w:rPr>
          <w:rFonts w:ascii="Verdana" w:hAnsi="Verdana"/>
          <w:sz w:val="20"/>
          <w:szCs w:val="20"/>
          <w:lang w:val="en-US"/>
        </w:rPr>
        <w:t>” and that Article 29 (a) of the same instrument, related to the “</w:t>
      </w:r>
      <w:r w:rsidRPr="006879CC">
        <w:rPr>
          <w:rFonts w:ascii="Verdana" w:hAnsi="Verdana"/>
          <w:i/>
          <w:sz w:val="20"/>
          <w:szCs w:val="20"/>
          <w:lang w:val="en-US"/>
        </w:rPr>
        <w:t xml:space="preserve">pro personae” </w:t>
      </w:r>
      <w:r w:rsidRPr="006879CC">
        <w:rPr>
          <w:rFonts w:ascii="Verdana" w:hAnsi="Verdana"/>
          <w:sz w:val="20"/>
          <w:szCs w:val="20"/>
          <w:lang w:val="en-US"/>
        </w:rPr>
        <w:t>principle, employs the same formula.</w:t>
      </w:r>
      <w:r w:rsidRPr="006879CC">
        <w:rPr>
          <w:rStyle w:val="Refdenotaalpie"/>
          <w:szCs w:val="20"/>
          <w:lang w:val="en-US"/>
        </w:rPr>
        <w:footnoteReference w:id="469"/>
      </w:r>
      <w:r w:rsidRPr="006879CC">
        <w:rPr>
          <w:rFonts w:ascii="Verdana" w:hAnsi="Verdana"/>
          <w:sz w:val="20"/>
          <w:szCs w:val="20"/>
          <w:lang w:val="en-US"/>
        </w:rPr>
        <w:t xml:space="preserve"> Nor does it refer to other provisions of the Convention that mention “</w:t>
      </w:r>
      <w:r w:rsidRPr="006879CC">
        <w:rPr>
          <w:rFonts w:ascii="Verdana" w:hAnsi="Verdana"/>
          <w:i/>
          <w:sz w:val="20"/>
          <w:szCs w:val="20"/>
          <w:lang w:val="en-US"/>
        </w:rPr>
        <w:t>the rights established,</w:t>
      </w:r>
      <w:r w:rsidRPr="006879CC">
        <w:rPr>
          <w:rFonts w:ascii="Verdana" w:hAnsi="Verdana"/>
          <w:sz w:val="20"/>
          <w:szCs w:val="20"/>
          <w:lang w:val="en-US"/>
        </w:rPr>
        <w:t>” “</w:t>
      </w:r>
      <w:r w:rsidRPr="006879CC">
        <w:rPr>
          <w:rFonts w:ascii="Verdana" w:hAnsi="Verdana"/>
          <w:i/>
          <w:sz w:val="20"/>
          <w:szCs w:val="20"/>
          <w:lang w:val="en-US"/>
        </w:rPr>
        <w:t>guaranteed</w:t>
      </w:r>
      <w:r w:rsidRPr="006879CC">
        <w:rPr>
          <w:rFonts w:ascii="Verdana" w:hAnsi="Verdana"/>
          <w:sz w:val="20"/>
          <w:szCs w:val="20"/>
          <w:lang w:val="en-US"/>
        </w:rPr>
        <w:t>”, “</w:t>
      </w:r>
      <w:r w:rsidRPr="006879CC">
        <w:rPr>
          <w:rFonts w:ascii="Verdana" w:hAnsi="Verdana"/>
          <w:i/>
          <w:sz w:val="20"/>
          <w:szCs w:val="20"/>
          <w:lang w:val="en-US"/>
        </w:rPr>
        <w:t>enshrined</w:t>
      </w:r>
      <w:r w:rsidRPr="006879CC">
        <w:rPr>
          <w:rFonts w:ascii="Verdana" w:hAnsi="Verdana"/>
          <w:sz w:val="20"/>
          <w:szCs w:val="20"/>
          <w:lang w:val="en-US"/>
        </w:rPr>
        <w:t>” or “</w:t>
      </w:r>
      <w:r w:rsidRPr="006879CC">
        <w:rPr>
          <w:rFonts w:ascii="Verdana" w:hAnsi="Verdana"/>
          <w:i/>
          <w:sz w:val="20"/>
          <w:szCs w:val="20"/>
          <w:lang w:val="en-US"/>
        </w:rPr>
        <w:t>protected,</w:t>
      </w:r>
      <w:r w:rsidRPr="006879CC">
        <w:rPr>
          <w:rFonts w:ascii="Verdana" w:hAnsi="Verdana"/>
          <w:sz w:val="20"/>
          <w:szCs w:val="20"/>
          <w:lang w:val="en-US"/>
        </w:rPr>
        <w:t>”</w:t>
      </w:r>
      <w:r w:rsidRPr="006879CC">
        <w:rPr>
          <w:rStyle w:val="Refdenotaalpie"/>
          <w:szCs w:val="20"/>
          <w:lang w:val="en-US"/>
        </w:rPr>
        <w:footnoteReference w:id="470"/>
      </w:r>
      <w:r w:rsidRPr="006879CC">
        <w:rPr>
          <w:rFonts w:ascii="Verdana" w:hAnsi="Verdana"/>
          <w:sz w:val="20"/>
          <w:szCs w:val="20"/>
          <w:lang w:val="en-US"/>
        </w:rPr>
        <w:t xml:space="preserve"> which, logically, should be understood to mean the rights that have been “</w:t>
      </w:r>
      <w:r w:rsidRPr="006879CC">
        <w:rPr>
          <w:rFonts w:ascii="Verdana" w:hAnsi="Verdana"/>
          <w:i/>
          <w:sz w:val="20"/>
          <w:szCs w:val="20"/>
          <w:lang w:val="en-US"/>
        </w:rPr>
        <w:t>recognized.”</w:t>
      </w:r>
      <w:r w:rsidRPr="006879CC">
        <w:rPr>
          <w:rFonts w:ascii="Verdana" w:hAnsi="Verdana"/>
          <w:sz w:val="20"/>
          <w:szCs w:val="20"/>
          <w:vertAlign w:val="superscript"/>
          <w:lang w:val="en-US"/>
        </w:rPr>
        <w:footnoteReference w:id="471"/>
      </w:r>
      <w:r w:rsidRPr="006879CC">
        <w:rPr>
          <w:rFonts w:ascii="Verdana" w:hAnsi="Verdana"/>
          <w:sz w:val="20"/>
          <w:szCs w:val="20"/>
          <w:lang w:val="en-US"/>
        </w:rPr>
        <w:t xml:space="preserve"> </w:t>
      </w:r>
    </w:p>
    <w:p w14:paraId="350A8E01" w14:textId="77777777" w:rsidR="00E6764B" w:rsidRPr="006879CC" w:rsidRDefault="00E6764B" w:rsidP="00E6764B">
      <w:pPr>
        <w:spacing w:line="276" w:lineRule="auto"/>
        <w:rPr>
          <w:rFonts w:ascii="Verdana" w:eastAsia="Times" w:hAnsi="Verdana" w:cs="Arial"/>
          <w:sz w:val="20"/>
          <w:szCs w:val="20"/>
          <w:lang w:val="en-US"/>
        </w:rPr>
      </w:pPr>
    </w:p>
    <w:p w14:paraId="70F687E3"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eastAsia="Times" w:hAnsi="Verdana" w:cs="Arial"/>
          <w:sz w:val="20"/>
          <w:szCs w:val="20"/>
          <w:lang w:val="en-US"/>
        </w:rPr>
        <w:t xml:space="preserve">Furthermore, the Ruling does not take full account of the agreements and instruments related to the Convention, or concerning its interpretation, or the relevant practice of its States Parties. On this point, it merely evokes in a generic manner </w:t>
      </w:r>
      <w:r w:rsidRPr="006879CC">
        <w:rPr>
          <w:rFonts w:ascii="Verdana" w:hAnsi="Verdana"/>
          <w:sz w:val="20"/>
          <w:szCs w:val="20"/>
          <w:lang w:val="en-US"/>
        </w:rPr>
        <w:t>the link between civil and political rights and economic, social and cultural rights,</w:t>
      </w:r>
      <w:r w:rsidRPr="006879CC">
        <w:rPr>
          <w:rFonts w:ascii="Verdana" w:hAnsi="Verdana"/>
          <w:sz w:val="20"/>
          <w:szCs w:val="20"/>
          <w:vertAlign w:val="superscript"/>
          <w:lang w:val="en-US"/>
        </w:rPr>
        <w:footnoteReference w:id="472"/>
      </w:r>
      <w:r w:rsidRPr="006879CC">
        <w:rPr>
          <w:rFonts w:ascii="Verdana" w:hAnsi="Verdana"/>
          <w:sz w:val="20"/>
          <w:szCs w:val="20"/>
          <w:lang w:val="en-US"/>
        </w:rPr>
        <w:t xml:space="preserve"> but without providing details of agreements subsequent to the signing of the Convention that reflect the interpretation made by its States Parties. Instead, the Ruling only mentions the Protocol of San Salvador, downplaying its importance by not considering the fact that it establishes that the Court can only examine two very specific situations contemplated therein, ultimately calling into question its purpose and the need for it.</w:t>
      </w:r>
      <w:r w:rsidRPr="006879CC">
        <w:rPr>
          <w:rFonts w:ascii="Verdana" w:hAnsi="Verdana"/>
          <w:sz w:val="20"/>
          <w:szCs w:val="20"/>
          <w:vertAlign w:val="superscript"/>
          <w:lang w:val="en-US"/>
        </w:rPr>
        <w:footnoteReference w:id="473"/>
      </w:r>
    </w:p>
    <w:p w14:paraId="3CC81344" w14:textId="77777777" w:rsidR="00E6764B" w:rsidRPr="006879CC" w:rsidRDefault="00E6764B" w:rsidP="00E6764B">
      <w:pPr>
        <w:spacing w:line="276" w:lineRule="auto"/>
        <w:rPr>
          <w:rFonts w:ascii="Verdana" w:hAnsi="Verdana"/>
          <w:sz w:val="20"/>
          <w:szCs w:val="20"/>
          <w:lang w:val="en-US"/>
        </w:rPr>
      </w:pPr>
    </w:p>
    <w:p w14:paraId="6297DEA9"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Moreover, the Ruling appears to confuse the nature of subsequent agreements that the States Parties to the Convention reach or have reached. Indeed, it states that </w:t>
      </w:r>
      <w:r w:rsidRPr="006879CC">
        <w:rPr>
          <w:rFonts w:ascii="Verdana" w:hAnsi="Verdana"/>
          <w:i/>
          <w:sz w:val="20"/>
          <w:szCs w:val="20"/>
          <w:lang w:val="en-US"/>
        </w:rPr>
        <w:t xml:space="preserve">“the Court </w:t>
      </w:r>
      <w:r w:rsidRPr="006879CC">
        <w:rPr>
          <w:rFonts w:ascii="Verdana" w:eastAsia="Times" w:hAnsi="Verdana" w:cs="Arial"/>
          <w:i/>
          <w:sz w:val="20"/>
          <w:szCs w:val="20"/>
          <w:lang w:val="en-US"/>
        </w:rPr>
        <w:t xml:space="preserve">recalls that Article 76 of the American Convention establishes a specific procedure for amendments, which require the ratification of two-thirds of the States Parties to the Convention” </w:t>
      </w:r>
      <w:r w:rsidRPr="006879CC">
        <w:rPr>
          <w:rFonts w:ascii="Verdana" w:eastAsia="Times" w:hAnsi="Verdana" w:cs="Arial"/>
          <w:sz w:val="20"/>
          <w:szCs w:val="20"/>
          <w:lang w:val="en-US"/>
        </w:rPr>
        <w:t>and that</w:t>
      </w:r>
      <w:r w:rsidRPr="006879CC">
        <w:rPr>
          <w:rFonts w:ascii="Verdana" w:eastAsia="Times" w:hAnsi="Verdana" w:cs="Arial"/>
          <w:i/>
          <w:sz w:val="20"/>
          <w:szCs w:val="20"/>
          <w:lang w:val="en-US"/>
        </w:rPr>
        <w:t>, “it would be contradictory to consider that the adoption of the Additional Protocol, which did not require such a high margin of ratification as an amendment to the American Convention, could modify the content and scope of the latter’s effects.”</w:t>
      </w:r>
      <w:r w:rsidRPr="006879CC">
        <w:rPr>
          <w:rFonts w:ascii="Verdana" w:eastAsia="Times" w:hAnsi="Verdana" w:cs="Arial"/>
          <w:i/>
          <w:sz w:val="20"/>
          <w:szCs w:val="20"/>
          <w:vertAlign w:val="superscript"/>
          <w:lang w:val="en-US"/>
        </w:rPr>
        <w:footnoteReference w:id="474"/>
      </w:r>
      <w:r w:rsidRPr="006879CC">
        <w:rPr>
          <w:rFonts w:ascii="Verdana" w:eastAsia="Times" w:hAnsi="Verdana" w:cs="Arial"/>
          <w:i/>
          <w:sz w:val="20"/>
          <w:szCs w:val="20"/>
          <w:lang w:val="en-US"/>
        </w:rPr>
        <w:t xml:space="preserve"> </w:t>
      </w:r>
      <w:r w:rsidRPr="006879CC">
        <w:rPr>
          <w:rFonts w:ascii="Verdana" w:eastAsia="Times" w:hAnsi="Verdana" w:cs="Arial"/>
          <w:sz w:val="20"/>
          <w:szCs w:val="20"/>
          <w:lang w:val="en-US"/>
        </w:rPr>
        <w:t>Thus</w:t>
      </w:r>
      <w:r w:rsidRPr="006879CC">
        <w:rPr>
          <w:rFonts w:ascii="Verdana" w:hAnsi="Verdana"/>
          <w:sz w:val="20"/>
          <w:szCs w:val="20"/>
          <w:lang w:val="en-US"/>
        </w:rPr>
        <w:t xml:space="preserve">, in relation to the amendment and modification of treaties, pursuant to </w:t>
      </w:r>
      <w:r w:rsidRPr="006879CC">
        <w:rPr>
          <w:rFonts w:ascii="Verdana" w:hAnsi="Verdana"/>
          <w:sz w:val="20"/>
          <w:szCs w:val="20"/>
          <w:lang w:val="en-US"/>
        </w:rPr>
        <w:lastRenderedPageBreak/>
        <w:t xml:space="preserve">the Vienna Convention, </w:t>
      </w:r>
      <w:r w:rsidRPr="006879CC">
        <w:rPr>
          <w:rFonts w:ascii="Verdana" w:eastAsia="Times" w:hAnsi="Verdana" w:cs="Arial"/>
          <w:sz w:val="20"/>
          <w:szCs w:val="20"/>
          <w:lang w:val="en-US"/>
        </w:rPr>
        <w:t xml:space="preserve">the Ruling does not appear to consider </w:t>
      </w:r>
      <w:r w:rsidRPr="006879CC">
        <w:rPr>
          <w:rFonts w:ascii="Verdana" w:hAnsi="Verdana"/>
          <w:sz w:val="20"/>
          <w:szCs w:val="20"/>
          <w:lang w:val="en-US"/>
        </w:rPr>
        <w:t>the principle that the will of the Parties must prevail and that any change made to such treaties by all of the States Parties is termed an amendment, whereas one made by agreement only among certain of the parties, is termed a modification.</w:t>
      </w:r>
      <w:r w:rsidRPr="006879CC">
        <w:rPr>
          <w:rFonts w:ascii="Verdana" w:hAnsi="Verdana"/>
          <w:sz w:val="20"/>
          <w:szCs w:val="20"/>
          <w:vertAlign w:val="superscript"/>
          <w:lang w:val="en-US"/>
        </w:rPr>
        <w:footnoteReference w:id="475"/>
      </w:r>
      <w:r w:rsidRPr="006879CC">
        <w:rPr>
          <w:rFonts w:ascii="Verdana" w:hAnsi="Verdana"/>
          <w:sz w:val="20"/>
          <w:szCs w:val="20"/>
          <w:lang w:val="en-US"/>
        </w:rPr>
        <w:t xml:space="preserve"> Nor does it appear to take into account that the Convention, in turn, also makes a distinction on the matter, between proposed amendments, pursuant to Article 76,</w:t>
      </w:r>
      <w:r w:rsidRPr="006879CC">
        <w:rPr>
          <w:rFonts w:ascii="Verdana" w:hAnsi="Verdana"/>
          <w:sz w:val="20"/>
          <w:szCs w:val="20"/>
          <w:vertAlign w:val="superscript"/>
          <w:lang w:val="en-US"/>
        </w:rPr>
        <w:footnoteReference w:id="476"/>
      </w:r>
      <w:r w:rsidRPr="006879CC">
        <w:rPr>
          <w:rFonts w:ascii="Verdana" w:hAnsi="Verdana"/>
          <w:sz w:val="20"/>
          <w:szCs w:val="20"/>
          <w:lang w:val="en-US"/>
        </w:rPr>
        <w:t xml:space="preserve"> and drafts of additional Protocols to the Convention, in order to progressively include in its protection system other rights and freedoms regulated by Article 77.</w:t>
      </w:r>
      <w:r w:rsidRPr="006879CC">
        <w:rPr>
          <w:rFonts w:ascii="Verdana" w:hAnsi="Verdana"/>
          <w:sz w:val="20"/>
          <w:szCs w:val="20"/>
          <w:vertAlign w:val="superscript"/>
          <w:lang w:val="en-US"/>
        </w:rPr>
        <w:footnoteReference w:id="477"/>
      </w:r>
      <w:r w:rsidRPr="006879CC">
        <w:rPr>
          <w:rFonts w:ascii="Verdana" w:hAnsi="Verdana"/>
          <w:sz w:val="20"/>
          <w:szCs w:val="20"/>
          <w:lang w:val="en-US"/>
        </w:rPr>
        <w:t xml:space="preserve"> Therefore, the said Protocols do not constitute a change to the Convention as such, but rather aim to add other rights not contemplated therein to the protection system that it envisages. </w:t>
      </w:r>
    </w:p>
    <w:p w14:paraId="7745D3C1" w14:textId="77777777" w:rsidR="00E6764B" w:rsidRPr="006879CC" w:rsidRDefault="00E6764B" w:rsidP="00E6764B">
      <w:pPr>
        <w:pStyle w:val="Prrafodelista"/>
        <w:ind w:left="0"/>
        <w:rPr>
          <w:rFonts w:ascii="Verdana" w:hAnsi="Verdana"/>
          <w:sz w:val="20"/>
          <w:szCs w:val="20"/>
          <w:lang w:val="en-US"/>
        </w:rPr>
      </w:pPr>
    </w:p>
    <w:p w14:paraId="4CD99590"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With reference to the provision of the Vienna Convention according to which “</w:t>
      </w:r>
      <w:r w:rsidRPr="006879CC">
        <w:rPr>
          <w:rFonts w:ascii="Verdana" w:hAnsi="Verdana"/>
          <w:i/>
          <w:sz w:val="20"/>
          <w:szCs w:val="20"/>
          <w:lang w:val="en-US"/>
        </w:rPr>
        <w:t xml:space="preserve">any relevant rules of international law applicable in the relations between the parties,” </w:t>
      </w:r>
      <w:r w:rsidRPr="006879CC">
        <w:rPr>
          <w:rFonts w:ascii="Verdana" w:hAnsi="Verdana"/>
          <w:sz w:val="20"/>
          <w:szCs w:val="20"/>
          <w:lang w:val="en-US"/>
        </w:rPr>
        <w:t xml:space="preserve"> I should also mention that the Ruling also alludes, in a very generic manner, solely to the American Declaration of the Rights and Duties of Man.</w:t>
      </w:r>
      <w:r w:rsidRPr="006879CC">
        <w:rPr>
          <w:rFonts w:ascii="Verdana" w:hAnsi="Verdana"/>
          <w:sz w:val="20"/>
          <w:szCs w:val="20"/>
          <w:vertAlign w:val="superscript"/>
          <w:lang w:val="en-US"/>
        </w:rPr>
        <w:footnoteReference w:id="478"/>
      </w:r>
      <w:r w:rsidRPr="006879CC">
        <w:rPr>
          <w:rFonts w:ascii="Verdana" w:hAnsi="Verdana"/>
          <w:sz w:val="20"/>
          <w:szCs w:val="20"/>
          <w:lang w:val="en-US"/>
        </w:rPr>
        <w:t xml:space="preserve"> However, it does not point out that since the latter pre-dates the Convention, it is a resolution that was originally declarative or interpretative of a general principle of law and therefore, pursuant to Article 29(d) thereof,</w:t>
      </w:r>
      <w:r w:rsidRPr="006879CC">
        <w:rPr>
          <w:rStyle w:val="Refdenotaalpie"/>
          <w:szCs w:val="20"/>
          <w:lang w:val="en-US"/>
        </w:rPr>
        <w:footnoteReference w:id="479"/>
      </w:r>
      <w:r w:rsidRPr="006879CC">
        <w:rPr>
          <w:rFonts w:ascii="Verdana" w:hAnsi="Verdana"/>
          <w:sz w:val="20"/>
          <w:szCs w:val="20"/>
          <w:lang w:val="en-US"/>
        </w:rPr>
        <w:t xml:space="preserve"> must be considered for interpretative purposes of the Convention, but not that it interprets it. </w:t>
      </w:r>
    </w:p>
    <w:p w14:paraId="524B984B" w14:textId="77777777" w:rsidR="00E6764B" w:rsidRPr="006879CC" w:rsidRDefault="00E6764B" w:rsidP="00E6764B">
      <w:pPr>
        <w:pStyle w:val="Prrafodelista"/>
        <w:ind w:left="0"/>
        <w:rPr>
          <w:rFonts w:ascii="Verdana" w:hAnsi="Verdana"/>
          <w:sz w:val="20"/>
          <w:szCs w:val="20"/>
          <w:lang w:val="en-US"/>
        </w:rPr>
      </w:pPr>
    </w:p>
    <w:p w14:paraId="204ECDEC" w14:textId="77777777" w:rsidR="000555E7"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eastAsia="Times" w:hAnsi="Verdana" w:cs="Arial"/>
          <w:sz w:val="20"/>
          <w:szCs w:val="20"/>
          <w:lang w:val="en-US"/>
        </w:rPr>
        <w:t>Moreover, the Ruling does not comment on the protection system contemplated in the Convention, as part of the context. As mentioned previously</w:t>
      </w:r>
      <w:r w:rsidRPr="006879CC">
        <w:rPr>
          <w:rFonts w:ascii="Verdana" w:hAnsi="Verdana"/>
          <w:sz w:val="20"/>
          <w:szCs w:val="20"/>
          <w:vertAlign w:val="superscript"/>
          <w:lang w:val="en-US"/>
        </w:rPr>
        <w:footnoteReference w:id="480"/>
      </w:r>
      <w:r w:rsidRPr="006879CC">
        <w:rPr>
          <w:rFonts w:ascii="Verdana" w:eastAsia="Times" w:hAnsi="Verdana" w:cs="Arial"/>
          <w:sz w:val="20"/>
          <w:szCs w:val="20"/>
          <w:lang w:val="en-US"/>
        </w:rPr>
        <w:t xml:space="preserve"> this system is described </w:t>
      </w:r>
      <w:r w:rsidRPr="006879CC">
        <w:rPr>
          <w:rFonts w:ascii="Verdana" w:hAnsi="Verdana"/>
          <w:sz w:val="20"/>
          <w:szCs w:val="20"/>
          <w:lang w:val="en-US"/>
        </w:rPr>
        <w:t xml:space="preserve">in Part II of </w:t>
      </w:r>
    </w:p>
    <w:p w14:paraId="0A3E9A8C" w14:textId="77777777" w:rsidR="000555E7" w:rsidRPr="000555E7" w:rsidRDefault="000555E7" w:rsidP="000555E7">
      <w:pPr>
        <w:pStyle w:val="Prrafodelista"/>
        <w:rPr>
          <w:rFonts w:ascii="Verdana" w:hAnsi="Verdana"/>
          <w:sz w:val="20"/>
          <w:szCs w:val="20"/>
          <w:lang w:val="en-US"/>
        </w:rPr>
      </w:pPr>
    </w:p>
    <w:p w14:paraId="391E4D10" w14:textId="63FA9C65" w:rsidR="00E6764B" w:rsidRPr="006879CC" w:rsidRDefault="00E6764B" w:rsidP="000555E7">
      <w:pPr>
        <w:pStyle w:val="Prrafodelista"/>
        <w:widowControl/>
        <w:adjustRightInd/>
        <w:spacing w:after="200" w:line="276" w:lineRule="auto"/>
        <w:ind w:left="0"/>
        <w:textAlignment w:val="auto"/>
        <w:rPr>
          <w:rFonts w:ascii="Verdana" w:hAnsi="Verdana"/>
          <w:sz w:val="20"/>
          <w:szCs w:val="20"/>
          <w:lang w:val="en-US"/>
        </w:rPr>
      </w:pPr>
      <w:r w:rsidRPr="006879CC">
        <w:rPr>
          <w:rFonts w:ascii="Verdana" w:hAnsi="Verdana"/>
          <w:sz w:val="20"/>
          <w:szCs w:val="20"/>
          <w:lang w:val="en-US"/>
        </w:rPr>
        <w:lastRenderedPageBreak/>
        <w:t>the Convention, entitled “</w:t>
      </w:r>
      <w:r w:rsidRPr="006879CC">
        <w:rPr>
          <w:rFonts w:ascii="Verdana" w:hAnsi="Verdana"/>
          <w:i/>
          <w:sz w:val="20"/>
          <w:szCs w:val="20"/>
          <w:lang w:val="en-US"/>
        </w:rPr>
        <w:t>Means of Protection.</w:t>
      </w:r>
      <w:r w:rsidRPr="006879CC">
        <w:rPr>
          <w:rFonts w:ascii="Verdana" w:hAnsi="Verdana"/>
          <w:sz w:val="20"/>
          <w:szCs w:val="20"/>
          <w:lang w:val="en-US"/>
        </w:rPr>
        <w:t>” On this point it should be noted that the Ruling does not explain or give any reason– or, at least sufficient reason - why Article 26 was included separately and as the sole article of Chapter III of the Convention, entitled “</w:t>
      </w:r>
      <w:r w:rsidRPr="006879CC">
        <w:rPr>
          <w:rFonts w:ascii="Verdana" w:hAnsi="Verdana"/>
          <w:i/>
          <w:sz w:val="20"/>
          <w:szCs w:val="20"/>
          <w:lang w:val="en-US"/>
        </w:rPr>
        <w:t>Economic, Social and Cultural Rights,</w:t>
      </w:r>
      <w:r w:rsidRPr="006879CC">
        <w:rPr>
          <w:rFonts w:ascii="Verdana" w:hAnsi="Verdana"/>
          <w:sz w:val="20"/>
          <w:szCs w:val="20"/>
          <w:lang w:val="en-US"/>
        </w:rPr>
        <w:t>” or why it was not included in Chapter II of Part I of the Convention, entitled “</w:t>
      </w:r>
      <w:r w:rsidRPr="006879CC">
        <w:rPr>
          <w:rFonts w:ascii="Verdana" w:hAnsi="Verdana"/>
          <w:i/>
          <w:sz w:val="20"/>
          <w:szCs w:val="20"/>
          <w:lang w:val="en-US"/>
        </w:rPr>
        <w:t>State Obligations and Rights Protected.</w:t>
      </w:r>
      <w:r w:rsidRPr="006879CC">
        <w:rPr>
          <w:rFonts w:ascii="Verdana" w:hAnsi="Verdana"/>
          <w:sz w:val="20"/>
          <w:szCs w:val="20"/>
          <w:lang w:val="en-US"/>
        </w:rPr>
        <w:t>” Moreover, it does not explain why that Chapter was not given the simple title of “</w:t>
      </w:r>
      <w:r w:rsidRPr="006879CC">
        <w:rPr>
          <w:rFonts w:ascii="Verdana" w:hAnsi="Verdana"/>
          <w:i/>
          <w:sz w:val="20"/>
          <w:szCs w:val="20"/>
          <w:lang w:val="en-US"/>
        </w:rPr>
        <w:t>Rights.</w:t>
      </w:r>
      <w:r w:rsidRPr="006879CC">
        <w:rPr>
          <w:rFonts w:ascii="Verdana" w:hAnsi="Verdana"/>
          <w:sz w:val="20"/>
          <w:szCs w:val="20"/>
          <w:lang w:val="en-US"/>
        </w:rPr>
        <w:t xml:space="preserve">” </w:t>
      </w:r>
    </w:p>
    <w:p w14:paraId="5A7F3428" w14:textId="77777777" w:rsidR="00E6764B" w:rsidRPr="006879CC" w:rsidRDefault="00E6764B" w:rsidP="00E6764B">
      <w:pPr>
        <w:pStyle w:val="Prrafodelista"/>
        <w:rPr>
          <w:rFonts w:ascii="Verdana" w:hAnsi="Verdana"/>
          <w:sz w:val="20"/>
          <w:szCs w:val="20"/>
          <w:lang w:val="en-US"/>
        </w:rPr>
      </w:pPr>
    </w:p>
    <w:p w14:paraId="5D00B819"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In sum, the Ruling does not provide a reasonable explanation to help us understand the difference between the two chapters of Part I of the Convention. It does not provide any reason to justify the difference between the conventional regulation of civil and political rights and the economic, social and cultural rights. Obviously and logically, the basis for this cannot be other than the fact that Article 26 does not establish a human right and that, consequently, under its aegis, persons do not have the right to make a claim before the Court for the violation of a human right.</w:t>
      </w:r>
    </w:p>
    <w:p w14:paraId="7FA3818D" w14:textId="77777777" w:rsidR="00E6764B" w:rsidRPr="006879CC" w:rsidRDefault="00E6764B" w:rsidP="00E6764B">
      <w:pPr>
        <w:pStyle w:val="Prrafodelista"/>
        <w:ind w:left="0"/>
        <w:rPr>
          <w:rFonts w:ascii="Verdana" w:hAnsi="Verdana"/>
          <w:sz w:val="20"/>
          <w:szCs w:val="20"/>
          <w:lang w:val="en-US"/>
        </w:rPr>
      </w:pPr>
    </w:p>
    <w:p w14:paraId="3EAE02B2"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Finally, in relation to the systematic interpretation, it seems appropriate to emphasize that the Ruling is based solely on the Court’s own case law,</w:t>
      </w:r>
      <w:r w:rsidRPr="006879CC">
        <w:rPr>
          <w:rFonts w:ascii="Verdana" w:hAnsi="Verdana"/>
          <w:sz w:val="20"/>
          <w:szCs w:val="20"/>
          <w:vertAlign w:val="superscript"/>
          <w:lang w:val="en-US"/>
        </w:rPr>
        <w:footnoteReference w:id="481"/>
      </w:r>
      <w:r w:rsidRPr="006879CC">
        <w:rPr>
          <w:rFonts w:ascii="Verdana" w:hAnsi="Verdana"/>
          <w:sz w:val="20"/>
          <w:szCs w:val="20"/>
          <w:lang w:val="en-US"/>
        </w:rPr>
        <w:t xml:space="preserve"> that is to say, on its own view. The Court even has recourse to the institution of “</w:t>
      </w:r>
      <w:r w:rsidRPr="006879CC">
        <w:rPr>
          <w:rFonts w:ascii="Verdana" w:hAnsi="Verdana"/>
          <w:i/>
          <w:sz w:val="20"/>
          <w:szCs w:val="20"/>
          <w:lang w:val="en-US"/>
        </w:rPr>
        <w:t xml:space="preserve">la </w:t>
      </w:r>
      <w:proofErr w:type="spellStart"/>
      <w:r w:rsidRPr="006879CC">
        <w:rPr>
          <w:rFonts w:ascii="Verdana" w:eastAsia="Times" w:hAnsi="Verdana" w:cs="Arial"/>
          <w:i/>
          <w:sz w:val="20"/>
          <w:szCs w:val="20"/>
          <w:lang w:val="en-US"/>
        </w:rPr>
        <w:t>compétence</w:t>
      </w:r>
      <w:proofErr w:type="spellEnd"/>
      <w:r w:rsidRPr="006879CC">
        <w:rPr>
          <w:rFonts w:ascii="Verdana" w:eastAsia="Times" w:hAnsi="Verdana" w:cs="Arial"/>
          <w:i/>
          <w:sz w:val="20"/>
          <w:szCs w:val="20"/>
          <w:lang w:val="en-US"/>
        </w:rPr>
        <w:t xml:space="preserve"> de la </w:t>
      </w:r>
      <w:proofErr w:type="spellStart"/>
      <w:r w:rsidRPr="006879CC">
        <w:rPr>
          <w:rFonts w:ascii="Verdana" w:eastAsia="Times" w:hAnsi="Verdana" w:cs="Arial"/>
          <w:i/>
          <w:sz w:val="20"/>
          <w:szCs w:val="20"/>
          <w:lang w:val="en-US"/>
        </w:rPr>
        <w:t>compétence</w:t>
      </w:r>
      <w:proofErr w:type="spellEnd"/>
      <w:r w:rsidRPr="006879CC">
        <w:rPr>
          <w:rFonts w:ascii="Verdana" w:eastAsia="Times" w:hAnsi="Verdana" w:cs="Arial"/>
          <w:sz w:val="20"/>
          <w:szCs w:val="20"/>
          <w:lang w:val="en-US"/>
        </w:rPr>
        <w:t>” in order to affirm that it “</w:t>
      </w:r>
      <w:r w:rsidRPr="006879CC">
        <w:rPr>
          <w:rFonts w:ascii="Verdana" w:eastAsia="Times" w:hAnsi="Verdana" w:cs="Arial"/>
          <w:i/>
          <w:sz w:val="20"/>
          <w:szCs w:val="20"/>
          <w:lang w:val="en-US"/>
        </w:rPr>
        <w:t>has the inherent authority to determine the scope of its own competence.</w:t>
      </w:r>
      <w:r w:rsidRPr="006879CC">
        <w:rPr>
          <w:rFonts w:ascii="Verdana" w:eastAsia="Times" w:hAnsi="Verdana" w:cs="Arial"/>
          <w:sz w:val="20"/>
          <w:szCs w:val="20"/>
          <w:lang w:val="en-US"/>
        </w:rPr>
        <w:t>”</w:t>
      </w:r>
      <w:r w:rsidRPr="006879CC">
        <w:rPr>
          <w:rFonts w:ascii="Verdana" w:eastAsia="Times" w:hAnsi="Verdana" w:cs="Arial"/>
          <w:sz w:val="20"/>
          <w:szCs w:val="20"/>
          <w:vertAlign w:val="superscript"/>
          <w:lang w:val="en-US"/>
        </w:rPr>
        <w:footnoteReference w:id="482"/>
      </w:r>
      <w:r w:rsidRPr="006879CC">
        <w:rPr>
          <w:rFonts w:ascii="Verdana" w:eastAsia="Times" w:hAnsi="Verdana" w:cs="Arial"/>
          <w:sz w:val="20"/>
          <w:szCs w:val="20"/>
          <w:lang w:val="en-US"/>
        </w:rPr>
        <w:t xml:space="preserve"> Clearly, this argument is insufficient to support its position.</w:t>
      </w:r>
    </w:p>
    <w:p w14:paraId="34AA45E6" w14:textId="77777777" w:rsidR="00E6764B" w:rsidRPr="006879CC" w:rsidRDefault="00E6764B" w:rsidP="00E6764B">
      <w:pPr>
        <w:pStyle w:val="Prrafodelista"/>
        <w:ind w:left="0"/>
        <w:rPr>
          <w:rFonts w:ascii="Verdana" w:hAnsi="Verdana"/>
          <w:sz w:val="20"/>
          <w:szCs w:val="20"/>
          <w:lang w:val="en-US"/>
        </w:rPr>
      </w:pPr>
    </w:p>
    <w:p w14:paraId="03485D3A" w14:textId="77777777" w:rsidR="00E6764B" w:rsidRPr="006879CC" w:rsidRDefault="00E6764B" w:rsidP="007720B1">
      <w:pPr>
        <w:pStyle w:val="Prrafodelista"/>
        <w:widowControl/>
        <w:numPr>
          <w:ilvl w:val="0"/>
          <w:numId w:val="19"/>
        </w:numPr>
        <w:adjustRightInd/>
        <w:spacing w:after="200"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In synthesis, we must conclude that the Ruling does not, strictly speaking, make a systematic or subjective interpretation, as envisaged in the Vienna Convention. In other words, it does not carry out a harmonious interpretation between the different provisions of the Convention. Consequently, as in the case of the incorrect application of the literal method of interpretation, this leads to an inaccurate conclusion. </w:t>
      </w:r>
    </w:p>
    <w:p w14:paraId="0A2D374A" w14:textId="77777777" w:rsidR="00E6764B" w:rsidRPr="006879CC" w:rsidRDefault="00E6764B" w:rsidP="00E6764B">
      <w:pPr>
        <w:pStyle w:val="Prrafodelista"/>
        <w:rPr>
          <w:rFonts w:ascii="Verdana" w:hAnsi="Verdana"/>
          <w:b/>
          <w:sz w:val="20"/>
          <w:szCs w:val="20"/>
          <w:lang w:val="en-US"/>
        </w:rPr>
      </w:pPr>
    </w:p>
    <w:p w14:paraId="03AED4BA" w14:textId="77777777" w:rsidR="00E6764B" w:rsidRPr="006879CC" w:rsidRDefault="00E6764B" w:rsidP="007720B1">
      <w:pPr>
        <w:pStyle w:val="Prrafodelista"/>
        <w:widowControl/>
        <w:numPr>
          <w:ilvl w:val="0"/>
          <w:numId w:val="26"/>
        </w:numPr>
        <w:adjustRightInd/>
        <w:spacing w:after="120" w:line="276" w:lineRule="auto"/>
        <w:textAlignment w:val="auto"/>
        <w:rPr>
          <w:rFonts w:ascii="Verdana" w:hAnsi="Verdana"/>
          <w:sz w:val="20"/>
          <w:szCs w:val="20"/>
          <w:lang w:val="en-US"/>
        </w:rPr>
      </w:pPr>
      <w:r w:rsidRPr="006879CC">
        <w:rPr>
          <w:rFonts w:ascii="Verdana" w:eastAsia="Verdana" w:hAnsi="Verdana"/>
          <w:b/>
          <w:bCs/>
          <w:sz w:val="20"/>
          <w:szCs w:val="20"/>
          <w:lang w:val="en-US" w:eastAsia="x-none"/>
        </w:rPr>
        <w:t xml:space="preserve">Teleological or </w:t>
      </w:r>
      <w:r w:rsidRPr="006879CC">
        <w:rPr>
          <w:rFonts w:ascii="Verdana" w:hAnsi="Verdana"/>
          <w:b/>
          <w:sz w:val="20"/>
          <w:szCs w:val="20"/>
          <w:lang w:val="en-US"/>
        </w:rPr>
        <w:t>functional interpretation</w:t>
      </w:r>
    </w:p>
    <w:p w14:paraId="65238893" w14:textId="77777777" w:rsidR="00E6764B" w:rsidRPr="006879CC" w:rsidRDefault="00E6764B" w:rsidP="00E6764B">
      <w:pPr>
        <w:pStyle w:val="Prrafodelista"/>
        <w:spacing w:after="120"/>
        <w:ind w:left="20"/>
        <w:rPr>
          <w:rFonts w:ascii="Verdana" w:hAnsi="Verdana"/>
          <w:sz w:val="20"/>
          <w:szCs w:val="20"/>
          <w:lang w:val="en-US"/>
        </w:rPr>
      </w:pPr>
    </w:p>
    <w:p w14:paraId="1F3B5602" w14:textId="77777777" w:rsidR="00E6764B" w:rsidRPr="006879CC" w:rsidRDefault="00E6764B" w:rsidP="007720B1">
      <w:pPr>
        <w:pStyle w:val="Prrafodelista"/>
        <w:widowControl/>
        <w:numPr>
          <w:ilvl w:val="0"/>
          <w:numId w:val="19"/>
        </w:numPr>
        <w:adjustRightInd/>
        <w:spacing w:after="120" w:line="276" w:lineRule="auto"/>
        <w:ind w:left="20" w:hanging="20"/>
        <w:textAlignment w:val="auto"/>
        <w:rPr>
          <w:rFonts w:ascii="Verdana" w:hAnsi="Verdana"/>
          <w:i/>
          <w:sz w:val="20"/>
          <w:szCs w:val="20"/>
          <w:lang w:val="en-US"/>
        </w:rPr>
      </w:pPr>
      <w:r w:rsidRPr="006879CC">
        <w:rPr>
          <w:rFonts w:ascii="Verdana" w:hAnsi="Verdana"/>
          <w:sz w:val="20"/>
          <w:szCs w:val="20"/>
          <w:lang w:val="en-US"/>
        </w:rPr>
        <w:t xml:space="preserve">As to the teleological method of interpretation of the Convention, while it is true that the Ruling refers </w:t>
      </w:r>
      <w:r w:rsidRPr="006879CC">
        <w:rPr>
          <w:rFonts w:ascii="Verdana" w:eastAsia="Times" w:hAnsi="Verdana" w:cs="Arial"/>
          <w:sz w:val="20"/>
          <w:szCs w:val="20"/>
          <w:lang w:val="en-US"/>
        </w:rPr>
        <w:t>to the Preamble of the Convention, it is also true that only one of the latter’s paragraphs states the object and purpose thereof, since the others contain considerations concerning the reasons for signing that instrument.</w:t>
      </w:r>
      <w:r w:rsidRPr="006879CC">
        <w:rPr>
          <w:rFonts w:ascii="Verdana" w:eastAsia="Times" w:hAnsi="Verdana" w:cs="Arial"/>
          <w:sz w:val="20"/>
          <w:szCs w:val="20"/>
          <w:vertAlign w:val="superscript"/>
          <w:lang w:val="en-US"/>
        </w:rPr>
        <w:footnoteReference w:id="483"/>
      </w:r>
      <w:r w:rsidRPr="006879CC">
        <w:rPr>
          <w:rFonts w:ascii="Verdana" w:eastAsia="Times" w:hAnsi="Verdana" w:cs="Arial"/>
          <w:sz w:val="20"/>
          <w:szCs w:val="20"/>
          <w:lang w:val="en-US"/>
        </w:rPr>
        <w:t xml:space="preserve"> In terms of the latter paragraph, the object and purpose of the Convention is </w:t>
      </w:r>
      <w:r w:rsidRPr="006879CC">
        <w:rPr>
          <w:rFonts w:ascii="Verdana" w:eastAsia="Times" w:hAnsi="Verdana" w:cs="Arial"/>
          <w:i/>
          <w:sz w:val="20"/>
          <w:szCs w:val="20"/>
          <w:lang w:val="en-US"/>
        </w:rPr>
        <w:t>“</w:t>
      </w:r>
      <w:r w:rsidRPr="006879CC">
        <w:rPr>
          <w:rFonts w:ascii="Verdana" w:hAnsi="Verdana"/>
          <w:i/>
          <w:color w:val="000000"/>
          <w:sz w:val="20"/>
          <w:szCs w:val="20"/>
          <w:lang w:val="en-US"/>
        </w:rPr>
        <w:t>the incorporation into the Charter of the Organization itself</w:t>
      </w:r>
      <w:r w:rsidRPr="006879CC">
        <w:rPr>
          <w:rFonts w:ascii="Verdana" w:hAnsi="Verdana"/>
          <w:i/>
          <w:sz w:val="20"/>
          <w:szCs w:val="20"/>
          <w:lang w:val="en-US"/>
        </w:rPr>
        <w:t xml:space="preserve"> of broader standards with respect to the economic, social and educational rights”</w:t>
      </w:r>
      <w:r w:rsidRPr="006879CC">
        <w:rPr>
          <w:rFonts w:ascii="Verdana" w:hAnsi="Verdana"/>
          <w:sz w:val="20"/>
          <w:szCs w:val="20"/>
          <w:lang w:val="en-US"/>
        </w:rPr>
        <w:t xml:space="preserve"> and that “</w:t>
      </w:r>
      <w:r w:rsidRPr="006879CC">
        <w:rPr>
          <w:rFonts w:ascii="Verdana" w:hAnsi="Verdana"/>
          <w:i/>
          <w:sz w:val="20"/>
          <w:szCs w:val="20"/>
          <w:lang w:val="en-US"/>
        </w:rPr>
        <w:t>an inter-American convention on human rights should determine the structure, competence and procedure of the organs responsible for these matters.”</w:t>
      </w:r>
      <w:r w:rsidRPr="006879CC">
        <w:rPr>
          <w:rFonts w:ascii="Verdana" w:hAnsi="Verdana"/>
          <w:i/>
          <w:sz w:val="20"/>
          <w:szCs w:val="20"/>
          <w:vertAlign w:val="superscript"/>
          <w:lang w:val="en-US"/>
        </w:rPr>
        <w:t xml:space="preserve"> </w:t>
      </w:r>
    </w:p>
    <w:p w14:paraId="425F5F2C" w14:textId="77777777" w:rsidR="00E6764B" w:rsidRPr="006879CC" w:rsidRDefault="00E6764B" w:rsidP="00E6764B">
      <w:pPr>
        <w:pStyle w:val="Prrafodelista"/>
        <w:spacing w:after="120"/>
        <w:ind w:left="20" w:hanging="20"/>
        <w:rPr>
          <w:rFonts w:ascii="Verdana" w:hAnsi="Verdana"/>
          <w:i/>
          <w:sz w:val="20"/>
          <w:szCs w:val="20"/>
          <w:lang w:val="en-US"/>
        </w:rPr>
      </w:pPr>
    </w:p>
    <w:p w14:paraId="73990CB4" w14:textId="77777777" w:rsidR="00DF2C5B" w:rsidRDefault="00E6764B" w:rsidP="007720B1">
      <w:pPr>
        <w:pStyle w:val="Prrafodelista"/>
        <w:widowControl/>
        <w:numPr>
          <w:ilvl w:val="0"/>
          <w:numId w:val="19"/>
        </w:numPr>
        <w:adjustRightInd/>
        <w:spacing w:line="276" w:lineRule="auto"/>
        <w:ind w:left="20" w:hanging="20"/>
        <w:textAlignment w:val="auto"/>
        <w:rPr>
          <w:rFonts w:ascii="Verdana" w:eastAsia="Times" w:hAnsi="Verdana" w:cs="Arial"/>
          <w:sz w:val="20"/>
          <w:szCs w:val="20"/>
          <w:lang w:val="en-US"/>
        </w:rPr>
      </w:pPr>
      <w:r w:rsidRPr="006879CC">
        <w:rPr>
          <w:rFonts w:ascii="Verdana" w:hAnsi="Verdana"/>
          <w:sz w:val="20"/>
          <w:szCs w:val="20"/>
          <w:lang w:val="en-US"/>
        </w:rPr>
        <w:t>Therefore, it being true that “</w:t>
      </w:r>
      <w:r w:rsidRPr="006879CC">
        <w:rPr>
          <w:rFonts w:ascii="Verdana" w:eastAsia="Times" w:hAnsi="Verdana" w:cs="Arial"/>
          <w:i/>
          <w:sz w:val="20"/>
          <w:szCs w:val="20"/>
          <w:lang w:val="en-US"/>
        </w:rPr>
        <w:t>the Court has asserted that the object and purpose of the Convention is the protection of the fundamental rights of the human being,</w:t>
      </w:r>
      <w:r w:rsidRPr="006879CC">
        <w:rPr>
          <w:rFonts w:ascii="Verdana" w:eastAsia="Times" w:hAnsi="Verdana" w:cs="Arial"/>
          <w:sz w:val="20"/>
          <w:szCs w:val="20"/>
          <w:lang w:val="en-US"/>
        </w:rPr>
        <w:t>”</w:t>
      </w:r>
      <w:r w:rsidRPr="006879CC">
        <w:rPr>
          <w:rFonts w:ascii="Verdana" w:hAnsi="Verdana"/>
          <w:sz w:val="20"/>
          <w:szCs w:val="20"/>
          <w:vertAlign w:val="superscript"/>
          <w:lang w:val="en-US"/>
        </w:rPr>
        <w:footnoteReference w:id="484"/>
      </w:r>
      <w:r w:rsidRPr="006879CC">
        <w:rPr>
          <w:rFonts w:ascii="Verdana" w:eastAsia="Times" w:hAnsi="Verdana" w:cs="Arial"/>
          <w:sz w:val="20"/>
          <w:szCs w:val="20"/>
          <w:lang w:val="en-US"/>
        </w:rPr>
        <w:t xml:space="preserve"> a purpose shared by </w:t>
      </w:r>
    </w:p>
    <w:p w14:paraId="518955AB" w14:textId="77777777" w:rsidR="00DF2C5B" w:rsidRPr="00DF2C5B" w:rsidRDefault="00DF2C5B" w:rsidP="00DF2C5B">
      <w:pPr>
        <w:pStyle w:val="Prrafodelista"/>
        <w:rPr>
          <w:rFonts w:ascii="Verdana" w:eastAsia="Times" w:hAnsi="Verdana" w:cs="Arial"/>
          <w:sz w:val="20"/>
          <w:szCs w:val="20"/>
          <w:lang w:val="en-US"/>
        </w:rPr>
      </w:pPr>
    </w:p>
    <w:p w14:paraId="5FD2E9A8" w14:textId="1139DB26" w:rsidR="00E6764B" w:rsidRPr="006879CC" w:rsidRDefault="00E6764B" w:rsidP="00DF2C5B">
      <w:pPr>
        <w:pStyle w:val="Prrafodelista"/>
        <w:widowControl/>
        <w:adjustRightInd/>
        <w:spacing w:line="276" w:lineRule="auto"/>
        <w:ind w:left="20"/>
        <w:textAlignment w:val="auto"/>
        <w:rPr>
          <w:rFonts w:ascii="Verdana" w:eastAsia="Times" w:hAnsi="Verdana" w:cs="Arial"/>
          <w:sz w:val="20"/>
          <w:szCs w:val="20"/>
          <w:lang w:val="en-US"/>
        </w:rPr>
      </w:pPr>
      <w:r w:rsidRPr="006879CC">
        <w:rPr>
          <w:rFonts w:ascii="Verdana" w:eastAsia="Times" w:hAnsi="Verdana" w:cs="Arial"/>
          <w:sz w:val="20"/>
          <w:szCs w:val="20"/>
          <w:lang w:val="en-US"/>
        </w:rPr>
        <w:lastRenderedPageBreak/>
        <w:t>all human rights norms, in the strict sense the purpose of the Convention is to establish the obligations and rights protected (Part I) and the means of protection provided for that purpose (Part II), in addition to the pertinent general and transitory provisions to the Convention itself (Part III).</w:t>
      </w:r>
    </w:p>
    <w:p w14:paraId="395AC798" w14:textId="77777777" w:rsidR="00E6764B" w:rsidRPr="006879CC" w:rsidRDefault="00E6764B" w:rsidP="00E6764B">
      <w:pPr>
        <w:pStyle w:val="Prrafodelista"/>
        <w:ind w:hanging="20"/>
        <w:rPr>
          <w:rFonts w:ascii="Verdana" w:eastAsia="Times" w:hAnsi="Verdana" w:cs="Arial"/>
          <w:sz w:val="20"/>
          <w:szCs w:val="20"/>
          <w:lang w:val="en-US"/>
        </w:rPr>
      </w:pPr>
    </w:p>
    <w:p w14:paraId="6AA7EBD5" w14:textId="77777777" w:rsidR="00E6764B" w:rsidRPr="006879CC" w:rsidRDefault="00E6764B" w:rsidP="007720B1">
      <w:pPr>
        <w:pStyle w:val="Prrafodelista"/>
        <w:widowControl/>
        <w:numPr>
          <w:ilvl w:val="0"/>
          <w:numId w:val="19"/>
        </w:numPr>
        <w:adjustRightInd/>
        <w:spacing w:after="120" w:line="276" w:lineRule="auto"/>
        <w:ind w:left="20" w:hanging="20"/>
        <w:textAlignment w:val="auto"/>
        <w:rPr>
          <w:rFonts w:ascii="Verdana" w:hAnsi="Verdana"/>
          <w:i/>
          <w:sz w:val="20"/>
          <w:szCs w:val="20"/>
          <w:lang w:val="en-US"/>
        </w:rPr>
      </w:pPr>
      <w:r w:rsidRPr="006879CC">
        <w:rPr>
          <w:rFonts w:ascii="Verdana" w:eastAsia="Times" w:hAnsi="Verdana" w:cs="Arial"/>
          <w:sz w:val="20"/>
          <w:szCs w:val="20"/>
          <w:lang w:val="en-US"/>
        </w:rPr>
        <w:t xml:space="preserve">We must also bear in mind that each provision of the Convention has its own specific object and purpose, which is consistent with it. Thus, the object and purpose of Article 26 of the Convention is </w:t>
      </w:r>
      <w:r w:rsidRPr="006879CC">
        <w:rPr>
          <w:rFonts w:ascii="Verdana" w:eastAsia="Times" w:hAnsi="Verdana" w:cs="Arial"/>
          <w:i/>
          <w:sz w:val="20"/>
          <w:szCs w:val="20"/>
          <w:lang w:val="en-US"/>
        </w:rPr>
        <w:t>not</w:t>
      </w:r>
      <w:r w:rsidRPr="006879CC">
        <w:rPr>
          <w:rFonts w:ascii="Verdana" w:eastAsia="Times" w:hAnsi="Verdana" w:cs="Arial"/>
          <w:sz w:val="20"/>
          <w:szCs w:val="20"/>
          <w:lang w:val="en-US"/>
        </w:rPr>
        <w:t xml:space="preserve">, as we have already said, to establish a human right, but fundamentally to establish an obligation of the States to ensure the progressive development of the law regarding economic social and cultural rights. </w:t>
      </w:r>
    </w:p>
    <w:p w14:paraId="470F2D82" w14:textId="77777777" w:rsidR="00E6764B" w:rsidRPr="006879CC" w:rsidRDefault="00E6764B" w:rsidP="00E6764B">
      <w:pPr>
        <w:pStyle w:val="Prrafodelista"/>
        <w:spacing w:after="120"/>
        <w:ind w:left="20" w:hanging="20"/>
        <w:rPr>
          <w:rFonts w:ascii="Verdana" w:hAnsi="Verdana"/>
          <w:i/>
          <w:sz w:val="20"/>
          <w:szCs w:val="20"/>
          <w:lang w:val="en-US"/>
        </w:rPr>
      </w:pPr>
    </w:p>
    <w:p w14:paraId="2C51B9FB" w14:textId="77777777" w:rsidR="00E6764B" w:rsidRPr="006879CC" w:rsidRDefault="00E6764B" w:rsidP="007720B1">
      <w:pPr>
        <w:pStyle w:val="Prrafodelista"/>
        <w:widowControl/>
        <w:numPr>
          <w:ilvl w:val="0"/>
          <w:numId w:val="19"/>
        </w:numPr>
        <w:adjustRightInd/>
        <w:spacing w:line="276" w:lineRule="auto"/>
        <w:ind w:left="0" w:hanging="20"/>
        <w:textAlignment w:val="auto"/>
        <w:rPr>
          <w:rFonts w:ascii="Verdana" w:eastAsia="Times" w:hAnsi="Verdana" w:cs="Arial"/>
          <w:sz w:val="20"/>
          <w:szCs w:val="20"/>
          <w:lang w:val="en-US"/>
        </w:rPr>
      </w:pPr>
      <w:r w:rsidRPr="006879CC">
        <w:rPr>
          <w:rFonts w:ascii="Verdana" w:hAnsi="Verdana"/>
          <w:sz w:val="20"/>
          <w:szCs w:val="20"/>
          <w:lang w:val="en-US"/>
        </w:rPr>
        <w:t xml:space="preserve">And it is in this aspect that the Ruling errs by applying the teleological or functional method of interpretation. Thus, it points out that the interpretation resulting from that method </w:t>
      </w:r>
      <w:r w:rsidRPr="006879CC">
        <w:rPr>
          <w:rFonts w:ascii="Verdana" w:hAnsi="Verdana"/>
          <w:i/>
          <w:sz w:val="20"/>
          <w:szCs w:val="20"/>
          <w:lang w:val="en-US"/>
        </w:rPr>
        <w:t>“would be similar to the conclusion reached by means of the literal and systematic interpretation, in the sense that Article 26 recognizes the existence of “rights” that must be ensured by the State to all persons subject to their jurisdiction in the terms established by the American Convention</w:t>
      </w:r>
      <w:r w:rsidRPr="006879CC">
        <w:rPr>
          <w:rFonts w:ascii="Verdana" w:hAnsi="Verdana"/>
          <w:sz w:val="20"/>
          <w:szCs w:val="20"/>
          <w:lang w:val="en-US"/>
        </w:rPr>
        <w:t>.” However, it is quite clear that the provision in question does not “</w:t>
      </w:r>
      <w:r w:rsidRPr="006879CC">
        <w:rPr>
          <w:rFonts w:ascii="Verdana" w:hAnsi="Verdana"/>
          <w:i/>
          <w:sz w:val="20"/>
          <w:szCs w:val="20"/>
          <w:lang w:val="en-US"/>
        </w:rPr>
        <w:t>recognize</w:t>
      </w:r>
      <w:r w:rsidRPr="006879CC">
        <w:rPr>
          <w:rFonts w:ascii="Verdana" w:hAnsi="Verdana"/>
          <w:sz w:val="20"/>
          <w:szCs w:val="20"/>
          <w:lang w:val="en-US"/>
        </w:rPr>
        <w:t>” rights but merely states that they are “</w:t>
      </w:r>
      <w:r w:rsidRPr="006879CC">
        <w:rPr>
          <w:rFonts w:ascii="Verdana" w:hAnsi="Verdana"/>
          <w:i/>
          <w:sz w:val="20"/>
          <w:szCs w:val="20"/>
          <w:lang w:val="en-US"/>
        </w:rPr>
        <w:t>derived” from</w:t>
      </w:r>
      <w:r w:rsidRPr="006879CC">
        <w:rPr>
          <w:rFonts w:ascii="Verdana" w:hAnsi="Verdana"/>
          <w:sz w:val="20"/>
          <w:szCs w:val="20"/>
          <w:lang w:val="en-US"/>
        </w:rPr>
        <w:t xml:space="preserve"> the OAS Charter without, however, indicating or specifying those rights.</w:t>
      </w:r>
    </w:p>
    <w:p w14:paraId="56589F49" w14:textId="77777777" w:rsidR="00E6764B" w:rsidRPr="006879CC" w:rsidRDefault="00E6764B" w:rsidP="00E6764B">
      <w:pPr>
        <w:pStyle w:val="Prrafodelista"/>
        <w:rPr>
          <w:rFonts w:ascii="Verdana" w:eastAsia="Times" w:hAnsi="Verdana" w:cs="Arial"/>
          <w:sz w:val="20"/>
          <w:szCs w:val="20"/>
          <w:lang w:val="en-US"/>
        </w:rPr>
      </w:pPr>
    </w:p>
    <w:p w14:paraId="20E389D7"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eastAsia="Times" w:hAnsi="Verdana" w:cs="Arial"/>
          <w:sz w:val="20"/>
          <w:szCs w:val="20"/>
          <w:lang w:val="en-US"/>
        </w:rPr>
      </w:pPr>
      <w:r w:rsidRPr="006879CC">
        <w:rPr>
          <w:rFonts w:ascii="Verdana" w:eastAsia="Times" w:hAnsi="Verdana" w:cs="Arial"/>
          <w:sz w:val="20"/>
          <w:szCs w:val="20"/>
          <w:lang w:val="en-US"/>
        </w:rPr>
        <w:t xml:space="preserve">Consequently, the Ruling not only makes the </w:t>
      </w:r>
      <w:r w:rsidRPr="006879CC">
        <w:rPr>
          <w:rFonts w:ascii="Verdana" w:hAnsi="Verdana"/>
          <w:sz w:val="20"/>
          <w:szCs w:val="20"/>
          <w:lang w:val="en-US"/>
        </w:rPr>
        <w:t>teleological or functional method of interpretation prevail over other methods, but also accords the object and purpose that inspires the entire inter-American system of human rights, namely, “</w:t>
      </w:r>
      <w:r w:rsidRPr="006879CC">
        <w:rPr>
          <w:rFonts w:ascii="Verdana" w:eastAsia="Times" w:hAnsi="Verdana" w:cs="Arial"/>
          <w:i/>
          <w:sz w:val="20"/>
          <w:szCs w:val="20"/>
          <w:lang w:val="en-US"/>
        </w:rPr>
        <w:t>the protection of the fundamental rights of human beings,”</w:t>
      </w:r>
      <w:r w:rsidRPr="006879CC">
        <w:rPr>
          <w:rFonts w:ascii="Verdana" w:eastAsia="Times" w:hAnsi="Verdana" w:cs="Arial"/>
          <w:sz w:val="20"/>
          <w:szCs w:val="20"/>
          <w:lang w:val="en-US"/>
        </w:rPr>
        <w:t xml:space="preserve"> the attribute of justifying any interpretation of the Convention, disregarding the good faith in which it was signed, the terms employed and their context and even the specific object and purpose of the provision being interpreted. </w:t>
      </w:r>
    </w:p>
    <w:p w14:paraId="542BBA2C" w14:textId="77777777" w:rsidR="00E6764B" w:rsidRPr="006879CC" w:rsidRDefault="00E6764B" w:rsidP="00E6764B">
      <w:pPr>
        <w:spacing w:line="276" w:lineRule="auto"/>
        <w:rPr>
          <w:rFonts w:ascii="Verdana" w:eastAsia="Times" w:hAnsi="Verdana" w:cs="Arial"/>
          <w:sz w:val="20"/>
          <w:szCs w:val="20"/>
          <w:lang w:val="en-US"/>
        </w:rPr>
      </w:pPr>
    </w:p>
    <w:p w14:paraId="2C920540"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eastAsia="Times" w:hAnsi="Verdana" w:cs="Arial"/>
          <w:sz w:val="20"/>
          <w:szCs w:val="20"/>
          <w:lang w:val="en-US"/>
        </w:rPr>
      </w:pPr>
      <w:r w:rsidRPr="006879CC">
        <w:rPr>
          <w:rFonts w:ascii="Verdana" w:eastAsia="Times" w:hAnsi="Verdana" w:cs="Arial"/>
          <w:sz w:val="20"/>
          <w:szCs w:val="20"/>
          <w:lang w:val="en-US"/>
        </w:rPr>
        <w:t xml:space="preserve">Therefore, we may conclude that the Ruling does not apply the </w:t>
      </w:r>
      <w:r w:rsidRPr="006879CC">
        <w:rPr>
          <w:rFonts w:ascii="Verdana" w:hAnsi="Verdana"/>
          <w:sz w:val="20"/>
          <w:szCs w:val="20"/>
          <w:lang w:val="en-US"/>
        </w:rPr>
        <w:t xml:space="preserve">functional or </w:t>
      </w:r>
      <w:r w:rsidRPr="006879CC">
        <w:rPr>
          <w:rFonts w:ascii="Verdana" w:eastAsia="Verdana" w:hAnsi="Verdana"/>
          <w:bCs/>
          <w:sz w:val="20"/>
          <w:szCs w:val="20"/>
          <w:lang w:val="en-US" w:eastAsia="x-none"/>
        </w:rPr>
        <w:t xml:space="preserve">teleological method of </w:t>
      </w:r>
      <w:r w:rsidRPr="006879CC">
        <w:rPr>
          <w:rFonts w:ascii="Verdana" w:hAnsi="Verdana"/>
          <w:sz w:val="20"/>
          <w:szCs w:val="20"/>
          <w:lang w:val="en-US"/>
        </w:rPr>
        <w:t xml:space="preserve">interpretation </w:t>
      </w:r>
      <w:r w:rsidRPr="006879CC">
        <w:rPr>
          <w:rFonts w:ascii="Verdana" w:eastAsia="Verdana" w:hAnsi="Verdana"/>
          <w:bCs/>
          <w:sz w:val="20"/>
          <w:szCs w:val="20"/>
          <w:lang w:val="en-US" w:eastAsia="x-none"/>
        </w:rPr>
        <w:t>of the Convention or, at least, in the appropriate terms, which obviously has a negative effect on the conclusion reached.</w:t>
      </w:r>
    </w:p>
    <w:p w14:paraId="78E024DD" w14:textId="77777777" w:rsidR="00E6764B" w:rsidRPr="006879CC" w:rsidRDefault="00E6764B" w:rsidP="00E6764B">
      <w:pPr>
        <w:spacing w:line="276" w:lineRule="auto"/>
        <w:ind w:firstLine="68"/>
        <w:rPr>
          <w:rFonts w:ascii="Verdana" w:hAnsi="Verdana"/>
          <w:b/>
          <w:sz w:val="20"/>
          <w:szCs w:val="20"/>
          <w:lang w:val="en-US"/>
        </w:rPr>
      </w:pPr>
    </w:p>
    <w:p w14:paraId="49F33077" w14:textId="77777777" w:rsidR="00E6764B" w:rsidRPr="006879CC" w:rsidRDefault="00E6764B" w:rsidP="007720B1">
      <w:pPr>
        <w:pStyle w:val="Prrafodelista"/>
        <w:widowControl/>
        <w:numPr>
          <w:ilvl w:val="0"/>
          <w:numId w:val="26"/>
        </w:numPr>
        <w:adjustRightInd/>
        <w:spacing w:line="276" w:lineRule="auto"/>
        <w:textAlignment w:val="auto"/>
        <w:rPr>
          <w:rFonts w:ascii="Verdana" w:hAnsi="Verdana"/>
          <w:b/>
          <w:sz w:val="20"/>
          <w:szCs w:val="20"/>
          <w:lang w:val="en-US"/>
        </w:rPr>
      </w:pPr>
      <w:r w:rsidRPr="006879CC">
        <w:rPr>
          <w:rFonts w:ascii="Verdana" w:eastAsia="Times" w:hAnsi="Verdana" w:cs="Arial"/>
          <w:b/>
          <w:sz w:val="20"/>
          <w:szCs w:val="20"/>
          <w:lang w:val="en-US"/>
        </w:rPr>
        <w:t>Supplementary methods of interpretation</w:t>
      </w:r>
    </w:p>
    <w:p w14:paraId="11971A94" w14:textId="77777777" w:rsidR="00E6764B" w:rsidRPr="006879CC" w:rsidRDefault="00E6764B" w:rsidP="00E6764B">
      <w:pPr>
        <w:spacing w:line="276" w:lineRule="auto"/>
        <w:rPr>
          <w:rFonts w:ascii="Verdana" w:hAnsi="Verdana"/>
          <w:b/>
          <w:sz w:val="20"/>
          <w:szCs w:val="20"/>
          <w:lang w:val="en-US"/>
        </w:rPr>
      </w:pPr>
    </w:p>
    <w:p w14:paraId="6CE34EF8"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Finally, regarding supplementary methods of interpretation, it should be emphasized, first of all, that the Ruling does not consider these as part of the subjective method of treaty interpretation, as contemplated in Article 32 of the Vienna Convention, but rather as a separate method or rule of interpretation.</w:t>
      </w:r>
    </w:p>
    <w:p w14:paraId="67596A91" w14:textId="77777777" w:rsidR="00E6764B" w:rsidRPr="006879CC" w:rsidRDefault="00E6764B" w:rsidP="00E6764B">
      <w:pPr>
        <w:spacing w:line="276" w:lineRule="auto"/>
        <w:rPr>
          <w:rFonts w:ascii="Verdana" w:hAnsi="Verdana"/>
          <w:sz w:val="20"/>
          <w:szCs w:val="20"/>
          <w:lang w:val="en-US"/>
        </w:rPr>
      </w:pPr>
    </w:p>
    <w:p w14:paraId="6C5A1AD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In second place, it should be emphasized that, as mentioned previously, the Ruling does not clearly and expressly reflect what happened at the Inter-American Specialized Conference on Human Rights, which adopted the final text of the Convention.</w:t>
      </w:r>
      <w:r w:rsidRPr="006879CC">
        <w:rPr>
          <w:rFonts w:ascii="Verdana" w:hAnsi="Verdana"/>
          <w:sz w:val="20"/>
          <w:szCs w:val="20"/>
          <w:vertAlign w:val="superscript"/>
          <w:lang w:val="en-US"/>
        </w:rPr>
        <w:footnoteReference w:id="485"/>
      </w:r>
      <w:r w:rsidRPr="006879CC">
        <w:rPr>
          <w:rFonts w:ascii="Verdana" w:hAnsi="Verdana"/>
          <w:sz w:val="20"/>
          <w:szCs w:val="20"/>
          <w:lang w:val="en-US"/>
        </w:rPr>
        <w:t xml:space="preserve"> </w:t>
      </w:r>
    </w:p>
    <w:p w14:paraId="57C5501F" w14:textId="77777777" w:rsidR="00E6764B" w:rsidRPr="006879CC" w:rsidRDefault="00E6764B" w:rsidP="00E6764B">
      <w:pPr>
        <w:spacing w:line="276" w:lineRule="auto"/>
        <w:rPr>
          <w:rFonts w:ascii="Verdana" w:hAnsi="Verdana"/>
          <w:sz w:val="20"/>
          <w:szCs w:val="20"/>
          <w:lang w:val="en-US"/>
        </w:rPr>
      </w:pPr>
    </w:p>
    <w:p w14:paraId="479FAC2C"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We may conclude, therefore, that the preparatory work of the Convention never included the economic, social and cultural rights “</w:t>
      </w:r>
      <w:r w:rsidRPr="006879CC">
        <w:rPr>
          <w:rFonts w:ascii="Verdana" w:hAnsi="Verdana"/>
          <w:i/>
          <w:sz w:val="20"/>
          <w:szCs w:val="20"/>
          <w:lang w:val="en-US"/>
        </w:rPr>
        <w:t xml:space="preserve">derived” </w:t>
      </w:r>
      <w:r w:rsidRPr="006879CC">
        <w:rPr>
          <w:rFonts w:ascii="Verdana" w:hAnsi="Verdana"/>
          <w:sz w:val="20"/>
          <w:szCs w:val="20"/>
          <w:lang w:val="en-US"/>
        </w:rPr>
        <w:t>from the standards of the OAS Charter- among them the right to social security - within its protection system, which only relates to the civil and political rights “</w:t>
      </w:r>
      <w:r w:rsidRPr="006879CC">
        <w:rPr>
          <w:rFonts w:ascii="Verdana" w:hAnsi="Verdana"/>
          <w:i/>
          <w:sz w:val="20"/>
          <w:szCs w:val="20"/>
          <w:lang w:val="en-US"/>
        </w:rPr>
        <w:t xml:space="preserve">recognized” in </w:t>
      </w:r>
      <w:r w:rsidRPr="006879CC">
        <w:rPr>
          <w:rFonts w:ascii="Verdana" w:hAnsi="Verdana"/>
          <w:sz w:val="20"/>
          <w:szCs w:val="20"/>
          <w:lang w:val="en-US"/>
        </w:rPr>
        <w:t xml:space="preserve">the Convention. </w:t>
      </w:r>
    </w:p>
    <w:p w14:paraId="539CF7F0" w14:textId="77777777" w:rsidR="00E6764B" w:rsidRPr="006879CC" w:rsidRDefault="00E6764B" w:rsidP="00E6764B">
      <w:pPr>
        <w:spacing w:line="276" w:lineRule="auto"/>
        <w:rPr>
          <w:rFonts w:ascii="Verdana" w:hAnsi="Verdana" w:cs="Verdana"/>
          <w:sz w:val="20"/>
          <w:szCs w:val="20"/>
          <w:lang w:val="en-US"/>
        </w:rPr>
      </w:pPr>
    </w:p>
    <w:p w14:paraId="47E097DD" w14:textId="77777777" w:rsidR="00E6764B" w:rsidRPr="006879CC" w:rsidRDefault="00E6764B" w:rsidP="007720B1">
      <w:pPr>
        <w:pStyle w:val="Prrafodelista"/>
        <w:widowControl/>
        <w:numPr>
          <w:ilvl w:val="0"/>
          <w:numId w:val="20"/>
        </w:numPr>
        <w:adjustRightInd/>
        <w:spacing w:line="276" w:lineRule="auto"/>
        <w:ind w:left="709"/>
        <w:textAlignment w:val="auto"/>
        <w:rPr>
          <w:rFonts w:ascii="Verdana" w:hAnsi="Verdana"/>
          <w:b/>
          <w:sz w:val="20"/>
          <w:szCs w:val="20"/>
          <w:lang w:val="en-US"/>
        </w:rPr>
      </w:pPr>
      <w:r w:rsidRPr="006879CC">
        <w:rPr>
          <w:rFonts w:ascii="Verdana" w:hAnsi="Verdana"/>
          <w:b/>
          <w:sz w:val="20"/>
          <w:szCs w:val="20"/>
          <w:lang w:val="en-US"/>
        </w:rPr>
        <w:lastRenderedPageBreak/>
        <w:t>ADDITIONAL CONSIDERATIONS</w:t>
      </w:r>
    </w:p>
    <w:p w14:paraId="0E2EE5C9" w14:textId="77777777" w:rsidR="00E6764B" w:rsidRPr="006879CC" w:rsidRDefault="00E6764B" w:rsidP="00E6764B">
      <w:pPr>
        <w:spacing w:line="276" w:lineRule="auto"/>
        <w:rPr>
          <w:rFonts w:ascii="Verdana" w:hAnsi="Verdana"/>
          <w:b/>
          <w:sz w:val="20"/>
          <w:szCs w:val="20"/>
          <w:lang w:val="en-US"/>
        </w:rPr>
      </w:pPr>
    </w:p>
    <w:p w14:paraId="38320418"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In addition to the foregoing, there are other affirmations, either in the Judgment (case of </w:t>
      </w:r>
      <w:proofErr w:type="spellStart"/>
      <w:r w:rsidRPr="006879CC">
        <w:rPr>
          <w:rFonts w:ascii="Verdana" w:hAnsi="Verdana"/>
          <w:i/>
          <w:sz w:val="20"/>
          <w:szCs w:val="20"/>
          <w:lang w:val="en-US"/>
        </w:rPr>
        <w:t>Muelle</w:t>
      </w:r>
      <w:proofErr w:type="spellEnd"/>
      <w:r w:rsidRPr="006879CC">
        <w:rPr>
          <w:rFonts w:ascii="Verdana" w:hAnsi="Verdana"/>
          <w:i/>
          <w:sz w:val="20"/>
          <w:szCs w:val="20"/>
          <w:lang w:val="en-US"/>
        </w:rPr>
        <w:t xml:space="preserve"> Flores</w:t>
      </w:r>
      <w:r w:rsidRPr="006879CC">
        <w:rPr>
          <w:rFonts w:ascii="Verdana" w:hAnsi="Verdana"/>
          <w:sz w:val="20"/>
          <w:szCs w:val="20"/>
          <w:lang w:val="en-US"/>
        </w:rPr>
        <w:t>) or in the Ruling (</w:t>
      </w:r>
      <w:proofErr w:type="spellStart"/>
      <w:r w:rsidRPr="006879CC">
        <w:rPr>
          <w:rFonts w:ascii="Verdana" w:hAnsi="Verdana"/>
          <w:i/>
          <w:sz w:val="20"/>
          <w:szCs w:val="20"/>
          <w:lang w:val="en-US"/>
        </w:rPr>
        <w:t>Cuscúl</w:t>
      </w:r>
      <w:proofErr w:type="spellEnd"/>
      <w:r w:rsidRPr="006879CC">
        <w:rPr>
          <w:rFonts w:ascii="Verdana" w:hAnsi="Verdana"/>
          <w:i/>
          <w:sz w:val="20"/>
          <w:szCs w:val="20"/>
          <w:lang w:val="en-US"/>
        </w:rPr>
        <w:t xml:space="preserve"> </w:t>
      </w:r>
      <w:proofErr w:type="spellStart"/>
      <w:r w:rsidRPr="006879CC">
        <w:rPr>
          <w:rFonts w:ascii="Verdana" w:hAnsi="Verdana"/>
          <w:i/>
          <w:sz w:val="20"/>
          <w:szCs w:val="20"/>
          <w:lang w:val="en-US"/>
        </w:rPr>
        <w:t>Pivaral</w:t>
      </w:r>
      <w:proofErr w:type="spellEnd"/>
      <w:r w:rsidRPr="006879CC">
        <w:rPr>
          <w:rFonts w:ascii="Verdana" w:hAnsi="Verdana"/>
          <w:sz w:val="20"/>
          <w:szCs w:val="20"/>
          <w:lang w:val="en-US"/>
        </w:rPr>
        <w:t>), which I do not share and regarding which I consider it appropriate to highlight the reasons for my disagreement.</w:t>
      </w:r>
    </w:p>
    <w:p w14:paraId="71D3EFC5" w14:textId="77777777" w:rsidR="00E6764B" w:rsidRPr="006879CC" w:rsidRDefault="00E6764B" w:rsidP="00E6764B">
      <w:pPr>
        <w:spacing w:line="276" w:lineRule="auto"/>
        <w:rPr>
          <w:rFonts w:ascii="Verdana" w:hAnsi="Verdana"/>
          <w:sz w:val="20"/>
          <w:szCs w:val="20"/>
          <w:lang w:val="en-US"/>
        </w:rPr>
      </w:pPr>
    </w:p>
    <w:p w14:paraId="6AA25DB6" w14:textId="77777777" w:rsidR="00E6764B" w:rsidRPr="006879CC" w:rsidRDefault="00E6764B" w:rsidP="007720B1">
      <w:pPr>
        <w:widowControl/>
        <w:numPr>
          <w:ilvl w:val="0"/>
          <w:numId w:val="19"/>
        </w:numPr>
        <w:adjustRightInd/>
        <w:spacing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The affirmation in the Ruling,</w:t>
      </w:r>
      <w:r w:rsidRPr="006879CC">
        <w:rPr>
          <w:rFonts w:ascii="Verdana" w:hAnsi="Verdana"/>
          <w:sz w:val="20"/>
          <w:szCs w:val="20"/>
          <w:vertAlign w:val="superscript"/>
          <w:lang w:val="en-US"/>
        </w:rPr>
        <w:footnoteReference w:id="486"/>
      </w:r>
      <w:r w:rsidRPr="006879CC">
        <w:rPr>
          <w:rFonts w:ascii="Verdana" w:hAnsi="Verdana"/>
          <w:sz w:val="20"/>
          <w:szCs w:val="20"/>
          <w:lang w:val="en-US"/>
        </w:rPr>
        <w:t xml:space="preserve"> and reiterated in the Judgment, that </w:t>
      </w:r>
      <w:r w:rsidRPr="006879CC">
        <w:rPr>
          <w:rFonts w:ascii="Verdana" w:eastAsia="Times" w:hAnsi="Verdana" w:cs="Arial"/>
          <w:sz w:val="20"/>
          <w:szCs w:val="20"/>
          <w:lang w:val="en-US"/>
        </w:rPr>
        <w:t>the conclusion reached “</w:t>
      </w:r>
      <w:r w:rsidRPr="006879CC">
        <w:rPr>
          <w:rFonts w:ascii="Verdana" w:hAnsi="Verdana"/>
          <w:i/>
          <w:sz w:val="20"/>
          <w:szCs w:val="20"/>
          <w:lang w:val="en-US" w:eastAsia="es-ES_tradnl"/>
        </w:rPr>
        <w:t xml:space="preserve">is based not only on formal issues, but results from the interdependence and indivisibility of civil and political rights and </w:t>
      </w:r>
      <w:r w:rsidRPr="006879CC">
        <w:rPr>
          <w:rFonts w:ascii="Verdana" w:hAnsi="Verdana"/>
          <w:i/>
          <w:sz w:val="20"/>
          <w:szCs w:val="20"/>
          <w:lang w:val="en-US"/>
        </w:rPr>
        <w:t>economic, social, cultural and environmental rights, as well as their compatibility with the object and purpose of the Convention</w:t>
      </w:r>
      <w:r w:rsidRPr="006879CC">
        <w:rPr>
          <w:rFonts w:ascii="Verdana" w:eastAsia="Times" w:hAnsi="Verdana" w:cs="Arial"/>
          <w:i/>
          <w:sz w:val="20"/>
          <w:szCs w:val="20"/>
          <w:lang w:val="en-US"/>
        </w:rPr>
        <w:t>,”</w:t>
      </w:r>
      <w:r w:rsidRPr="006879CC">
        <w:rPr>
          <w:rFonts w:ascii="Verdana" w:eastAsia="Times" w:hAnsi="Verdana" w:cs="Arial"/>
          <w:i/>
          <w:sz w:val="20"/>
          <w:szCs w:val="20"/>
          <w:vertAlign w:val="superscript"/>
          <w:lang w:val="en-US"/>
        </w:rPr>
        <w:footnoteReference w:id="487"/>
      </w:r>
      <w:r w:rsidRPr="006879CC">
        <w:rPr>
          <w:rFonts w:ascii="Verdana" w:eastAsia="Times" w:hAnsi="Verdana" w:cs="Arial"/>
          <w:sz w:val="20"/>
          <w:szCs w:val="20"/>
          <w:lang w:val="en-US"/>
        </w:rPr>
        <w:t xml:space="preserve"> does not </w:t>
      </w:r>
      <w:r w:rsidRPr="006879CC">
        <w:rPr>
          <w:rFonts w:ascii="Verdana" w:hAnsi="Verdana"/>
          <w:sz w:val="20"/>
          <w:szCs w:val="20"/>
          <w:lang w:val="en-US"/>
        </w:rPr>
        <w:t>necessarily imply that the violation of both types of rights can be invoked before the Court. The position expressed in the Judgment could be shared on the understanding that although the enjoyment of all human rights, including economic, social and cultural rights, must be respected, and that consequently all may be enforceable by the competent authorities, this does not necessarily or exclusively mean that the latter are, always, in every circumstance and in relation to all human rights, to be brought before an international tribunal and, eventually, before the Court, especially when we consider that the inter-American jurisdiction reinforces or complements that established in the domestic laws of the State concerned.</w:t>
      </w:r>
      <w:r w:rsidRPr="006879CC">
        <w:rPr>
          <w:rStyle w:val="Refdenotaalpie"/>
          <w:szCs w:val="20"/>
          <w:lang w:val="en-US"/>
        </w:rPr>
        <w:footnoteReference w:id="488"/>
      </w:r>
      <w:r w:rsidRPr="006879CC">
        <w:rPr>
          <w:rFonts w:ascii="Verdana" w:hAnsi="Verdana"/>
          <w:sz w:val="20"/>
          <w:szCs w:val="20"/>
          <w:lang w:val="en-US"/>
        </w:rPr>
        <w:t xml:space="preserve"> Indeed, here we are not disputing the fact that alleged violations of any human right can and should be claimed before the competent domestic courts;</w:t>
      </w:r>
      <w:r w:rsidRPr="006879CC">
        <w:rPr>
          <w:rFonts w:ascii="Verdana" w:hAnsi="Verdana"/>
          <w:sz w:val="20"/>
          <w:szCs w:val="20"/>
          <w:vertAlign w:val="superscript"/>
          <w:lang w:val="en-US"/>
        </w:rPr>
        <w:footnoteReference w:id="489"/>
      </w:r>
      <w:r w:rsidRPr="006879CC">
        <w:rPr>
          <w:rFonts w:ascii="Verdana" w:hAnsi="Verdana"/>
          <w:sz w:val="20"/>
          <w:szCs w:val="20"/>
          <w:lang w:val="en-US"/>
        </w:rPr>
        <w:t xml:space="preserve"> my argument is that only some violations of the economic, social and cultural rights may be submitted to the Court for consideration and a ruling, which does not include the right to social security. </w:t>
      </w:r>
    </w:p>
    <w:p w14:paraId="71F206C6" w14:textId="77777777" w:rsidR="00E6764B" w:rsidRPr="006879CC" w:rsidRDefault="00E6764B" w:rsidP="00E6764B">
      <w:pPr>
        <w:spacing w:after="200" w:line="276" w:lineRule="auto"/>
        <w:contextualSpacing/>
        <w:rPr>
          <w:rFonts w:ascii="Verdana" w:hAnsi="Verdana"/>
          <w:sz w:val="20"/>
          <w:szCs w:val="20"/>
          <w:lang w:val="en-US"/>
        </w:rPr>
      </w:pPr>
    </w:p>
    <w:p w14:paraId="6CFADD34" w14:textId="558DC0F3" w:rsidR="00E6764B" w:rsidRPr="006879CC" w:rsidRDefault="00E6764B" w:rsidP="007720B1">
      <w:pPr>
        <w:widowControl/>
        <w:numPr>
          <w:ilvl w:val="0"/>
          <w:numId w:val="19"/>
        </w:numPr>
        <w:adjustRightInd/>
        <w:spacing w:before="120" w:after="120"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The second reason for my dissent, on which I consider it necessary to insist, is that in order to claim the right to social security before the Court, it would be indispensable for this to be permitted by a new conventional rule. In fact, Articles 31, 76(1) and 77</w:t>
      </w:r>
      <w:r w:rsidRPr="006879CC">
        <w:rPr>
          <w:rFonts w:ascii="Verdana" w:hAnsi="Verdana"/>
          <w:sz w:val="20"/>
          <w:szCs w:val="20"/>
          <w:lang w:val="en-GB"/>
        </w:rPr>
        <w:t>(</w:t>
      </w:r>
      <w:r w:rsidRPr="006879CC">
        <w:rPr>
          <w:rFonts w:ascii="Verdana" w:hAnsi="Verdana"/>
          <w:sz w:val="20"/>
          <w:szCs w:val="20"/>
          <w:lang w:val="en-US"/>
        </w:rPr>
        <w:t>1) of the Convention,</w:t>
      </w:r>
      <w:r w:rsidRPr="006879CC">
        <w:rPr>
          <w:rStyle w:val="Refdenotaalpie"/>
          <w:szCs w:val="20"/>
          <w:lang w:val="en-US"/>
        </w:rPr>
        <w:footnoteReference w:id="490"/>
      </w:r>
      <w:r w:rsidRPr="006879CC">
        <w:rPr>
          <w:rFonts w:ascii="Verdana" w:hAnsi="Verdana"/>
          <w:sz w:val="20"/>
          <w:szCs w:val="20"/>
          <w:lang w:val="en-US"/>
        </w:rPr>
        <w:t xml:space="preserve"> expressly</w:t>
      </w:r>
      <w:r w:rsidR="00DF2C5B">
        <w:rPr>
          <w:rFonts w:ascii="Verdana" w:hAnsi="Verdana"/>
          <w:sz w:val="20"/>
          <w:szCs w:val="20"/>
          <w:lang w:val="en-US"/>
        </w:rPr>
        <w:t xml:space="preserve">                             </w:t>
      </w:r>
      <w:r w:rsidRPr="006879CC">
        <w:rPr>
          <w:rFonts w:ascii="Verdana" w:hAnsi="Verdana"/>
          <w:sz w:val="20"/>
          <w:szCs w:val="20"/>
          <w:lang w:val="en-US"/>
        </w:rPr>
        <w:t xml:space="preserve"> </w:t>
      </w:r>
      <w:r w:rsidRPr="006879CC">
        <w:rPr>
          <w:rFonts w:ascii="Verdana" w:hAnsi="Verdana"/>
          <w:sz w:val="20"/>
          <w:szCs w:val="20"/>
          <w:lang w:val="en-US"/>
        </w:rPr>
        <w:lastRenderedPageBreak/>
        <w:t>establish that the States Parties are responsible for the regulatory function in relation to the Convention, and specifically for the purpose of “</w:t>
      </w:r>
      <w:r w:rsidRPr="006879CC">
        <w:rPr>
          <w:rFonts w:ascii="Verdana" w:hAnsi="Verdana"/>
          <w:i/>
          <w:sz w:val="20"/>
          <w:szCs w:val="20"/>
          <w:lang w:val="en-US"/>
        </w:rPr>
        <w:t>progressively including other rights in its system of protection.</w:t>
      </w:r>
      <w:r w:rsidRPr="006879CC">
        <w:rPr>
          <w:rFonts w:ascii="Verdana" w:hAnsi="Verdana"/>
          <w:sz w:val="20"/>
          <w:szCs w:val="20"/>
          <w:lang w:val="en-US"/>
        </w:rPr>
        <w:t xml:space="preserve">” Accordingly, this area is implicitly barred to the Court, which therefore cannot include that right among those that can be submitted to it for adjudication. </w:t>
      </w:r>
    </w:p>
    <w:p w14:paraId="6F04F6B8" w14:textId="77777777" w:rsidR="00E6764B" w:rsidRPr="006879CC" w:rsidRDefault="00E6764B" w:rsidP="00E6764B">
      <w:pPr>
        <w:spacing w:before="120" w:line="276" w:lineRule="auto"/>
        <w:contextualSpacing/>
        <w:rPr>
          <w:rFonts w:ascii="Verdana" w:hAnsi="Verdana"/>
          <w:sz w:val="20"/>
          <w:szCs w:val="20"/>
          <w:lang w:val="en-US"/>
        </w:rPr>
      </w:pPr>
    </w:p>
    <w:p w14:paraId="2C79E12A" w14:textId="77777777" w:rsidR="00E6764B" w:rsidRPr="006879CC" w:rsidRDefault="00E6764B" w:rsidP="007720B1">
      <w:pPr>
        <w:widowControl/>
        <w:numPr>
          <w:ilvl w:val="0"/>
          <w:numId w:val="19"/>
        </w:numPr>
        <w:adjustRightInd/>
        <w:spacing w:before="120" w:after="200"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Indeed, to the contrary of what appears to be stated in the Judgment,</w:t>
      </w:r>
      <w:r w:rsidRPr="006879CC">
        <w:rPr>
          <w:rFonts w:ascii="Verdana" w:hAnsi="Verdana"/>
          <w:sz w:val="20"/>
          <w:szCs w:val="20"/>
          <w:vertAlign w:val="superscript"/>
          <w:lang w:val="en-US"/>
        </w:rPr>
        <w:footnoteReference w:id="491"/>
      </w:r>
      <w:r w:rsidRPr="006879CC">
        <w:rPr>
          <w:rFonts w:ascii="Verdana" w:hAnsi="Verdana"/>
          <w:sz w:val="20"/>
          <w:szCs w:val="20"/>
          <w:lang w:val="en-US"/>
        </w:rPr>
        <w:t xml:space="preserve"> the authority to determine its own competence, under the principle of </w:t>
      </w:r>
      <w:proofErr w:type="spellStart"/>
      <w:r w:rsidRPr="006879CC">
        <w:rPr>
          <w:rFonts w:ascii="Verdana" w:hAnsi="Verdana"/>
          <w:i/>
          <w:sz w:val="20"/>
          <w:szCs w:val="20"/>
          <w:lang w:val="en-US"/>
        </w:rPr>
        <w:t>compétence</w:t>
      </w:r>
      <w:proofErr w:type="spellEnd"/>
      <w:r w:rsidRPr="006879CC">
        <w:rPr>
          <w:rFonts w:ascii="Verdana" w:hAnsi="Verdana"/>
          <w:i/>
          <w:sz w:val="20"/>
          <w:szCs w:val="20"/>
          <w:lang w:val="en-US"/>
        </w:rPr>
        <w:t xml:space="preserve"> de la </w:t>
      </w:r>
      <w:proofErr w:type="spellStart"/>
      <w:r w:rsidRPr="006879CC">
        <w:rPr>
          <w:rFonts w:ascii="Verdana" w:hAnsi="Verdana"/>
          <w:i/>
          <w:sz w:val="20"/>
          <w:szCs w:val="20"/>
          <w:lang w:val="en-US"/>
        </w:rPr>
        <w:t>compétence</w:t>
      </w:r>
      <w:proofErr w:type="spellEnd"/>
      <w:r w:rsidRPr="006879CC">
        <w:rPr>
          <w:rFonts w:ascii="Verdana" w:hAnsi="Verdana"/>
          <w:sz w:val="20"/>
          <w:szCs w:val="20"/>
          <w:lang w:val="en-US"/>
        </w:rPr>
        <w:t>, or “</w:t>
      </w:r>
      <w:proofErr w:type="spellStart"/>
      <w:r w:rsidRPr="006879CC">
        <w:rPr>
          <w:rFonts w:ascii="Verdana" w:hAnsi="Verdana"/>
          <w:i/>
          <w:sz w:val="20"/>
          <w:szCs w:val="20"/>
          <w:lang w:val="en-US"/>
        </w:rPr>
        <w:t>kompetenz-kompetenz</w:t>
      </w:r>
      <w:proofErr w:type="spellEnd"/>
      <w:r w:rsidRPr="006879CC">
        <w:rPr>
          <w:rFonts w:ascii="Verdana" w:hAnsi="Verdana"/>
          <w:i/>
          <w:sz w:val="20"/>
          <w:szCs w:val="20"/>
          <w:lang w:val="en-US"/>
        </w:rPr>
        <w:t>,</w:t>
      </w:r>
      <w:r w:rsidRPr="006879CC">
        <w:rPr>
          <w:rFonts w:ascii="Verdana" w:hAnsi="Verdana"/>
          <w:sz w:val="20"/>
          <w:szCs w:val="20"/>
          <w:lang w:val="en-US"/>
        </w:rPr>
        <w:t>” does not authorize it to violate the principle of public law whereby authorities may only act within the law. Obviously, the fact that a right is not “</w:t>
      </w:r>
      <w:r w:rsidRPr="006879CC">
        <w:rPr>
          <w:rFonts w:ascii="Verdana" w:hAnsi="Verdana"/>
          <w:i/>
          <w:sz w:val="20"/>
          <w:szCs w:val="20"/>
          <w:lang w:val="en-US"/>
        </w:rPr>
        <w:t>recognized</w:t>
      </w:r>
      <w:r w:rsidRPr="006879CC">
        <w:rPr>
          <w:rFonts w:ascii="Verdana" w:hAnsi="Verdana"/>
          <w:sz w:val="20"/>
          <w:szCs w:val="20"/>
          <w:lang w:val="en-US"/>
        </w:rPr>
        <w:t>” in the Convention does not preclude its future inclusion among the rights that could be invoked before the Court, or preclude the development of an existing right.</w:t>
      </w:r>
      <w:r w:rsidRPr="006879CC">
        <w:rPr>
          <w:rFonts w:ascii="Verdana" w:hAnsi="Verdana"/>
          <w:sz w:val="20"/>
          <w:szCs w:val="20"/>
          <w:vertAlign w:val="superscript"/>
          <w:lang w:val="en-US"/>
        </w:rPr>
        <w:footnoteReference w:id="492"/>
      </w:r>
      <w:r w:rsidRPr="006879CC">
        <w:rPr>
          <w:rFonts w:ascii="Verdana" w:hAnsi="Verdana"/>
          <w:sz w:val="20"/>
          <w:szCs w:val="20"/>
          <w:lang w:val="en-US"/>
        </w:rPr>
        <w:t xml:space="preserve"> </w:t>
      </w:r>
    </w:p>
    <w:p w14:paraId="5ABFC686" w14:textId="77777777" w:rsidR="00E6764B" w:rsidRPr="006879CC" w:rsidRDefault="00E6764B" w:rsidP="007720B1">
      <w:pPr>
        <w:pStyle w:val="Prrafodelista"/>
        <w:widowControl/>
        <w:numPr>
          <w:ilvl w:val="0"/>
          <w:numId w:val="19"/>
        </w:numPr>
        <w:adjustRightInd/>
        <w:spacing w:line="276" w:lineRule="auto"/>
        <w:ind w:left="20" w:hanging="20"/>
        <w:textAlignment w:val="auto"/>
        <w:rPr>
          <w:rFonts w:ascii="Verdana" w:hAnsi="Verdana"/>
          <w:sz w:val="20"/>
          <w:szCs w:val="20"/>
          <w:lang w:val="en-US"/>
        </w:rPr>
      </w:pPr>
      <w:r w:rsidRPr="006879CC">
        <w:rPr>
          <w:rFonts w:ascii="Verdana" w:hAnsi="Verdana"/>
          <w:sz w:val="20"/>
          <w:szCs w:val="20"/>
          <w:lang w:val="en-US"/>
        </w:rPr>
        <w:t>Furthermore, if we accept the position expressed in the Judgment regarding Article 26, the provisions of Articles 31, 76(1) and 77(1)</w:t>
      </w:r>
      <w:r w:rsidRPr="006879CC">
        <w:rPr>
          <w:rFonts w:ascii="Verdana" w:hAnsi="Verdana"/>
          <w:sz w:val="20"/>
          <w:szCs w:val="20"/>
          <w:vertAlign w:val="superscript"/>
          <w:lang w:val="en-US"/>
        </w:rPr>
        <w:t xml:space="preserve"> </w:t>
      </w:r>
      <w:r w:rsidRPr="006879CC">
        <w:rPr>
          <w:rFonts w:ascii="Verdana" w:hAnsi="Verdana"/>
          <w:sz w:val="20"/>
          <w:szCs w:val="20"/>
          <w:lang w:val="en-US"/>
        </w:rPr>
        <w:t>of the Convention would be rendered somewhat unnecessary and useless; that is to say, there would be no need to sign additional protocols in order to recognize other rights different to those established in the Convention and include them within its protection system, since to that end it would be sufficient to apply Article 26.</w:t>
      </w:r>
    </w:p>
    <w:p w14:paraId="0A2FDA59" w14:textId="77777777" w:rsidR="00E6764B" w:rsidRPr="006879CC" w:rsidRDefault="00E6764B" w:rsidP="00E6764B">
      <w:pPr>
        <w:spacing w:line="276" w:lineRule="auto"/>
        <w:ind w:hanging="20"/>
        <w:rPr>
          <w:rFonts w:ascii="Verdana" w:hAnsi="Verdana"/>
          <w:sz w:val="20"/>
          <w:szCs w:val="20"/>
          <w:lang w:val="en-US"/>
        </w:rPr>
      </w:pPr>
    </w:p>
    <w:p w14:paraId="68D84FBD" w14:textId="77777777" w:rsidR="00E6764B" w:rsidRPr="006879CC" w:rsidRDefault="00E6764B" w:rsidP="007720B1">
      <w:pPr>
        <w:widowControl/>
        <w:numPr>
          <w:ilvl w:val="0"/>
          <w:numId w:val="19"/>
        </w:numPr>
        <w:adjustRightInd/>
        <w:spacing w:line="276" w:lineRule="auto"/>
        <w:ind w:left="0" w:hanging="20"/>
        <w:contextualSpacing/>
        <w:textAlignment w:val="auto"/>
        <w:rPr>
          <w:rFonts w:ascii="Verdana" w:hAnsi="Verdana"/>
          <w:sz w:val="20"/>
          <w:szCs w:val="20"/>
          <w:lang w:val="en-US"/>
        </w:rPr>
      </w:pPr>
      <w:r w:rsidRPr="006879CC">
        <w:rPr>
          <w:rFonts w:ascii="Verdana" w:hAnsi="Verdana"/>
          <w:sz w:val="20"/>
          <w:szCs w:val="20"/>
          <w:lang w:val="en-US"/>
        </w:rPr>
        <w:t>In other words, based on the principle that "</w:t>
      </w:r>
      <w:r w:rsidRPr="006879CC">
        <w:rPr>
          <w:rFonts w:ascii="Verdana" w:hAnsi="Verdana" w:cs="Arial"/>
          <w:i/>
          <w:color w:val="222222"/>
          <w:sz w:val="20"/>
          <w:szCs w:val="20"/>
          <w:shd w:val="clear" w:color="auto" w:fill="FFFFFF"/>
          <w:lang w:val="en-US"/>
        </w:rPr>
        <w:t>for the same reason, the same </w:t>
      </w:r>
      <w:r w:rsidRPr="006879CC">
        <w:rPr>
          <w:rFonts w:ascii="Verdana" w:hAnsi="Verdana" w:cs="Arial"/>
          <w:bCs/>
          <w:i/>
          <w:color w:val="222222"/>
          <w:sz w:val="20"/>
          <w:szCs w:val="20"/>
          <w:shd w:val="clear" w:color="auto" w:fill="FFFFFF"/>
          <w:lang w:val="en-US"/>
        </w:rPr>
        <w:t>legal</w:t>
      </w:r>
      <w:r w:rsidRPr="006879CC">
        <w:rPr>
          <w:rFonts w:ascii="Verdana" w:hAnsi="Verdana" w:cs="Arial"/>
          <w:i/>
          <w:color w:val="222222"/>
          <w:sz w:val="20"/>
          <w:szCs w:val="20"/>
          <w:shd w:val="clear" w:color="auto" w:fill="FFFFFF"/>
          <w:lang w:val="en-US"/>
        </w:rPr>
        <w:t> provision,</w:t>
      </w:r>
      <w:r w:rsidRPr="006879CC">
        <w:rPr>
          <w:rFonts w:ascii="Arial" w:hAnsi="Arial" w:cs="Arial"/>
          <w:color w:val="222222"/>
          <w:shd w:val="clear" w:color="auto" w:fill="FFFFFF"/>
          <w:lang w:val="en-US"/>
        </w:rPr>
        <w:t>”</w:t>
      </w:r>
      <w:r w:rsidRPr="006879CC">
        <w:rPr>
          <w:rFonts w:ascii="Verdana" w:hAnsi="Verdana"/>
          <w:sz w:val="20"/>
          <w:szCs w:val="20"/>
          <w:lang w:val="en-US"/>
        </w:rPr>
        <w:t xml:space="preserve"> if the criterion adopted in the Judgment were to be followed and taken to its extreme, it would not be apparent why alleged human rights violations contained in the provisions found throughout Chapter VII of the OAS Charter could not also be invoked before the Court, </w:t>
      </w:r>
      <w:r w:rsidRPr="006879CC">
        <w:rPr>
          <w:rFonts w:ascii="Verdana" w:hAnsi="Verdana"/>
          <w:sz w:val="20"/>
          <w:szCs w:val="20"/>
          <w:vertAlign w:val="superscript"/>
          <w:lang w:val="en-US"/>
        </w:rPr>
        <w:footnoteReference w:id="493"/>
      </w:r>
      <w:r w:rsidRPr="006879CC">
        <w:rPr>
          <w:rFonts w:ascii="Verdana" w:hAnsi="Verdana"/>
          <w:sz w:val="20"/>
          <w:szCs w:val="20"/>
          <w:lang w:val="en-US"/>
        </w:rPr>
        <w:t xml:space="preserve"> which would obviously </w:t>
      </w:r>
      <w:r w:rsidRPr="006879CC">
        <w:rPr>
          <w:rFonts w:ascii="Verdana" w:hAnsi="Verdana"/>
          <w:sz w:val="20"/>
          <w:szCs w:val="20"/>
          <w:lang w:val="en-US"/>
        </w:rPr>
        <w:lastRenderedPageBreak/>
        <w:t>lead to legal uncertainty, given the very broad and vague manner in which they are envisioned, which could not be otherwise since it concerns “</w:t>
      </w:r>
      <w:r w:rsidRPr="006879CC">
        <w:rPr>
          <w:rFonts w:ascii="Verdana" w:hAnsi="Verdana"/>
          <w:i/>
          <w:sz w:val="20"/>
          <w:szCs w:val="20"/>
          <w:lang w:val="en-US"/>
        </w:rPr>
        <w:t>basic objectives</w:t>
      </w:r>
      <w:r w:rsidRPr="006879CC">
        <w:rPr>
          <w:rFonts w:ascii="Verdana" w:hAnsi="Verdana"/>
          <w:sz w:val="20"/>
          <w:szCs w:val="20"/>
          <w:lang w:val="en-US"/>
        </w:rPr>
        <w:t>” or “</w:t>
      </w:r>
      <w:r w:rsidRPr="006879CC">
        <w:rPr>
          <w:rFonts w:ascii="Verdana" w:hAnsi="Verdana"/>
          <w:i/>
          <w:sz w:val="20"/>
          <w:szCs w:val="20"/>
          <w:lang w:val="en-US"/>
        </w:rPr>
        <w:t>goals.</w:t>
      </w:r>
      <w:r w:rsidRPr="006879CC">
        <w:rPr>
          <w:rFonts w:ascii="Verdana" w:hAnsi="Verdana"/>
          <w:sz w:val="20"/>
          <w:szCs w:val="20"/>
          <w:lang w:val="en-US"/>
        </w:rPr>
        <w:t xml:space="preserve">” </w:t>
      </w:r>
    </w:p>
    <w:p w14:paraId="4D77E378" w14:textId="77777777" w:rsidR="00E6764B" w:rsidRPr="006879CC" w:rsidRDefault="00E6764B" w:rsidP="00E6764B">
      <w:pPr>
        <w:spacing w:line="276" w:lineRule="auto"/>
        <w:rPr>
          <w:rFonts w:ascii="Verdana" w:hAnsi="Verdana"/>
          <w:sz w:val="20"/>
          <w:szCs w:val="20"/>
          <w:lang w:val="en-US"/>
        </w:rPr>
      </w:pPr>
    </w:p>
    <w:p w14:paraId="0B5E5C52" w14:textId="77777777" w:rsidR="00E6764B" w:rsidRPr="006879CC" w:rsidRDefault="00E6764B" w:rsidP="007720B1">
      <w:pPr>
        <w:widowControl/>
        <w:numPr>
          <w:ilvl w:val="0"/>
          <w:numId w:val="19"/>
        </w:numPr>
        <w:adjustRightInd/>
        <w:spacing w:after="120"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But, in addition, if we accept that the rights “</w:t>
      </w:r>
      <w:r w:rsidRPr="006879CC">
        <w:rPr>
          <w:rFonts w:ascii="Verdana" w:hAnsi="Verdana"/>
          <w:i/>
          <w:sz w:val="20"/>
          <w:szCs w:val="20"/>
          <w:lang w:val="en-US"/>
        </w:rPr>
        <w:t>derived” from</w:t>
      </w:r>
      <w:r w:rsidRPr="006879CC">
        <w:rPr>
          <w:rFonts w:ascii="Verdana" w:hAnsi="Verdana"/>
          <w:sz w:val="20"/>
          <w:szCs w:val="20"/>
          <w:lang w:val="en-US"/>
        </w:rPr>
        <w:t xml:space="preserve"> the OAS Charter could be judicialized before the Court, this would mean that all States Parties to the Convention that have accepted its jurisdiction could eventually be brought before the Court simply for being underdeveloped or developing countries, in other words, for not fully achieving integral development or some of its facets. Clearly, this seems far removed from the logic of the Convention, especially considering the way in which Chapter VII is drafted. Moreover, this would not only lead to a manifestly absurd outcome but would undoubtedly undermine effective respect for human rights or their prompt restoration in the event of having been violated.</w:t>
      </w:r>
    </w:p>
    <w:p w14:paraId="3E087494" w14:textId="77777777" w:rsidR="00E6764B" w:rsidRPr="006879CC" w:rsidRDefault="00E6764B" w:rsidP="00E6764B">
      <w:pPr>
        <w:spacing w:line="276" w:lineRule="auto"/>
        <w:contextualSpacing/>
        <w:rPr>
          <w:rFonts w:ascii="Verdana" w:hAnsi="Verdana"/>
          <w:sz w:val="20"/>
          <w:szCs w:val="20"/>
          <w:lang w:val="en-US"/>
        </w:rPr>
      </w:pPr>
    </w:p>
    <w:p w14:paraId="656D33D8" w14:textId="77777777" w:rsidR="00E6764B" w:rsidRPr="006879CC" w:rsidRDefault="00E6764B" w:rsidP="007720B1">
      <w:pPr>
        <w:widowControl/>
        <w:numPr>
          <w:ilvl w:val="0"/>
          <w:numId w:val="19"/>
        </w:numPr>
        <w:adjustRightInd/>
        <w:spacing w:after="120"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 xml:space="preserve">In relation to this point, it is useful to refer to what the Judgment cites as the source of the right to social security, as an autonomous right derived from the economic, social, educational, scientific and cultural standards set forth in the OAS Charter, and, therefore justiciable before the </w:t>
      </w:r>
      <w:r w:rsidRPr="006879CC">
        <w:rPr>
          <w:rFonts w:ascii="Verdana" w:hAnsi="Verdana"/>
          <w:sz w:val="20"/>
          <w:szCs w:val="20"/>
          <w:lang w:val="en-US"/>
        </w:rPr>
        <w:lastRenderedPageBreak/>
        <w:t>Court. In this regard the Court indicates as sources</w:t>
      </w:r>
      <w:r w:rsidRPr="006879CC">
        <w:rPr>
          <w:rStyle w:val="Refdenotaalpie"/>
          <w:szCs w:val="20"/>
          <w:lang w:val="en-US"/>
        </w:rPr>
        <w:footnoteReference w:id="494"/>
      </w:r>
      <w:r w:rsidRPr="006879CC">
        <w:rPr>
          <w:rFonts w:ascii="Verdana" w:hAnsi="Verdana"/>
          <w:sz w:val="20"/>
          <w:szCs w:val="20"/>
          <w:lang w:val="en-US"/>
        </w:rPr>
        <w:t xml:space="preserve"> Articles (3)(j)</w:t>
      </w:r>
      <w:r w:rsidRPr="006879CC">
        <w:rPr>
          <w:rFonts w:ascii="Verdana" w:eastAsia="Times" w:hAnsi="Verdana"/>
          <w:sz w:val="20"/>
          <w:szCs w:val="20"/>
          <w:vertAlign w:val="superscript"/>
          <w:lang w:val="en-US"/>
        </w:rPr>
        <w:footnoteReference w:id="495"/>
      </w:r>
      <w:r w:rsidRPr="006879CC">
        <w:rPr>
          <w:rFonts w:ascii="Verdana" w:hAnsi="Verdana"/>
          <w:sz w:val="20"/>
          <w:szCs w:val="20"/>
          <w:lang w:val="en-US"/>
        </w:rPr>
        <w:t>, 45(b)</w:t>
      </w:r>
      <w:r w:rsidRPr="006879CC">
        <w:rPr>
          <w:rFonts w:ascii="Verdana" w:hAnsi="Verdana"/>
          <w:i/>
          <w:sz w:val="20"/>
          <w:szCs w:val="20"/>
          <w:vertAlign w:val="superscript"/>
          <w:lang w:val="en-US"/>
        </w:rPr>
        <w:t xml:space="preserve"> </w:t>
      </w:r>
      <w:r w:rsidRPr="006879CC">
        <w:rPr>
          <w:rFonts w:ascii="Verdana" w:hAnsi="Verdana"/>
          <w:sz w:val="20"/>
          <w:szCs w:val="20"/>
          <w:vertAlign w:val="superscript"/>
          <w:lang w:val="en-US"/>
        </w:rPr>
        <w:footnoteReference w:id="496"/>
      </w:r>
      <w:r w:rsidRPr="006879CC">
        <w:rPr>
          <w:rFonts w:ascii="Verdana" w:hAnsi="Verdana"/>
          <w:sz w:val="20"/>
          <w:szCs w:val="20"/>
          <w:lang w:val="en-US"/>
        </w:rPr>
        <w:t>, 45(h)</w:t>
      </w:r>
      <w:r w:rsidRPr="006879CC">
        <w:rPr>
          <w:rFonts w:ascii="Verdana" w:hAnsi="Verdana"/>
          <w:sz w:val="20"/>
          <w:szCs w:val="20"/>
          <w:vertAlign w:val="superscript"/>
          <w:lang w:val="en-US"/>
        </w:rPr>
        <w:t xml:space="preserve"> </w:t>
      </w:r>
      <w:r w:rsidRPr="006879CC">
        <w:rPr>
          <w:rFonts w:ascii="Verdana" w:hAnsi="Verdana"/>
          <w:sz w:val="20"/>
          <w:szCs w:val="20"/>
          <w:vertAlign w:val="superscript"/>
          <w:lang w:val="en-US"/>
        </w:rPr>
        <w:footnoteReference w:id="497"/>
      </w:r>
      <w:r w:rsidRPr="006879CC">
        <w:rPr>
          <w:rFonts w:ascii="Verdana" w:hAnsi="Verdana"/>
          <w:sz w:val="20"/>
          <w:szCs w:val="20"/>
          <w:lang w:val="en-US"/>
        </w:rPr>
        <w:t xml:space="preserve"> and 46</w:t>
      </w:r>
      <w:r w:rsidRPr="006879CC">
        <w:rPr>
          <w:rFonts w:ascii="Verdana" w:hAnsi="Verdana" w:cs="Tahoma"/>
          <w:sz w:val="20"/>
          <w:szCs w:val="20"/>
          <w:vertAlign w:val="superscript"/>
          <w:lang w:val="en-US"/>
        </w:rPr>
        <w:footnoteReference w:id="498"/>
      </w:r>
      <w:r w:rsidRPr="006879CC">
        <w:rPr>
          <w:rFonts w:ascii="Verdana" w:hAnsi="Verdana"/>
          <w:sz w:val="20"/>
          <w:szCs w:val="20"/>
          <w:lang w:val="en-US"/>
        </w:rPr>
        <w:t xml:space="preserve"> of the OAS Charter. </w:t>
      </w:r>
    </w:p>
    <w:p w14:paraId="296ADCC2" w14:textId="77777777" w:rsidR="00E6764B" w:rsidRPr="006879CC" w:rsidRDefault="00E6764B" w:rsidP="00E6764B">
      <w:pPr>
        <w:spacing w:line="276" w:lineRule="auto"/>
        <w:contextualSpacing/>
        <w:rPr>
          <w:rFonts w:ascii="Verdana" w:hAnsi="Verdana"/>
          <w:sz w:val="20"/>
          <w:szCs w:val="20"/>
          <w:lang w:val="en-US"/>
        </w:rPr>
      </w:pPr>
    </w:p>
    <w:p w14:paraId="03A3B88D" w14:textId="77777777" w:rsidR="00E6764B" w:rsidRPr="006879CC" w:rsidRDefault="00E6764B" w:rsidP="007720B1">
      <w:pPr>
        <w:widowControl/>
        <w:numPr>
          <w:ilvl w:val="0"/>
          <w:numId w:val="19"/>
        </w:numPr>
        <w:adjustRightInd/>
        <w:spacing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As may easily be deduced from such provisions, strictly speaking these do not establish the right to social security, but rather the obligation of the respective State to make the “</w:t>
      </w:r>
      <w:r w:rsidRPr="006879CC">
        <w:rPr>
          <w:rFonts w:ascii="Verdana" w:hAnsi="Verdana"/>
          <w:i/>
          <w:sz w:val="20"/>
          <w:szCs w:val="20"/>
          <w:lang w:val="en-US"/>
        </w:rPr>
        <w:t>greatest efforts</w:t>
      </w:r>
      <w:r w:rsidRPr="006879CC">
        <w:rPr>
          <w:rFonts w:ascii="Verdana" w:hAnsi="Verdana"/>
          <w:sz w:val="20"/>
          <w:szCs w:val="20"/>
          <w:lang w:val="en-US"/>
        </w:rPr>
        <w:t>” to “</w:t>
      </w:r>
      <w:r w:rsidRPr="006879CC">
        <w:rPr>
          <w:rFonts w:ascii="Verdana" w:hAnsi="Verdana"/>
          <w:i/>
          <w:sz w:val="20"/>
          <w:szCs w:val="20"/>
          <w:lang w:val="en-US"/>
        </w:rPr>
        <w:t>apply</w:t>
      </w:r>
      <w:r w:rsidRPr="006879CC">
        <w:rPr>
          <w:rFonts w:ascii="Verdana" w:hAnsi="Verdana"/>
          <w:sz w:val="20"/>
          <w:szCs w:val="20"/>
          <w:lang w:val="en-US"/>
        </w:rPr>
        <w:t>” the aforementioned “</w:t>
      </w:r>
      <w:r w:rsidRPr="006879CC">
        <w:rPr>
          <w:rFonts w:ascii="Verdana" w:hAnsi="Verdana"/>
          <w:i/>
          <w:sz w:val="20"/>
          <w:szCs w:val="20"/>
          <w:lang w:val="en-US"/>
        </w:rPr>
        <w:t>principles</w:t>
      </w:r>
      <w:r w:rsidRPr="006879CC">
        <w:rPr>
          <w:rFonts w:ascii="Verdana" w:hAnsi="Verdana"/>
          <w:sz w:val="20"/>
          <w:szCs w:val="20"/>
          <w:lang w:val="en-US"/>
        </w:rPr>
        <w:t xml:space="preserve"> and “</w:t>
      </w:r>
      <w:r w:rsidRPr="006879CC">
        <w:rPr>
          <w:rFonts w:ascii="Verdana" w:hAnsi="Verdana"/>
          <w:i/>
          <w:sz w:val="20"/>
          <w:szCs w:val="20"/>
          <w:lang w:val="en-US"/>
        </w:rPr>
        <w:t>mechanisms.</w:t>
      </w:r>
      <w:r w:rsidRPr="006879CC">
        <w:rPr>
          <w:rFonts w:ascii="Verdana" w:hAnsi="Verdana"/>
          <w:sz w:val="20"/>
          <w:szCs w:val="20"/>
          <w:lang w:val="en-US"/>
        </w:rPr>
        <w:t>” Thus, the right to social security “</w:t>
      </w:r>
      <w:r w:rsidRPr="006879CC">
        <w:rPr>
          <w:rFonts w:ascii="Verdana" w:hAnsi="Verdana"/>
          <w:i/>
          <w:sz w:val="20"/>
          <w:szCs w:val="20"/>
          <w:lang w:val="en-US"/>
        </w:rPr>
        <w:t>would be derived</w:t>
      </w:r>
      <w:r w:rsidRPr="006879CC">
        <w:rPr>
          <w:rFonts w:ascii="Verdana" w:hAnsi="Verdana"/>
          <w:sz w:val="20"/>
          <w:szCs w:val="20"/>
          <w:lang w:val="en-US"/>
        </w:rPr>
        <w:t>” form the latter, and therefore would not be “</w:t>
      </w:r>
      <w:r w:rsidRPr="006879CC">
        <w:rPr>
          <w:rFonts w:ascii="Verdana" w:hAnsi="Verdana"/>
          <w:i/>
          <w:sz w:val="20"/>
          <w:szCs w:val="20"/>
          <w:lang w:val="en-US"/>
        </w:rPr>
        <w:t>recognized</w:t>
      </w:r>
      <w:r w:rsidRPr="006879CC">
        <w:rPr>
          <w:rFonts w:ascii="Verdana" w:hAnsi="Verdana"/>
          <w:sz w:val="20"/>
          <w:szCs w:val="20"/>
          <w:lang w:val="en-US"/>
        </w:rPr>
        <w:t>” by or “</w:t>
      </w:r>
      <w:r w:rsidRPr="006879CC">
        <w:rPr>
          <w:rFonts w:ascii="Verdana" w:hAnsi="Verdana"/>
          <w:i/>
          <w:sz w:val="20"/>
          <w:szCs w:val="20"/>
          <w:lang w:val="en-US"/>
        </w:rPr>
        <w:t>enshrined</w:t>
      </w:r>
      <w:r w:rsidRPr="006879CC">
        <w:rPr>
          <w:rFonts w:ascii="Verdana" w:hAnsi="Verdana"/>
          <w:sz w:val="20"/>
          <w:szCs w:val="20"/>
          <w:lang w:val="en-US"/>
        </w:rPr>
        <w:t xml:space="preserve">” in the OAS Charter, and even less so in the Convention. </w:t>
      </w:r>
    </w:p>
    <w:p w14:paraId="3AEBA3EF" w14:textId="77777777" w:rsidR="00E6764B" w:rsidRPr="006879CC" w:rsidRDefault="00E6764B" w:rsidP="00E6764B">
      <w:pPr>
        <w:spacing w:after="200" w:line="276" w:lineRule="auto"/>
        <w:contextualSpacing/>
        <w:rPr>
          <w:rFonts w:ascii="Verdana" w:hAnsi="Verdana"/>
          <w:sz w:val="20"/>
          <w:szCs w:val="20"/>
          <w:lang w:val="en-US"/>
        </w:rPr>
      </w:pPr>
    </w:p>
    <w:p w14:paraId="7CFCCFD4" w14:textId="77777777" w:rsidR="00E6764B" w:rsidRPr="006879CC" w:rsidRDefault="00E6764B" w:rsidP="007720B1">
      <w:pPr>
        <w:widowControl/>
        <w:numPr>
          <w:ilvl w:val="0"/>
          <w:numId w:val="19"/>
        </w:numPr>
        <w:adjustRightInd/>
        <w:spacing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It should also be emphasized that the standards set forth in the OAS Charter cited in the Judgment are included in Chapter VII of that international legal instrument, entitled “</w:t>
      </w:r>
      <w:r w:rsidRPr="006879CC">
        <w:rPr>
          <w:rFonts w:ascii="Verdana" w:hAnsi="Verdana"/>
          <w:i/>
          <w:sz w:val="20"/>
          <w:szCs w:val="20"/>
          <w:lang w:val="en-US"/>
        </w:rPr>
        <w:t>Integral Development,</w:t>
      </w:r>
      <w:r w:rsidRPr="006879CC">
        <w:rPr>
          <w:rFonts w:ascii="Verdana" w:hAnsi="Verdana"/>
          <w:sz w:val="20"/>
          <w:szCs w:val="20"/>
          <w:lang w:val="en-US"/>
        </w:rPr>
        <w:t>” and that its first article, Article 30,</w:t>
      </w:r>
      <w:r w:rsidRPr="006879CC">
        <w:rPr>
          <w:rFonts w:ascii="Verdana" w:hAnsi="Verdana"/>
          <w:sz w:val="20"/>
          <w:szCs w:val="20"/>
          <w:vertAlign w:val="superscript"/>
          <w:lang w:val="en-US"/>
        </w:rPr>
        <w:footnoteReference w:id="499"/>
      </w:r>
      <w:r w:rsidRPr="006879CC">
        <w:rPr>
          <w:rFonts w:ascii="Verdana" w:hAnsi="Verdana"/>
          <w:sz w:val="20"/>
          <w:szCs w:val="20"/>
          <w:lang w:val="en-US"/>
        </w:rPr>
        <w:t xml:space="preserve"> considers such development as an objective to be achieved through compliance with the rules that follow. Likewise, it should be pointed out that the other provisions of this Chapter reaffirm the notion that these are “</w:t>
      </w:r>
      <w:r w:rsidRPr="006879CC">
        <w:rPr>
          <w:rFonts w:ascii="Verdana" w:hAnsi="Verdana"/>
          <w:i/>
          <w:sz w:val="20"/>
          <w:szCs w:val="20"/>
          <w:lang w:val="en-US"/>
        </w:rPr>
        <w:t>intentions</w:t>
      </w:r>
      <w:r w:rsidRPr="006879CC">
        <w:rPr>
          <w:rFonts w:ascii="Verdana" w:hAnsi="Verdana"/>
          <w:sz w:val="20"/>
          <w:szCs w:val="20"/>
          <w:lang w:val="en-US"/>
        </w:rPr>
        <w:t>” that the States undertake to achieve, and not rights subject to international adjudication.</w:t>
      </w:r>
    </w:p>
    <w:p w14:paraId="09BDE736" w14:textId="77777777" w:rsidR="00E6764B" w:rsidRPr="006879CC" w:rsidRDefault="00E6764B" w:rsidP="00E6764B">
      <w:pPr>
        <w:spacing w:after="200" w:line="276" w:lineRule="auto"/>
        <w:contextualSpacing/>
        <w:rPr>
          <w:rFonts w:ascii="Verdana" w:hAnsi="Verdana"/>
          <w:sz w:val="20"/>
          <w:szCs w:val="20"/>
          <w:lang w:val="en-US"/>
        </w:rPr>
      </w:pPr>
    </w:p>
    <w:p w14:paraId="555BCB5F" w14:textId="77777777" w:rsidR="00E6764B" w:rsidRPr="006879CC" w:rsidRDefault="00E6764B" w:rsidP="007720B1">
      <w:pPr>
        <w:widowControl/>
        <w:numPr>
          <w:ilvl w:val="0"/>
          <w:numId w:val="19"/>
        </w:numPr>
        <w:adjustRightInd/>
        <w:spacing w:after="120" w:line="276" w:lineRule="auto"/>
        <w:ind w:left="0" w:firstLine="0"/>
        <w:contextualSpacing/>
        <w:textAlignment w:val="auto"/>
        <w:rPr>
          <w:rFonts w:ascii="Verdana" w:hAnsi="Verdana"/>
          <w:sz w:val="20"/>
          <w:szCs w:val="20"/>
          <w:lang w:val="en-US"/>
        </w:rPr>
      </w:pPr>
      <w:r w:rsidRPr="006879CC">
        <w:rPr>
          <w:rFonts w:ascii="Verdana" w:hAnsi="Verdana"/>
          <w:sz w:val="20"/>
          <w:szCs w:val="20"/>
          <w:lang w:val="en-US"/>
        </w:rPr>
        <w:t xml:space="preserve">Therefore, having regard to the foregoing, it is not possible to conclude, from the provisions contained in Article 26 of the Convention and in the OAS Charter, that the right to social security would be internationally justiciable before the Court. </w:t>
      </w:r>
    </w:p>
    <w:p w14:paraId="3D95E3AA" w14:textId="77777777" w:rsidR="00E6764B" w:rsidRPr="006879CC" w:rsidRDefault="00E6764B" w:rsidP="00E6764B">
      <w:pPr>
        <w:spacing w:line="276" w:lineRule="auto"/>
        <w:contextualSpacing/>
        <w:rPr>
          <w:rFonts w:ascii="Verdana" w:hAnsi="Verdana"/>
          <w:sz w:val="20"/>
          <w:szCs w:val="20"/>
          <w:lang w:val="en-US"/>
        </w:rPr>
      </w:pPr>
    </w:p>
    <w:p w14:paraId="3A4BB6AB" w14:textId="77777777" w:rsidR="00E6764B" w:rsidRPr="006879CC" w:rsidRDefault="00E6764B" w:rsidP="00E6764B">
      <w:pPr>
        <w:spacing w:line="276" w:lineRule="auto"/>
        <w:rPr>
          <w:rFonts w:ascii="Verdana" w:hAnsi="Verdana"/>
          <w:b/>
          <w:sz w:val="20"/>
          <w:szCs w:val="20"/>
          <w:lang w:val="en-US"/>
        </w:rPr>
      </w:pPr>
      <w:r w:rsidRPr="006879CC">
        <w:rPr>
          <w:rFonts w:ascii="Verdana" w:hAnsi="Verdana"/>
          <w:b/>
          <w:sz w:val="20"/>
          <w:szCs w:val="20"/>
          <w:lang w:val="en-US"/>
        </w:rPr>
        <w:t>CONCLUSION</w:t>
      </w:r>
    </w:p>
    <w:p w14:paraId="05AB83A9" w14:textId="77777777" w:rsidR="00E6764B" w:rsidRPr="006879CC" w:rsidRDefault="00E6764B" w:rsidP="00E6764B">
      <w:pPr>
        <w:spacing w:line="276" w:lineRule="auto"/>
        <w:rPr>
          <w:rFonts w:ascii="Verdana" w:hAnsi="Verdana"/>
          <w:sz w:val="20"/>
          <w:szCs w:val="20"/>
          <w:lang w:val="en-US"/>
        </w:rPr>
      </w:pPr>
    </w:p>
    <w:p w14:paraId="1FE68D17" w14:textId="77777777" w:rsidR="00E6764B" w:rsidRPr="006879CC" w:rsidRDefault="00E6764B" w:rsidP="007720B1">
      <w:pPr>
        <w:pStyle w:val="Prrafodelista"/>
        <w:widowControl/>
        <w:numPr>
          <w:ilvl w:val="0"/>
          <w:numId w:val="19"/>
        </w:numPr>
        <w:adjustRightInd/>
        <w:spacing w:line="276" w:lineRule="auto"/>
        <w:ind w:left="20" w:hanging="20"/>
        <w:textAlignment w:val="auto"/>
        <w:rPr>
          <w:rFonts w:ascii="Verdana" w:hAnsi="Verdana"/>
          <w:b/>
          <w:sz w:val="20"/>
          <w:szCs w:val="20"/>
          <w:lang w:val="en-US"/>
        </w:rPr>
      </w:pPr>
      <w:r w:rsidRPr="006879CC">
        <w:rPr>
          <w:rFonts w:ascii="Verdana" w:hAnsi="Verdana"/>
          <w:sz w:val="20"/>
          <w:szCs w:val="20"/>
          <w:lang w:val="en-US"/>
        </w:rPr>
        <w:t>As may be inferred from all the foregoing arguments concerning the interpretation of Article 26 made in the Ruling, such interpretation ostensibly departs from one that would result from the proper application of the rules of treaty interpretation established in the Vienna Convention and, therefore, leads to a result that was never desired or envisaged in the Convention.</w:t>
      </w:r>
    </w:p>
    <w:p w14:paraId="6ABF62A6" w14:textId="77777777" w:rsidR="00E6764B" w:rsidRPr="006879CC" w:rsidRDefault="00E6764B" w:rsidP="00E6764B">
      <w:pPr>
        <w:spacing w:line="276" w:lineRule="auto"/>
        <w:ind w:hanging="20"/>
        <w:rPr>
          <w:rFonts w:ascii="Verdana" w:hAnsi="Verdana"/>
          <w:b/>
          <w:sz w:val="20"/>
          <w:szCs w:val="20"/>
          <w:lang w:val="en-US"/>
        </w:rPr>
      </w:pPr>
    </w:p>
    <w:p w14:paraId="4B387C74" w14:textId="77777777" w:rsidR="00E6764B" w:rsidRPr="006879CC" w:rsidRDefault="00E6764B" w:rsidP="007720B1">
      <w:pPr>
        <w:pStyle w:val="Prrafodelista"/>
        <w:widowControl/>
        <w:numPr>
          <w:ilvl w:val="0"/>
          <w:numId w:val="19"/>
        </w:numPr>
        <w:adjustRightInd/>
        <w:spacing w:line="276" w:lineRule="auto"/>
        <w:ind w:left="0" w:hanging="20"/>
        <w:textAlignment w:val="auto"/>
        <w:rPr>
          <w:rFonts w:ascii="Verdana" w:hAnsi="Verdana"/>
          <w:sz w:val="20"/>
          <w:szCs w:val="20"/>
          <w:lang w:val="en-US"/>
        </w:rPr>
      </w:pPr>
      <w:r w:rsidRPr="006879CC">
        <w:rPr>
          <w:rFonts w:ascii="Verdana" w:hAnsi="Verdana"/>
          <w:sz w:val="20"/>
          <w:szCs w:val="20"/>
          <w:lang w:val="en-US"/>
        </w:rPr>
        <w:lastRenderedPageBreak/>
        <w:t>Thus, I disagree with the decision reached in the Judgment considering that the Convention makes a clear distinction between political and civil rights and economic, social and cultural rights. The right to social security is not a “</w:t>
      </w:r>
      <w:r w:rsidRPr="006879CC">
        <w:rPr>
          <w:rFonts w:ascii="Verdana" w:hAnsi="Verdana"/>
          <w:i/>
          <w:sz w:val="20"/>
          <w:szCs w:val="20"/>
          <w:lang w:val="en-US"/>
        </w:rPr>
        <w:t>recognized</w:t>
      </w:r>
      <w:r w:rsidRPr="006879CC">
        <w:rPr>
          <w:rFonts w:ascii="Verdana" w:hAnsi="Verdana"/>
          <w:sz w:val="20"/>
          <w:szCs w:val="20"/>
          <w:lang w:val="en-US"/>
        </w:rPr>
        <w:t xml:space="preserve">” right in the Convention and therefore is not under the protection system envisaged therein, which applies only to the first category of rights mentioned. In order to judicialize economic, social and cultural rights before the Court, it would be necessary to sign an additional Protocol, something that has not occurred in relation to the right to social security. </w:t>
      </w:r>
    </w:p>
    <w:p w14:paraId="510B5B89" w14:textId="77777777" w:rsidR="00E6764B" w:rsidRPr="006879CC" w:rsidRDefault="00E6764B" w:rsidP="00E6764B">
      <w:pPr>
        <w:spacing w:line="276" w:lineRule="auto"/>
        <w:ind w:hanging="20"/>
        <w:rPr>
          <w:rFonts w:ascii="Verdana" w:hAnsi="Verdana"/>
          <w:sz w:val="20"/>
          <w:szCs w:val="20"/>
          <w:lang w:val="en-US"/>
        </w:rPr>
      </w:pPr>
    </w:p>
    <w:p w14:paraId="3BC3781A" w14:textId="77777777" w:rsidR="00E6764B" w:rsidRPr="006879CC" w:rsidRDefault="00E6764B" w:rsidP="007720B1">
      <w:pPr>
        <w:pStyle w:val="Prrafodelista"/>
        <w:widowControl/>
        <w:numPr>
          <w:ilvl w:val="0"/>
          <w:numId w:val="19"/>
        </w:numPr>
        <w:adjustRightInd/>
        <w:spacing w:line="276" w:lineRule="auto"/>
        <w:ind w:left="0" w:hanging="20"/>
        <w:textAlignment w:val="auto"/>
        <w:rPr>
          <w:rFonts w:ascii="Verdana" w:hAnsi="Verdana"/>
          <w:sz w:val="20"/>
          <w:szCs w:val="20"/>
          <w:lang w:val="en-US"/>
        </w:rPr>
      </w:pPr>
      <w:r w:rsidRPr="006879CC">
        <w:rPr>
          <w:rFonts w:ascii="Verdana" w:hAnsi="Verdana"/>
          <w:sz w:val="20"/>
          <w:szCs w:val="20"/>
          <w:lang w:val="en-US"/>
        </w:rPr>
        <w:t>My dissent is also based on the fact that the content of Article 26 of the Convention refers to the States’ obligations of conduct, not the recognition of human rights. Moreover, this provision refers to the OAS Charter which, in turn, stipulates “</w:t>
      </w:r>
      <w:r w:rsidRPr="006879CC">
        <w:rPr>
          <w:rFonts w:ascii="Verdana" w:hAnsi="Verdana"/>
          <w:i/>
          <w:sz w:val="20"/>
          <w:szCs w:val="20"/>
          <w:lang w:val="en-US"/>
        </w:rPr>
        <w:t>goals</w:t>
      </w:r>
      <w:r w:rsidRPr="006879CC">
        <w:rPr>
          <w:rFonts w:ascii="Verdana" w:hAnsi="Verdana"/>
          <w:sz w:val="20"/>
          <w:szCs w:val="20"/>
          <w:lang w:val="en-US"/>
        </w:rPr>
        <w:t>” or “</w:t>
      </w:r>
      <w:r w:rsidRPr="006879CC">
        <w:rPr>
          <w:rFonts w:ascii="Verdana" w:hAnsi="Verdana"/>
          <w:i/>
          <w:sz w:val="20"/>
          <w:szCs w:val="20"/>
          <w:lang w:val="en-US"/>
        </w:rPr>
        <w:t>objectives</w:t>
      </w:r>
      <w:r w:rsidRPr="006879CC">
        <w:rPr>
          <w:rFonts w:ascii="Verdana" w:hAnsi="Verdana"/>
          <w:sz w:val="20"/>
          <w:szCs w:val="20"/>
          <w:lang w:val="en-US"/>
        </w:rPr>
        <w:t>” or “</w:t>
      </w:r>
      <w:r w:rsidRPr="006879CC">
        <w:rPr>
          <w:rFonts w:ascii="Verdana" w:hAnsi="Verdana"/>
          <w:i/>
          <w:sz w:val="20"/>
          <w:szCs w:val="20"/>
          <w:lang w:val="en-US"/>
        </w:rPr>
        <w:t>principles and mechanisms”</w:t>
      </w:r>
      <w:r w:rsidRPr="006879CC">
        <w:rPr>
          <w:rFonts w:ascii="Verdana" w:hAnsi="Verdana"/>
          <w:sz w:val="20"/>
          <w:szCs w:val="20"/>
          <w:lang w:val="en-US"/>
        </w:rPr>
        <w:t xml:space="preserve"> that the States undertake to achieve or to implement, as appropriate. </w:t>
      </w:r>
    </w:p>
    <w:p w14:paraId="54E35569" w14:textId="77777777" w:rsidR="00E6764B" w:rsidRPr="006879CC" w:rsidRDefault="00E6764B" w:rsidP="00E6764B">
      <w:pPr>
        <w:pStyle w:val="Prrafodelista"/>
        <w:rPr>
          <w:rFonts w:ascii="Verdana" w:hAnsi="Verdana"/>
          <w:sz w:val="20"/>
          <w:szCs w:val="20"/>
          <w:lang w:val="en-US"/>
        </w:rPr>
      </w:pPr>
    </w:p>
    <w:p w14:paraId="3050806D"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In addition, I do not share the view expressed in the decision, given that, by allowing the provisions of Article 26 to be prosecuted before the Court, this would not only render Articles 31, 76(1) and 77(1) of the Convention largely meaningless, but would also allow all the rights “</w:t>
      </w:r>
      <w:r w:rsidRPr="006879CC">
        <w:rPr>
          <w:rFonts w:ascii="Verdana" w:hAnsi="Verdana"/>
          <w:i/>
          <w:sz w:val="20"/>
          <w:szCs w:val="20"/>
          <w:lang w:val="en-US"/>
        </w:rPr>
        <w:t>derived</w:t>
      </w:r>
      <w:r w:rsidRPr="006879CC">
        <w:rPr>
          <w:rFonts w:ascii="Verdana" w:hAnsi="Verdana"/>
          <w:sz w:val="20"/>
          <w:szCs w:val="20"/>
          <w:lang w:val="en-US"/>
        </w:rPr>
        <w:t xml:space="preserve">” from the OAS Charter to be so. This possibility is clearly far removed from what was agreed and, if that path were to be followed, it would undoubtedly lead to unsuspected consequences, not entirely beneficial for the effective respect of human rights. </w:t>
      </w:r>
    </w:p>
    <w:p w14:paraId="1B5BA2ED" w14:textId="77777777" w:rsidR="00E6764B" w:rsidRPr="006879CC" w:rsidRDefault="00E6764B" w:rsidP="00E6764B">
      <w:pPr>
        <w:spacing w:line="276" w:lineRule="auto"/>
        <w:rPr>
          <w:rFonts w:ascii="Verdana" w:hAnsi="Verdana"/>
          <w:sz w:val="20"/>
          <w:szCs w:val="20"/>
          <w:lang w:val="en-US"/>
        </w:rPr>
      </w:pPr>
    </w:p>
    <w:p w14:paraId="258622F5"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 xml:space="preserve">Accordingly, I reiterate once again that I do not deny the existence of the right to social security which, in any case, does not figure in those terms in the standards contained in the OAS Charter, from which it is derived, pursuant to Article 26 of the Convention. I merely argue that its possible violation cannot be submitted to the Court for examination and a ruling. </w:t>
      </w:r>
    </w:p>
    <w:p w14:paraId="25F7E813" w14:textId="77777777" w:rsidR="00E6764B" w:rsidRPr="006879CC" w:rsidRDefault="00E6764B" w:rsidP="00E6764B">
      <w:pPr>
        <w:spacing w:line="276" w:lineRule="auto"/>
        <w:rPr>
          <w:rFonts w:ascii="Verdana" w:hAnsi="Verdana"/>
          <w:sz w:val="20"/>
          <w:szCs w:val="20"/>
          <w:lang w:val="en-US"/>
        </w:rPr>
      </w:pPr>
    </w:p>
    <w:p w14:paraId="328ED6ED" w14:textId="77777777" w:rsidR="00E6764B" w:rsidRPr="006879CC" w:rsidRDefault="00E6764B" w:rsidP="007720B1">
      <w:pPr>
        <w:pStyle w:val="Prrafodelista"/>
        <w:widowControl/>
        <w:numPr>
          <w:ilvl w:val="0"/>
          <w:numId w:val="19"/>
        </w:numPr>
        <w:adjustRightInd/>
        <w:spacing w:line="276" w:lineRule="auto"/>
        <w:ind w:left="0" w:firstLine="0"/>
        <w:textAlignment w:val="auto"/>
        <w:rPr>
          <w:rFonts w:ascii="Verdana" w:hAnsi="Verdana"/>
          <w:sz w:val="20"/>
          <w:szCs w:val="20"/>
          <w:lang w:val="en-US"/>
        </w:rPr>
      </w:pPr>
      <w:r w:rsidRPr="006879CC">
        <w:rPr>
          <w:rFonts w:ascii="Verdana" w:hAnsi="Verdana"/>
          <w:sz w:val="20"/>
          <w:szCs w:val="20"/>
          <w:lang w:val="en-US"/>
        </w:rPr>
        <w:t>Furthermore, this opinion should not be taken to mean that I would not eventually favor the international adjudication of economic, social and cultural rights before the Court. On this point, I believe that if we proceed with this course of action, it must be done by those responsible for international regulatory functions, that is, by the States through treaties, international custom and general principles of law or by unilateral legal acts. It does not seem appropriate that the body responsible for the inter-American judicial function should assume the international regulatory function, especially when the States Parties to the Convention are democratic and governed by the Inter-American Democratic Charter that envisages the separation of powers and citizens’ participation in public affairs.</w:t>
      </w:r>
      <w:r w:rsidRPr="006879CC">
        <w:rPr>
          <w:rFonts w:ascii="Verdana" w:hAnsi="Verdana"/>
          <w:sz w:val="20"/>
          <w:szCs w:val="20"/>
          <w:vertAlign w:val="superscript"/>
          <w:lang w:val="en-US"/>
        </w:rPr>
        <w:footnoteReference w:id="500"/>
      </w:r>
      <w:r w:rsidRPr="006879CC">
        <w:rPr>
          <w:rFonts w:ascii="Verdana" w:hAnsi="Verdana"/>
          <w:sz w:val="20"/>
          <w:szCs w:val="20"/>
          <w:lang w:val="en-US"/>
        </w:rPr>
        <w:t xml:space="preserve"> It seems fitting that this should also be reflected in matters concerning the international regulatory function, particularly of those norms that concern citizens more directly.</w:t>
      </w:r>
    </w:p>
    <w:p w14:paraId="2CD81A84" w14:textId="77777777" w:rsidR="00E6764B" w:rsidRPr="006879CC" w:rsidRDefault="00E6764B" w:rsidP="00E6764B">
      <w:pPr>
        <w:spacing w:line="276" w:lineRule="auto"/>
        <w:rPr>
          <w:rFonts w:ascii="Verdana" w:hAnsi="Verdana"/>
          <w:sz w:val="20"/>
          <w:szCs w:val="20"/>
          <w:lang w:val="en-US"/>
        </w:rPr>
      </w:pPr>
    </w:p>
    <w:p w14:paraId="797DFA50" w14:textId="77777777" w:rsidR="00E6764B" w:rsidRPr="006879CC" w:rsidRDefault="00E6764B" w:rsidP="00E6764B">
      <w:pPr>
        <w:spacing w:line="276" w:lineRule="auto"/>
        <w:rPr>
          <w:rFonts w:ascii="Verdana" w:hAnsi="Verdana"/>
          <w:sz w:val="20"/>
          <w:szCs w:val="20"/>
          <w:lang w:val="en-US"/>
        </w:rPr>
      </w:pPr>
    </w:p>
    <w:p w14:paraId="70F8D063" w14:textId="77777777" w:rsidR="00E6764B" w:rsidRPr="006879CC" w:rsidRDefault="00E6764B" w:rsidP="00E6764B">
      <w:pPr>
        <w:spacing w:line="276" w:lineRule="auto"/>
        <w:rPr>
          <w:rFonts w:ascii="Verdana" w:hAnsi="Verdana"/>
          <w:sz w:val="20"/>
          <w:szCs w:val="20"/>
          <w:lang w:val="en-US"/>
        </w:rPr>
      </w:pPr>
    </w:p>
    <w:p w14:paraId="145F5397" w14:textId="77777777" w:rsidR="00E6764B" w:rsidRPr="006879CC" w:rsidRDefault="00E6764B" w:rsidP="00E6764B">
      <w:pPr>
        <w:spacing w:line="276" w:lineRule="auto"/>
        <w:rPr>
          <w:rFonts w:ascii="Verdana" w:hAnsi="Verdana"/>
          <w:sz w:val="20"/>
          <w:szCs w:val="20"/>
          <w:lang w:val="en-US"/>
        </w:rPr>
      </w:pPr>
    </w:p>
    <w:p w14:paraId="28167171" w14:textId="77777777" w:rsidR="00E6764B" w:rsidRPr="006879CC" w:rsidRDefault="00E6764B" w:rsidP="00E6764B">
      <w:pPr>
        <w:spacing w:line="276" w:lineRule="auto"/>
        <w:rPr>
          <w:rFonts w:ascii="Verdana" w:hAnsi="Verdana"/>
          <w:sz w:val="20"/>
          <w:szCs w:val="20"/>
          <w:lang w:val="en-US"/>
        </w:rPr>
      </w:pPr>
    </w:p>
    <w:p w14:paraId="000ACEA0" w14:textId="77777777" w:rsidR="00E6764B" w:rsidRPr="006879CC" w:rsidRDefault="00E6764B" w:rsidP="00E6764B">
      <w:pPr>
        <w:spacing w:line="276" w:lineRule="auto"/>
        <w:ind w:right="18"/>
        <w:jc w:val="right"/>
        <w:rPr>
          <w:rFonts w:ascii="Verdana" w:hAnsi="Verdana"/>
          <w:sz w:val="20"/>
          <w:szCs w:val="20"/>
          <w:lang w:val="en-US"/>
        </w:rPr>
      </w:pPr>
      <w:r w:rsidRPr="006879CC">
        <w:rPr>
          <w:rFonts w:ascii="Verdana" w:hAnsi="Verdana"/>
          <w:sz w:val="20"/>
          <w:szCs w:val="20"/>
          <w:lang w:val="en-US"/>
        </w:rPr>
        <w:t xml:space="preserve">Eduardo </w:t>
      </w:r>
      <w:proofErr w:type="spellStart"/>
      <w:r w:rsidRPr="006879CC">
        <w:rPr>
          <w:rFonts w:ascii="Verdana" w:hAnsi="Verdana"/>
          <w:sz w:val="20"/>
          <w:szCs w:val="20"/>
          <w:lang w:val="en-US"/>
        </w:rPr>
        <w:t>Vio</w:t>
      </w:r>
      <w:proofErr w:type="spellEnd"/>
      <w:r w:rsidRPr="006879CC">
        <w:rPr>
          <w:rFonts w:ascii="Verdana" w:hAnsi="Verdana"/>
          <w:sz w:val="20"/>
          <w:szCs w:val="20"/>
          <w:lang w:val="en-US"/>
        </w:rPr>
        <w:t xml:space="preserve"> </w:t>
      </w:r>
      <w:proofErr w:type="spellStart"/>
      <w:r w:rsidRPr="006879CC">
        <w:rPr>
          <w:rFonts w:ascii="Verdana" w:hAnsi="Verdana"/>
          <w:sz w:val="20"/>
          <w:szCs w:val="20"/>
          <w:lang w:val="en-US"/>
        </w:rPr>
        <w:t>Grossi</w:t>
      </w:r>
      <w:proofErr w:type="spellEnd"/>
    </w:p>
    <w:p w14:paraId="39A58A0C" w14:textId="77777777" w:rsidR="00E6764B" w:rsidRPr="006879CC" w:rsidRDefault="00E6764B" w:rsidP="00E6764B">
      <w:pPr>
        <w:spacing w:line="276" w:lineRule="auto"/>
        <w:ind w:left="-360" w:right="738"/>
        <w:jc w:val="right"/>
        <w:rPr>
          <w:rFonts w:ascii="Verdana" w:hAnsi="Verdana"/>
          <w:sz w:val="20"/>
          <w:szCs w:val="20"/>
          <w:lang w:val="en-US"/>
        </w:rPr>
      </w:pPr>
      <w:r w:rsidRPr="006879CC">
        <w:rPr>
          <w:rFonts w:ascii="Verdana" w:hAnsi="Verdana"/>
          <w:sz w:val="20"/>
          <w:szCs w:val="20"/>
          <w:lang w:val="en-US"/>
        </w:rPr>
        <w:t>Judge</w:t>
      </w:r>
    </w:p>
    <w:p w14:paraId="1EADB180" w14:textId="77777777" w:rsidR="00E6764B" w:rsidRPr="006879CC" w:rsidRDefault="00E6764B" w:rsidP="00E6764B">
      <w:pPr>
        <w:spacing w:line="276" w:lineRule="auto"/>
        <w:ind w:left="-360" w:right="738"/>
        <w:jc w:val="right"/>
        <w:rPr>
          <w:rFonts w:ascii="Verdana" w:hAnsi="Verdana"/>
          <w:sz w:val="20"/>
          <w:szCs w:val="20"/>
          <w:lang w:val="en-US"/>
        </w:rPr>
      </w:pPr>
    </w:p>
    <w:p w14:paraId="087F3307" w14:textId="77777777" w:rsidR="00E6764B" w:rsidRPr="006879CC" w:rsidRDefault="00E6764B" w:rsidP="00E6764B">
      <w:pPr>
        <w:spacing w:line="276" w:lineRule="auto"/>
        <w:ind w:left="-360" w:right="738"/>
        <w:jc w:val="right"/>
        <w:rPr>
          <w:rFonts w:ascii="Verdana" w:hAnsi="Verdana"/>
          <w:sz w:val="20"/>
          <w:szCs w:val="20"/>
          <w:lang w:val="en-US"/>
        </w:rPr>
      </w:pPr>
    </w:p>
    <w:p w14:paraId="12D53783" w14:textId="77777777" w:rsidR="00E6764B" w:rsidRPr="006879CC" w:rsidRDefault="00E6764B" w:rsidP="00E6764B">
      <w:pPr>
        <w:spacing w:line="276" w:lineRule="auto"/>
        <w:ind w:left="-360" w:right="738"/>
        <w:jc w:val="right"/>
        <w:rPr>
          <w:rFonts w:ascii="Verdana" w:hAnsi="Verdana"/>
          <w:sz w:val="20"/>
          <w:szCs w:val="20"/>
          <w:lang w:val="en-US"/>
        </w:rPr>
      </w:pPr>
    </w:p>
    <w:p w14:paraId="18BF5743" w14:textId="77777777" w:rsidR="00E6764B" w:rsidRPr="006879CC" w:rsidRDefault="00E6764B" w:rsidP="00E6764B">
      <w:pPr>
        <w:spacing w:line="276" w:lineRule="auto"/>
        <w:ind w:left="708" w:firstLine="708"/>
        <w:rPr>
          <w:rFonts w:ascii="Verdana" w:hAnsi="Verdana"/>
          <w:sz w:val="20"/>
          <w:szCs w:val="20"/>
          <w:lang w:val="en-US"/>
        </w:rPr>
      </w:pPr>
      <w:r w:rsidRPr="006879CC">
        <w:rPr>
          <w:rFonts w:ascii="Verdana" w:hAnsi="Verdana"/>
          <w:sz w:val="20"/>
          <w:szCs w:val="20"/>
          <w:lang w:val="en-US"/>
        </w:rPr>
        <w:t xml:space="preserve">Pablo Saavedra </w:t>
      </w:r>
      <w:proofErr w:type="spellStart"/>
      <w:r w:rsidRPr="006879CC">
        <w:rPr>
          <w:rFonts w:ascii="Verdana" w:hAnsi="Verdana"/>
          <w:sz w:val="20"/>
          <w:szCs w:val="20"/>
          <w:lang w:val="en-US"/>
        </w:rPr>
        <w:t>Alessandri</w:t>
      </w:r>
      <w:proofErr w:type="spellEnd"/>
      <w:r w:rsidRPr="006879CC">
        <w:rPr>
          <w:rFonts w:ascii="Verdana" w:hAnsi="Verdana"/>
          <w:sz w:val="20"/>
          <w:szCs w:val="20"/>
          <w:lang w:val="en-US"/>
        </w:rPr>
        <w:t xml:space="preserve"> </w:t>
      </w:r>
    </w:p>
    <w:p w14:paraId="3ECE1A29" w14:textId="77777777" w:rsidR="00DF2C5B" w:rsidRDefault="00E6764B" w:rsidP="00E6764B">
      <w:pPr>
        <w:spacing w:line="276" w:lineRule="auto"/>
        <w:rPr>
          <w:rFonts w:ascii="Verdana" w:hAnsi="Verdana"/>
          <w:sz w:val="20"/>
          <w:szCs w:val="20"/>
          <w:lang w:val="en-US"/>
        </w:rPr>
        <w:sectPr w:rsidR="00DF2C5B" w:rsidSect="00D3622F">
          <w:footnotePr>
            <w:numRestart w:val="eachSect"/>
          </w:footnotePr>
          <w:pgSz w:w="12240" w:h="15840" w:code="1"/>
          <w:pgMar w:top="1440" w:right="1080" w:bottom="851" w:left="1080" w:header="709" w:footer="709" w:gutter="0"/>
          <w:pgNumType w:start="1"/>
          <w:cols w:space="708"/>
          <w:titlePg/>
          <w:docGrid w:linePitch="360"/>
        </w:sectPr>
      </w:pPr>
      <w:r w:rsidRPr="006879CC">
        <w:rPr>
          <w:rFonts w:ascii="Verdana" w:hAnsi="Verdana"/>
          <w:sz w:val="20"/>
          <w:szCs w:val="20"/>
          <w:lang w:val="en-US"/>
        </w:rPr>
        <w:t xml:space="preserve">           </w:t>
      </w:r>
      <w:r w:rsidRPr="006879CC">
        <w:rPr>
          <w:rFonts w:ascii="Verdana" w:hAnsi="Verdana"/>
          <w:sz w:val="20"/>
          <w:szCs w:val="20"/>
          <w:lang w:val="en-US"/>
        </w:rPr>
        <w:tab/>
      </w:r>
      <w:r w:rsidRPr="006879CC">
        <w:rPr>
          <w:rFonts w:ascii="Verdana" w:hAnsi="Verdana"/>
          <w:sz w:val="20"/>
          <w:szCs w:val="20"/>
          <w:lang w:val="en-US"/>
        </w:rPr>
        <w:tab/>
        <w:t>Secretary</w:t>
      </w:r>
    </w:p>
    <w:p w14:paraId="757EB10E" w14:textId="77777777" w:rsidR="006168EA" w:rsidRPr="00645424" w:rsidRDefault="006168EA" w:rsidP="006168EA">
      <w:pPr>
        <w:tabs>
          <w:tab w:val="left" w:pos="709"/>
        </w:tabs>
        <w:jc w:val="center"/>
        <w:rPr>
          <w:b/>
          <w:szCs w:val="20"/>
        </w:rPr>
      </w:pPr>
    </w:p>
    <w:p w14:paraId="185B5AE7" w14:textId="77777777" w:rsidR="006168EA" w:rsidRPr="00645424" w:rsidRDefault="006168EA" w:rsidP="006168EA">
      <w:pPr>
        <w:tabs>
          <w:tab w:val="left" w:pos="709"/>
        </w:tabs>
        <w:jc w:val="center"/>
        <w:rPr>
          <w:b/>
          <w:szCs w:val="20"/>
        </w:rPr>
      </w:pPr>
    </w:p>
    <w:p w14:paraId="03BB0A4B" w14:textId="77777777" w:rsidR="006168EA" w:rsidRPr="00645424" w:rsidRDefault="006168EA" w:rsidP="006168EA">
      <w:pPr>
        <w:tabs>
          <w:tab w:val="left" w:pos="709"/>
        </w:tabs>
        <w:jc w:val="center"/>
        <w:rPr>
          <w:b/>
          <w:szCs w:val="20"/>
        </w:rPr>
      </w:pPr>
    </w:p>
    <w:p w14:paraId="39867F77" w14:textId="77777777" w:rsidR="006168EA" w:rsidRPr="00645424" w:rsidRDefault="006168EA" w:rsidP="006168EA">
      <w:pPr>
        <w:tabs>
          <w:tab w:val="left" w:pos="709"/>
        </w:tabs>
        <w:jc w:val="center"/>
        <w:rPr>
          <w:b/>
          <w:szCs w:val="20"/>
        </w:rPr>
      </w:pPr>
    </w:p>
    <w:p w14:paraId="77D4D61D" w14:textId="77777777" w:rsidR="006168EA" w:rsidRPr="00645424" w:rsidRDefault="006168EA" w:rsidP="006168EA">
      <w:pPr>
        <w:tabs>
          <w:tab w:val="left" w:pos="709"/>
        </w:tabs>
        <w:jc w:val="center"/>
        <w:rPr>
          <w:b/>
          <w:szCs w:val="20"/>
        </w:rPr>
      </w:pPr>
    </w:p>
    <w:p w14:paraId="3B27073A" w14:textId="77777777" w:rsidR="006168EA" w:rsidRPr="00645424" w:rsidRDefault="006168EA" w:rsidP="006168EA">
      <w:pPr>
        <w:tabs>
          <w:tab w:val="left" w:pos="709"/>
        </w:tabs>
        <w:jc w:val="center"/>
        <w:rPr>
          <w:b/>
          <w:szCs w:val="20"/>
        </w:rPr>
      </w:pPr>
    </w:p>
    <w:p w14:paraId="634D1D1A" w14:textId="77777777" w:rsidR="006168EA" w:rsidRPr="006168EA" w:rsidRDefault="006168EA" w:rsidP="006168EA">
      <w:pPr>
        <w:tabs>
          <w:tab w:val="left" w:pos="709"/>
        </w:tabs>
        <w:jc w:val="center"/>
        <w:rPr>
          <w:rFonts w:ascii="Verdana" w:hAnsi="Verdana"/>
          <w:b/>
          <w:sz w:val="20"/>
          <w:szCs w:val="20"/>
        </w:rPr>
      </w:pPr>
      <w:r w:rsidRPr="006168EA">
        <w:rPr>
          <w:rFonts w:ascii="Verdana" w:hAnsi="Verdana"/>
          <w:b/>
          <w:sz w:val="20"/>
          <w:szCs w:val="20"/>
        </w:rPr>
        <w:t xml:space="preserve">PARTIALLY DISSENTING OPINION OF </w:t>
      </w:r>
    </w:p>
    <w:p w14:paraId="206250E7" w14:textId="77777777" w:rsidR="006168EA" w:rsidRPr="006168EA" w:rsidRDefault="006168EA" w:rsidP="006168EA">
      <w:pPr>
        <w:tabs>
          <w:tab w:val="left" w:pos="709"/>
        </w:tabs>
        <w:jc w:val="center"/>
        <w:rPr>
          <w:rFonts w:ascii="Verdana" w:hAnsi="Verdana"/>
          <w:b/>
          <w:sz w:val="20"/>
          <w:szCs w:val="20"/>
        </w:rPr>
      </w:pPr>
      <w:r w:rsidRPr="006168EA">
        <w:rPr>
          <w:rFonts w:ascii="Verdana" w:hAnsi="Verdana"/>
          <w:b/>
          <w:sz w:val="20"/>
          <w:szCs w:val="20"/>
        </w:rPr>
        <w:t>JUDGE HUMBERTO ANTONIO SIERRA PORTO</w:t>
      </w:r>
    </w:p>
    <w:p w14:paraId="76C67B51" w14:textId="77777777" w:rsidR="006168EA" w:rsidRPr="006168EA" w:rsidRDefault="006168EA" w:rsidP="006168EA">
      <w:pPr>
        <w:tabs>
          <w:tab w:val="left" w:pos="709"/>
        </w:tabs>
        <w:jc w:val="center"/>
        <w:rPr>
          <w:rFonts w:ascii="Verdana" w:hAnsi="Verdana"/>
          <w:b/>
          <w:sz w:val="20"/>
          <w:szCs w:val="20"/>
        </w:rPr>
      </w:pPr>
    </w:p>
    <w:p w14:paraId="3775C49E" w14:textId="77777777" w:rsidR="006168EA" w:rsidRPr="006168EA" w:rsidRDefault="006168EA" w:rsidP="006168EA">
      <w:pPr>
        <w:jc w:val="center"/>
        <w:outlineLvl w:val="0"/>
        <w:rPr>
          <w:rFonts w:ascii="Verdana" w:eastAsia="MS Mincho" w:hAnsi="Verdana"/>
          <w:b/>
          <w:i/>
          <w:sz w:val="20"/>
          <w:szCs w:val="20"/>
          <w:u w:val="single"/>
          <w:lang w:eastAsia="es-ES"/>
        </w:rPr>
      </w:pPr>
      <w:r w:rsidRPr="006168EA">
        <w:rPr>
          <w:rFonts w:ascii="Verdana" w:eastAsia="MS Mincho" w:hAnsi="Verdana"/>
          <w:b/>
          <w:i/>
          <w:sz w:val="20"/>
          <w:szCs w:val="20"/>
          <w:u w:val="single"/>
          <w:lang w:eastAsia="es-ES"/>
        </w:rPr>
        <w:t>CASE OF MUELLE FLORES V. PERU</w:t>
      </w:r>
    </w:p>
    <w:p w14:paraId="3C04B458" w14:textId="77777777" w:rsidR="006168EA" w:rsidRPr="006168EA" w:rsidRDefault="006168EA" w:rsidP="006168EA">
      <w:pPr>
        <w:jc w:val="center"/>
        <w:rPr>
          <w:rFonts w:ascii="Verdana" w:eastAsia="MS Mincho" w:hAnsi="Verdana"/>
          <w:b/>
          <w:sz w:val="20"/>
          <w:szCs w:val="20"/>
          <w:lang w:eastAsia="es-ES"/>
        </w:rPr>
      </w:pPr>
    </w:p>
    <w:p w14:paraId="1B8770BC" w14:textId="77777777" w:rsidR="006168EA" w:rsidRPr="006168EA" w:rsidRDefault="006168EA" w:rsidP="006168EA">
      <w:pPr>
        <w:jc w:val="center"/>
        <w:outlineLvl w:val="0"/>
        <w:rPr>
          <w:rFonts w:ascii="Verdana" w:eastAsia="MS Mincho" w:hAnsi="Verdana"/>
          <w:b/>
          <w:sz w:val="18"/>
          <w:szCs w:val="18"/>
          <w:lang w:eastAsia="es-ES"/>
        </w:rPr>
      </w:pPr>
      <w:r w:rsidRPr="006168EA">
        <w:rPr>
          <w:rFonts w:ascii="Verdana" w:eastAsia="MS Mincho" w:hAnsi="Verdana"/>
          <w:b/>
          <w:sz w:val="18"/>
          <w:szCs w:val="18"/>
          <w:lang w:eastAsia="es-ES"/>
        </w:rPr>
        <w:t>JUDGMENT OF MARCH 6, 2019</w:t>
      </w:r>
    </w:p>
    <w:p w14:paraId="35FC8AD4" w14:textId="77777777" w:rsidR="006168EA" w:rsidRPr="006168EA" w:rsidRDefault="006168EA" w:rsidP="006168EA">
      <w:pPr>
        <w:numPr>
          <w:ilvl w:val="1"/>
          <w:numId w:val="0"/>
        </w:numPr>
        <w:ind w:right="48"/>
        <w:jc w:val="center"/>
        <w:outlineLvl w:val="0"/>
        <w:rPr>
          <w:rFonts w:ascii="Verdana" w:eastAsia="Times New Roman" w:hAnsi="Verdana"/>
          <w:b/>
          <w:i/>
          <w:iCs/>
          <w:spacing w:val="15"/>
          <w:sz w:val="18"/>
          <w:szCs w:val="18"/>
        </w:rPr>
      </w:pPr>
      <w:r w:rsidRPr="006168EA">
        <w:rPr>
          <w:rFonts w:ascii="Verdana" w:eastAsia="Times New Roman" w:hAnsi="Verdana"/>
          <w:b/>
          <w:i/>
          <w:iCs/>
          <w:spacing w:val="15"/>
          <w:sz w:val="18"/>
          <w:szCs w:val="18"/>
        </w:rPr>
        <w:t>(</w:t>
      </w:r>
      <w:proofErr w:type="spellStart"/>
      <w:r w:rsidRPr="006168EA">
        <w:rPr>
          <w:rFonts w:ascii="Verdana" w:eastAsia="Times New Roman" w:hAnsi="Verdana"/>
          <w:b/>
          <w:i/>
          <w:iCs/>
          <w:spacing w:val="15"/>
          <w:sz w:val="18"/>
          <w:szCs w:val="18"/>
        </w:rPr>
        <w:t>Preliminary</w:t>
      </w:r>
      <w:proofErr w:type="spellEnd"/>
      <w:r w:rsidRPr="006168EA">
        <w:rPr>
          <w:rFonts w:ascii="Verdana" w:eastAsia="Times New Roman" w:hAnsi="Verdana"/>
          <w:b/>
          <w:i/>
          <w:iCs/>
          <w:spacing w:val="15"/>
          <w:sz w:val="18"/>
          <w:szCs w:val="18"/>
        </w:rPr>
        <w:t xml:space="preserve"> </w:t>
      </w:r>
      <w:proofErr w:type="spellStart"/>
      <w:r w:rsidRPr="006168EA">
        <w:rPr>
          <w:rFonts w:ascii="Verdana" w:eastAsia="Times New Roman" w:hAnsi="Verdana"/>
          <w:b/>
          <w:i/>
          <w:iCs/>
          <w:spacing w:val="15"/>
          <w:sz w:val="18"/>
          <w:szCs w:val="18"/>
        </w:rPr>
        <w:t>objection</w:t>
      </w:r>
      <w:proofErr w:type="spellEnd"/>
      <w:r w:rsidRPr="006168EA">
        <w:rPr>
          <w:rFonts w:ascii="Verdana" w:eastAsia="Times New Roman" w:hAnsi="Verdana"/>
          <w:b/>
          <w:i/>
          <w:iCs/>
          <w:spacing w:val="15"/>
          <w:sz w:val="18"/>
          <w:szCs w:val="18"/>
        </w:rPr>
        <w:t xml:space="preserve">, </w:t>
      </w:r>
      <w:proofErr w:type="spellStart"/>
      <w:r w:rsidRPr="006168EA">
        <w:rPr>
          <w:rFonts w:ascii="Verdana" w:eastAsia="Times New Roman" w:hAnsi="Verdana"/>
          <w:b/>
          <w:i/>
          <w:iCs/>
          <w:spacing w:val="15"/>
          <w:sz w:val="18"/>
          <w:szCs w:val="18"/>
        </w:rPr>
        <w:t>Merits</w:t>
      </w:r>
      <w:proofErr w:type="spellEnd"/>
      <w:r w:rsidRPr="006168EA">
        <w:rPr>
          <w:rFonts w:ascii="Verdana" w:eastAsia="Times New Roman" w:hAnsi="Verdana"/>
          <w:b/>
          <w:i/>
          <w:iCs/>
          <w:spacing w:val="15"/>
          <w:sz w:val="18"/>
          <w:szCs w:val="18"/>
        </w:rPr>
        <w:t xml:space="preserve">, </w:t>
      </w:r>
      <w:proofErr w:type="spellStart"/>
      <w:r w:rsidRPr="006168EA">
        <w:rPr>
          <w:rFonts w:ascii="Verdana" w:eastAsia="Times New Roman" w:hAnsi="Verdana"/>
          <w:b/>
          <w:i/>
          <w:iCs/>
          <w:spacing w:val="15"/>
          <w:sz w:val="18"/>
          <w:szCs w:val="18"/>
        </w:rPr>
        <w:t>Reparations</w:t>
      </w:r>
      <w:proofErr w:type="spellEnd"/>
      <w:r w:rsidRPr="006168EA">
        <w:rPr>
          <w:rFonts w:ascii="Verdana" w:eastAsia="Times New Roman" w:hAnsi="Verdana"/>
          <w:b/>
          <w:i/>
          <w:iCs/>
          <w:spacing w:val="15"/>
          <w:sz w:val="18"/>
          <w:szCs w:val="18"/>
        </w:rPr>
        <w:t xml:space="preserve"> and </w:t>
      </w:r>
      <w:proofErr w:type="spellStart"/>
      <w:r w:rsidRPr="006168EA">
        <w:rPr>
          <w:rFonts w:ascii="Verdana" w:eastAsia="Times New Roman" w:hAnsi="Verdana"/>
          <w:b/>
          <w:i/>
          <w:iCs/>
          <w:spacing w:val="15"/>
          <w:sz w:val="18"/>
          <w:szCs w:val="18"/>
        </w:rPr>
        <w:t>Costs</w:t>
      </w:r>
      <w:proofErr w:type="spellEnd"/>
      <w:r w:rsidRPr="006168EA">
        <w:rPr>
          <w:rFonts w:ascii="Verdana" w:eastAsia="Times New Roman" w:hAnsi="Verdana"/>
          <w:b/>
          <w:i/>
          <w:iCs/>
          <w:spacing w:val="15"/>
          <w:sz w:val="18"/>
          <w:szCs w:val="18"/>
        </w:rPr>
        <w:t>)</w:t>
      </w:r>
    </w:p>
    <w:p w14:paraId="3466B923" w14:textId="77777777" w:rsidR="006168EA" w:rsidRPr="006168EA" w:rsidRDefault="006168EA" w:rsidP="006168EA">
      <w:pPr>
        <w:rPr>
          <w:rFonts w:ascii="Verdana" w:hAnsi="Verdana"/>
          <w:sz w:val="20"/>
          <w:szCs w:val="20"/>
        </w:rPr>
      </w:pPr>
    </w:p>
    <w:p w14:paraId="63D9508D" w14:textId="77777777" w:rsidR="006168EA" w:rsidRPr="006168EA" w:rsidRDefault="006168EA" w:rsidP="007720B1">
      <w:pPr>
        <w:pStyle w:val="Prrafodelista"/>
        <w:widowControl/>
        <w:numPr>
          <w:ilvl w:val="0"/>
          <w:numId w:val="83"/>
        </w:numPr>
        <w:adjustRightInd/>
        <w:ind w:left="0" w:firstLine="0"/>
        <w:contextualSpacing w:val="0"/>
        <w:textAlignment w:val="auto"/>
        <w:rPr>
          <w:rFonts w:ascii="Verdana" w:hAnsi="Verdana"/>
          <w:sz w:val="20"/>
          <w:szCs w:val="20"/>
        </w:rPr>
      </w:pPr>
      <w:proofErr w:type="spellStart"/>
      <w:r w:rsidRPr="006168EA">
        <w:rPr>
          <w:rFonts w:ascii="Verdana" w:hAnsi="Verdana"/>
          <w:sz w:val="20"/>
          <w:szCs w:val="20"/>
        </w:rPr>
        <w:t>Reiterating</w:t>
      </w:r>
      <w:proofErr w:type="spellEnd"/>
      <w:r w:rsidRPr="006168EA">
        <w:rPr>
          <w:rFonts w:ascii="Verdana" w:hAnsi="Verdana"/>
          <w:sz w:val="20"/>
          <w:szCs w:val="20"/>
        </w:rPr>
        <w:t xml:space="preserve"> </w:t>
      </w:r>
      <w:proofErr w:type="spellStart"/>
      <w:r w:rsidRPr="006168EA">
        <w:rPr>
          <w:rFonts w:ascii="Verdana" w:hAnsi="Verdana"/>
          <w:sz w:val="20"/>
          <w:szCs w:val="20"/>
        </w:rPr>
        <w:t>my</w:t>
      </w:r>
      <w:proofErr w:type="spellEnd"/>
      <w:r w:rsidRPr="006168EA">
        <w:rPr>
          <w:rFonts w:ascii="Verdana" w:hAnsi="Verdana"/>
          <w:sz w:val="20"/>
          <w:szCs w:val="20"/>
        </w:rPr>
        <w:t xml:space="preserve"> </w:t>
      </w:r>
      <w:proofErr w:type="spellStart"/>
      <w:r w:rsidRPr="006168EA">
        <w:rPr>
          <w:rFonts w:ascii="Verdana" w:hAnsi="Verdana"/>
          <w:sz w:val="20"/>
          <w:szCs w:val="20"/>
        </w:rPr>
        <w:t>respect</w:t>
      </w:r>
      <w:proofErr w:type="spellEnd"/>
      <w:r w:rsidRPr="006168EA">
        <w:rPr>
          <w:rFonts w:ascii="Verdana" w:hAnsi="Verdana"/>
          <w:sz w:val="20"/>
          <w:szCs w:val="20"/>
        </w:rPr>
        <w:t xml:space="preserve"> </w:t>
      </w:r>
      <w:proofErr w:type="spellStart"/>
      <w:r w:rsidRPr="006168EA">
        <w:rPr>
          <w:rFonts w:ascii="Verdana" w:hAnsi="Verdana"/>
          <w:sz w:val="20"/>
          <w:szCs w:val="20"/>
        </w:rPr>
        <w:t>for</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decisions</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Inter-American </w:t>
      </w:r>
      <w:proofErr w:type="spellStart"/>
      <w:r w:rsidRPr="006168EA">
        <w:rPr>
          <w:rFonts w:ascii="Verdana" w:hAnsi="Verdana"/>
          <w:sz w:val="20"/>
          <w:szCs w:val="20"/>
        </w:rPr>
        <w:t>Court</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Human </w:t>
      </w:r>
      <w:proofErr w:type="spellStart"/>
      <w:r w:rsidRPr="006168EA">
        <w:rPr>
          <w:rFonts w:ascii="Verdana" w:hAnsi="Verdana"/>
          <w:sz w:val="20"/>
          <w:szCs w:val="20"/>
        </w:rPr>
        <w:t>Rights</w:t>
      </w:r>
      <w:proofErr w:type="spellEnd"/>
      <w:r w:rsidRPr="006168EA">
        <w:rPr>
          <w:rFonts w:ascii="Verdana" w:hAnsi="Verdana"/>
          <w:sz w:val="20"/>
          <w:szCs w:val="20"/>
        </w:rPr>
        <w:t xml:space="preserve"> (</w:t>
      </w:r>
      <w:proofErr w:type="spellStart"/>
      <w:r w:rsidRPr="006168EA">
        <w:rPr>
          <w:rFonts w:ascii="Verdana" w:hAnsi="Verdana"/>
          <w:sz w:val="20"/>
          <w:szCs w:val="20"/>
        </w:rPr>
        <w:t>hereinafter</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Inter-American </w:t>
      </w:r>
      <w:proofErr w:type="spellStart"/>
      <w:r w:rsidRPr="006168EA">
        <w:rPr>
          <w:rFonts w:ascii="Verdana" w:hAnsi="Verdana"/>
          <w:sz w:val="20"/>
          <w:szCs w:val="20"/>
        </w:rPr>
        <w:t>Court</w:t>
      </w:r>
      <w:proofErr w:type="spellEnd"/>
      <w:r w:rsidRPr="006168EA">
        <w:rPr>
          <w:rFonts w:ascii="Verdana" w:hAnsi="Verdana"/>
          <w:sz w:val="20"/>
          <w:szCs w:val="20"/>
        </w:rPr>
        <w:t xml:space="preserve">” </w:t>
      </w:r>
      <w:proofErr w:type="spellStart"/>
      <w:r w:rsidRPr="006168EA">
        <w:rPr>
          <w:rFonts w:ascii="Verdana" w:hAnsi="Verdana"/>
          <w:sz w:val="20"/>
          <w:szCs w:val="20"/>
        </w:rPr>
        <w:t>or</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Court</w:t>
      </w:r>
      <w:proofErr w:type="spellEnd"/>
      <w:r w:rsidRPr="006168EA">
        <w:rPr>
          <w:rFonts w:ascii="Verdana" w:hAnsi="Verdana"/>
          <w:sz w:val="20"/>
          <w:szCs w:val="20"/>
        </w:rPr>
        <w:t xml:space="preserve">”), I </w:t>
      </w:r>
      <w:proofErr w:type="spellStart"/>
      <w:r w:rsidRPr="006168EA">
        <w:rPr>
          <w:rFonts w:ascii="Verdana" w:hAnsi="Verdana"/>
          <w:sz w:val="20"/>
          <w:szCs w:val="20"/>
        </w:rPr>
        <w:t>offer</w:t>
      </w:r>
      <w:proofErr w:type="spellEnd"/>
      <w:r w:rsidRPr="006168EA">
        <w:rPr>
          <w:rFonts w:ascii="Verdana" w:hAnsi="Verdana"/>
          <w:sz w:val="20"/>
          <w:szCs w:val="20"/>
        </w:rPr>
        <w:t xml:space="preserve"> </w:t>
      </w:r>
      <w:proofErr w:type="spellStart"/>
      <w:r w:rsidRPr="006168EA">
        <w:rPr>
          <w:rFonts w:ascii="Verdana" w:hAnsi="Verdana"/>
          <w:sz w:val="20"/>
          <w:szCs w:val="20"/>
        </w:rPr>
        <w:t>this</w:t>
      </w:r>
      <w:proofErr w:type="spellEnd"/>
      <w:r w:rsidRPr="006168EA">
        <w:rPr>
          <w:rFonts w:ascii="Verdana" w:hAnsi="Verdana"/>
          <w:sz w:val="20"/>
          <w:szCs w:val="20"/>
        </w:rPr>
        <w:t xml:space="preserve"> </w:t>
      </w:r>
      <w:proofErr w:type="spellStart"/>
      <w:r w:rsidRPr="006168EA">
        <w:rPr>
          <w:rFonts w:ascii="Verdana" w:hAnsi="Verdana"/>
          <w:sz w:val="20"/>
          <w:szCs w:val="20"/>
        </w:rPr>
        <w:t>partially</w:t>
      </w:r>
      <w:proofErr w:type="spellEnd"/>
      <w:r w:rsidRPr="006168EA">
        <w:rPr>
          <w:rFonts w:ascii="Verdana" w:hAnsi="Verdana"/>
          <w:sz w:val="20"/>
          <w:szCs w:val="20"/>
        </w:rPr>
        <w:t xml:space="preserve"> </w:t>
      </w:r>
      <w:proofErr w:type="spellStart"/>
      <w:r w:rsidRPr="006168EA">
        <w:rPr>
          <w:rFonts w:ascii="Verdana" w:hAnsi="Verdana"/>
          <w:sz w:val="20"/>
          <w:szCs w:val="20"/>
        </w:rPr>
        <w:t>dissenting</w:t>
      </w:r>
      <w:proofErr w:type="spellEnd"/>
      <w:r w:rsidRPr="006168EA">
        <w:rPr>
          <w:rFonts w:ascii="Verdana" w:hAnsi="Verdana"/>
          <w:sz w:val="20"/>
          <w:szCs w:val="20"/>
        </w:rPr>
        <w:t xml:space="preserve"> </w:t>
      </w:r>
      <w:proofErr w:type="spellStart"/>
      <w:r w:rsidRPr="006168EA">
        <w:rPr>
          <w:rFonts w:ascii="Verdana" w:hAnsi="Verdana"/>
          <w:sz w:val="20"/>
          <w:szCs w:val="20"/>
        </w:rPr>
        <w:t>opinion</w:t>
      </w:r>
      <w:proofErr w:type="spellEnd"/>
      <w:r w:rsidRPr="006168EA">
        <w:rPr>
          <w:rFonts w:ascii="Verdana" w:hAnsi="Verdana"/>
          <w:sz w:val="20"/>
          <w:szCs w:val="20"/>
        </w:rPr>
        <w:t xml:space="preserve">. </w:t>
      </w:r>
      <w:proofErr w:type="spellStart"/>
      <w:r w:rsidRPr="006168EA">
        <w:rPr>
          <w:rFonts w:ascii="Verdana" w:hAnsi="Verdana"/>
          <w:sz w:val="20"/>
          <w:szCs w:val="20"/>
        </w:rPr>
        <w:t>My</w:t>
      </w:r>
      <w:proofErr w:type="spellEnd"/>
      <w:r w:rsidRPr="006168EA">
        <w:rPr>
          <w:rFonts w:ascii="Verdana" w:hAnsi="Verdana"/>
          <w:sz w:val="20"/>
          <w:szCs w:val="20"/>
        </w:rPr>
        <w:t xml:space="preserve"> </w:t>
      </w:r>
      <w:proofErr w:type="spellStart"/>
      <w:r w:rsidRPr="006168EA">
        <w:rPr>
          <w:rFonts w:ascii="Verdana" w:hAnsi="Verdana"/>
          <w:sz w:val="20"/>
          <w:szCs w:val="20"/>
        </w:rPr>
        <w:t>opinion</w:t>
      </w:r>
      <w:proofErr w:type="spellEnd"/>
      <w:r w:rsidRPr="006168EA">
        <w:rPr>
          <w:rFonts w:ascii="Verdana" w:hAnsi="Verdana"/>
          <w:sz w:val="20"/>
          <w:szCs w:val="20"/>
        </w:rPr>
        <w:t xml:space="preserve"> </w:t>
      </w:r>
      <w:proofErr w:type="spellStart"/>
      <w:r w:rsidRPr="006168EA">
        <w:rPr>
          <w:rFonts w:ascii="Verdana" w:hAnsi="Verdana"/>
          <w:sz w:val="20"/>
          <w:szCs w:val="20"/>
        </w:rPr>
        <w:t>focuses</w:t>
      </w:r>
      <w:proofErr w:type="spellEnd"/>
      <w:r w:rsidRPr="006168EA">
        <w:rPr>
          <w:rFonts w:ascii="Verdana" w:hAnsi="Verdana"/>
          <w:sz w:val="20"/>
          <w:szCs w:val="20"/>
        </w:rPr>
        <w:t xml:space="preserve"> </w:t>
      </w:r>
      <w:proofErr w:type="spellStart"/>
      <w:r w:rsidRPr="006168EA">
        <w:rPr>
          <w:rFonts w:ascii="Verdana" w:hAnsi="Verdana"/>
          <w:sz w:val="20"/>
          <w:szCs w:val="20"/>
        </w:rPr>
        <w:t>on</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in-depth</w:t>
      </w:r>
      <w:proofErr w:type="spellEnd"/>
      <w:r w:rsidRPr="006168EA">
        <w:rPr>
          <w:rFonts w:ascii="Verdana" w:hAnsi="Verdana"/>
          <w:sz w:val="20"/>
          <w:szCs w:val="20"/>
        </w:rPr>
        <w:t xml:space="preserve"> </w:t>
      </w:r>
      <w:proofErr w:type="spellStart"/>
      <w:r w:rsidRPr="006168EA">
        <w:rPr>
          <w:rFonts w:ascii="Verdana" w:hAnsi="Verdana"/>
          <w:sz w:val="20"/>
          <w:szCs w:val="20"/>
        </w:rPr>
        <w:t>analysis</w:t>
      </w:r>
      <w:proofErr w:type="spellEnd"/>
      <w:r w:rsidRPr="006168EA">
        <w:rPr>
          <w:rFonts w:ascii="Verdana" w:hAnsi="Verdana"/>
          <w:sz w:val="20"/>
          <w:szCs w:val="20"/>
        </w:rPr>
        <w:t xml:space="preserve"> </w:t>
      </w:r>
      <w:proofErr w:type="spellStart"/>
      <w:r w:rsidRPr="006168EA">
        <w:rPr>
          <w:rFonts w:ascii="Verdana" w:hAnsi="Verdana"/>
          <w:sz w:val="20"/>
          <w:szCs w:val="20"/>
        </w:rPr>
        <w:t>undertaken</w:t>
      </w:r>
      <w:proofErr w:type="spellEnd"/>
      <w:r w:rsidRPr="006168EA">
        <w:rPr>
          <w:rFonts w:ascii="Verdana" w:hAnsi="Verdana"/>
          <w:sz w:val="20"/>
          <w:szCs w:val="20"/>
        </w:rPr>
        <w:t xml:space="preserve"> </w:t>
      </w:r>
      <w:proofErr w:type="spellStart"/>
      <w:r w:rsidRPr="006168EA">
        <w:rPr>
          <w:rFonts w:ascii="Verdana" w:hAnsi="Verdana"/>
          <w:sz w:val="20"/>
          <w:szCs w:val="20"/>
        </w:rPr>
        <w:t>by</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Court</w:t>
      </w:r>
      <w:proofErr w:type="spellEnd"/>
      <w:r w:rsidRPr="006168EA">
        <w:rPr>
          <w:rFonts w:ascii="Verdana" w:hAnsi="Verdana"/>
          <w:sz w:val="20"/>
          <w:szCs w:val="20"/>
        </w:rPr>
        <w:t xml:space="preserve"> </w:t>
      </w:r>
      <w:proofErr w:type="spellStart"/>
      <w:r w:rsidRPr="006168EA">
        <w:rPr>
          <w:rFonts w:ascii="Verdana" w:hAnsi="Verdana"/>
          <w:sz w:val="20"/>
          <w:szCs w:val="20"/>
        </w:rPr>
        <w:t>regarding</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international</w:t>
      </w:r>
      <w:proofErr w:type="spellEnd"/>
      <w:r w:rsidRPr="006168EA">
        <w:rPr>
          <w:rFonts w:ascii="Verdana" w:hAnsi="Verdana"/>
          <w:sz w:val="20"/>
          <w:szCs w:val="20"/>
        </w:rPr>
        <w:t xml:space="preserve"> </w:t>
      </w:r>
      <w:proofErr w:type="spellStart"/>
      <w:r w:rsidRPr="006168EA">
        <w:rPr>
          <w:rFonts w:ascii="Verdana" w:hAnsi="Verdana"/>
          <w:sz w:val="20"/>
          <w:szCs w:val="20"/>
        </w:rPr>
        <w:t>responsibility</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State</w:t>
      </w:r>
      <w:proofErr w:type="spellEnd"/>
      <w:r w:rsidRPr="006168EA">
        <w:rPr>
          <w:rFonts w:ascii="Verdana" w:hAnsi="Verdana"/>
          <w:sz w:val="20"/>
          <w:szCs w:val="20"/>
        </w:rPr>
        <w:t xml:space="preserve"> (</w:t>
      </w:r>
      <w:proofErr w:type="spellStart"/>
      <w:r w:rsidRPr="006168EA">
        <w:rPr>
          <w:rFonts w:ascii="Verdana" w:hAnsi="Verdana"/>
          <w:sz w:val="20"/>
          <w:szCs w:val="20"/>
        </w:rPr>
        <w:t>hereinafter</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State</w:t>
      </w:r>
      <w:proofErr w:type="spellEnd"/>
      <w:r w:rsidRPr="006168EA">
        <w:rPr>
          <w:rFonts w:ascii="Verdana" w:hAnsi="Verdana"/>
          <w:sz w:val="20"/>
          <w:szCs w:val="20"/>
        </w:rPr>
        <w:t>”, “</w:t>
      </w:r>
      <w:proofErr w:type="spellStart"/>
      <w:r w:rsidRPr="006168EA">
        <w:rPr>
          <w:rFonts w:ascii="Verdana" w:hAnsi="Verdana"/>
          <w:sz w:val="20"/>
          <w:szCs w:val="20"/>
        </w:rPr>
        <w:t>Republic</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Peru</w:t>
      </w:r>
      <w:proofErr w:type="spellEnd"/>
      <w:r w:rsidRPr="006168EA">
        <w:rPr>
          <w:rFonts w:ascii="Verdana" w:hAnsi="Verdana"/>
          <w:sz w:val="20"/>
          <w:szCs w:val="20"/>
        </w:rPr>
        <w:t xml:space="preserve">” </w:t>
      </w:r>
      <w:proofErr w:type="spellStart"/>
      <w:r w:rsidRPr="006168EA">
        <w:rPr>
          <w:rFonts w:ascii="Verdana" w:hAnsi="Verdana"/>
          <w:sz w:val="20"/>
          <w:szCs w:val="20"/>
        </w:rPr>
        <w:t>or</w:t>
      </w:r>
      <w:proofErr w:type="spellEnd"/>
      <w:r w:rsidRPr="006168EA">
        <w:rPr>
          <w:rFonts w:ascii="Verdana" w:hAnsi="Verdana"/>
          <w:sz w:val="20"/>
          <w:szCs w:val="20"/>
        </w:rPr>
        <w:t xml:space="preserve"> “</w:t>
      </w:r>
      <w:proofErr w:type="spellStart"/>
      <w:r w:rsidRPr="006168EA">
        <w:rPr>
          <w:rFonts w:ascii="Verdana" w:hAnsi="Verdana"/>
          <w:sz w:val="20"/>
          <w:szCs w:val="20"/>
        </w:rPr>
        <w:t>Peru</w:t>
      </w:r>
      <w:proofErr w:type="spellEnd"/>
      <w:r w:rsidRPr="006168EA">
        <w:rPr>
          <w:rFonts w:ascii="Verdana" w:hAnsi="Verdana"/>
          <w:sz w:val="20"/>
          <w:szCs w:val="20"/>
        </w:rPr>
        <w:t xml:space="preserve">”) </w:t>
      </w:r>
      <w:proofErr w:type="spellStart"/>
      <w:r w:rsidRPr="006168EA">
        <w:rPr>
          <w:rFonts w:ascii="Verdana" w:hAnsi="Verdana"/>
          <w:sz w:val="20"/>
          <w:szCs w:val="20"/>
        </w:rPr>
        <w:t>for</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violation</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right</w:t>
      </w:r>
      <w:proofErr w:type="spellEnd"/>
      <w:r w:rsidRPr="006168EA">
        <w:rPr>
          <w:rFonts w:ascii="Verdana" w:hAnsi="Verdana"/>
          <w:sz w:val="20"/>
          <w:szCs w:val="20"/>
        </w:rPr>
        <w:t xml:space="preserve"> </w:t>
      </w:r>
      <w:proofErr w:type="spellStart"/>
      <w:r w:rsidRPr="006168EA">
        <w:rPr>
          <w:rFonts w:ascii="Verdana" w:hAnsi="Verdana"/>
          <w:sz w:val="20"/>
          <w:szCs w:val="20"/>
        </w:rPr>
        <w:t>to</w:t>
      </w:r>
      <w:proofErr w:type="spellEnd"/>
      <w:r w:rsidRPr="006168EA">
        <w:rPr>
          <w:rFonts w:ascii="Verdana" w:hAnsi="Verdana"/>
          <w:sz w:val="20"/>
          <w:szCs w:val="20"/>
        </w:rPr>
        <w:t xml:space="preserve"> social </w:t>
      </w:r>
      <w:proofErr w:type="spellStart"/>
      <w:r w:rsidRPr="006168EA">
        <w:rPr>
          <w:rFonts w:ascii="Verdana" w:hAnsi="Verdana"/>
          <w:sz w:val="20"/>
          <w:szCs w:val="20"/>
        </w:rPr>
        <w:t>security</w:t>
      </w:r>
      <w:proofErr w:type="spellEnd"/>
      <w:r w:rsidRPr="006168EA">
        <w:rPr>
          <w:rFonts w:ascii="Verdana" w:hAnsi="Verdana"/>
          <w:sz w:val="20"/>
          <w:szCs w:val="20"/>
        </w:rPr>
        <w:t xml:space="preserve"> and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sz w:val="20"/>
          <w:szCs w:val="20"/>
        </w:rPr>
        <w:t>principle</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progressivity</w:t>
      </w:r>
      <w:proofErr w:type="spellEnd"/>
      <w:r w:rsidRPr="006168EA">
        <w:rPr>
          <w:rFonts w:ascii="Verdana" w:hAnsi="Verdana"/>
          <w:sz w:val="20"/>
          <w:szCs w:val="20"/>
        </w:rPr>
        <w:t xml:space="preserve">. </w:t>
      </w:r>
      <w:proofErr w:type="spellStart"/>
      <w:r w:rsidRPr="006168EA">
        <w:rPr>
          <w:rFonts w:ascii="Verdana" w:hAnsi="Verdana"/>
          <w:sz w:val="20"/>
          <w:szCs w:val="20"/>
        </w:rPr>
        <w:t>Specifically</w:t>
      </w:r>
      <w:proofErr w:type="spellEnd"/>
      <w:r w:rsidRPr="006168EA">
        <w:rPr>
          <w:rFonts w:ascii="Verdana" w:hAnsi="Verdana"/>
          <w:sz w:val="20"/>
          <w:szCs w:val="20"/>
        </w:rPr>
        <w:t xml:space="preserve">, I </w:t>
      </w:r>
      <w:proofErr w:type="spellStart"/>
      <w:r w:rsidRPr="006168EA">
        <w:rPr>
          <w:rFonts w:ascii="Verdana" w:hAnsi="Verdana"/>
          <w:sz w:val="20"/>
          <w:szCs w:val="20"/>
        </w:rPr>
        <w:t>will</w:t>
      </w:r>
      <w:proofErr w:type="spellEnd"/>
      <w:r w:rsidRPr="006168EA">
        <w:rPr>
          <w:rFonts w:ascii="Verdana" w:hAnsi="Verdana"/>
          <w:sz w:val="20"/>
          <w:szCs w:val="20"/>
        </w:rPr>
        <w:t xml:space="preserve"> </w:t>
      </w:r>
      <w:proofErr w:type="spellStart"/>
      <w:r w:rsidRPr="006168EA">
        <w:rPr>
          <w:rFonts w:ascii="Verdana" w:hAnsi="Verdana"/>
          <w:sz w:val="20"/>
          <w:szCs w:val="20"/>
        </w:rPr>
        <w:t>explain</w:t>
      </w:r>
      <w:proofErr w:type="spellEnd"/>
      <w:r w:rsidRPr="006168EA">
        <w:rPr>
          <w:rFonts w:ascii="Verdana" w:hAnsi="Verdana"/>
          <w:sz w:val="20"/>
          <w:szCs w:val="20"/>
        </w:rPr>
        <w:t xml:space="preserve"> </w:t>
      </w:r>
      <w:proofErr w:type="spellStart"/>
      <w:r w:rsidRPr="006168EA">
        <w:rPr>
          <w:rFonts w:ascii="Verdana" w:hAnsi="Verdana"/>
          <w:sz w:val="20"/>
          <w:szCs w:val="20"/>
        </w:rPr>
        <w:t>my</w:t>
      </w:r>
      <w:proofErr w:type="spellEnd"/>
      <w:r w:rsidRPr="006168EA">
        <w:rPr>
          <w:rFonts w:ascii="Verdana" w:hAnsi="Verdana"/>
          <w:sz w:val="20"/>
          <w:szCs w:val="20"/>
        </w:rPr>
        <w:t xml:space="preserve"> </w:t>
      </w:r>
      <w:proofErr w:type="spellStart"/>
      <w:r w:rsidRPr="006168EA">
        <w:rPr>
          <w:rFonts w:ascii="Verdana" w:hAnsi="Verdana"/>
          <w:snapToGrid w:val="0"/>
          <w:sz w:val="20"/>
          <w:szCs w:val="20"/>
        </w:rPr>
        <w:t>disagreement</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with</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the</w:t>
      </w:r>
      <w:proofErr w:type="spellEnd"/>
      <w:r w:rsidRPr="006168EA">
        <w:rPr>
          <w:rFonts w:ascii="Verdana" w:hAnsi="Verdana"/>
          <w:snapToGrid w:val="0"/>
          <w:sz w:val="20"/>
          <w:szCs w:val="20"/>
        </w:rPr>
        <w:t xml:space="preserve"> position </w:t>
      </w:r>
      <w:proofErr w:type="spellStart"/>
      <w:r w:rsidRPr="006168EA">
        <w:rPr>
          <w:rFonts w:ascii="Verdana" w:hAnsi="Verdana"/>
          <w:snapToGrid w:val="0"/>
          <w:sz w:val="20"/>
          <w:szCs w:val="20"/>
        </w:rPr>
        <w:t>adopted</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by</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the</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Court</w:t>
      </w:r>
      <w:proofErr w:type="spellEnd"/>
      <w:r w:rsidRPr="006168EA">
        <w:rPr>
          <w:rFonts w:ascii="Verdana" w:hAnsi="Verdana"/>
          <w:snapToGrid w:val="0"/>
          <w:sz w:val="20"/>
          <w:szCs w:val="20"/>
        </w:rPr>
        <w:t xml:space="preserve"> in </w:t>
      </w:r>
      <w:proofErr w:type="spellStart"/>
      <w:r w:rsidRPr="006168EA">
        <w:rPr>
          <w:rFonts w:ascii="Verdana" w:hAnsi="Verdana"/>
          <w:snapToGrid w:val="0"/>
          <w:sz w:val="20"/>
          <w:szCs w:val="20"/>
        </w:rPr>
        <w:t>relation</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to</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Operative</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Paragraphs</w:t>
      </w:r>
      <w:proofErr w:type="spellEnd"/>
      <w:r w:rsidRPr="006168EA">
        <w:rPr>
          <w:rFonts w:ascii="Verdana" w:hAnsi="Verdana"/>
          <w:snapToGrid w:val="0"/>
          <w:sz w:val="20"/>
          <w:szCs w:val="20"/>
        </w:rPr>
        <w:t xml:space="preserve"> 1, 5 and 6, in </w:t>
      </w:r>
      <w:proofErr w:type="spellStart"/>
      <w:r w:rsidRPr="006168EA">
        <w:rPr>
          <w:rFonts w:ascii="Verdana" w:hAnsi="Verdana"/>
          <w:snapToGrid w:val="0"/>
          <w:sz w:val="20"/>
          <w:szCs w:val="20"/>
        </w:rPr>
        <w:t>which</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it</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was</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determined</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that</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those</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rights</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were</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violated</w:t>
      </w:r>
      <w:proofErr w:type="spellEnd"/>
      <w:r w:rsidRPr="006168EA">
        <w:rPr>
          <w:rFonts w:ascii="Verdana" w:hAnsi="Verdana"/>
          <w:snapToGrid w:val="0"/>
          <w:sz w:val="20"/>
          <w:szCs w:val="20"/>
        </w:rPr>
        <w:t xml:space="preserve"> in </w:t>
      </w:r>
      <w:proofErr w:type="spellStart"/>
      <w:r w:rsidRPr="006168EA">
        <w:rPr>
          <w:rFonts w:ascii="Verdana" w:hAnsi="Verdana"/>
          <w:snapToGrid w:val="0"/>
          <w:sz w:val="20"/>
          <w:szCs w:val="20"/>
        </w:rPr>
        <w:t>the</w:t>
      </w:r>
      <w:proofErr w:type="spellEnd"/>
      <w:r w:rsidRPr="006168EA">
        <w:rPr>
          <w:rFonts w:ascii="Verdana" w:hAnsi="Verdana"/>
          <w:snapToGrid w:val="0"/>
          <w:sz w:val="20"/>
          <w:szCs w:val="20"/>
        </w:rPr>
        <w:t xml:space="preserve"> </w:t>
      </w:r>
      <w:proofErr w:type="spellStart"/>
      <w:r w:rsidRPr="006168EA">
        <w:rPr>
          <w:rFonts w:ascii="Verdana" w:hAnsi="Verdana"/>
          <w:snapToGrid w:val="0"/>
          <w:sz w:val="20"/>
          <w:szCs w:val="20"/>
        </w:rPr>
        <w:t>instant</w:t>
      </w:r>
      <w:proofErr w:type="spellEnd"/>
      <w:r w:rsidRPr="006168EA">
        <w:rPr>
          <w:rFonts w:ascii="Verdana" w:hAnsi="Verdana"/>
          <w:snapToGrid w:val="0"/>
          <w:sz w:val="20"/>
          <w:szCs w:val="20"/>
        </w:rPr>
        <w:t xml:space="preserve"> case.</w:t>
      </w:r>
      <w:r w:rsidRPr="006168EA">
        <w:rPr>
          <w:rFonts w:ascii="Verdana" w:hAnsi="Verdana"/>
          <w:sz w:val="20"/>
          <w:szCs w:val="20"/>
        </w:rPr>
        <w:t xml:space="preserve"> In </w:t>
      </w:r>
      <w:proofErr w:type="spellStart"/>
      <w:r w:rsidRPr="006168EA">
        <w:rPr>
          <w:rFonts w:ascii="Verdana" w:hAnsi="Verdana"/>
          <w:sz w:val="20"/>
          <w:szCs w:val="20"/>
        </w:rPr>
        <w:t>that</w:t>
      </w:r>
      <w:proofErr w:type="spellEnd"/>
      <w:r w:rsidRPr="006168EA">
        <w:rPr>
          <w:rFonts w:ascii="Verdana" w:hAnsi="Verdana"/>
          <w:sz w:val="20"/>
          <w:szCs w:val="20"/>
        </w:rPr>
        <w:t xml:space="preserve"> </w:t>
      </w:r>
      <w:proofErr w:type="spellStart"/>
      <w:r w:rsidRPr="006168EA">
        <w:rPr>
          <w:rFonts w:ascii="Verdana" w:hAnsi="Verdana"/>
          <w:sz w:val="20"/>
          <w:szCs w:val="20"/>
        </w:rPr>
        <w:t>regard</w:t>
      </w:r>
      <w:proofErr w:type="spellEnd"/>
      <w:r w:rsidRPr="006168EA">
        <w:rPr>
          <w:rFonts w:ascii="Verdana" w:hAnsi="Verdana"/>
          <w:sz w:val="20"/>
          <w:szCs w:val="20"/>
        </w:rPr>
        <w:t xml:space="preserve">, I </w:t>
      </w:r>
      <w:proofErr w:type="spellStart"/>
      <w:r w:rsidRPr="006168EA">
        <w:rPr>
          <w:rFonts w:ascii="Verdana" w:hAnsi="Verdana"/>
          <w:sz w:val="20"/>
          <w:szCs w:val="20"/>
        </w:rPr>
        <w:t>point</w:t>
      </w:r>
      <w:proofErr w:type="spellEnd"/>
      <w:r w:rsidRPr="006168EA">
        <w:rPr>
          <w:rFonts w:ascii="Verdana" w:hAnsi="Verdana"/>
          <w:sz w:val="20"/>
          <w:szCs w:val="20"/>
        </w:rPr>
        <w:t xml:space="preserve"> </w:t>
      </w:r>
      <w:proofErr w:type="spellStart"/>
      <w:r w:rsidRPr="006168EA">
        <w:rPr>
          <w:rFonts w:ascii="Verdana" w:hAnsi="Verdana"/>
          <w:sz w:val="20"/>
          <w:szCs w:val="20"/>
        </w:rPr>
        <w:t>out</w:t>
      </w:r>
      <w:proofErr w:type="spellEnd"/>
      <w:r w:rsidRPr="006168EA">
        <w:rPr>
          <w:rFonts w:ascii="Verdana" w:hAnsi="Verdana"/>
          <w:sz w:val="20"/>
          <w:szCs w:val="20"/>
        </w:rPr>
        <w:t xml:space="preserve"> </w:t>
      </w:r>
      <w:proofErr w:type="spellStart"/>
      <w:r w:rsidRPr="006168EA">
        <w:rPr>
          <w:rFonts w:ascii="Verdana" w:hAnsi="Verdana"/>
          <w:sz w:val="20"/>
          <w:szCs w:val="20"/>
        </w:rPr>
        <w:t>that</w:t>
      </w:r>
      <w:proofErr w:type="spellEnd"/>
      <w:r w:rsidRPr="006168EA">
        <w:rPr>
          <w:rFonts w:ascii="Verdana" w:hAnsi="Verdana"/>
          <w:sz w:val="20"/>
          <w:szCs w:val="20"/>
        </w:rPr>
        <w:t xml:space="preserve"> </w:t>
      </w:r>
      <w:proofErr w:type="spellStart"/>
      <w:r w:rsidRPr="006168EA">
        <w:rPr>
          <w:rFonts w:ascii="Verdana" w:hAnsi="Verdana"/>
          <w:sz w:val="20"/>
          <w:szCs w:val="20"/>
        </w:rPr>
        <w:t>my</w:t>
      </w:r>
      <w:proofErr w:type="spellEnd"/>
      <w:r w:rsidRPr="006168EA">
        <w:rPr>
          <w:rFonts w:ascii="Verdana" w:hAnsi="Verdana"/>
          <w:sz w:val="20"/>
          <w:szCs w:val="20"/>
        </w:rPr>
        <w:t xml:space="preserve"> </w:t>
      </w:r>
      <w:proofErr w:type="spellStart"/>
      <w:r w:rsidRPr="006168EA">
        <w:rPr>
          <w:rFonts w:ascii="Verdana" w:hAnsi="Verdana"/>
          <w:sz w:val="20"/>
          <w:szCs w:val="20"/>
        </w:rPr>
        <w:t>thoughts</w:t>
      </w:r>
      <w:proofErr w:type="spellEnd"/>
      <w:r w:rsidRPr="006168EA">
        <w:rPr>
          <w:rFonts w:ascii="Verdana" w:hAnsi="Verdana"/>
          <w:sz w:val="20"/>
          <w:szCs w:val="20"/>
        </w:rPr>
        <w:t xml:space="preserve"> </w:t>
      </w:r>
      <w:proofErr w:type="spellStart"/>
      <w:r w:rsidRPr="006168EA">
        <w:rPr>
          <w:rFonts w:ascii="Verdana" w:hAnsi="Verdana"/>
          <w:sz w:val="20"/>
          <w:szCs w:val="20"/>
        </w:rPr>
        <w:t>reflect</w:t>
      </w:r>
      <w:proofErr w:type="spellEnd"/>
      <w:r w:rsidRPr="006168EA">
        <w:rPr>
          <w:rFonts w:ascii="Verdana" w:hAnsi="Verdana"/>
          <w:sz w:val="20"/>
          <w:szCs w:val="20"/>
        </w:rPr>
        <w:t xml:space="preserve"> </w:t>
      </w:r>
      <w:proofErr w:type="spellStart"/>
      <w:r w:rsidRPr="006168EA">
        <w:rPr>
          <w:rFonts w:ascii="Verdana" w:hAnsi="Verdana"/>
          <w:sz w:val="20"/>
          <w:szCs w:val="20"/>
        </w:rPr>
        <w:t>what</w:t>
      </w:r>
      <w:proofErr w:type="spellEnd"/>
      <w:r w:rsidRPr="006168EA">
        <w:rPr>
          <w:rFonts w:ascii="Verdana" w:hAnsi="Verdana"/>
          <w:sz w:val="20"/>
          <w:szCs w:val="20"/>
        </w:rPr>
        <w:t xml:space="preserve"> I </w:t>
      </w:r>
      <w:proofErr w:type="spellStart"/>
      <w:r w:rsidRPr="006168EA">
        <w:rPr>
          <w:rFonts w:ascii="Verdana" w:hAnsi="Verdana"/>
          <w:sz w:val="20"/>
          <w:szCs w:val="20"/>
        </w:rPr>
        <w:t>have</w:t>
      </w:r>
      <w:proofErr w:type="spellEnd"/>
      <w:r w:rsidRPr="006168EA">
        <w:rPr>
          <w:rFonts w:ascii="Verdana" w:hAnsi="Verdana"/>
          <w:sz w:val="20"/>
          <w:szCs w:val="20"/>
        </w:rPr>
        <w:t xml:space="preserve"> </w:t>
      </w:r>
      <w:proofErr w:type="spellStart"/>
      <w:r w:rsidRPr="006168EA">
        <w:rPr>
          <w:rFonts w:ascii="Verdana" w:hAnsi="Verdana"/>
          <w:sz w:val="20"/>
          <w:szCs w:val="20"/>
        </w:rPr>
        <w:t>already</w:t>
      </w:r>
      <w:proofErr w:type="spellEnd"/>
      <w:r w:rsidRPr="006168EA">
        <w:rPr>
          <w:rFonts w:ascii="Verdana" w:hAnsi="Verdana"/>
          <w:sz w:val="20"/>
          <w:szCs w:val="20"/>
        </w:rPr>
        <w:t xml:space="preserve"> </w:t>
      </w:r>
      <w:proofErr w:type="spellStart"/>
      <w:r w:rsidRPr="006168EA">
        <w:rPr>
          <w:rFonts w:ascii="Verdana" w:hAnsi="Verdana"/>
          <w:sz w:val="20"/>
          <w:szCs w:val="20"/>
        </w:rPr>
        <w:t>expressed</w:t>
      </w:r>
      <w:proofErr w:type="spellEnd"/>
      <w:r w:rsidRPr="006168EA">
        <w:rPr>
          <w:rFonts w:ascii="Verdana" w:hAnsi="Verdana"/>
          <w:sz w:val="20"/>
          <w:szCs w:val="20"/>
        </w:rPr>
        <w:t xml:space="preserve"> in </w:t>
      </w:r>
      <w:proofErr w:type="spellStart"/>
      <w:r w:rsidRPr="006168EA">
        <w:rPr>
          <w:rFonts w:ascii="Verdana" w:hAnsi="Verdana"/>
          <w:sz w:val="20"/>
          <w:szCs w:val="20"/>
        </w:rPr>
        <w:t>my</w:t>
      </w:r>
      <w:proofErr w:type="spellEnd"/>
      <w:r w:rsidRPr="006168EA">
        <w:rPr>
          <w:rFonts w:ascii="Verdana" w:hAnsi="Verdana"/>
          <w:sz w:val="20"/>
          <w:szCs w:val="20"/>
        </w:rPr>
        <w:t xml:space="preserve"> </w:t>
      </w:r>
      <w:proofErr w:type="spellStart"/>
      <w:r w:rsidRPr="006168EA">
        <w:rPr>
          <w:rFonts w:ascii="Verdana" w:hAnsi="Verdana"/>
          <w:sz w:val="20"/>
          <w:szCs w:val="20"/>
        </w:rPr>
        <w:t>partially</w:t>
      </w:r>
      <w:proofErr w:type="spellEnd"/>
      <w:r w:rsidRPr="006168EA">
        <w:rPr>
          <w:rFonts w:ascii="Verdana" w:hAnsi="Verdana"/>
          <w:sz w:val="20"/>
          <w:szCs w:val="20"/>
        </w:rPr>
        <w:t xml:space="preserve"> </w:t>
      </w:r>
      <w:proofErr w:type="spellStart"/>
      <w:r w:rsidRPr="006168EA">
        <w:rPr>
          <w:rFonts w:ascii="Verdana" w:hAnsi="Verdana"/>
          <w:sz w:val="20"/>
          <w:szCs w:val="20"/>
        </w:rPr>
        <w:t>dissenting</w:t>
      </w:r>
      <w:proofErr w:type="spellEnd"/>
      <w:r w:rsidRPr="006168EA">
        <w:rPr>
          <w:rFonts w:ascii="Verdana" w:hAnsi="Verdana"/>
          <w:sz w:val="20"/>
          <w:szCs w:val="20"/>
        </w:rPr>
        <w:t xml:space="preserve"> </w:t>
      </w:r>
      <w:proofErr w:type="spellStart"/>
      <w:r w:rsidRPr="006168EA">
        <w:rPr>
          <w:rFonts w:ascii="Verdana" w:hAnsi="Verdana"/>
          <w:sz w:val="20"/>
          <w:szCs w:val="20"/>
        </w:rPr>
        <w:t>opinions</w:t>
      </w:r>
      <w:proofErr w:type="spellEnd"/>
      <w:r w:rsidRPr="006168EA">
        <w:rPr>
          <w:rFonts w:ascii="Verdana" w:hAnsi="Verdana"/>
          <w:sz w:val="20"/>
          <w:szCs w:val="20"/>
        </w:rPr>
        <w:t xml:space="preserve"> </w:t>
      </w:r>
      <w:proofErr w:type="spellStart"/>
      <w:r w:rsidRPr="006168EA">
        <w:rPr>
          <w:rFonts w:ascii="Verdana" w:hAnsi="Verdana"/>
          <w:sz w:val="20"/>
          <w:szCs w:val="20"/>
        </w:rPr>
        <w:t>issued</w:t>
      </w:r>
      <w:proofErr w:type="spellEnd"/>
      <w:r w:rsidRPr="006168EA">
        <w:rPr>
          <w:rFonts w:ascii="Verdana" w:hAnsi="Verdana"/>
          <w:sz w:val="20"/>
          <w:szCs w:val="20"/>
        </w:rPr>
        <w:t xml:space="preserve"> in </w:t>
      </w:r>
      <w:proofErr w:type="spellStart"/>
      <w:r w:rsidRPr="006168EA">
        <w:rPr>
          <w:rFonts w:ascii="Verdana" w:hAnsi="Verdana"/>
          <w:sz w:val="20"/>
          <w:szCs w:val="20"/>
        </w:rPr>
        <w:t>the</w:t>
      </w:r>
      <w:proofErr w:type="spellEnd"/>
      <w:r w:rsidRPr="006168EA">
        <w:rPr>
          <w:rFonts w:ascii="Verdana" w:hAnsi="Verdana"/>
          <w:sz w:val="20"/>
          <w:szCs w:val="20"/>
        </w:rPr>
        <w:t xml:space="preserve"> cases </w:t>
      </w:r>
      <w:r w:rsidRPr="006168EA">
        <w:rPr>
          <w:rFonts w:ascii="Verdana" w:hAnsi="Verdana"/>
          <w:i/>
          <w:sz w:val="20"/>
          <w:szCs w:val="20"/>
        </w:rPr>
        <w:t xml:space="preserve">Lagos </w:t>
      </w:r>
      <w:proofErr w:type="spellStart"/>
      <w:r w:rsidRPr="006168EA">
        <w:rPr>
          <w:rFonts w:ascii="Verdana" w:hAnsi="Verdana"/>
          <w:i/>
          <w:sz w:val="20"/>
          <w:szCs w:val="20"/>
        </w:rPr>
        <w:t>of</w:t>
      </w:r>
      <w:proofErr w:type="spellEnd"/>
      <w:r w:rsidRPr="006168EA">
        <w:rPr>
          <w:rFonts w:ascii="Verdana" w:hAnsi="Verdana"/>
          <w:i/>
          <w:sz w:val="20"/>
          <w:szCs w:val="20"/>
        </w:rPr>
        <w:t xml:space="preserve"> </w:t>
      </w:r>
      <w:proofErr w:type="spellStart"/>
      <w:r w:rsidRPr="006168EA">
        <w:rPr>
          <w:rFonts w:ascii="Verdana" w:hAnsi="Verdana"/>
          <w:i/>
          <w:sz w:val="20"/>
          <w:szCs w:val="20"/>
        </w:rPr>
        <w:t>the</w:t>
      </w:r>
      <w:proofErr w:type="spellEnd"/>
      <w:r w:rsidRPr="006168EA">
        <w:rPr>
          <w:rFonts w:ascii="Verdana" w:hAnsi="Verdana"/>
          <w:i/>
          <w:sz w:val="20"/>
          <w:szCs w:val="20"/>
        </w:rPr>
        <w:t xml:space="preserve"> Campo v. </w:t>
      </w:r>
      <w:proofErr w:type="spellStart"/>
      <w:r w:rsidRPr="006168EA">
        <w:rPr>
          <w:rFonts w:ascii="Verdana" w:hAnsi="Verdana"/>
          <w:i/>
          <w:sz w:val="20"/>
          <w:szCs w:val="20"/>
        </w:rPr>
        <w:t>Peru</w:t>
      </w:r>
      <w:proofErr w:type="spellEnd"/>
      <w:r w:rsidRPr="006168EA">
        <w:rPr>
          <w:rStyle w:val="Refdenotaalpie"/>
          <w:szCs w:val="20"/>
        </w:rPr>
        <w:footnoteReference w:id="501"/>
      </w:r>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w:t>
      </w:r>
      <w:proofErr w:type="spellStart"/>
      <w:r w:rsidRPr="006168EA">
        <w:rPr>
          <w:rFonts w:ascii="Verdana" w:hAnsi="Verdana"/>
          <w:i/>
          <w:sz w:val="20"/>
          <w:szCs w:val="20"/>
        </w:rPr>
        <w:t>Dismissed</w:t>
      </w:r>
      <w:proofErr w:type="spellEnd"/>
      <w:r w:rsidRPr="006168EA">
        <w:rPr>
          <w:rFonts w:ascii="Verdana" w:hAnsi="Verdana"/>
          <w:i/>
          <w:sz w:val="20"/>
          <w:szCs w:val="20"/>
        </w:rPr>
        <w:t xml:space="preserve"> </w:t>
      </w:r>
      <w:proofErr w:type="spellStart"/>
      <w:r w:rsidRPr="006168EA">
        <w:rPr>
          <w:rFonts w:ascii="Verdana" w:hAnsi="Verdana"/>
          <w:i/>
          <w:sz w:val="20"/>
          <w:szCs w:val="20"/>
        </w:rPr>
        <w:t>Employees</w:t>
      </w:r>
      <w:proofErr w:type="spellEnd"/>
      <w:r w:rsidRPr="006168EA">
        <w:rPr>
          <w:rFonts w:ascii="Verdana" w:hAnsi="Verdana"/>
          <w:i/>
          <w:sz w:val="20"/>
          <w:szCs w:val="20"/>
        </w:rPr>
        <w:t xml:space="preserve"> </w:t>
      </w:r>
      <w:proofErr w:type="spellStart"/>
      <w:r w:rsidRPr="006168EA">
        <w:rPr>
          <w:rFonts w:ascii="Verdana" w:hAnsi="Verdana"/>
          <w:i/>
          <w:sz w:val="20"/>
          <w:szCs w:val="20"/>
        </w:rPr>
        <w:t>of</w:t>
      </w:r>
      <w:proofErr w:type="spellEnd"/>
      <w:r w:rsidRPr="006168EA">
        <w:rPr>
          <w:rFonts w:ascii="Verdana" w:hAnsi="Verdana"/>
          <w:i/>
          <w:sz w:val="20"/>
          <w:szCs w:val="20"/>
        </w:rPr>
        <w:t xml:space="preserve"> </w:t>
      </w:r>
      <w:proofErr w:type="spellStart"/>
      <w:r w:rsidRPr="006168EA">
        <w:rPr>
          <w:rFonts w:ascii="Verdana" w:hAnsi="Verdana"/>
          <w:i/>
          <w:sz w:val="20"/>
          <w:szCs w:val="20"/>
        </w:rPr>
        <w:t>PetroPeru</w:t>
      </w:r>
      <w:proofErr w:type="spellEnd"/>
      <w:r w:rsidRPr="006168EA">
        <w:rPr>
          <w:rFonts w:ascii="Verdana" w:hAnsi="Verdana"/>
          <w:i/>
          <w:sz w:val="20"/>
          <w:szCs w:val="20"/>
        </w:rPr>
        <w:t xml:space="preserve"> et al. v. </w:t>
      </w:r>
      <w:proofErr w:type="spellStart"/>
      <w:r w:rsidRPr="006168EA">
        <w:rPr>
          <w:rFonts w:ascii="Verdana" w:hAnsi="Verdana"/>
          <w:i/>
          <w:sz w:val="20"/>
          <w:szCs w:val="20"/>
        </w:rPr>
        <w:t>Peru</w:t>
      </w:r>
      <w:proofErr w:type="spellEnd"/>
      <w:r w:rsidRPr="006168EA">
        <w:rPr>
          <w:rStyle w:val="Refdenotaalpie"/>
          <w:szCs w:val="20"/>
        </w:rPr>
        <w:footnoteReference w:id="502"/>
      </w:r>
      <w:r w:rsidRPr="006168EA">
        <w:rPr>
          <w:rFonts w:ascii="Verdana" w:hAnsi="Verdana"/>
          <w:sz w:val="20"/>
          <w:szCs w:val="20"/>
        </w:rPr>
        <w:t xml:space="preserve">, and </w:t>
      </w:r>
      <w:r w:rsidRPr="006168EA">
        <w:rPr>
          <w:rFonts w:ascii="Verdana" w:hAnsi="Verdana"/>
          <w:i/>
          <w:sz w:val="20"/>
          <w:szCs w:val="20"/>
        </w:rPr>
        <w:t>San Miguel Sosa et al v. Venezuela</w:t>
      </w:r>
      <w:r w:rsidRPr="006168EA">
        <w:rPr>
          <w:rStyle w:val="Refdenotaalpie"/>
          <w:szCs w:val="20"/>
        </w:rPr>
        <w:footnoteReference w:id="503"/>
      </w:r>
      <w:r w:rsidRPr="006168EA">
        <w:rPr>
          <w:rFonts w:ascii="Verdana" w:hAnsi="Verdana"/>
          <w:sz w:val="20"/>
          <w:szCs w:val="20"/>
        </w:rPr>
        <w:t xml:space="preserve">; as </w:t>
      </w:r>
      <w:proofErr w:type="spellStart"/>
      <w:r w:rsidRPr="006168EA">
        <w:rPr>
          <w:rFonts w:ascii="Verdana" w:hAnsi="Verdana"/>
          <w:sz w:val="20"/>
          <w:szCs w:val="20"/>
        </w:rPr>
        <w:t>well</w:t>
      </w:r>
      <w:proofErr w:type="spellEnd"/>
      <w:r w:rsidRPr="006168EA">
        <w:rPr>
          <w:rFonts w:ascii="Verdana" w:hAnsi="Verdana"/>
          <w:sz w:val="20"/>
          <w:szCs w:val="20"/>
        </w:rPr>
        <w:t xml:space="preserve"> as in </w:t>
      </w:r>
      <w:proofErr w:type="spellStart"/>
      <w:r w:rsidRPr="006168EA">
        <w:rPr>
          <w:rFonts w:ascii="Verdana" w:hAnsi="Verdana"/>
          <w:sz w:val="20"/>
          <w:szCs w:val="20"/>
        </w:rPr>
        <w:t>my</w:t>
      </w:r>
      <w:proofErr w:type="spellEnd"/>
      <w:r w:rsidRPr="006168EA">
        <w:rPr>
          <w:rFonts w:ascii="Verdana" w:hAnsi="Verdana"/>
          <w:sz w:val="20"/>
          <w:szCs w:val="20"/>
        </w:rPr>
        <w:t xml:space="preserve"> </w:t>
      </w:r>
      <w:proofErr w:type="spellStart"/>
      <w:r w:rsidRPr="006168EA">
        <w:rPr>
          <w:rFonts w:ascii="Verdana" w:hAnsi="Verdana"/>
          <w:sz w:val="20"/>
          <w:szCs w:val="20"/>
        </w:rPr>
        <w:t>concurring</w:t>
      </w:r>
      <w:proofErr w:type="spellEnd"/>
      <w:r w:rsidRPr="006168EA">
        <w:rPr>
          <w:rFonts w:ascii="Verdana" w:hAnsi="Verdana"/>
          <w:sz w:val="20"/>
          <w:szCs w:val="20"/>
        </w:rPr>
        <w:t xml:space="preserve"> </w:t>
      </w:r>
      <w:proofErr w:type="spellStart"/>
      <w:r w:rsidRPr="006168EA">
        <w:rPr>
          <w:rFonts w:ascii="Verdana" w:hAnsi="Verdana"/>
          <w:sz w:val="20"/>
          <w:szCs w:val="20"/>
        </w:rPr>
        <w:t>opinions</w:t>
      </w:r>
      <w:proofErr w:type="spellEnd"/>
      <w:r w:rsidRPr="006168EA">
        <w:rPr>
          <w:rFonts w:ascii="Verdana" w:hAnsi="Verdana"/>
          <w:sz w:val="20"/>
          <w:szCs w:val="20"/>
        </w:rPr>
        <w:t xml:space="preserve"> in </w:t>
      </w:r>
      <w:proofErr w:type="spellStart"/>
      <w:r w:rsidRPr="006168EA">
        <w:rPr>
          <w:rFonts w:ascii="Verdana" w:hAnsi="Verdana"/>
          <w:sz w:val="20"/>
          <w:szCs w:val="20"/>
        </w:rPr>
        <w:t>the</w:t>
      </w:r>
      <w:proofErr w:type="spellEnd"/>
      <w:r w:rsidRPr="006168EA">
        <w:rPr>
          <w:rFonts w:ascii="Verdana" w:hAnsi="Verdana"/>
          <w:sz w:val="20"/>
          <w:szCs w:val="20"/>
        </w:rPr>
        <w:t xml:space="preserve"> cases </w:t>
      </w:r>
      <w:proofErr w:type="spellStart"/>
      <w:r w:rsidRPr="006168EA">
        <w:rPr>
          <w:rFonts w:ascii="Verdana" w:hAnsi="Verdana"/>
          <w:sz w:val="20"/>
          <w:szCs w:val="20"/>
        </w:rPr>
        <w:t>of</w:t>
      </w:r>
      <w:proofErr w:type="spellEnd"/>
      <w:r w:rsidRPr="006168EA">
        <w:rPr>
          <w:rFonts w:ascii="Verdana" w:hAnsi="Verdana"/>
          <w:sz w:val="20"/>
          <w:szCs w:val="20"/>
        </w:rPr>
        <w:t xml:space="preserve"> </w:t>
      </w:r>
      <w:r w:rsidRPr="006168EA">
        <w:rPr>
          <w:rFonts w:ascii="Verdana" w:hAnsi="Verdana"/>
          <w:i/>
          <w:sz w:val="20"/>
          <w:szCs w:val="20"/>
        </w:rPr>
        <w:t xml:space="preserve">Gonzales </w:t>
      </w:r>
      <w:proofErr w:type="spellStart"/>
      <w:r w:rsidRPr="006168EA">
        <w:rPr>
          <w:rFonts w:ascii="Verdana" w:hAnsi="Verdana"/>
          <w:i/>
          <w:sz w:val="20"/>
          <w:szCs w:val="20"/>
        </w:rPr>
        <w:t>Lluy</w:t>
      </w:r>
      <w:proofErr w:type="spellEnd"/>
      <w:r w:rsidRPr="006168EA">
        <w:rPr>
          <w:rFonts w:ascii="Verdana" w:hAnsi="Verdana"/>
          <w:i/>
          <w:sz w:val="20"/>
          <w:szCs w:val="20"/>
        </w:rPr>
        <w:t xml:space="preserve"> et al. v. Ecuador</w:t>
      </w:r>
      <w:r w:rsidRPr="006168EA">
        <w:rPr>
          <w:rStyle w:val="Refdenotaalpie"/>
          <w:szCs w:val="20"/>
        </w:rPr>
        <w:footnoteReference w:id="504"/>
      </w:r>
      <w:r w:rsidRPr="006168EA">
        <w:rPr>
          <w:rFonts w:ascii="Verdana" w:hAnsi="Verdana"/>
          <w:i/>
          <w:sz w:val="20"/>
          <w:szCs w:val="20"/>
        </w:rPr>
        <w:t>, Poblete Vilches et al. v. Chile</w:t>
      </w:r>
      <w:r w:rsidRPr="006168EA">
        <w:rPr>
          <w:rStyle w:val="Refdenotaalpie"/>
          <w:szCs w:val="20"/>
        </w:rPr>
        <w:footnoteReference w:id="505"/>
      </w:r>
      <w:r w:rsidRPr="006168EA">
        <w:rPr>
          <w:rFonts w:ascii="Verdana" w:hAnsi="Verdana"/>
          <w:i/>
          <w:sz w:val="20"/>
          <w:szCs w:val="20"/>
        </w:rPr>
        <w:t xml:space="preserve"> </w:t>
      </w:r>
      <w:r w:rsidRPr="006168EA">
        <w:rPr>
          <w:rFonts w:ascii="Verdana" w:hAnsi="Verdana"/>
          <w:sz w:val="20"/>
          <w:szCs w:val="20"/>
        </w:rPr>
        <w:t>and</w:t>
      </w:r>
      <w:r w:rsidRPr="006168EA">
        <w:rPr>
          <w:rFonts w:ascii="Verdana" w:hAnsi="Verdana"/>
          <w:i/>
          <w:sz w:val="20"/>
          <w:szCs w:val="20"/>
        </w:rPr>
        <w:t xml:space="preserve"> </w:t>
      </w:r>
      <w:proofErr w:type="spellStart"/>
      <w:r w:rsidRPr="006168EA">
        <w:rPr>
          <w:rStyle w:val="Textoennegrita"/>
          <w:rFonts w:ascii="Verdana" w:hAnsi="Verdana"/>
          <w:b w:val="0"/>
          <w:i/>
          <w:color w:val="000000"/>
          <w:sz w:val="20"/>
          <w:szCs w:val="20"/>
          <w:shd w:val="clear" w:color="auto" w:fill="FFFFFF"/>
        </w:rPr>
        <w:t>Cuscul</w:t>
      </w:r>
      <w:proofErr w:type="spellEnd"/>
      <w:r w:rsidRPr="006168EA">
        <w:rPr>
          <w:rStyle w:val="Textoennegrita"/>
          <w:rFonts w:ascii="Verdana" w:hAnsi="Verdana"/>
          <w:b w:val="0"/>
          <w:i/>
          <w:color w:val="000000"/>
          <w:sz w:val="20"/>
          <w:szCs w:val="20"/>
          <w:shd w:val="clear" w:color="auto" w:fill="FFFFFF"/>
        </w:rPr>
        <w:t xml:space="preserve"> Pivaral et al. v.</w:t>
      </w:r>
      <w:r w:rsidRPr="006168EA">
        <w:rPr>
          <w:rStyle w:val="Textoennegrita"/>
          <w:rFonts w:ascii="Verdana" w:hAnsi="Verdana"/>
          <w:i/>
          <w:color w:val="000000"/>
          <w:sz w:val="20"/>
          <w:szCs w:val="20"/>
          <w:shd w:val="clear" w:color="auto" w:fill="FFFFFF"/>
        </w:rPr>
        <w:t xml:space="preserve"> </w:t>
      </w:r>
      <w:r w:rsidRPr="006168EA">
        <w:rPr>
          <w:rStyle w:val="Textoennegrita"/>
          <w:rFonts w:ascii="Verdana" w:hAnsi="Verdana"/>
          <w:b w:val="0"/>
          <w:i/>
          <w:color w:val="000000"/>
          <w:sz w:val="20"/>
          <w:szCs w:val="20"/>
          <w:shd w:val="clear" w:color="auto" w:fill="FFFFFF"/>
        </w:rPr>
        <w:t>Guatemala</w:t>
      </w:r>
      <w:r w:rsidRPr="006168EA">
        <w:rPr>
          <w:rStyle w:val="Textoennegrita"/>
          <w:rFonts w:ascii="Verdana" w:hAnsi="Verdana"/>
          <w:i/>
          <w:color w:val="000000"/>
          <w:sz w:val="20"/>
          <w:szCs w:val="20"/>
          <w:shd w:val="clear" w:color="auto" w:fill="FFFFFF"/>
        </w:rPr>
        <w:t>.</w:t>
      </w:r>
      <w:r w:rsidRPr="006168EA">
        <w:rPr>
          <w:rStyle w:val="Refdenotaalpie"/>
          <w:bCs/>
          <w:i/>
          <w:color w:val="000000"/>
          <w:szCs w:val="20"/>
          <w:shd w:val="clear" w:color="auto" w:fill="FFFFFF"/>
        </w:rPr>
        <w:footnoteReference w:id="506"/>
      </w:r>
      <w:r w:rsidRPr="006168EA">
        <w:rPr>
          <w:rFonts w:ascii="Verdana" w:hAnsi="Verdana"/>
          <w:sz w:val="20"/>
          <w:szCs w:val="20"/>
        </w:rPr>
        <w:t xml:space="preserve"> </w:t>
      </w:r>
      <w:proofErr w:type="spellStart"/>
      <w:r w:rsidRPr="006168EA">
        <w:rPr>
          <w:rFonts w:ascii="Verdana" w:hAnsi="Verdana"/>
          <w:sz w:val="20"/>
          <w:szCs w:val="20"/>
        </w:rPr>
        <w:t>This</w:t>
      </w:r>
      <w:proofErr w:type="spellEnd"/>
      <w:r w:rsidRPr="006168EA">
        <w:rPr>
          <w:rFonts w:ascii="Verdana" w:hAnsi="Verdana"/>
          <w:sz w:val="20"/>
          <w:szCs w:val="20"/>
        </w:rPr>
        <w:t xml:space="preserve"> </w:t>
      </w:r>
      <w:proofErr w:type="spellStart"/>
      <w:r w:rsidRPr="006168EA">
        <w:rPr>
          <w:rFonts w:ascii="Verdana" w:hAnsi="Verdana" w:cs="Arial"/>
          <w:sz w:val="20"/>
          <w:szCs w:val="20"/>
        </w:rPr>
        <w:t>analysis</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will</w:t>
      </w:r>
      <w:proofErr w:type="spellEnd"/>
      <w:r w:rsidRPr="006168EA">
        <w:rPr>
          <w:rFonts w:ascii="Verdana" w:hAnsi="Verdana" w:cs="Arial"/>
          <w:sz w:val="20"/>
          <w:szCs w:val="20"/>
        </w:rPr>
        <w:t xml:space="preserve"> be </w:t>
      </w:r>
      <w:proofErr w:type="spellStart"/>
      <w:r w:rsidRPr="006168EA">
        <w:rPr>
          <w:rFonts w:ascii="Verdana" w:hAnsi="Verdana" w:cs="Arial"/>
          <w:sz w:val="20"/>
          <w:szCs w:val="20"/>
        </w:rPr>
        <w:t>carried</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out</w:t>
      </w:r>
      <w:proofErr w:type="spellEnd"/>
      <w:r w:rsidRPr="006168EA">
        <w:rPr>
          <w:rFonts w:ascii="Verdana" w:hAnsi="Verdana" w:cs="Arial"/>
          <w:sz w:val="20"/>
          <w:szCs w:val="20"/>
        </w:rPr>
        <w:t xml:space="preserve"> in </w:t>
      </w:r>
      <w:proofErr w:type="spellStart"/>
      <w:r w:rsidRPr="006168EA">
        <w:rPr>
          <w:rFonts w:ascii="Verdana" w:hAnsi="Verdana" w:cs="Arial"/>
          <w:sz w:val="20"/>
          <w:szCs w:val="20"/>
        </w:rPr>
        <w:t>the</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following</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order</w:t>
      </w:r>
      <w:proofErr w:type="spellEnd"/>
      <w:r w:rsidRPr="006168EA">
        <w:rPr>
          <w:rFonts w:ascii="Verdana" w:hAnsi="Verdana" w:cs="Arial"/>
          <w:sz w:val="20"/>
          <w:szCs w:val="20"/>
        </w:rPr>
        <w:t xml:space="preserve">: A. </w:t>
      </w:r>
      <w:bookmarkStart w:id="152" w:name="_Toc533178756"/>
      <w:proofErr w:type="spellStart"/>
      <w:r w:rsidRPr="006168EA">
        <w:rPr>
          <w:rFonts w:ascii="Verdana" w:hAnsi="Verdana" w:cs="Arial"/>
          <w:sz w:val="20"/>
          <w:szCs w:val="20"/>
        </w:rPr>
        <w:t>Objection</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to</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the</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alleged</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lack</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of</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jurisdiction</w:t>
      </w:r>
      <w:proofErr w:type="spellEnd"/>
      <w:r w:rsidRPr="006168EA">
        <w:rPr>
          <w:rFonts w:ascii="Verdana" w:hAnsi="Verdana" w:cs="Arial"/>
          <w:sz w:val="20"/>
          <w:szCs w:val="20"/>
        </w:rPr>
        <w:t xml:space="preserve"> </w:t>
      </w:r>
      <w:proofErr w:type="spellStart"/>
      <w:r w:rsidRPr="006168EA">
        <w:rPr>
          <w:rFonts w:ascii="Verdana" w:hAnsi="Verdana"/>
          <w:i/>
          <w:sz w:val="20"/>
          <w:szCs w:val="20"/>
        </w:rPr>
        <w:t>ratione</w:t>
      </w:r>
      <w:proofErr w:type="spellEnd"/>
      <w:r w:rsidRPr="006168EA">
        <w:rPr>
          <w:rFonts w:ascii="Verdana" w:hAnsi="Verdana"/>
          <w:i/>
          <w:sz w:val="20"/>
          <w:szCs w:val="20"/>
        </w:rPr>
        <w:t xml:space="preserve"> </w:t>
      </w:r>
      <w:proofErr w:type="spellStart"/>
      <w:r w:rsidRPr="006168EA">
        <w:rPr>
          <w:rFonts w:ascii="Verdana" w:hAnsi="Verdana"/>
          <w:i/>
          <w:sz w:val="20"/>
          <w:szCs w:val="20"/>
        </w:rPr>
        <w:t>materiae</w:t>
      </w:r>
      <w:bookmarkEnd w:id="152"/>
      <w:proofErr w:type="spellEnd"/>
      <w:r w:rsidRPr="006168EA">
        <w:rPr>
          <w:rFonts w:ascii="Verdana" w:hAnsi="Verdana" w:cs="Arial"/>
          <w:sz w:val="20"/>
          <w:szCs w:val="20"/>
        </w:rPr>
        <w:t xml:space="preserve">, and B. Direct </w:t>
      </w:r>
      <w:proofErr w:type="spellStart"/>
      <w:r w:rsidRPr="006168EA">
        <w:rPr>
          <w:rFonts w:ascii="Verdana" w:hAnsi="Verdana"/>
          <w:sz w:val="20"/>
          <w:szCs w:val="20"/>
        </w:rPr>
        <w:t>justiciability</w:t>
      </w:r>
      <w:proofErr w:type="spellEnd"/>
      <w:r w:rsidRPr="006168EA">
        <w:rPr>
          <w:rFonts w:ascii="Verdana" w:hAnsi="Verdana"/>
          <w:sz w:val="20"/>
          <w:szCs w:val="20"/>
        </w:rPr>
        <w:t xml:space="preserve">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Article</w:t>
      </w:r>
      <w:proofErr w:type="spellEnd"/>
      <w:r w:rsidRPr="006168EA">
        <w:rPr>
          <w:rFonts w:ascii="Verdana" w:hAnsi="Verdana"/>
          <w:sz w:val="20"/>
          <w:szCs w:val="20"/>
        </w:rPr>
        <w:t xml:space="preserve"> 26 </w:t>
      </w:r>
      <w:proofErr w:type="spellStart"/>
      <w:r w:rsidRPr="006168EA">
        <w:rPr>
          <w:rFonts w:ascii="Verdana" w:hAnsi="Verdana"/>
          <w:sz w:val="20"/>
          <w:szCs w:val="20"/>
        </w:rPr>
        <w:t>of</w:t>
      </w:r>
      <w:proofErr w:type="spellEnd"/>
      <w:r w:rsidRPr="006168EA">
        <w:rPr>
          <w:rFonts w:ascii="Verdana" w:hAnsi="Verdana"/>
          <w:sz w:val="20"/>
          <w:szCs w:val="20"/>
        </w:rPr>
        <w:t xml:space="preserve"> </w:t>
      </w:r>
      <w:proofErr w:type="spellStart"/>
      <w:r w:rsidRPr="006168EA">
        <w:rPr>
          <w:rFonts w:ascii="Verdana" w:hAnsi="Verdana"/>
          <w:sz w:val="20"/>
          <w:szCs w:val="20"/>
        </w:rPr>
        <w:t>the</w:t>
      </w:r>
      <w:proofErr w:type="spellEnd"/>
      <w:r w:rsidRPr="006168EA">
        <w:rPr>
          <w:rFonts w:ascii="Verdana" w:hAnsi="Verdana"/>
          <w:sz w:val="20"/>
          <w:szCs w:val="20"/>
        </w:rPr>
        <w:t xml:space="preserve"> American </w:t>
      </w:r>
      <w:proofErr w:type="spellStart"/>
      <w:r w:rsidRPr="006168EA">
        <w:rPr>
          <w:rFonts w:ascii="Verdana" w:hAnsi="Verdana"/>
          <w:sz w:val="20"/>
          <w:szCs w:val="20"/>
        </w:rPr>
        <w:t>Convention</w:t>
      </w:r>
      <w:proofErr w:type="spellEnd"/>
      <w:r w:rsidRPr="006168EA">
        <w:rPr>
          <w:rFonts w:ascii="Verdana" w:hAnsi="Verdana"/>
          <w:sz w:val="20"/>
          <w:szCs w:val="20"/>
        </w:rPr>
        <w:t xml:space="preserve"> </w:t>
      </w:r>
      <w:proofErr w:type="spellStart"/>
      <w:r w:rsidRPr="006168EA">
        <w:rPr>
          <w:rFonts w:ascii="Verdana" w:hAnsi="Verdana"/>
          <w:sz w:val="20"/>
          <w:szCs w:val="20"/>
        </w:rPr>
        <w:t>on</w:t>
      </w:r>
      <w:proofErr w:type="spellEnd"/>
      <w:r w:rsidRPr="006168EA">
        <w:rPr>
          <w:rFonts w:ascii="Verdana" w:hAnsi="Verdana"/>
          <w:sz w:val="20"/>
          <w:szCs w:val="20"/>
        </w:rPr>
        <w:t xml:space="preserve"> Human </w:t>
      </w:r>
      <w:proofErr w:type="spellStart"/>
      <w:r w:rsidRPr="006168EA">
        <w:rPr>
          <w:rFonts w:ascii="Verdana" w:hAnsi="Verdana"/>
          <w:sz w:val="20"/>
          <w:szCs w:val="20"/>
        </w:rPr>
        <w:t>Rights</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hereinafter</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the</w:t>
      </w:r>
      <w:proofErr w:type="spellEnd"/>
      <w:r w:rsidRPr="006168EA">
        <w:rPr>
          <w:rFonts w:ascii="Verdana" w:hAnsi="Verdana" w:cs="Arial"/>
          <w:sz w:val="20"/>
          <w:szCs w:val="20"/>
        </w:rPr>
        <w:t xml:space="preserve"> American </w:t>
      </w:r>
      <w:proofErr w:type="spellStart"/>
      <w:r w:rsidRPr="006168EA">
        <w:rPr>
          <w:rFonts w:ascii="Verdana" w:hAnsi="Verdana" w:cs="Arial"/>
          <w:sz w:val="20"/>
          <w:szCs w:val="20"/>
        </w:rPr>
        <w:t>Convention</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or</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the</w:t>
      </w:r>
      <w:proofErr w:type="spellEnd"/>
      <w:r w:rsidRPr="006168EA">
        <w:rPr>
          <w:rFonts w:ascii="Verdana" w:hAnsi="Verdana" w:cs="Arial"/>
          <w:sz w:val="20"/>
          <w:szCs w:val="20"/>
        </w:rPr>
        <w:t xml:space="preserve"> </w:t>
      </w:r>
      <w:proofErr w:type="spellStart"/>
      <w:r w:rsidRPr="006168EA">
        <w:rPr>
          <w:rFonts w:ascii="Verdana" w:hAnsi="Verdana" w:cs="Arial"/>
          <w:sz w:val="20"/>
          <w:szCs w:val="20"/>
        </w:rPr>
        <w:t>Convention</w:t>
      </w:r>
      <w:proofErr w:type="spellEnd"/>
      <w:r w:rsidRPr="006168EA">
        <w:rPr>
          <w:rFonts w:ascii="Verdana" w:hAnsi="Verdana" w:cs="Arial"/>
          <w:sz w:val="20"/>
          <w:szCs w:val="20"/>
        </w:rPr>
        <w:t>”).</w:t>
      </w:r>
    </w:p>
    <w:p w14:paraId="22F40D16" w14:textId="77777777" w:rsidR="006168EA" w:rsidRPr="006168EA" w:rsidRDefault="006168EA" w:rsidP="006168EA">
      <w:pPr>
        <w:pStyle w:val="Prrafodelista"/>
        <w:outlineLvl w:val="0"/>
        <w:rPr>
          <w:rFonts w:ascii="Verdana" w:hAnsi="Verdana" w:cstheme="minorBidi"/>
          <w:szCs w:val="22"/>
        </w:rPr>
      </w:pPr>
    </w:p>
    <w:p w14:paraId="07A6D2FF" w14:textId="77777777" w:rsidR="006168EA" w:rsidRPr="006168EA" w:rsidRDefault="006168EA" w:rsidP="007720B1">
      <w:pPr>
        <w:pStyle w:val="Prrafodelista"/>
        <w:numPr>
          <w:ilvl w:val="0"/>
          <w:numId w:val="84"/>
        </w:numPr>
        <w:autoSpaceDE w:val="0"/>
        <w:autoSpaceDN w:val="0"/>
        <w:ind w:right="22"/>
        <w:textAlignment w:val="auto"/>
        <w:outlineLvl w:val="0"/>
        <w:rPr>
          <w:rFonts w:ascii="Verdana" w:hAnsi="Verdana" w:cs="Arial"/>
          <w:b/>
          <w:sz w:val="20"/>
          <w:szCs w:val="20"/>
        </w:rPr>
      </w:pPr>
      <w:r w:rsidRPr="006168EA">
        <w:rPr>
          <w:rFonts w:ascii="Verdana" w:hAnsi="Verdana"/>
          <w:b/>
          <w:sz w:val="20"/>
          <w:szCs w:val="20"/>
        </w:rPr>
        <w:t xml:space="preserve">OBJECTION REGARDING THE ALLEGED LACK OF JURISDICTION </w:t>
      </w:r>
      <w:r w:rsidRPr="006168EA">
        <w:rPr>
          <w:rFonts w:ascii="Verdana" w:hAnsi="Verdana"/>
          <w:b/>
          <w:i/>
          <w:sz w:val="20"/>
          <w:szCs w:val="20"/>
        </w:rPr>
        <w:t>RATIONE MATERIAE</w:t>
      </w:r>
      <w:r w:rsidRPr="006168EA">
        <w:rPr>
          <w:rFonts w:ascii="Verdana" w:hAnsi="Verdana"/>
          <w:b/>
          <w:sz w:val="20"/>
          <w:szCs w:val="20"/>
        </w:rPr>
        <w:t xml:space="preserve"> </w:t>
      </w:r>
    </w:p>
    <w:p w14:paraId="25F9377C" w14:textId="77777777" w:rsidR="006168EA" w:rsidRPr="00646C52" w:rsidRDefault="006168EA" w:rsidP="006168EA">
      <w:pPr>
        <w:pStyle w:val="Numberedparagraphs"/>
        <w:numPr>
          <w:ilvl w:val="0"/>
          <w:numId w:val="0"/>
        </w:numPr>
        <w:rPr>
          <w:rFonts w:eastAsia="Times" w:cs="Arial"/>
          <w:i/>
          <w:lang w:val="en-US"/>
        </w:rPr>
      </w:pPr>
    </w:p>
    <w:p w14:paraId="64D26863"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In the instant case, the </w:t>
      </w:r>
      <w:r w:rsidRPr="00646C52">
        <w:rPr>
          <w:i/>
          <w:lang w:val="en-US"/>
        </w:rPr>
        <w:t>State</w:t>
      </w:r>
      <w:r w:rsidRPr="00646C52">
        <w:rPr>
          <w:lang w:val="en-US"/>
        </w:rPr>
        <w:t xml:space="preserve"> pointed out that the representatives did not seek to claim the justiciability of the Convention rights, but rather of the economic, social, cultural and environmental rights (hereinafter “ESCER”), specifically the right to social security. The State argued that Article 19(6) of the Additional Protocol to the American Convention on Human Rights in the Area of </w:t>
      </w:r>
      <w:r w:rsidRPr="00646C52">
        <w:rPr>
          <w:lang w:val="en-US"/>
        </w:rPr>
        <w:lastRenderedPageBreak/>
        <w:t xml:space="preserve">Economic, Social and Cultural Rights, “Protocol of San Salvador” (hereinafter “Protocol of  San Salvador”), clearly defined the jurisdiction of the Commission and of the Court in relation to the subject-matter, establishing that, under the mechanism of individual petitions before the inter-American system, only the protection of trade union rights and the right to education could be subject to analysis, but not the right to social security. The State considered that it was not acceptable to weaken the content of the provisions of Article 19(6) of the San Salvador Protocol, which was a binding standard for the organs of the system, and that the </w:t>
      </w:r>
      <w:r w:rsidRPr="00646C52">
        <w:rPr>
          <w:i/>
          <w:lang w:val="en-US"/>
        </w:rPr>
        <w:t>pro personae principle</w:t>
      </w:r>
      <w:r w:rsidRPr="00646C52">
        <w:rPr>
          <w:lang w:val="en-US"/>
        </w:rPr>
        <w:t xml:space="preserve"> would only be applicable within the jurisdictional framework established by the inter-American order.</w:t>
      </w:r>
    </w:p>
    <w:p w14:paraId="76FB7DB8" w14:textId="77777777" w:rsidR="006168EA" w:rsidRPr="00646C52" w:rsidRDefault="006168EA" w:rsidP="006168EA">
      <w:pPr>
        <w:pStyle w:val="Numberedparagraphs"/>
        <w:numPr>
          <w:ilvl w:val="0"/>
          <w:numId w:val="0"/>
        </w:numPr>
        <w:rPr>
          <w:lang w:val="en-US"/>
        </w:rPr>
      </w:pPr>
    </w:p>
    <w:p w14:paraId="2913014B" w14:textId="77777777" w:rsidR="006168EA" w:rsidRPr="00646C52" w:rsidRDefault="006168EA" w:rsidP="007720B1">
      <w:pPr>
        <w:pStyle w:val="Numberedparagraphs"/>
        <w:numPr>
          <w:ilvl w:val="0"/>
          <w:numId w:val="83"/>
        </w:numPr>
        <w:ind w:left="0" w:firstLine="0"/>
        <w:rPr>
          <w:lang w:val="en-US"/>
        </w:rPr>
      </w:pPr>
      <w:r w:rsidRPr="00646C52">
        <w:rPr>
          <w:lang w:val="en-US"/>
        </w:rPr>
        <w:t>Furthermore, the State noted the position taken by some Judges of the Court in opposing the direct justiciability of ESCER, and expressed its agreement with that view in all respects. In this regard, it emphasized that the rights included in the protection system of the Convention were those established up to Article 25, and that although other rights and freedoms could exist, these should be included in that protection system via the mechanisms contemplated in Articles 31, 76 and 77 of the Convention. It also stressed that the Court did not have jurisdiction to add rights, only the States</w:t>
      </w:r>
      <w:r w:rsidRPr="00646C52">
        <w:rPr>
          <w:b/>
          <w:lang w:val="en-US"/>
        </w:rPr>
        <w:t xml:space="preserve">. </w:t>
      </w:r>
      <w:r w:rsidRPr="00646C52">
        <w:rPr>
          <w:lang w:val="en-US"/>
        </w:rPr>
        <w:t xml:space="preserve"> It held that ESCER should not be justiciable through the direct application of Article 26 of the Convention, since that article did not enumerate a catalogue of rights, or recognize or enshrine ESCER; rather, it established the commitment of the States Parties to progressively achieve the full realization of rights that could be derived from the Charter of the Organization of American States, subject to available resources. In this sense, it argued that the obligation implicit in Article 26 that could be directly supervised by the Court was compliance with the obligation of progressive development and the duty of non-retrogression; therefore, it could not be claimed that a case concerning the alleged violation of some of the rights established in Article 26 could be submitted to this Court. It reiterated that this lack of jurisdiction was confirmed through the Protocol of San Salvador, in which the States determined that justiciability applied only in two cases, which constituted a subsequent agreement and practice among the States Parties. In addition, the State subscribed to the view that the Court could not assume jurisdiction in relation to the alleged violation of a right or freedom “not included in the Convention or in the Protocol of  San Salvador” and that it was not possible to invoke the principle of progressive interpretation of international instruments in order to add rights to the protection system of the Convention, since this was being applied to attribute to an existing right that was already included in that system, a different and generally broader meaning than that originally given.</w:t>
      </w:r>
    </w:p>
    <w:p w14:paraId="5925610D" w14:textId="77777777" w:rsidR="006168EA" w:rsidRPr="00646C52" w:rsidRDefault="006168EA" w:rsidP="006168EA">
      <w:pPr>
        <w:pStyle w:val="Numberedparagraphs"/>
        <w:numPr>
          <w:ilvl w:val="0"/>
          <w:numId w:val="0"/>
        </w:numPr>
        <w:rPr>
          <w:lang w:val="en-US"/>
        </w:rPr>
      </w:pPr>
    </w:p>
    <w:p w14:paraId="0A092284"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For its part, the </w:t>
      </w:r>
      <w:r w:rsidRPr="00646C52">
        <w:rPr>
          <w:i/>
          <w:lang w:val="en-US"/>
        </w:rPr>
        <w:t>Commission</w:t>
      </w:r>
      <w:r w:rsidRPr="00646C52">
        <w:rPr>
          <w:lang w:val="en-US"/>
        </w:rPr>
        <w:t xml:space="preserve"> argued that the instant case was submitted to the Court prior to the case law advances related to Article 26 of the American Convention. Therefore, it considered that the analysis of the right to social security in the context of Article 26, in addition to the rights already invoked, “would contribute to insert it precisely in that inter-American evolution and towards a more comprehensive understanding of the scope of the international responsibility.”</w:t>
      </w:r>
    </w:p>
    <w:p w14:paraId="1B7DDFEC" w14:textId="77777777" w:rsidR="006168EA" w:rsidRPr="00646C52" w:rsidRDefault="006168EA" w:rsidP="006168EA">
      <w:pPr>
        <w:pStyle w:val="Prrafodelista"/>
        <w:ind w:left="1440"/>
      </w:pPr>
    </w:p>
    <w:p w14:paraId="47041C87"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The </w:t>
      </w:r>
      <w:r w:rsidRPr="00646C52">
        <w:rPr>
          <w:i/>
          <w:lang w:val="en-US"/>
        </w:rPr>
        <w:t>representatives</w:t>
      </w:r>
      <w:r w:rsidRPr="00646C52">
        <w:rPr>
          <w:lang w:val="en-US"/>
        </w:rPr>
        <w:t xml:space="preserve"> argued that Article 26 of the Convention should be justiciable based on Article 62(3) of the Convention, which establishes the Court’s jurisdiction to hear all cases concerning the interpretation and application of the provisions of the Convention that are submitted to it, and that the aforementioned provision was part of the treaty. Likewise, they indicated that the violation of the Protocol of San Salvador had not been invoked, but that its mention was by way of illustration, since it formed part of the inter-American </w:t>
      </w:r>
      <w:r w:rsidRPr="00646C52">
        <w:rPr>
          <w:i/>
          <w:lang w:val="en-US"/>
        </w:rPr>
        <w:t>corpus juris</w:t>
      </w:r>
      <w:r w:rsidRPr="00646C52">
        <w:rPr>
          <w:lang w:val="en-US"/>
        </w:rPr>
        <w:t xml:space="preserve"> that could be used as a parameter for interpreting the Convention.</w:t>
      </w:r>
      <w:r w:rsidRPr="00646C52">
        <w:rPr>
          <w:b/>
          <w:lang w:val="en-US"/>
        </w:rPr>
        <w:t xml:space="preserve"> </w:t>
      </w:r>
      <w:r w:rsidRPr="00646C52">
        <w:rPr>
          <w:lang w:val="en-US"/>
        </w:rPr>
        <w:t>Finally, they concluded that “the right to social security is a human right protected by international law and implicit in Article 26 of the Convention.”</w:t>
      </w:r>
    </w:p>
    <w:p w14:paraId="03C73EF0" w14:textId="77777777" w:rsidR="006168EA" w:rsidRPr="00646C52" w:rsidRDefault="006168EA" w:rsidP="006168EA">
      <w:pPr>
        <w:pStyle w:val="Numberedparagraphs"/>
        <w:numPr>
          <w:ilvl w:val="0"/>
          <w:numId w:val="0"/>
        </w:numPr>
        <w:rPr>
          <w:lang w:val="en-US"/>
        </w:rPr>
      </w:pPr>
    </w:p>
    <w:p w14:paraId="0DC63324"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In this regard, it should be recalled that preliminary objections are objections to the admissibility of an application or the jurisdiction of the Court to hear a specific case or any of its aspects, owing to the person, the issue, the time or the place, provided that those assertions are </w:t>
      </w:r>
      <w:r w:rsidRPr="00646C52">
        <w:rPr>
          <w:lang w:val="en-US"/>
        </w:rPr>
        <w:lastRenderedPageBreak/>
        <w:t>of a preliminary nature.</w:t>
      </w:r>
      <w:r w:rsidRPr="00646C52">
        <w:rPr>
          <w:rFonts w:eastAsia="Verdana"/>
          <w:vertAlign w:val="superscript"/>
          <w:lang w:val="en-US"/>
        </w:rPr>
        <w:footnoteReference w:id="507"/>
      </w:r>
      <w:r w:rsidRPr="00646C52">
        <w:rPr>
          <w:lang w:val="en-US"/>
        </w:rPr>
        <w:t xml:space="preserve"> If these assertions cannot be considered without prior analysis of the merits of a case, they cannot be analyzed through a preliminary objection.</w:t>
      </w:r>
      <w:r w:rsidRPr="00646C52">
        <w:rPr>
          <w:vertAlign w:val="superscript"/>
          <w:lang w:val="en-US"/>
        </w:rPr>
        <w:footnoteReference w:id="508"/>
      </w:r>
      <w:r w:rsidRPr="00646C52">
        <w:rPr>
          <w:rFonts w:eastAsia="Batang" w:cs="Arial"/>
          <w:b/>
          <w:iCs/>
          <w:lang w:val="en-US"/>
        </w:rPr>
        <w:t xml:space="preserve"> </w:t>
      </w:r>
      <w:r w:rsidRPr="00646C52">
        <w:rPr>
          <w:lang w:val="en-US"/>
        </w:rPr>
        <w:t>Accordingly, irrespective of whether an assertion is made by the State in its briefs, if, upon analyzing the argument, it is determined that it constitutes a preliminary objection, that is, it must object to the admissibility of the application or the Court’s competence to hear the case or any of its aspects, it must therefore be settled as such.</w:t>
      </w:r>
      <w:r w:rsidRPr="00646C52">
        <w:rPr>
          <w:rFonts w:eastAsia="Verdana"/>
          <w:vertAlign w:val="superscript"/>
          <w:lang w:val="en-US"/>
        </w:rPr>
        <w:footnoteReference w:id="509"/>
      </w:r>
    </w:p>
    <w:p w14:paraId="07A4972A" w14:textId="77777777" w:rsidR="006168EA" w:rsidRPr="00646C52" w:rsidRDefault="006168EA" w:rsidP="006168EA">
      <w:pPr>
        <w:pStyle w:val="Numberedparagraphs"/>
        <w:numPr>
          <w:ilvl w:val="0"/>
          <w:numId w:val="0"/>
        </w:numPr>
        <w:rPr>
          <w:lang w:val="en-US"/>
        </w:rPr>
      </w:pPr>
    </w:p>
    <w:p w14:paraId="5047EABE" w14:textId="77777777" w:rsidR="006168EA" w:rsidRPr="00646C52" w:rsidRDefault="006168EA" w:rsidP="007720B1">
      <w:pPr>
        <w:pStyle w:val="Numberedparagraphs"/>
        <w:numPr>
          <w:ilvl w:val="0"/>
          <w:numId w:val="83"/>
        </w:numPr>
        <w:ind w:left="0" w:firstLine="0"/>
        <w:rPr>
          <w:lang w:val="en-US"/>
        </w:rPr>
      </w:pPr>
      <w:r w:rsidRPr="00646C52">
        <w:rPr>
          <w:rFonts w:eastAsia="Batang" w:cs="Arial"/>
          <w:iCs/>
          <w:lang w:val="en-US"/>
        </w:rPr>
        <w:t xml:space="preserve">Accordingly, and having regard to </w:t>
      </w:r>
      <w:r w:rsidRPr="00646C52">
        <w:rPr>
          <w:lang w:val="en-US"/>
        </w:rPr>
        <w:t xml:space="preserve">the diverse nature of the arguments presented by the State with the aim of arguing that the Court does not have jurisdiction to examine the direct justiciability of the right to social security based on the interpretation of Article 26 of the Convention, I consider that the Court should have decided to treat this matter as a preliminary objection. It is important to note that in the case of </w:t>
      </w:r>
      <w:r w:rsidRPr="00646C52">
        <w:rPr>
          <w:i/>
          <w:lang w:val="en-US"/>
        </w:rPr>
        <w:t xml:space="preserve">Acevedo </w:t>
      </w:r>
      <w:proofErr w:type="spellStart"/>
      <w:r w:rsidRPr="00646C52">
        <w:rPr>
          <w:i/>
          <w:lang w:val="en-US"/>
        </w:rPr>
        <w:t>Buendía</w:t>
      </w:r>
      <w:proofErr w:type="spellEnd"/>
      <w:r w:rsidRPr="00646C52">
        <w:rPr>
          <w:i/>
          <w:lang w:val="en-US"/>
        </w:rPr>
        <w:t xml:space="preserve"> et al. (“Discharged and Retired Employees of the Comptroller’s Office”) v. Peru</w:t>
      </w:r>
      <w:r w:rsidRPr="00646C52">
        <w:rPr>
          <w:lang w:val="en-US"/>
        </w:rPr>
        <w:t xml:space="preserve">, the Court had already analyzed arguments of this nature through a preliminary objection related to </w:t>
      </w:r>
      <w:proofErr w:type="spellStart"/>
      <w:r w:rsidRPr="00646C52">
        <w:rPr>
          <w:i/>
          <w:lang w:val="en-US"/>
        </w:rPr>
        <w:t>ratione</w:t>
      </w:r>
      <w:proofErr w:type="spellEnd"/>
      <w:r w:rsidRPr="00646C52">
        <w:rPr>
          <w:i/>
          <w:lang w:val="en-US"/>
        </w:rPr>
        <w:t xml:space="preserve"> </w:t>
      </w:r>
      <w:proofErr w:type="spellStart"/>
      <w:r w:rsidRPr="00646C52">
        <w:rPr>
          <w:i/>
          <w:lang w:val="en-US"/>
        </w:rPr>
        <w:t>materiae</w:t>
      </w:r>
      <w:proofErr w:type="spellEnd"/>
      <w:r w:rsidRPr="00646C52">
        <w:rPr>
          <w:lang w:val="en-US"/>
        </w:rPr>
        <w:t>.</w:t>
      </w:r>
      <w:r w:rsidRPr="00646C52">
        <w:rPr>
          <w:rStyle w:val="Refdenotaalpie"/>
          <w:lang w:val="en-US"/>
        </w:rPr>
        <w:footnoteReference w:id="510"/>
      </w:r>
    </w:p>
    <w:p w14:paraId="7205559C" w14:textId="77777777" w:rsidR="006168EA" w:rsidRPr="00646C52" w:rsidRDefault="006168EA" w:rsidP="006168EA">
      <w:pPr>
        <w:pStyle w:val="Prrafodelista"/>
        <w:ind w:left="1440"/>
        <w:rPr>
          <w:rFonts w:eastAsia="Batang" w:cs="Arial"/>
          <w:iCs/>
        </w:rPr>
      </w:pPr>
    </w:p>
    <w:p w14:paraId="51B232AA" w14:textId="77777777" w:rsidR="006168EA" w:rsidRPr="00646C52" w:rsidRDefault="006168EA" w:rsidP="007720B1">
      <w:pPr>
        <w:pStyle w:val="Numberedparagraphs"/>
        <w:numPr>
          <w:ilvl w:val="0"/>
          <w:numId w:val="83"/>
        </w:numPr>
        <w:ind w:left="0" w:firstLine="0"/>
        <w:rPr>
          <w:lang w:val="en-US"/>
        </w:rPr>
      </w:pPr>
      <w:r w:rsidRPr="00646C52">
        <w:rPr>
          <w:rFonts w:cs="Verdana"/>
          <w:bCs/>
          <w:iCs/>
          <w:lang w:val="en-US"/>
        </w:rPr>
        <w:t xml:space="preserve">In the instant case, no violation of the Protocol of San Salvador has been alleged; rather, the representatives’ petition focuses on the application of Article 26 of the Convention in relation to the right to social security. In this regard, it was up to the Court to determine whether it was competent to analyze, directly, the alleged violation of the right to social security pursuant to Article 26 of the Convention. </w:t>
      </w:r>
    </w:p>
    <w:p w14:paraId="3C4E7A4D" w14:textId="77777777" w:rsidR="006168EA" w:rsidRPr="00646C52" w:rsidRDefault="006168EA" w:rsidP="006168EA">
      <w:pPr>
        <w:pStyle w:val="Prrafodelista"/>
        <w:ind w:left="1440"/>
      </w:pPr>
    </w:p>
    <w:p w14:paraId="29B6ADF2"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In the cases of </w:t>
      </w:r>
      <w:r w:rsidRPr="00646C52">
        <w:rPr>
          <w:i/>
          <w:lang w:val="en-US"/>
        </w:rPr>
        <w:t xml:space="preserve">“Five Pensioners” v. Peru </w:t>
      </w:r>
      <w:r w:rsidRPr="00646C52">
        <w:rPr>
          <w:lang w:val="en-US"/>
        </w:rPr>
        <w:t>and</w:t>
      </w:r>
      <w:r w:rsidRPr="00646C52">
        <w:rPr>
          <w:i/>
          <w:lang w:val="en-US"/>
        </w:rPr>
        <w:t xml:space="preserve"> Acevedo </w:t>
      </w:r>
      <w:proofErr w:type="spellStart"/>
      <w:r w:rsidRPr="00646C52">
        <w:rPr>
          <w:i/>
          <w:lang w:val="en-US"/>
        </w:rPr>
        <w:t>Buendía</w:t>
      </w:r>
      <w:proofErr w:type="spellEnd"/>
      <w:r w:rsidRPr="00646C52">
        <w:rPr>
          <w:i/>
          <w:lang w:val="en-US"/>
        </w:rPr>
        <w:t xml:space="preserve"> et al. (“Discharged and Retired Employees of the Comptroller’s Office”) v. Peru</w:t>
      </w:r>
      <w:r w:rsidRPr="00646C52">
        <w:rPr>
          <w:lang w:val="en-US"/>
        </w:rPr>
        <w:t>, this Court settled claims related to the violation of Article 26 of the Convention. Although no violation of that article was declared in either of those cases, and the Court did not conduct an extensive analysis of the State’s obligation of progressive development and the duty of non-retrogression, the Court’s considerations focused on that obligation, concluding that “retrogression is actionable when economic, social and cultural rights are involved.”</w:t>
      </w:r>
      <w:r w:rsidRPr="00646C52">
        <w:rPr>
          <w:rStyle w:val="Refdenotaalpie"/>
          <w:lang w:val="en-US"/>
        </w:rPr>
        <w:footnoteReference w:id="511"/>
      </w:r>
      <w:r w:rsidRPr="00646C52">
        <w:rPr>
          <w:lang w:val="en-US"/>
        </w:rPr>
        <w:t xml:space="preserve"> The Court did not undertake a study regarding the violation of an economic, social, cultural or environmental right in its individual dimension, that is, applicable to a specific case; rather, its assessment was based on the collective dimension of the right.</w:t>
      </w:r>
      <w:r w:rsidRPr="00646C52">
        <w:rPr>
          <w:rStyle w:val="Refdenotaalpie"/>
          <w:lang w:val="en-US"/>
        </w:rPr>
        <w:footnoteReference w:id="512"/>
      </w:r>
      <w:r w:rsidRPr="00646C52">
        <w:rPr>
          <w:lang w:val="en-US"/>
        </w:rPr>
        <w:t xml:space="preserve"> Indeed, in the case of the </w:t>
      </w:r>
      <w:r w:rsidRPr="00646C52">
        <w:rPr>
          <w:i/>
          <w:lang w:val="en-US"/>
        </w:rPr>
        <w:t>“Five Pensioners,”</w:t>
      </w:r>
      <w:r w:rsidRPr="00646C52">
        <w:rPr>
          <w:lang w:val="en-US"/>
        </w:rPr>
        <w:t xml:space="preserve"> the Court established that “economic, social and cultural rights have both an individual and a collective dimension.”</w:t>
      </w:r>
      <w:r w:rsidRPr="00646C52">
        <w:rPr>
          <w:rStyle w:val="Refdenotaalpie"/>
          <w:lang w:val="en-US"/>
        </w:rPr>
        <w:footnoteReference w:id="513"/>
      </w:r>
      <w:r w:rsidRPr="00646C52">
        <w:rPr>
          <w:lang w:val="en-US"/>
        </w:rPr>
        <w:t xml:space="preserve"> In this sense, it is understood that the collective dimension of ESCER is derived from Article 26 of the Convention, through the obligation of progressive development. Thus, for the sake of greater clarity in presenting my arguments, I will refer to the individual dimension of ESCER when alluding to the direct justiciability of a particular right of this nature, applicable to a specific case - for example the victim’s right to a pension - and I will refer to the progressive dimension of ESCAR when alluding to the State’s obligation to progressive development and non-retrogression.</w:t>
      </w:r>
    </w:p>
    <w:p w14:paraId="603BEBD0" w14:textId="77777777" w:rsidR="006168EA" w:rsidRPr="00646C52" w:rsidRDefault="006168EA" w:rsidP="006168EA">
      <w:pPr>
        <w:pStyle w:val="Numberedparagraphs"/>
        <w:numPr>
          <w:ilvl w:val="0"/>
          <w:numId w:val="0"/>
        </w:numPr>
        <w:rPr>
          <w:lang w:val="en-US"/>
        </w:rPr>
      </w:pPr>
    </w:p>
    <w:p w14:paraId="75D26EAA" w14:textId="77777777" w:rsidR="006168EA" w:rsidRPr="00646C52" w:rsidRDefault="006168EA" w:rsidP="007720B1">
      <w:pPr>
        <w:pStyle w:val="Numberedparagraphs"/>
        <w:numPr>
          <w:ilvl w:val="0"/>
          <w:numId w:val="83"/>
        </w:numPr>
        <w:ind w:left="0" w:firstLine="0"/>
        <w:rPr>
          <w:lang w:val="en-US"/>
        </w:rPr>
      </w:pPr>
      <w:r w:rsidRPr="00646C52">
        <w:rPr>
          <w:rFonts w:eastAsia="Batang" w:cs="Arial"/>
          <w:iCs/>
          <w:lang w:val="en-US"/>
        </w:rPr>
        <w:lastRenderedPageBreak/>
        <w:t xml:space="preserve">Since the Judgment issued in the case of </w:t>
      </w:r>
      <w:r w:rsidRPr="00646C52">
        <w:rPr>
          <w:rFonts w:eastAsia="Batang" w:cs="Arial"/>
          <w:i/>
          <w:iCs/>
          <w:lang w:val="en-US"/>
        </w:rPr>
        <w:t>Lagos del Campo v. Peru</w:t>
      </w:r>
      <w:r w:rsidRPr="00646C52">
        <w:rPr>
          <w:rFonts w:eastAsia="Batang" w:cs="Arial"/>
          <w:iCs/>
          <w:lang w:val="en-US"/>
        </w:rPr>
        <w:t>, this Court has adopted an important jurisprudential stance in interpreting the direct justiciability of Article 26 of the Convention in its individual dimension and establishing, for the first time, a conviction in a specific case, for the violation of that article (job stability), due to the dismissal of Mr. Lagos del Campo, a workers’ representative, as a result of his comments made during an interview, published in a magazine, against the company for which he worked. This jurisprudential stance has been reiterated in subsequent judgments by this Court, where the majority of its Members considered that the direct justiciability of certain economic social and cultural rights (the right to work and the right to health) in their individual dimension, was possible under Article 26 of the Convention.</w:t>
      </w:r>
    </w:p>
    <w:p w14:paraId="24EC6360" w14:textId="77777777" w:rsidR="006168EA" w:rsidRPr="00646C52" w:rsidRDefault="006168EA" w:rsidP="006168EA">
      <w:pPr>
        <w:pStyle w:val="Prrafodelista"/>
        <w:ind w:left="1440"/>
        <w:rPr>
          <w:rFonts w:eastAsia="Batang" w:cs="Arial"/>
          <w:iCs/>
        </w:rPr>
      </w:pPr>
    </w:p>
    <w:p w14:paraId="1BAD17D8" w14:textId="77777777" w:rsidR="006168EA" w:rsidRPr="00646C52" w:rsidRDefault="006168EA" w:rsidP="007720B1">
      <w:pPr>
        <w:pStyle w:val="Numberedparagraphs"/>
        <w:numPr>
          <w:ilvl w:val="0"/>
          <w:numId w:val="83"/>
        </w:numPr>
        <w:ind w:left="0" w:firstLine="0"/>
        <w:rPr>
          <w:lang w:val="en-US"/>
        </w:rPr>
      </w:pPr>
      <w:r w:rsidRPr="00646C52">
        <w:rPr>
          <w:rFonts w:eastAsia="Batang" w:cs="Arial"/>
          <w:iCs/>
          <w:lang w:val="en-US"/>
        </w:rPr>
        <w:t xml:space="preserve">However, I consider it appropriate to depart from the case law criterion adopted until now, because I believe that the previous interpretation expands the Court’s jurisdiction, disregarding the will of the States, which is expressed not only in the manner in which Article 26 of the American Convention was drafted, but also in the jurisdiction established in Article 19(6) of the Protocol of San Salvador. The latter clearly stipulated the economic, social, cultural and environmental rights that could be examined under the inter-American protection system. </w:t>
      </w:r>
    </w:p>
    <w:p w14:paraId="5A787543" w14:textId="77777777" w:rsidR="006168EA" w:rsidRPr="00646C52" w:rsidRDefault="006168EA" w:rsidP="006168EA">
      <w:pPr>
        <w:pStyle w:val="Prrafodelista"/>
        <w:ind w:left="1440"/>
        <w:rPr>
          <w:rFonts w:eastAsia="Batang" w:cs="Arial"/>
          <w:iCs/>
        </w:rPr>
      </w:pPr>
    </w:p>
    <w:p w14:paraId="5A37633B" w14:textId="77777777" w:rsidR="006168EA" w:rsidRPr="00646C52" w:rsidRDefault="006168EA" w:rsidP="007720B1">
      <w:pPr>
        <w:pStyle w:val="Numberedparagraphs"/>
        <w:numPr>
          <w:ilvl w:val="0"/>
          <w:numId w:val="83"/>
        </w:numPr>
        <w:ind w:left="0" w:firstLine="0"/>
        <w:rPr>
          <w:lang w:val="en-US"/>
        </w:rPr>
      </w:pPr>
      <w:r w:rsidRPr="00646C52">
        <w:rPr>
          <w:rFonts w:eastAsia="Batang" w:cs="Arial"/>
          <w:iCs/>
          <w:lang w:val="en-US"/>
        </w:rPr>
        <w:t xml:space="preserve">This analysis does not deny the interdependence and indivisibility of civil, political, economic, social, cultural and environmental rights, nor does it disregard the obligations derived from the Protocol of San Salvador, for those countries that ratified it. And it does not imply that the Court considers that ESCER, in their individual dimension, should not be protected or be directly justiciable through other channels, such as the domestic courts, for example, or even before the Inter-American Court, provided that their justiciability is accomplished in connection with rights recognized in the Convention, as the Court has done on several previous occasions. The purpose of this partially dissenting opinion is to analyze the jurisdiction of the American Convention in relation to these issues and the manner in which justiciability is achieved in the inter-American system, which is different from the manner in which it operates in the domestic systems of each State. </w:t>
      </w:r>
    </w:p>
    <w:p w14:paraId="19E6AABF" w14:textId="77777777" w:rsidR="006168EA" w:rsidRPr="00646C52" w:rsidRDefault="006168EA" w:rsidP="006168EA">
      <w:pPr>
        <w:pStyle w:val="Prrafodelista"/>
        <w:ind w:left="1440"/>
        <w:rPr>
          <w:rFonts w:eastAsia="Batang" w:cs="Arial"/>
          <w:iCs/>
        </w:rPr>
      </w:pPr>
    </w:p>
    <w:p w14:paraId="413132D6" w14:textId="77777777" w:rsidR="006168EA" w:rsidRPr="00646C52" w:rsidRDefault="006168EA" w:rsidP="007720B1">
      <w:pPr>
        <w:pStyle w:val="Numberedparagraphs"/>
        <w:numPr>
          <w:ilvl w:val="0"/>
          <w:numId w:val="83"/>
        </w:numPr>
        <w:ind w:left="0" w:firstLine="0"/>
        <w:rPr>
          <w:lang w:val="en-US"/>
        </w:rPr>
      </w:pPr>
      <w:r w:rsidRPr="00646C52">
        <w:rPr>
          <w:rFonts w:eastAsia="Verdana"/>
          <w:bCs/>
          <w:lang w:val="en-US" w:eastAsia="x-none"/>
        </w:rPr>
        <w:t>A correct interpretation of Article 26 of the Convention and its relationship with Articles 1(1), 2, 62 and 63 of the American Convention should be aimed at determining the competence of the Court in relation to that article and the scope of the State’s obligations derived therefrom. For this, we must refer to the Vienna Convention on the Law of Treaties (hereinafter “Vienna Convention”), which establishes the general and customary rules of interpretation of international treaties, and requires the simultaneous and joint application of good faith, the ordinary meaning and context of the terms used in the treaty in question, as well as the object and purpose of the treaty. Thus, in line with its constant case law, the Court must utilize the methods stipulated in Articles 31 and 32 of the Vienna Convention to make such interpretation</w:t>
      </w:r>
      <w:r w:rsidRPr="00646C52">
        <w:rPr>
          <w:rStyle w:val="Refdenotaalpie"/>
          <w:rFonts w:eastAsia="Verdana"/>
          <w:lang w:val="en-US" w:eastAsia="x-none"/>
        </w:rPr>
        <w:footnoteReference w:id="514"/>
      </w:r>
      <w:r w:rsidRPr="00646C52">
        <w:rPr>
          <w:rFonts w:eastAsia="Verdana"/>
          <w:bCs/>
          <w:lang w:val="en-US" w:eastAsia="x-none"/>
        </w:rPr>
        <w:t xml:space="preserve"> </w:t>
      </w:r>
      <w:r w:rsidRPr="00646C52">
        <w:rPr>
          <w:lang w:val="en-US"/>
        </w:rPr>
        <w:t xml:space="preserve">(literal, systematic and teleological </w:t>
      </w:r>
      <w:r w:rsidRPr="00646C52">
        <w:rPr>
          <w:lang w:val="en-US"/>
        </w:rPr>
        <w:lastRenderedPageBreak/>
        <w:t>interpretation)</w:t>
      </w:r>
      <w:r w:rsidRPr="00646C52">
        <w:rPr>
          <w:rFonts w:eastAsia="Verdana"/>
          <w:bCs/>
          <w:lang w:val="en-US" w:eastAsia="x-none"/>
        </w:rPr>
        <w:t>. Furthermore, the interpretation standards derived from Article 29 of the American Convention should be used, where pertinent</w:t>
      </w:r>
      <w:r w:rsidRPr="00646C52">
        <w:rPr>
          <w:rStyle w:val="Refdenotaalpie"/>
          <w:rFonts w:eastAsia="Verdana"/>
          <w:lang w:val="en-US" w:eastAsia="x-none"/>
        </w:rPr>
        <w:t xml:space="preserve"> </w:t>
      </w:r>
      <w:r w:rsidRPr="00646C52">
        <w:rPr>
          <w:rFonts w:eastAsia="Verdana"/>
          <w:lang w:val="en-US" w:eastAsia="x-none"/>
        </w:rPr>
        <w:t>.</w:t>
      </w:r>
      <w:r w:rsidRPr="00646C52">
        <w:rPr>
          <w:rStyle w:val="Refdenotaalpie"/>
          <w:rFonts w:eastAsia="Verdana"/>
          <w:lang w:val="en-US" w:eastAsia="x-none"/>
        </w:rPr>
        <w:footnoteReference w:id="515"/>
      </w:r>
    </w:p>
    <w:p w14:paraId="1778003B" w14:textId="77777777" w:rsidR="006168EA" w:rsidRPr="00646C52" w:rsidRDefault="006168EA" w:rsidP="006168EA">
      <w:pPr>
        <w:contextualSpacing/>
        <w:outlineLvl w:val="0"/>
      </w:pPr>
    </w:p>
    <w:p w14:paraId="71AD8BA8" w14:textId="77777777" w:rsidR="006168EA" w:rsidRPr="007720B1" w:rsidRDefault="006168EA" w:rsidP="007720B1">
      <w:pPr>
        <w:pStyle w:val="Prrafodelista"/>
        <w:numPr>
          <w:ilvl w:val="0"/>
          <w:numId w:val="84"/>
        </w:numPr>
        <w:autoSpaceDE w:val="0"/>
        <w:autoSpaceDN w:val="0"/>
        <w:ind w:right="22"/>
        <w:textAlignment w:val="auto"/>
        <w:outlineLvl w:val="0"/>
        <w:rPr>
          <w:rFonts w:ascii="Verdana" w:hAnsi="Verdana" w:cs="Arial"/>
          <w:b/>
          <w:sz w:val="20"/>
          <w:szCs w:val="20"/>
        </w:rPr>
      </w:pPr>
      <w:r w:rsidRPr="007720B1">
        <w:rPr>
          <w:rFonts w:ascii="Verdana" w:hAnsi="Verdana"/>
          <w:b/>
          <w:sz w:val="20"/>
          <w:szCs w:val="20"/>
        </w:rPr>
        <w:t xml:space="preserve">DIRECT JUSTICIABILITY OF ARTICLE 26 OF THE AMERICAN CONVENTION ON HUMAN RIGHTS </w:t>
      </w:r>
    </w:p>
    <w:p w14:paraId="29D39D06" w14:textId="77777777" w:rsidR="006168EA" w:rsidRPr="007720B1" w:rsidRDefault="006168EA" w:rsidP="006168EA">
      <w:pPr>
        <w:contextualSpacing/>
        <w:outlineLvl w:val="0"/>
        <w:rPr>
          <w:rFonts w:ascii="Verdana" w:hAnsi="Verdana" w:cs="Arial"/>
          <w:b/>
          <w:sz w:val="20"/>
          <w:szCs w:val="20"/>
        </w:rPr>
      </w:pPr>
    </w:p>
    <w:p w14:paraId="363BC5B9" w14:textId="77777777" w:rsidR="006168EA" w:rsidRPr="007720B1" w:rsidRDefault="006168EA" w:rsidP="006168EA">
      <w:pPr>
        <w:pStyle w:val="Prrafodelista"/>
        <w:ind w:left="1440"/>
        <w:outlineLvl w:val="0"/>
        <w:rPr>
          <w:rFonts w:ascii="Verdana" w:hAnsi="Verdana"/>
          <w:b/>
          <w:sz w:val="20"/>
          <w:szCs w:val="20"/>
        </w:rPr>
      </w:pPr>
      <w:r w:rsidRPr="007720B1">
        <w:rPr>
          <w:rFonts w:ascii="Verdana" w:hAnsi="Verdana"/>
          <w:b/>
          <w:sz w:val="20"/>
          <w:szCs w:val="20"/>
        </w:rPr>
        <w:t xml:space="preserve">B.1 Literal </w:t>
      </w:r>
      <w:proofErr w:type="spellStart"/>
      <w:r w:rsidRPr="007720B1">
        <w:rPr>
          <w:rFonts w:ascii="Verdana" w:hAnsi="Verdana"/>
          <w:b/>
          <w:sz w:val="20"/>
          <w:szCs w:val="20"/>
        </w:rPr>
        <w:t>Interpretation</w:t>
      </w:r>
      <w:proofErr w:type="spellEnd"/>
    </w:p>
    <w:p w14:paraId="2E1D1C2E" w14:textId="77777777" w:rsidR="006168EA" w:rsidRPr="00646C52" w:rsidRDefault="006168EA" w:rsidP="006168EA">
      <w:pPr>
        <w:pStyle w:val="Prrafodelista"/>
        <w:ind w:left="1440"/>
        <w:rPr>
          <w:rFonts w:eastAsia="Batang" w:cs="Arial"/>
          <w:iCs/>
        </w:rPr>
      </w:pPr>
    </w:p>
    <w:p w14:paraId="2DCEDF9D" w14:textId="77777777" w:rsidR="006168EA" w:rsidRPr="00646C52" w:rsidRDefault="006168EA" w:rsidP="007720B1">
      <w:pPr>
        <w:pStyle w:val="Numberedparagraphs"/>
        <w:numPr>
          <w:ilvl w:val="0"/>
          <w:numId w:val="83"/>
        </w:numPr>
        <w:ind w:left="0" w:firstLine="0"/>
        <w:rPr>
          <w:lang w:val="en-US"/>
        </w:rPr>
      </w:pPr>
      <w:r w:rsidRPr="00646C52">
        <w:rPr>
          <w:rFonts w:eastAsia="Batang" w:cs="Arial"/>
          <w:iCs/>
          <w:lang w:val="en-US"/>
        </w:rPr>
        <w:t>Article 26 of the American Convention establishes the following:</w:t>
      </w:r>
    </w:p>
    <w:p w14:paraId="746547C6" w14:textId="77777777" w:rsidR="006168EA" w:rsidRPr="00646C52" w:rsidRDefault="006168EA" w:rsidP="007720B1">
      <w:pPr>
        <w:pStyle w:val="Prrafodelista"/>
        <w:ind w:left="0"/>
        <w:rPr>
          <w:rFonts w:eastAsia="Batang" w:cs="Arial"/>
          <w:iCs/>
        </w:rPr>
      </w:pPr>
    </w:p>
    <w:p w14:paraId="6C7F6A8B" w14:textId="77777777" w:rsidR="006168EA" w:rsidRPr="007720B1" w:rsidRDefault="006168EA" w:rsidP="007720B1">
      <w:pPr>
        <w:pStyle w:val="NormalWeb"/>
        <w:tabs>
          <w:tab w:val="left" w:pos="709"/>
        </w:tabs>
        <w:spacing w:before="0" w:beforeAutospacing="0" w:after="0" w:afterAutospacing="0"/>
        <w:ind w:left="426" w:right="333"/>
        <w:jc w:val="center"/>
        <w:rPr>
          <w:rFonts w:ascii="Verdana" w:hAnsi="Verdana" w:cs="Tahoma"/>
          <w:b/>
          <w:bCs/>
          <w:sz w:val="20"/>
          <w:szCs w:val="20"/>
          <w:lang w:val="en-US"/>
        </w:rPr>
      </w:pPr>
      <w:r w:rsidRPr="007720B1">
        <w:rPr>
          <w:rFonts w:ascii="Verdana" w:hAnsi="Verdana" w:cs="Tahoma"/>
          <w:b/>
          <w:bCs/>
          <w:sz w:val="20"/>
          <w:szCs w:val="20"/>
          <w:lang w:val="en-US"/>
        </w:rPr>
        <w:t>CHAPTER III</w:t>
      </w:r>
    </w:p>
    <w:p w14:paraId="6F273AD3" w14:textId="6E70560C" w:rsidR="006168EA" w:rsidRDefault="006168EA" w:rsidP="007720B1">
      <w:pPr>
        <w:pStyle w:val="NormalWeb"/>
        <w:tabs>
          <w:tab w:val="left" w:pos="709"/>
        </w:tabs>
        <w:spacing w:before="0" w:beforeAutospacing="0" w:after="0" w:afterAutospacing="0"/>
        <w:ind w:left="426" w:right="333"/>
        <w:jc w:val="center"/>
        <w:rPr>
          <w:rFonts w:ascii="Verdana" w:hAnsi="Verdana" w:cs="Tahoma"/>
          <w:b/>
          <w:bCs/>
          <w:sz w:val="20"/>
          <w:szCs w:val="20"/>
          <w:lang w:val="en-US"/>
        </w:rPr>
      </w:pPr>
      <w:r w:rsidRPr="007720B1">
        <w:rPr>
          <w:rFonts w:ascii="Verdana" w:hAnsi="Verdana" w:cs="Tahoma"/>
          <w:b/>
          <w:bCs/>
          <w:sz w:val="20"/>
          <w:szCs w:val="20"/>
          <w:lang w:val="en-US"/>
        </w:rPr>
        <w:t>ECONOMIC, SOCIAL AND CULTURAL RIGHTS</w:t>
      </w:r>
    </w:p>
    <w:p w14:paraId="66A1FAE6" w14:textId="77777777" w:rsidR="007720B1" w:rsidRPr="007720B1" w:rsidRDefault="007720B1" w:rsidP="007720B1">
      <w:pPr>
        <w:pStyle w:val="NormalWeb"/>
        <w:tabs>
          <w:tab w:val="left" w:pos="709"/>
        </w:tabs>
        <w:spacing w:before="0" w:beforeAutospacing="0" w:after="0" w:afterAutospacing="0"/>
        <w:ind w:left="426" w:right="333"/>
        <w:jc w:val="center"/>
        <w:rPr>
          <w:rFonts w:ascii="Verdana" w:hAnsi="Verdana" w:cs="Tahoma"/>
          <w:b/>
          <w:bCs/>
          <w:sz w:val="20"/>
          <w:szCs w:val="20"/>
          <w:lang w:val="en-US"/>
        </w:rPr>
      </w:pPr>
    </w:p>
    <w:p w14:paraId="16F7C70A" w14:textId="6F234329" w:rsidR="006168EA" w:rsidRDefault="006168EA" w:rsidP="007720B1">
      <w:pPr>
        <w:pStyle w:val="NormalWeb"/>
        <w:tabs>
          <w:tab w:val="left" w:pos="709"/>
        </w:tabs>
        <w:spacing w:before="0" w:beforeAutospacing="0" w:after="0" w:afterAutospacing="0"/>
        <w:ind w:left="426" w:right="333"/>
        <w:jc w:val="center"/>
        <w:rPr>
          <w:rFonts w:ascii="Verdana" w:hAnsi="Verdana" w:cs="Tahoma"/>
          <w:b/>
          <w:bCs/>
          <w:sz w:val="20"/>
          <w:szCs w:val="20"/>
          <w:lang w:val="en-US"/>
        </w:rPr>
      </w:pPr>
      <w:r w:rsidRPr="007720B1">
        <w:rPr>
          <w:rFonts w:ascii="Verdana" w:hAnsi="Verdana" w:cs="Tahoma"/>
          <w:b/>
          <w:bCs/>
          <w:sz w:val="20"/>
          <w:szCs w:val="20"/>
          <w:lang w:val="en-US"/>
        </w:rPr>
        <w:t>Article 26.  Progressive development</w:t>
      </w:r>
    </w:p>
    <w:p w14:paraId="36D47488" w14:textId="77777777" w:rsidR="007720B1" w:rsidRPr="007720B1" w:rsidRDefault="007720B1" w:rsidP="007720B1">
      <w:pPr>
        <w:pStyle w:val="NormalWeb"/>
        <w:tabs>
          <w:tab w:val="left" w:pos="709"/>
        </w:tabs>
        <w:spacing w:before="0" w:beforeAutospacing="0" w:after="0" w:afterAutospacing="0"/>
        <w:ind w:left="426" w:right="333"/>
        <w:jc w:val="center"/>
        <w:rPr>
          <w:rFonts w:ascii="Verdana" w:hAnsi="Verdana" w:cs="Tahoma"/>
          <w:b/>
          <w:bCs/>
          <w:sz w:val="20"/>
          <w:szCs w:val="20"/>
          <w:lang w:val="en-US"/>
        </w:rPr>
      </w:pPr>
    </w:p>
    <w:p w14:paraId="7B0DE0A9" w14:textId="77777777" w:rsidR="006168EA" w:rsidRPr="007720B1" w:rsidRDefault="006168EA" w:rsidP="007720B1">
      <w:pPr>
        <w:pStyle w:val="NormalWeb"/>
        <w:tabs>
          <w:tab w:val="left" w:pos="709"/>
        </w:tabs>
        <w:spacing w:before="0" w:beforeAutospacing="0" w:after="0" w:afterAutospacing="0"/>
        <w:ind w:left="426" w:right="333"/>
        <w:jc w:val="both"/>
        <w:rPr>
          <w:rFonts w:ascii="Verdana" w:hAnsi="Verdana" w:cs="Tahoma"/>
          <w:b/>
          <w:bCs/>
          <w:sz w:val="20"/>
          <w:szCs w:val="20"/>
          <w:lang w:val="en-US"/>
        </w:rPr>
      </w:pPr>
      <w:r w:rsidRPr="007720B1">
        <w:rPr>
          <w:rFonts w:ascii="Verdana" w:hAnsi="Verdana" w:cs="Tahoma"/>
          <w:b/>
          <w:bCs/>
          <w:sz w:val="20"/>
          <w:szCs w:val="20"/>
          <w:lang w:val="en-US"/>
        </w:rPr>
        <w:t xml:space="preserve">The States Parties undertake to adopt measures, both internally and through international cooperation, especially those of an economic and technical nature, </w:t>
      </w:r>
      <w:r w:rsidRPr="007720B1">
        <w:rPr>
          <w:rFonts w:ascii="Verdana" w:hAnsi="Verdana"/>
          <w:b/>
          <w:bCs/>
          <w:color w:val="000000"/>
          <w:sz w:val="20"/>
          <w:szCs w:val="20"/>
          <w:lang w:val="en-US"/>
        </w:rPr>
        <w:t>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7720B1">
        <w:rPr>
          <w:rFonts w:ascii="Verdana" w:hAnsi="Verdana" w:cs="Tahoma"/>
          <w:b/>
          <w:bCs/>
          <w:sz w:val="20"/>
          <w:szCs w:val="20"/>
          <w:lang w:val="en-US"/>
        </w:rPr>
        <w:t xml:space="preserve">, </w:t>
      </w:r>
      <w:r w:rsidRPr="007720B1">
        <w:rPr>
          <w:rFonts w:ascii="Verdana" w:hAnsi="Verdana"/>
          <w:b/>
          <w:bCs/>
          <w:sz w:val="20"/>
          <w:szCs w:val="20"/>
          <w:lang w:val="en-US"/>
        </w:rPr>
        <w:t>subject to available resources, by legislation or other appropriate means</w:t>
      </w:r>
      <w:r w:rsidRPr="007720B1">
        <w:rPr>
          <w:rFonts w:ascii="Verdana" w:hAnsi="Verdana" w:cs="Tahoma"/>
          <w:b/>
          <w:bCs/>
          <w:sz w:val="20"/>
          <w:szCs w:val="20"/>
          <w:lang w:val="en-US"/>
        </w:rPr>
        <w:t xml:space="preserve">. </w:t>
      </w:r>
    </w:p>
    <w:p w14:paraId="5E709B18" w14:textId="77777777" w:rsidR="006168EA" w:rsidRPr="00646C52" w:rsidRDefault="006168EA" w:rsidP="006168EA">
      <w:pPr>
        <w:pStyle w:val="Numberedparagraphs"/>
        <w:numPr>
          <w:ilvl w:val="0"/>
          <w:numId w:val="0"/>
        </w:numPr>
        <w:rPr>
          <w:rFonts w:eastAsia="Batang" w:cs="Arial"/>
          <w:iCs/>
          <w:lang w:val="en-US"/>
        </w:rPr>
      </w:pPr>
    </w:p>
    <w:p w14:paraId="20FAD08C" w14:textId="77777777" w:rsidR="006168EA" w:rsidRPr="00646C52" w:rsidRDefault="006168EA" w:rsidP="007720B1">
      <w:pPr>
        <w:pStyle w:val="Numberedparagraphs"/>
        <w:numPr>
          <w:ilvl w:val="0"/>
          <w:numId w:val="83"/>
        </w:numPr>
        <w:ind w:left="0" w:firstLine="0"/>
        <w:rPr>
          <w:lang w:val="en-US"/>
        </w:rPr>
      </w:pPr>
      <w:r w:rsidRPr="00646C52">
        <w:rPr>
          <w:rFonts w:eastAsia="Batang" w:cs="Arial"/>
          <w:iCs/>
          <w:lang w:val="en-US"/>
        </w:rPr>
        <w:t xml:space="preserve">In making a literal interpretation of Article 26, that is, an interpretation in good faith, based on </w:t>
      </w:r>
      <w:r w:rsidRPr="00646C52">
        <w:rPr>
          <w:lang w:val="en-US"/>
        </w:rPr>
        <w:t xml:space="preserve">the ordinary meaning of the terms and derived from the literal meaning of some expressions or words in the Convention and in other treaties, we must understand that this article establishes an obligation to act, in other words, an obligation of conduct, not of result.  The scope of that obligation is to “adopt measures” in order to achieve “progressively the full realization of the rights derived from the economic, social, educational, scientific and cultural standards, set forth in the [OAS] Charter,” that is, of the rights that are derived from, or can be inferred from, the provisions of the latter instrument, and only of that instrument. Moreover, the obligation to act, established in Article 26 is conditional – it is “subject to available resources,” which reinforces the idea that it is not an obligation to produce a result. Although this implies that the </w:t>
      </w:r>
      <w:r w:rsidRPr="00646C52">
        <w:rPr>
          <w:rFonts w:eastAsia="Times" w:cs="Arial"/>
          <w:lang w:val="en-US"/>
        </w:rPr>
        <w:t>progressive development of those rights cannot be achieved within a short period of time, since this “requires a necessarily flexible device reflecting the realities of the world and the difficulties involved for each country in ensuring their realization,”</w:t>
      </w:r>
      <w:r w:rsidRPr="00646C52">
        <w:rPr>
          <w:rStyle w:val="Refdenotaalpie"/>
          <w:rFonts w:eastAsia="Times"/>
          <w:lang w:val="en-US"/>
        </w:rPr>
        <w:footnoteReference w:id="516"/>
      </w:r>
      <w:r w:rsidRPr="00646C52">
        <w:rPr>
          <w:rFonts w:eastAsia="Times" w:cs="Arial"/>
          <w:lang w:val="en-US"/>
        </w:rPr>
        <w:t xml:space="preserve"> it cannot imply inaction on the part of the State, in light of the undertaking to “adopt measures” </w:t>
      </w:r>
      <w:r w:rsidRPr="00646C52">
        <w:rPr>
          <w:lang w:val="en-US"/>
        </w:rPr>
        <w:t>“by legislation or other appropriate means.”</w:t>
      </w:r>
    </w:p>
    <w:p w14:paraId="511F42C1" w14:textId="77777777" w:rsidR="006168EA" w:rsidRPr="00646C52" w:rsidRDefault="006168EA" w:rsidP="006168EA">
      <w:pPr>
        <w:pStyle w:val="Numberedparagraphs"/>
        <w:numPr>
          <w:ilvl w:val="0"/>
          <w:numId w:val="0"/>
        </w:numPr>
        <w:rPr>
          <w:lang w:val="en-US"/>
        </w:rPr>
      </w:pPr>
    </w:p>
    <w:p w14:paraId="3750D349" w14:textId="77777777" w:rsidR="006168EA" w:rsidRPr="00646C52" w:rsidRDefault="006168EA" w:rsidP="007720B1">
      <w:pPr>
        <w:pStyle w:val="Numberedparagraphs"/>
        <w:numPr>
          <w:ilvl w:val="0"/>
          <w:numId w:val="83"/>
        </w:numPr>
        <w:ind w:left="0" w:firstLine="0"/>
        <w:rPr>
          <w:lang w:val="en-US"/>
        </w:rPr>
      </w:pPr>
      <w:r w:rsidRPr="00646C52">
        <w:rPr>
          <w:lang w:val="en-US"/>
        </w:rPr>
        <w:t>Progressive realization means that the States parties have the specific and constant obligation to advance as rapidly and efficiently as possible towards the full realization of ESCER.</w:t>
      </w:r>
      <w:r w:rsidRPr="00646C52">
        <w:rPr>
          <w:vertAlign w:val="superscript"/>
          <w:lang w:val="en-US"/>
        </w:rPr>
        <w:footnoteReference w:id="517"/>
      </w:r>
      <w:r w:rsidRPr="00646C52">
        <w:rPr>
          <w:lang w:val="en-US"/>
        </w:rPr>
        <w:t xml:space="preserve"> This should not be interpreted to mean that, during their implementation, those obligations are divested of their specific content, or that the States can indefinitely postpone the adoption of measures to realize the rights in question - particularly after nearly forty years since the Inter-American Convention entered into force. Therefore, it is necessary to ensure the duty of </w:t>
      </w:r>
      <w:r w:rsidRPr="00646C52">
        <w:rPr>
          <w:i/>
          <w:lang w:val="en-US"/>
        </w:rPr>
        <w:t xml:space="preserve">non-retrogression </w:t>
      </w:r>
      <w:r w:rsidRPr="00646C52">
        <w:rPr>
          <w:lang w:val="en-US"/>
        </w:rPr>
        <w:t>regarding the rights achieved.</w:t>
      </w:r>
    </w:p>
    <w:p w14:paraId="32C663F3" w14:textId="77777777" w:rsidR="006168EA" w:rsidRPr="00646C52" w:rsidRDefault="006168EA" w:rsidP="006168EA">
      <w:pPr>
        <w:pStyle w:val="Prrafodelista"/>
        <w:ind w:left="1440"/>
      </w:pPr>
    </w:p>
    <w:p w14:paraId="7FF51F3D"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In other words, in relation to the scope of Article 26, the Court has indicated that the main obligation derived from this article is to </w:t>
      </w:r>
      <w:r w:rsidRPr="00646C52">
        <w:rPr>
          <w:rFonts w:eastAsia="Times"/>
          <w:lang w:val="en-US"/>
        </w:rPr>
        <w:t>adopt measures to achieve the progressive development of economic, social and cultural rights.</w:t>
      </w:r>
      <w:r w:rsidRPr="00646C52">
        <w:rPr>
          <w:rStyle w:val="Refdenotaalpie"/>
          <w:rFonts w:eastAsia="Times"/>
          <w:lang w:val="en-US"/>
        </w:rPr>
        <w:footnoteReference w:id="518"/>
      </w:r>
      <w:r w:rsidRPr="00646C52">
        <w:rPr>
          <w:rFonts w:eastAsia="Times"/>
          <w:lang w:val="en-US"/>
        </w:rPr>
        <w:t xml:space="preserve"> This entails “a duty</w:t>
      </w:r>
      <w:r w:rsidRPr="00646C52">
        <w:rPr>
          <w:lang w:val="en-US"/>
        </w:rPr>
        <w:t xml:space="preserve"> – albeit conditioned– of non-retrogression, which should not always be understood as a prohibition to adopt measures that restrict the exercise of a right.</w:t>
      </w:r>
      <w:r w:rsidRPr="00646C52">
        <w:rPr>
          <w:rFonts w:eastAsia="Times"/>
          <w:lang w:val="en-US"/>
        </w:rPr>
        <w:t>”</w:t>
      </w:r>
      <w:r w:rsidRPr="00646C52">
        <w:rPr>
          <w:rStyle w:val="Refdenotaalpie"/>
          <w:rFonts w:eastAsia="Times"/>
          <w:lang w:val="en-US"/>
        </w:rPr>
        <w:footnoteReference w:id="519"/>
      </w:r>
      <w:r w:rsidRPr="00646C52">
        <w:rPr>
          <w:rFonts w:eastAsia="Times"/>
          <w:lang w:val="en-US"/>
        </w:rPr>
        <w:t xml:space="preserve"> </w:t>
      </w:r>
    </w:p>
    <w:p w14:paraId="79BC6FAD" w14:textId="77777777" w:rsidR="006168EA" w:rsidRPr="00646C52" w:rsidRDefault="006168EA" w:rsidP="006168EA">
      <w:pPr>
        <w:pStyle w:val="Prrafodelista"/>
        <w:ind w:left="1440"/>
      </w:pPr>
    </w:p>
    <w:p w14:paraId="4D153E40"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Article 26 does not “recognize” rights, nor does it establish a specific catalogue of rights; instead, it establishes the obligation of the States to progressively develop certain rights, precisely because these have not been fully realized. In order to identify those rights that must be developed progressively, Article 26 makes direct reference to the Charter of the Organization of American States (hereinafter “Charter” or “OAS Charter”). However, from a reading of the Charter, we may conclude that it, too, does not contain a clear and precise catalogue of subjective rights; therefore, it is necessary to undertake interpretative work to conclude that a right is derived from the Charter. It is important to stress that, if it is determined that a right is derived from the Charter, it must be interpreted in conjunction with the provisions of Article 26 of the Convention and within the established limits; in other words, the right in question could be directly justiciable, provided that an analysis of progressivity is carried out. </w:t>
      </w:r>
    </w:p>
    <w:p w14:paraId="43020793" w14:textId="77777777" w:rsidR="006168EA" w:rsidRPr="00646C52" w:rsidRDefault="006168EA" w:rsidP="006168EA">
      <w:pPr>
        <w:pStyle w:val="Prrafodelista"/>
        <w:ind w:left="1440"/>
      </w:pPr>
    </w:p>
    <w:p w14:paraId="3FE96293"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From a literal reading of Article 26, there are no valid arguments to affirm that it is possible to submit to the Court a case concerning the alleged violation of a specific right in its individual dimension, based on the reference in question, since the scope of the protection afforded by Article 26 differs from that of the civil and political rights enshrined in Articles 3 to 25. Indeed, the terms used in drafting those articles, such as “every person”, “no one shall be,” “every citizen,” as well as the clearer development of the content of each right, denotes the clear intention of the States to protect these through the inter-American system in specific cases in which their violation is </w:t>
      </w:r>
      <w:r w:rsidRPr="00646C52">
        <w:rPr>
          <w:lang w:val="en-US"/>
        </w:rPr>
        <w:lastRenderedPageBreak/>
        <w:t>alleged, but not in relation to their progressive development or non-retrogression, unlike what is stipulated in Article 26. The obligation established in this article implies that the Court can directly supervise compliance with the obligation of progressive development and the consequent duty of non-retrogression of the rights that could be derived from the Charter. Accordingly</w:t>
      </w:r>
      <w:r w:rsidRPr="00646C52">
        <w:rPr>
          <w:rFonts w:cs="Verdana"/>
          <w:lang w:val="en-US"/>
        </w:rPr>
        <w:t>, it is important to note that this facet of the principle of progressive development is justiciable when economic, social, cultural and environmental rights are involved. An interpretation to the contrary would imply expanding the scope of the protection afforded by Article 26</w:t>
      </w:r>
      <w:r w:rsidRPr="00646C52">
        <w:rPr>
          <w:lang w:val="en-US"/>
        </w:rPr>
        <w:t>, which is not the task of this Court, but of the States. In doing so, the Court would be overstepping the limits of its jurisdiction.</w:t>
      </w:r>
    </w:p>
    <w:p w14:paraId="777788E0" w14:textId="77777777" w:rsidR="006168EA" w:rsidRPr="00646C52" w:rsidRDefault="006168EA" w:rsidP="006168EA">
      <w:pPr>
        <w:pStyle w:val="Numberedparagraphs"/>
        <w:numPr>
          <w:ilvl w:val="0"/>
          <w:numId w:val="0"/>
        </w:numPr>
        <w:rPr>
          <w:lang w:val="en-US"/>
        </w:rPr>
      </w:pPr>
    </w:p>
    <w:p w14:paraId="3FCAF3A9" w14:textId="77777777" w:rsidR="006168EA" w:rsidRPr="007720B1" w:rsidRDefault="006168EA" w:rsidP="006168EA">
      <w:pPr>
        <w:pStyle w:val="Prrafodelista"/>
        <w:ind w:left="1440"/>
        <w:outlineLvl w:val="0"/>
        <w:rPr>
          <w:rFonts w:ascii="Verdana" w:hAnsi="Verdana"/>
          <w:b/>
          <w:sz w:val="20"/>
          <w:szCs w:val="20"/>
        </w:rPr>
      </w:pPr>
      <w:r w:rsidRPr="007720B1">
        <w:rPr>
          <w:rFonts w:ascii="Verdana" w:hAnsi="Verdana"/>
          <w:b/>
          <w:sz w:val="20"/>
          <w:szCs w:val="20"/>
        </w:rPr>
        <w:t xml:space="preserve">B.2 </w:t>
      </w:r>
      <w:proofErr w:type="spellStart"/>
      <w:r w:rsidRPr="007720B1">
        <w:rPr>
          <w:rFonts w:ascii="Verdana" w:hAnsi="Verdana"/>
          <w:b/>
          <w:sz w:val="20"/>
          <w:szCs w:val="20"/>
        </w:rPr>
        <w:t>Internal</w:t>
      </w:r>
      <w:proofErr w:type="spellEnd"/>
      <w:r w:rsidRPr="007720B1">
        <w:rPr>
          <w:rFonts w:ascii="Verdana" w:hAnsi="Verdana"/>
          <w:b/>
          <w:sz w:val="20"/>
          <w:szCs w:val="20"/>
        </w:rPr>
        <w:t xml:space="preserve"> </w:t>
      </w:r>
      <w:proofErr w:type="spellStart"/>
      <w:r w:rsidRPr="007720B1">
        <w:rPr>
          <w:rFonts w:ascii="Verdana" w:hAnsi="Verdana"/>
          <w:b/>
          <w:sz w:val="20"/>
          <w:szCs w:val="20"/>
        </w:rPr>
        <w:t>context-systematic</w:t>
      </w:r>
      <w:proofErr w:type="spellEnd"/>
      <w:r w:rsidRPr="007720B1">
        <w:rPr>
          <w:rFonts w:ascii="Verdana" w:hAnsi="Verdana"/>
          <w:b/>
          <w:sz w:val="20"/>
          <w:szCs w:val="20"/>
        </w:rPr>
        <w:t xml:space="preserve"> </w:t>
      </w:r>
      <w:proofErr w:type="spellStart"/>
      <w:r w:rsidRPr="007720B1">
        <w:rPr>
          <w:rFonts w:ascii="Verdana" w:hAnsi="Verdana"/>
          <w:b/>
          <w:sz w:val="20"/>
          <w:szCs w:val="20"/>
        </w:rPr>
        <w:t>interpretation</w:t>
      </w:r>
      <w:proofErr w:type="spellEnd"/>
      <w:r w:rsidRPr="007720B1">
        <w:rPr>
          <w:rFonts w:ascii="Verdana" w:hAnsi="Verdana"/>
          <w:b/>
          <w:sz w:val="20"/>
          <w:szCs w:val="20"/>
        </w:rPr>
        <w:t xml:space="preserve"> </w:t>
      </w:r>
    </w:p>
    <w:p w14:paraId="67F25EA7" w14:textId="77777777" w:rsidR="006168EA" w:rsidRPr="00646C52" w:rsidRDefault="006168EA" w:rsidP="006168EA">
      <w:pPr>
        <w:pStyle w:val="Prrafodelista"/>
        <w:ind w:left="1440"/>
        <w:outlineLvl w:val="0"/>
        <w:rPr>
          <w:b/>
        </w:rPr>
      </w:pPr>
    </w:p>
    <w:p w14:paraId="582618B7" w14:textId="77777777" w:rsidR="006168EA" w:rsidRPr="00646C52" w:rsidRDefault="006168EA" w:rsidP="007720B1">
      <w:pPr>
        <w:pStyle w:val="Numberedparagraphs"/>
        <w:numPr>
          <w:ilvl w:val="0"/>
          <w:numId w:val="83"/>
        </w:numPr>
        <w:ind w:left="0" w:firstLine="0"/>
        <w:rPr>
          <w:lang w:val="en-US"/>
        </w:rPr>
      </w:pPr>
      <w:r w:rsidRPr="00646C52">
        <w:rPr>
          <w:lang w:val="en-US"/>
        </w:rPr>
        <w:t>The Court has held that norms should be interpreted as part of a whole, whose meaning and scope must be defined on the basis of the legal system to which they belong.</w:t>
      </w:r>
      <w:r w:rsidRPr="00646C52">
        <w:rPr>
          <w:rStyle w:val="Refdenotaalpie"/>
          <w:lang w:val="en-US"/>
        </w:rPr>
        <w:footnoteReference w:id="520"/>
      </w:r>
      <w:r w:rsidRPr="00646C52">
        <w:rPr>
          <w:lang w:val="en-US"/>
        </w:rPr>
        <w:t xml:space="preserve"> In this regard, the Court has considered that in interpreting a treaty it is not only necessary to take into account all its provisions, but also any agreement or instruments formally related thereto (Article 31, subparagraph 2 of the Vienna Convention), as well as the system within which it is inserted (Article 31, subparagraph 3), that is, the Inter-American System for the Protection of Human Rights.</w:t>
      </w:r>
      <w:r w:rsidRPr="00646C52">
        <w:rPr>
          <w:rStyle w:val="Refdenotaalpie"/>
          <w:lang w:val="en-US"/>
        </w:rPr>
        <w:footnoteReference w:id="521"/>
      </w:r>
      <w:r w:rsidRPr="00646C52">
        <w:rPr>
          <w:lang w:val="en-US"/>
        </w:rPr>
        <w:t xml:space="preserve"> </w:t>
      </w:r>
    </w:p>
    <w:p w14:paraId="488EFB79" w14:textId="77777777" w:rsidR="006168EA" w:rsidRPr="00646C52" w:rsidRDefault="006168EA" w:rsidP="006168EA">
      <w:pPr>
        <w:pStyle w:val="Numberedparagraphs"/>
        <w:numPr>
          <w:ilvl w:val="0"/>
          <w:numId w:val="0"/>
        </w:numPr>
        <w:rPr>
          <w:lang w:val="en-US"/>
        </w:rPr>
      </w:pPr>
    </w:p>
    <w:p w14:paraId="30522660" w14:textId="77777777" w:rsidR="006168EA" w:rsidRPr="00646C52" w:rsidRDefault="006168EA" w:rsidP="007720B1">
      <w:pPr>
        <w:pStyle w:val="Numberedparagraphs"/>
        <w:numPr>
          <w:ilvl w:val="0"/>
          <w:numId w:val="83"/>
        </w:numPr>
        <w:ind w:left="0" w:firstLine="0"/>
        <w:rPr>
          <w:lang w:val="en-US"/>
        </w:rPr>
      </w:pPr>
      <w:r w:rsidRPr="00646C52">
        <w:rPr>
          <w:lang w:val="en-US"/>
        </w:rPr>
        <w:t>As to the rest of the provisions of the Convention, the Court has indicated that Article 26 is embodied in Chapter III of the Convention, entitled “Economic, Social and  Cultural Rights”, but is also included in Part I of that instrument, entitled “State Obligations and Rights Protected;” therefore, it is subject to the general obligations contained in Articles 1(1) and 2 of Chapter I (entitled “General Obligations”), as well as Articles 3 to 25 included in Chapter II (entitled “Civil and Political Rights”). Accordingly, the Court has considered that the general obligations of “respect” and “guarantee,” together with the obligation to “adopt” in Article 2 of the Convention, applies to all rights, whether civil, political, economic, social, cultural or environmental.</w:t>
      </w:r>
      <w:r w:rsidRPr="00646C52">
        <w:rPr>
          <w:rStyle w:val="Refdenotaalpie"/>
          <w:lang w:val="en-US"/>
        </w:rPr>
        <w:footnoteReference w:id="522"/>
      </w:r>
    </w:p>
    <w:p w14:paraId="5A970D69" w14:textId="77777777" w:rsidR="006168EA" w:rsidRPr="00646C52" w:rsidRDefault="006168EA" w:rsidP="006168EA">
      <w:pPr>
        <w:ind w:left="1440" w:hanging="360"/>
      </w:pPr>
    </w:p>
    <w:p w14:paraId="6FEA5B7E" w14:textId="77777777" w:rsidR="006168EA" w:rsidRPr="00646C52" w:rsidRDefault="006168EA" w:rsidP="007720B1">
      <w:pPr>
        <w:pStyle w:val="Numberedparagraphs"/>
        <w:numPr>
          <w:ilvl w:val="0"/>
          <w:numId w:val="83"/>
        </w:numPr>
        <w:ind w:left="0" w:firstLine="0"/>
        <w:rPr>
          <w:lang w:val="en-US"/>
        </w:rPr>
      </w:pPr>
      <w:r w:rsidRPr="00646C52">
        <w:rPr>
          <w:lang w:val="en-US"/>
        </w:rPr>
        <w:t>This does not imply an interpretation of the direct enforceability of a particular right, in its individual dimension, nor does it grant the Court competence for its judicialization. What the preceding paragraph establishes is simply that the provisions of Articles 1(1) and 2 of the Convention also apply to the obligation of progressive development of rights; that is, to the progressive aspect of the rights that could be derived from the OAS Charter, which implies the adoption of measures, either legislative or other types of measures, to achieve the progressive development of ESCER. The manner in which the violation of these rights operates in conjunction with the obligations to guarantee and respect, must be analyzed by this Court in each specific case.</w:t>
      </w:r>
    </w:p>
    <w:p w14:paraId="0CC4F5A0" w14:textId="77777777" w:rsidR="006168EA" w:rsidRPr="00646C52" w:rsidRDefault="006168EA" w:rsidP="006168EA">
      <w:pPr>
        <w:pStyle w:val="Prrafodelista"/>
        <w:ind w:left="1440"/>
        <w:rPr>
          <w:rFonts w:eastAsia="Times" w:cs="Arial"/>
        </w:rPr>
      </w:pPr>
    </w:p>
    <w:p w14:paraId="7B0FB08C"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 xml:space="preserve">Furthermore, a systematic interpretation of Article 26 of the Convention cannot ignore the </w:t>
      </w:r>
      <w:r w:rsidRPr="00646C52">
        <w:rPr>
          <w:lang w:val="en-US"/>
        </w:rPr>
        <w:t>Protocol of San Salvador adopted on November 17, 1988, and in force since November 16, 1999.</w:t>
      </w:r>
      <w:r w:rsidRPr="00646C52">
        <w:rPr>
          <w:rStyle w:val="Refdenotaalpie"/>
          <w:lang w:val="en-US"/>
        </w:rPr>
        <w:footnoteReference w:id="523"/>
      </w:r>
      <w:r w:rsidRPr="00646C52">
        <w:rPr>
          <w:lang w:val="en-US"/>
        </w:rPr>
        <w:t xml:space="preserve"> With regard to the nature of protocols, it should be recalled that in international public law these </w:t>
      </w:r>
      <w:r w:rsidRPr="00646C52">
        <w:rPr>
          <w:lang w:val="en-US"/>
        </w:rPr>
        <w:lastRenderedPageBreak/>
        <w:t>are separate but supplementary agreements to a treaty that add, clarify, amend or supplement the procedural or substantial content thereof. The existence of a protocol is directly linked to the existence of the treaty; in other words, without a foundation treaty there can be no protocol.</w:t>
      </w:r>
      <w:r w:rsidRPr="00646C52">
        <w:rPr>
          <w:rStyle w:val="Refdenotaalpie"/>
          <w:lang w:val="en-US"/>
        </w:rPr>
        <w:footnoteReference w:id="524"/>
      </w:r>
      <w:r w:rsidRPr="00646C52">
        <w:rPr>
          <w:lang w:val="en-US"/>
        </w:rPr>
        <w:t xml:space="preserve"> In this sense, the American Convention should not be interpreted in isolation, without taking into account its Protocol, given that these are complementary instruments that should be read and interpreted jointly.</w:t>
      </w:r>
    </w:p>
    <w:p w14:paraId="23F4D842" w14:textId="77777777" w:rsidR="006168EA" w:rsidRPr="00646C52" w:rsidRDefault="006168EA" w:rsidP="006168EA">
      <w:pPr>
        <w:pStyle w:val="Prrafodelista"/>
        <w:ind w:left="1440"/>
        <w:rPr>
          <w:rFonts w:eastAsia="Times" w:cs="Arial"/>
        </w:rPr>
      </w:pPr>
    </w:p>
    <w:p w14:paraId="031916F3"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 xml:space="preserve">That said, based on Article 77(1) of the Convention, the States Parties adopted the </w:t>
      </w:r>
      <w:r w:rsidRPr="00646C52">
        <w:rPr>
          <w:lang w:val="en-US"/>
        </w:rPr>
        <w:t>Protocol of San Salvador</w:t>
      </w:r>
      <w:r w:rsidRPr="00646C52">
        <w:rPr>
          <w:rFonts w:eastAsia="Times" w:cs="Arial"/>
          <w:lang w:val="en-US"/>
        </w:rPr>
        <w:t xml:space="preserve"> with a view to “</w:t>
      </w:r>
      <w:r w:rsidRPr="00646C52">
        <w:rPr>
          <w:spacing w:val="-3"/>
          <w:lang w:val="en-US"/>
        </w:rPr>
        <w:t>gradually including other rights and freedoms within its system of protection,</w:t>
      </w:r>
      <w:r w:rsidRPr="00646C52">
        <w:rPr>
          <w:lang w:val="en-US"/>
        </w:rPr>
        <w:t xml:space="preserve">” this being understood as other rights and freedoms </w:t>
      </w:r>
      <w:r w:rsidRPr="00646C52">
        <w:rPr>
          <w:i/>
          <w:lang w:val="en-US"/>
        </w:rPr>
        <w:t>not</w:t>
      </w:r>
      <w:r w:rsidRPr="00646C52">
        <w:rPr>
          <w:lang w:val="en-US"/>
        </w:rPr>
        <w:t xml:space="preserve"> established in the Convention. In other words, the Protocol was adopted in order to establish, in a clear and precise manner, a catalogue of economic, social, cultural and environmental rights that were not expressly recognized in the American Convention, although some of these could be derived from the Charter, as mentioned previously </w:t>
      </w:r>
      <w:r w:rsidRPr="00646C52">
        <w:rPr>
          <w:i/>
          <w:lang w:val="en-US"/>
        </w:rPr>
        <w:t>supra</w:t>
      </w:r>
      <w:r w:rsidRPr="00646C52">
        <w:rPr>
          <w:lang w:val="en-US"/>
        </w:rPr>
        <w:t>. However, although the Protocol establishes a clearer catalogue of ESCER, this does not mean that this Court has jurisdiction to examine violations of any of its articles. On the contrary, Article 19(6) of the Protocol clearly stipulates that the only rights that can be subject to supervision through the mechanism of individual petitions are “</w:t>
      </w:r>
      <w:r w:rsidRPr="00646C52">
        <w:rPr>
          <w:rFonts w:cs="Tahoma"/>
          <w:shd w:val="clear" w:color="auto" w:fill="FFFFFF"/>
          <w:lang w:val="en-US"/>
        </w:rPr>
        <w:t xml:space="preserve">the rights established in paragraph a) of Article 8 and in Article 13.” Thus, it is </w:t>
      </w:r>
      <w:r w:rsidRPr="00646C52">
        <w:rPr>
          <w:lang w:val="en-US"/>
        </w:rPr>
        <w:t>through the Protocol of San Salvador that the States of the region have, for the first time, defined those ESCER that may be directly justiciable, in their individual dimension, in specific cases.</w:t>
      </w:r>
    </w:p>
    <w:p w14:paraId="749219E1" w14:textId="77777777" w:rsidR="006168EA" w:rsidRPr="00646C52" w:rsidRDefault="006168EA" w:rsidP="006168EA">
      <w:pPr>
        <w:pStyle w:val="Numberedparagraphs"/>
        <w:numPr>
          <w:ilvl w:val="0"/>
          <w:numId w:val="0"/>
        </w:numPr>
        <w:rPr>
          <w:lang w:val="en-US"/>
        </w:rPr>
      </w:pPr>
    </w:p>
    <w:p w14:paraId="23F7B006"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 xml:space="preserve">Although the Court’s jurisdiction in relation to Article 26 refers solely to direct </w:t>
      </w:r>
      <w:r w:rsidRPr="00646C52">
        <w:rPr>
          <w:lang w:val="en-US"/>
        </w:rPr>
        <w:t>supervision of compliance with the obligation of progressive development and its correlative duty of non-retrogression of rights that could be derived from the Charter, the Protocol of San Salvador supplements the substance, and especially the procedural content, of the Convention. It does so by granting, for the first time, jurisdiction</w:t>
      </w:r>
      <w:r w:rsidRPr="00646C52">
        <w:rPr>
          <w:rFonts w:eastAsia="Times" w:cs="Arial"/>
          <w:lang w:val="en-US"/>
        </w:rPr>
        <w:t xml:space="preserve"> to </w:t>
      </w:r>
      <w:r w:rsidRPr="00646C52">
        <w:rPr>
          <w:lang w:val="en-US"/>
        </w:rPr>
        <w:t xml:space="preserve">the Commission and to the Court to hear contentious cases involving the violation of certain trade union rights and the right to education, in specific cases concerning the individual dimension. Such jurisdiction is not established in the Convention. In other words, the Protocol not only incorporates ESCER more specifically, but also expands the sphere of their protection, particularly for the States parties. Thus, </w:t>
      </w:r>
      <w:r w:rsidRPr="00646C52">
        <w:rPr>
          <w:rFonts w:eastAsia="Batang" w:cs="Arial"/>
          <w:iCs/>
          <w:lang w:val="en-US"/>
        </w:rPr>
        <w:t>Article 19(6) of the Protocol should not be seen as contradictory</w:t>
      </w:r>
      <w:r w:rsidRPr="00646C52">
        <w:rPr>
          <w:lang w:val="en-US"/>
        </w:rPr>
        <w:t xml:space="preserve"> to the provisions of Article 26 of the American Convention, but rather as complementary, given that, as mentioned previously, the latter does not grant the Court jurisdiction to analyze violations of economic, social, cultural and environmental rights in their individual dimension, but only in the context of the obligation of progressive development. Thus, the Protocol does not modify the American Convention in the sense of weakening its jurisdiction in relation to Article 26 with regard to the individual dimension of ESCER, because this was never granted in the Convention. Rather, the Protocol grants jurisdiction for the first time in relation to the two articles previously cited.</w:t>
      </w:r>
    </w:p>
    <w:p w14:paraId="70289425" w14:textId="77777777" w:rsidR="006168EA" w:rsidRPr="00646C52" w:rsidRDefault="006168EA" w:rsidP="006168EA">
      <w:pPr>
        <w:pStyle w:val="Numberedparagraphs"/>
        <w:numPr>
          <w:ilvl w:val="0"/>
          <w:numId w:val="0"/>
        </w:numPr>
        <w:rPr>
          <w:lang w:val="en-US"/>
        </w:rPr>
      </w:pPr>
    </w:p>
    <w:p w14:paraId="5FC83199" w14:textId="77777777" w:rsidR="006168EA" w:rsidRPr="00646C52" w:rsidRDefault="006168EA" w:rsidP="007720B1">
      <w:pPr>
        <w:pStyle w:val="Numberedparagraphs"/>
        <w:numPr>
          <w:ilvl w:val="0"/>
          <w:numId w:val="83"/>
        </w:numPr>
        <w:ind w:left="0" w:firstLine="0"/>
        <w:rPr>
          <w:lang w:val="en-US"/>
        </w:rPr>
      </w:pPr>
      <w:r w:rsidRPr="00646C52">
        <w:rPr>
          <w:lang w:val="en-US"/>
        </w:rPr>
        <w:t>That said, it is important to point out that the rights recognized by the Protocol and the obligations of the States Parties derived therefrom, are separate to the fact that the Court has jurisdiction to declare violations within the context of its contentious role. Simply put, in order to monitor compliance with these rights the States devised other mechanisms, such as those established in the other subparagraphs of Article 19 of the Protocol.</w:t>
      </w:r>
    </w:p>
    <w:p w14:paraId="1E2392A0" w14:textId="77777777" w:rsidR="006168EA" w:rsidRPr="00646C52" w:rsidRDefault="006168EA" w:rsidP="006168EA">
      <w:pPr>
        <w:pStyle w:val="Prrafodelista"/>
        <w:ind w:left="1440"/>
      </w:pPr>
    </w:p>
    <w:p w14:paraId="55BCC802" w14:textId="77777777" w:rsidR="006168EA" w:rsidRPr="00646C52" w:rsidRDefault="006168EA" w:rsidP="007720B1">
      <w:pPr>
        <w:pStyle w:val="Numberedparagraphs"/>
        <w:numPr>
          <w:ilvl w:val="0"/>
          <w:numId w:val="83"/>
        </w:numPr>
        <w:ind w:left="0" w:firstLine="0"/>
        <w:rPr>
          <w:lang w:val="en-US"/>
        </w:rPr>
      </w:pPr>
      <w:r w:rsidRPr="00646C52">
        <w:rPr>
          <w:lang w:val="en-US"/>
        </w:rPr>
        <w:t>Based on the foregoing, I consider that the Court can hear contentious cases in which a violation is alleged of the obligation of progressive development of rights that could be derived from the Charter, by virtue of Article 26 of the Convention, as well as those cases in which a violation of Articles 8(a) and 13 of the Protocol is alleged.</w:t>
      </w:r>
    </w:p>
    <w:p w14:paraId="4EAFFCD8" w14:textId="77777777" w:rsidR="006168EA" w:rsidRPr="007720B1" w:rsidRDefault="006168EA" w:rsidP="006168EA">
      <w:pPr>
        <w:pStyle w:val="Prrafodelista"/>
        <w:ind w:left="1440"/>
        <w:outlineLvl w:val="0"/>
        <w:rPr>
          <w:rFonts w:ascii="Verdana" w:hAnsi="Verdana"/>
          <w:b/>
          <w:sz w:val="20"/>
          <w:szCs w:val="20"/>
        </w:rPr>
      </w:pPr>
      <w:r w:rsidRPr="007720B1">
        <w:rPr>
          <w:rFonts w:ascii="Verdana" w:hAnsi="Verdana"/>
          <w:b/>
          <w:sz w:val="20"/>
          <w:szCs w:val="20"/>
        </w:rPr>
        <w:lastRenderedPageBreak/>
        <w:t xml:space="preserve">B.3 </w:t>
      </w:r>
      <w:proofErr w:type="spellStart"/>
      <w:r w:rsidRPr="007720B1">
        <w:rPr>
          <w:rFonts w:ascii="Verdana" w:hAnsi="Verdana"/>
          <w:b/>
          <w:sz w:val="20"/>
          <w:szCs w:val="20"/>
        </w:rPr>
        <w:t>Teleological</w:t>
      </w:r>
      <w:proofErr w:type="spellEnd"/>
      <w:r w:rsidRPr="007720B1">
        <w:rPr>
          <w:rFonts w:ascii="Verdana" w:hAnsi="Verdana"/>
          <w:b/>
          <w:sz w:val="20"/>
          <w:szCs w:val="20"/>
        </w:rPr>
        <w:t xml:space="preserve"> </w:t>
      </w:r>
      <w:proofErr w:type="spellStart"/>
      <w:r w:rsidRPr="007720B1">
        <w:rPr>
          <w:rFonts w:ascii="Verdana" w:hAnsi="Verdana"/>
          <w:b/>
          <w:sz w:val="20"/>
          <w:szCs w:val="20"/>
        </w:rPr>
        <w:t>Interpretation</w:t>
      </w:r>
      <w:proofErr w:type="spellEnd"/>
    </w:p>
    <w:p w14:paraId="5083BE03" w14:textId="77777777" w:rsidR="006168EA" w:rsidRPr="00646C52" w:rsidRDefault="006168EA" w:rsidP="006168EA">
      <w:pPr>
        <w:pStyle w:val="Prrafodelista"/>
        <w:ind w:left="1440"/>
        <w:rPr>
          <w:rFonts w:eastAsia="Times" w:cs="Arial"/>
        </w:rPr>
      </w:pPr>
    </w:p>
    <w:p w14:paraId="691D673B"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 xml:space="preserve">It is useful to recall that a teleological interpretation seeks to analyze </w:t>
      </w:r>
      <w:r w:rsidRPr="00646C52">
        <w:rPr>
          <w:lang w:val="en-US"/>
        </w:rPr>
        <w:t>the purpose of a particular norm. To this end, it is pertinent to examine the object and purpose of the treaty itself and, if applicable, to analyze the purpose of the regional protection system</w:t>
      </w:r>
      <w:r w:rsidRPr="00646C52">
        <w:rPr>
          <w:rFonts w:eastAsia="Times" w:cs="Arial"/>
          <w:lang w:val="en-US"/>
        </w:rPr>
        <w:t>.</w:t>
      </w:r>
      <w:r w:rsidRPr="00646C52">
        <w:rPr>
          <w:rStyle w:val="Refdenotaalpie"/>
          <w:rFonts w:eastAsia="Times"/>
          <w:lang w:val="en-US"/>
        </w:rPr>
        <w:footnoteReference w:id="525"/>
      </w:r>
      <w:r w:rsidRPr="00646C52">
        <w:rPr>
          <w:rFonts w:eastAsia="Times" w:cs="Arial"/>
          <w:lang w:val="en-US"/>
        </w:rPr>
        <w:t xml:space="preserve"> As the Court has indicated, the </w:t>
      </w:r>
      <w:r w:rsidRPr="00646C52">
        <w:rPr>
          <w:lang w:val="en-US"/>
        </w:rPr>
        <w:t>object and purpose of the American Convention is “the protection of the fundamental rights of human beings.” Likewise</w:t>
      </w:r>
      <w:r w:rsidRPr="00646C52">
        <w:rPr>
          <w:rFonts w:eastAsia="Times" w:cs="Arial"/>
          <w:lang w:val="en-US"/>
        </w:rPr>
        <w:t xml:space="preserve">, </w:t>
      </w:r>
      <w:r w:rsidRPr="00646C52">
        <w:rPr>
          <w:lang w:val="en-US"/>
        </w:rPr>
        <w:t>the American Convention expressly contemplates certain interpretation guidelines set forth in Article 29,</w:t>
      </w:r>
      <w:r w:rsidRPr="00646C52">
        <w:rPr>
          <w:rStyle w:val="Refdenotaalpie"/>
          <w:lang w:val="en-US"/>
        </w:rPr>
        <w:footnoteReference w:id="526"/>
      </w:r>
      <w:r w:rsidRPr="00646C52">
        <w:rPr>
          <w:lang w:val="en-US"/>
        </w:rPr>
        <w:t xml:space="preserve"> including the </w:t>
      </w:r>
      <w:r w:rsidRPr="00646C52">
        <w:rPr>
          <w:i/>
          <w:lang w:val="en-US"/>
        </w:rPr>
        <w:t xml:space="preserve">pro personae </w:t>
      </w:r>
      <w:r w:rsidRPr="00646C52">
        <w:rPr>
          <w:lang w:val="en-US"/>
        </w:rPr>
        <w:t>principle.</w:t>
      </w:r>
    </w:p>
    <w:p w14:paraId="280E4316" w14:textId="77777777" w:rsidR="006168EA" w:rsidRPr="00646C52" w:rsidRDefault="006168EA" w:rsidP="006168EA">
      <w:pPr>
        <w:pStyle w:val="Numberedparagraphs"/>
        <w:numPr>
          <w:ilvl w:val="0"/>
          <w:numId w:val="0"/>
        </w:numPr>
        <w:rPr>
          <w:lang w:val="en-US"/>
        </w:rPr>
      </w:pPr>
    </w:p>
    <w:p w14:paraId="4630781C"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However, with regard to an interpretation based on the object and purpose of the American Convention, and the </w:t>
      </w:r>
      <w:r w:rsidRPr="00646C52">
        <w:rPr>
          <w:i/>
          <w:lang w:val="en-US"/>
        </w:rPr>
        <w:t xml:space="preserve">pro personae </w:t>
      </w:r>
      <w:r w:rsidRPr="00646C52">
        <w:rPr>
          <w:lang w:val="en-US"/>
        </w:rPr>
        <w:t>principle, it is important to emphasize that in its interpretative work, the Court should not consider this approach in isolation, but in conjunction with the other methods of interpretation. Thus, although the object and purpose of the American Convention is “the protection of the fundamental rights of human beings,” that object is to be understood as being within the limits set by the treaty itself and in accordance with the guarantees recognized therein.</w:t>
      </w:r>
      <w:r w:rsidRPr="00646C52">
        <w:rPr>
          <w:rStyle w:val="Refdenotaalpie"/>
          <w:lang w:val="en-US"/>
        </w:rPr>
        <w:footnoteReference w:id="527"/>
      </w:r>
      <w:r w:rsidRPr="00646C52">
        <w:rPr>
          <w:lang w:val="en-US"/>
        </w:rPr>
        <w:t xml:space="preserve"> </w:t>
      </w:r>
    </w:p>
    <w:p w14:paraId="4C7CB133" w14:textId="77777777" w:rsidR="006168EA" w:rsidRPr="00646C52" w:rsidRDefault="006168EA" w:rsidP="006168EA">
      <w:pPr>
        <w:pStyle w:val="Prrafodelista"/>
        <w:ind w:left="1440"/>
        <w:rPr>
          <w:rFonts w:eastAsia="Times" w:cs="Arial"/>
        </w:rPr>
      </w:pPr>
    </w:p>
    <w:p w14:paraId="66A6C200"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The </w:t>
      </w:r>
      <w:r w:rsidRPr="00646C52">
        <w:rPr>
          <w:i/>
          <w:lang w:val="en-US"/>
        </w:rPr>
        <w:t xml:space="preserve">pro personae </w:t>
      </w:r>
      <w:r w:rsidRPr="00646C52">
        <w:rPr>
          <w:lang w:val="en-US"/>
        </w:rPr>
        <w:t xml:space="preserve">principle, in turn, implies that in interpreting a treaty provision, precedence should be given to applying the rule that gives the greatest protection to the rights of the individual and/or interpreting those rights in a broad manner that favors him or her. However, the application of this principle cannot displace the use of other interpretation methods, nor can it disregard their results, since all of these must be understood as a whole. Otherwise, the unrestricted application of the </w:t>
      </w:r>
      <w:r w:rsidRPr="00646C52">
        <w:rPr>
          <w:i/>
          <w:lang w:val="en-US"/>
        </w:rPr>
        <w:t xml:space="preserve">pro personae </w:t>
      </w:r>
      <w:r w:rsidRPr="00646C52">
        <w:rPr>
          <w:lang w:val="en-US"/>
        </w:rPr>
        <w:t>principle would lead to the invalidation of the interpreter's actions</w:t>
      </w:r>
      <w:r w:rsidRPr="00646C52">
        <w:t>.</w:t>
      </w:r>
      <w:r w:rsidRPr="00646C52">
        <w:rPr>
          <w:rStyle w:val="Refdenotaalpie"/>
          <w:lang w:val="en-US"/>
        </w:rPr>
        <w:footnoteReference w:id="528"/>
      </w:r>
    </w:p>
    <w:p w14:paraId="266D56FD" w14:textId="77777777" w:rsidR="006168EA" w:rsidRPr="00646C52" w:rsidRDefault="006168EA" w:rsidP="006168EA">
      <w:pPr>
        <w:pStyle w:val="Prrafodelista"/>
        <w:ind w:left="1440"/>
        <w:rPr>
          <w:rFonts w:eastAsia="Times" w:cs="Arial"/>
        </w:rPr>
      </w:pPr>
    </w:p>
    <w:p w14:paraId="4BAEEB58"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 xml:space="preserve">From the aforementioned interpretation </w:t>
      </w:r>
      <w:proofErr w:type="gramStart"/>
      <w:r w:rsidRPr="00646C52">
        <w:rPr>
          <w:rFonts w:eastAsia="Times" w:cs="Arial"/>
          <w:lang w:val="en-US"/>
        </w:rPr>
        <w:t>methods</w:t>
      </w:r>
      <w:proofErr w:type="gramEnd"/>
      <w:r w:rsidRPr="00646C52">
        <w:rPr>
          <w:rFonts w:eastAsia="Times" w:cs="Arial"/>
          <w:lang w:val="en-US"/>
        </w:rPr>
        <w:t xml:space="preserve"> it is clear that the Convention does not grant the organs of the inter-American system the jurisdiction to directly protect ESCER in their individual dimension; thus, neither the object and purpose of the Convention nor the </w:t>
      </w:r>
      <w:r w:rsidRPr="00646C52">
        <w:rPr>
          <w:rFonts w:eastAsia="Times" w:cs="Arial"/>
          <w:i/>
          <w:lang w:val="en-US"/>
        </w:rPr>
        <w:t>pro personae principle</w:t>
      </w:r>
      <w:r w:rsidRPr="00646C52">
        <w:rPr>
          <w:rFonts w:eastAsia="Times" w:cs="Arial"/>
          <w:lang w:val="en-US"/>
        </w:rPr>
        <w:t xml:space="preserve"> may be used to arrive at a different result. These cannot be used </w:t>
      </w:r>
      <w:r w:rsidRPr="00646C52">
        <w:rPr>
          <w:lang w:val="en-US"/>
        </w:rPr>
        <w:t>to validate an interpretative option that is not apparent from the rule itself and that, on the contrary, implies a modification thereof.</w:t>
      </w:r>
      <w:r w:rsidRPr="00646C52">
        <w:rPr>
          <w:rFonts w:eastAsia="Times" w:cs="Arial"/>
          <w:lang w:val="en-US"/>
        </w:rPr>
        <w:t xml:space="preserve"> In this case we are not contemplating </w:t>
      </w:r>
      <w:r w:rsidRPr="00646C52">
        <w:rPr>
          <w:lang w:val="en-US"/>
        </w:rPr>
        <w:t xml:space="preserve">a more protective or guarantee-oriented interpretation of the rule that allows for the application of the </w:t>
      </w:r>
      <w:r w:rsidRPr="00646C52">
        <w:rPr>
          <w:i/>
          <w:lang w:val="en-US"/>
        </w:rPr>
        <w:t xml:space="preserve">pro personae </w:t>
      </w:r>
      <w:r w:rsidRPr="00646C52">
        <w:rPr>
          <w:lang w:val="en-US"/>
        </w:rPr>
        <w:t xml:space="preserve">principle, since this must be applied when the Court is confronted with two possible valid and true interpretations of a conventional precept. Indeed, the direct justiciability of ESCER as individual rights, based on Article 26 of the Convention, is not a valid interpretation, given that, what is being attempted is to infer </w:t>
      </w:r>
      <w:r w:rsidRPr="00646C52">
        <w:rPr>
          <w:lang w:val="en-US"/>
        </w:rPr>
        <w:lastRenderedPageBreak/>
        <w:t>an interpretive principle that does not correspond to the provision interpreted.</w:t>
      </w:r>
      <w:r w:rsidRPr="00646C52">
        <w:rPr>
          <w:rStyle w:val="Refdenotaalpie"/>
          <w:lang w:val="en-US"/>
        </w:rPr>
        <w:footnoteReference w:id="529"/>
      </w:r>
      <w:r w:rsidRPr="00646C52">
        <w:rPr>
          <w:lang w:val="en-US"/>
        </w:rPr>
        <w:t xml:space="preserve"> Therefore</w:t>
      </w:r>
      <w:r w:rsidRPr="00646C52">
        <w:rPr>
          <w:rFonts w:eastAsia="Times" w:cs="Arial"/>
          <w:lang w:val="en-US"/>
        </w:rPr>
        <w:t xml:space="preserve">, </w:t>
      </w:r>
      <w:r w:rsidRPr="00646C52">
        <w:rPr>
          <w:lang w:val="en-US"/>
        </w:rPr>
        <w:t>the Inter-American Court cannot assume jurisdiction for the alleged violation of a right or freedom not included in the protection system of the American Convention or in the Protocol of San Salvador.</w:t>
      </w:r>
      <w:bookmarkStart w:id="153" w:name="_Ref319668062"/>
    </w:p>
    <w:p w14:paraId="10877B18" w14:textId="77777777" w:rsidR="006168EA" w:rsidRPr="00646C52" w:rsidRDefault="006168EA" w:rsidP="006168EA">
      <w:pPr>
        <w:pStyle w:val="Numberedparagraphs"/>
        <w:numPr>
          <w:ilvl w:val="0"/>
          <w:numId w:val="0"/>
        </w:numPr>
        <w:rPr>
          <w:lang w:val="en-US"/>
        </w:rPr>
      </w:pPr>
    </w:p>
    <w:p w14:paraId="3889FF51" w14:textId="77777777" w:rsidR="006168EA" w:rsidRPr="00646C52" w:rsidRDefault="006168EA" w:rsidP="007720B1">
      <w:pPr>
        <w:pStyle w:val="Numberedparagraphs"/>
        <w:numPr>
          <w:ilvl w:val="0"/>
          <w:numId w:val="83"/>
        </w:numPr>
        <w:ind w:left="0" w:firstLine="0"/>
        <w:rPr>
          <w:lang w:val="en-US"/>
        </w:rPr>
      </w:pPr>
      <w:r w:rsidRPr="00646C52">
        <w:rPr>
          <w:lang w:val="en-US"/>
        </w:rPr>
        <w:t>With regard to the evolutive interpretation, the Court has reiterated that human rights treaties are living instruments, whose interpretation must go hand in hand with evolving times and current living conditions. Thus, an evolutive interpretation is consistent with the general rules of interpretation established in Article 29 of the American Convention, as well as those established in the Vienna Convention on the Law of Treaties</w:t>
      </w:r>
      <w:bookmarkStart w:id="154" w:name="_Ref318188457"/>
      <w:r w:rsidRPr="00646C52">
        <w:rPr>
          <w:lang w:val="en-US"/>
        </w:rPr>
        <w:t>.</w:t>
      </w:r>
      <w:r w:rsidRPr="00646C52">
        <w:rPr>
          <w:rStyle w:val="Refdenotaalpie"/>
          <w:lang w:val="en-US"/>
        </w:rPr>
        <w:footnoteReference w:id="530"/>
      </w:r>
      <w:bookmarkEnd w:id="153"/>
      <w:bookmarkEnd w:id="154"/>
    </w:p>
    <w:p w14:paraId="211497BA" w14:textId="77777777" w:rsidR="006168EA" w:rsidRPr="00646C52" w:rsidRDefault="006168EA" w:rsidP="006168EA">
      <w:pPr>
        <w:pStyle w:val="Prrafodelista"/>
        <w:ind w:left="1440"/>
      </w:pPr>
    </w:p>
    <w:p w14:paraId="2E0D711F"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However, this method of interpretation cannot be invoked to add rights to the protection system of the Convention or to grant the Court jurisdiction where it does not have it. The appropriate sphere for its application is in the evolutive interpretation of an existing right or freedom, or of a State obligation, already included in the protection system of the Convention or in the Protocol, but in a different and generally broader sense than originally envisaged by its authors, as the Court has done on different occasions, especially when defining or expanding the content of the rights recognized in the Convention, with recourse to the international </w:t>
      </w:r>
      <w:r w:rsidRPr="00646C52">
        <w:rPr>
          <w:i/>
          <w:lang w:val="en-US"/>
        </w:rPr>
        <w:t xml:space="preserve">corpus </w:t>
      </w:r>
      <w:proofErr w:type="spellStart"/>
      <w:r w:rsidRPr="00646C52">
        <w:rPr>
          <w:i/>
          <w:lang w:val="en-US"/>
        </w:rPr>
        <w:t>iuris</w:t>
      </w:r>
      <w:proofErr w:type="spellEnd"/>
      <w:r w:rsidRPr="00646C52">
        <w:rPr>
          <w:lang w:val="en-US"/>
        </w:rPr>
        <w:t>. An example of this is the inclusion of “gender orientation” in the reference to “any other social condition” as one of the grounds for discrimination prohibited by Article 1(1) of the Convention.</w:t>
      </w:r>
      <w:r w:rsidRPr="00646C52">
        <w:rPr>
          <w:rStyle w:val="Refdenotaalpie"/>
          <w:lang w:val="en-US"/>
        </w:rPr>
        <w:footnoteReference w:id="531"/>
      </w:r>
      <w:r w:rsidRPr="00646C52">
        <w:rPr>
          <w:lang w:val="en-US"/>
        </w:rPr>
        <w:t xml:space="preserve"> </w:t>
      </w:r>
    </w:p>
    <w:p w14:paraId="54B96EBA" w14:textId="77777777" w:rsidR="006168EA" w:rsidRPr="00646C52" w:rsidRDefault="006168EA" w:rsidP="006168EA">
      <w:pPr>
        <w:pStyle w:val="Prrafodelista"/>
        <w:ind w:left="1440"/>
        <w:rPr>
          <w:rFonts w:eastAsia="Times" w:cs="Arial"/>
        </w:rPr>
      </w:pPr>
    </w:p>
    <w:p w14:paraId="68D9C5D0"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 xml:space="preserve">At the same time, the Court recalls that, under Article 32 of the Vienna Convention, </w:t>
      </w:r>
      <w:r w:rsidRPr="00646C52">
        <w:rPr>
          <w:rFonts w:cs="Arial"/>
          <w:color w:val="222222"/>
          <w:shd w:val="clear" w:color="auto" w:fill="FFFFFF"/>
          <w:lang w:val="en-US"/>
        </w:rPr>
        <w:t>supplementary means of interpretation, especially the preparatory work of the treaty</w:t>
      </w:r>
      <w:r w:rsidRPr="00646C52">
        <w:rPr>
          <w:rFonts w:eastAsia="Times" w:cs="Arial"/>
          <w:lang w:val="en-US"/>
        </w:rPr>
        <w:t xml:space="preserve">, may be used to confirm the meaning </w:t>
      </w:r>
      <w:r w:rsidRPr="00646C52">
        <w:rPr>
          <w:rFonts w:cs="Arial"/>
          <w:color w:val="222222"/>
          <w:shd w:val="clear" w:color="auto" w:fill="FFFFFF"/>
          <w:lang w:val="en-US"/>
        </w:rPr>
        <w:t>resulting from the application of </w:t>
      </w:r>
      <w:r w:rsidRPr="00646C52">
        <w:rPr>
          <w:rFonts w:eastAsia="Times" w:cs="Arial"/>
          <w:lang w:val="en-US"/>
        </w:rPr>
        <w:t>the methods mentioned in Article 31. This implies that they are used in a subsidiary manner.</w:t>
      </w:r>
      <w:r w:rsidRPr="00646C52">
        <w:rPr>
          <w:rStyle w:val="Refdenotaalpie"/>
          <w:rFonts w:eastAsia="Times" w:cs="Arial"/>
          <w:lang w:val="en-US"/>
        </w:rPr>
        <w:footnoteReference w:id="532"/>
      </w:r>
      <w:r w:rsidRPr="00646C52">
        <w:rPr>
          <w:rFonts w:eastAsia="Times" w:cs="Arial"/>
          <w:lang w:val="en-US"/>
        </w:rPr>
        <w:t xml:space="preserve"> I note that the </w:t>
      </w:r>
      <w:r w:rsidRPr="00646C52">
        <w:rPr>
          <w:rFonts w:cs="Cambria"/>
          <w:lang w:val="en-US"/>
        </w:rPr>
        <w:t xml:space="preserve">characterization of the debate on the inclusion and scope of Article 26 since the judgment in the case </w:t>
      </w:r>
      <w:r w:rsidRPr="00646C52">
        <w:rPr>
          <w:rFonts w:cs="Cambria"/>
          <w:i/>
          <w:lang w:val="en-US"/>
        </w:rPr>
        <w:t xml:space="preserve">Acevedo </w:t>
      </w:r>
      <w:proofErr w:type="spellStart"/>
      <w:r w:rsidRPr="00646C52">
        <w:rPr>
          <w:rFonts w:cs="Cambria"/>
          <w:i/>
          <w:lang w:val="en-US"/>
        </w:rPr>
        <w:t>Buendía</w:t>
      </w:r>
      <w:proofErr w:type="spellEnd"/>
      <w:r w:rsidRPr="00646C52">
        <w:rPr>
          <w:rFonts w:cs="Cambria"/>
          <w:i/>
          <w:lang w:val="en-US"/>
        </w:rPr>
        <w:t xml:space="preserve"> et al. v. Peru </w:t>
      </w:r>
      <w:r w:rsidRPr="00646C52">
        <w:rPr>
          <w:rFonts w:cs="Cambria"/>
          <w:lang w:val="en-US"/>
        </w:rPr>
        <w:t xml:space="preserve">and up to the case of </w:t>
      </w:r>
      <w:proofErr w:type="spellStart"/>
      <w:r w:rsidRPr="00646C52">
        <w:rPr>
          <w:rFonts w:cs="Cambria"/>
          <w:i/>
          <w:lang w:val="en-US"/>
        </w:rPr>
        <w:t>Cuscul</w:t>
      </w:r>
      <w:proofErr w:type="spellEnd"/>
      <w:r w:rsidRPr="00646C52">
        <w:rPr>
          <w:rFonts w:cs="Cambria"/>
          <w:i/>
          <w:lang w:val="en-US"/>
        </w:rPr>
        <w:t xml:space="preserve"> </w:t>
      </w:r>
      <w:proofErr w:type="spellStart"/>
      <w:r w:rsidRPr="00646C52">
        <w:rPr>
          <w:rFonts w:cs="Cambria"/>
          <w:i/>
          <w:lang w:val="en-US"/>
        </w:rPr>
        <w:t>Pivaral</w:t>
      </w:r>
      <w:proofErr w:type="spellEnd"/>
      <w:r w:rsidRPr="00646C52">
        <w:rPr>
          <w:rFonts w:cs="Cambria"/>
          <w:i/>
          <w:lang w:val="en-US"/>
        </w:rPr>
        <w:t xml:space="preserve"> et al. v. Guatemala,</w:t>
      </w:r>
      <w:r w:rsidRPr="00646C52">
        <w:rPr>
          <w:rStyle w:val="Refdenotaalpie"/>
          <w:rFonts w:cs="Cambria"/>
          <w:lang w:val="en-US"/>
        </w:rPr>
        <w:footnoteReference w:id="533"/>
      </w:r>
      <w:r w:rsidRPr="00646C52">
        <w:rPr>
          <w:rFonts w:cs="Cambria"/>
          <w:lang w:val="en-US"/>
        </w:rPr>
        <w:t xml:space="preserve"> is not correct. The references made to the preparatory works in those judgments, suggesting that these demonstrated the States’ probable intention to allow the direct justiciability of ESCER through Article 26 of the Convention, is biased, since they only mentioned fragments of the observations made by four States out of a </w:t>
      </w:r>
      <w:r w:rsidRPr="00646C52">
        <w:rPr>
          <w:rFonts w:cs="Cambria"/>
          <w:lang w:val="en-US"/>
        </w:rPr>
        <w:lastRenderedPageBreak/>
        <w:t>total of 23 participating States, which hardly reflects a majority position in this regard. No mention was made of the countries that opposed the enforceability of ESCER or the fact that the majority of these countries did not express a clear position.</w:t>
      </w:r>
    </w:p>
    <w:p w14:paraId="05869A27" w14:textId="77777777" w:rsidR="006168EA" w:rsidRPr="00646C52" w:rsidRDefault="006168EA" w:rsidP="006168EA">
      <w:pPr>
        <w:pStyle w:val="Numberedparagraphs"/>
        <w:numPr>
          <w:ilvl w:val="0"/>
          <w:numId w:val="0"/>
        </w:numPr>
        <w:rPr>
          <w:lang w:val="en-US"/>
        </w:rPr>
      </w:pPr>
    </w:p>
    <w:p w14:paraId="17D478A0" w14:textId="77777777" w:rsidR="006168EA" w:rsidRPr="00646C52" w:rsidRDefault="006168EA" w:rsidP="007720B1">
      <w:pPr>
        <w:pStyle w:val="Numberedparagraphs"/>
        <w:numPr>
          <w:ilvl w:val="0"/>
          <w:numId w:val="83"/>
        </w:numPr>
        <w:ind w:left="0" w:firstLine="0"/>
        <w:rPr>
          <w:lang w:val="en-US"/>
        </w:rPr>
      </w:pPr>
      <w:r w:rsidRPr="00646C52">
        <w:rPr>
          <w:rFonts w:cs="Cambria"/>
          <w:lang w:val="en-US"/>
        </w:rPr>
        <w:t xml:space="preserve">Based on a study of the preparatory works, there is no clear indication of the States’ intention to include </w:t>
      </w:r>
      <w:r w:rsidRPr="00646C52">
        <w:rPr>
          <w:lang w:val="en-US"/>
        </w:rPr>
        <w:t>economic, social, cultural and environmental rights in the protection system contemplated by the Convention. For example, opinions were proffered pointing out that the content of the article did not appear to be typical of a convention, “but that perhaps it [was] not politically convenient to oppose the inclusion of that text.”</w:t>
      </w:r>
      <w:r w:rsidRPr="00646C52">
        <w:rPr>
          <w:rStyle w:val="Refdenotaalpie"/>
          <w:lang w:val="en-US"/>
        </w:rPr>
        <w:footnoteReference w:id="534"/>
      </w:r>
      <w:r w:rsidRPr="00646C52">
        <w:rPr>
          <w:lang w:val="en-US"/>
        </w:rPr>
        <w:t xml:space="preserve"> The Dominican Republic, in its intervention regarding Article 25(1) of the draft Convention, stressed that it was preferable to eliminate paragraph 1 proposing that the States dedicate their efforts to guarantee, in their domestic laws, the other rights enshrined in the American Declaration.</w:t>
      </w:r>
      <w:r w:rsidRPr="00646C52">
        <w:rPr>
          <w:rStyle w:val="Refdenotaalpie"/>
          <w:lang w:val="en-US"/>
        </w:rPr>
        <w:footnoteReference w:id="535"/>
      </w:r>
      <w:r w:rsidRPr="00646C52">
        <w:rPr>
          <w:lang w:val="en-US"/>
        </w:rPr>
        <w:t xml:space="preserve"> Likewise, Chile emphasized that any direct mention of the ESCER had been eliminated;</w:t>
      </w:r>
      <w:r w:rsidRPr="00646C52">
        <w:rPr>
          <w:rStyle w:val="Refdenotaalpie"/>
          <w:lang w:val="en-US"/>
        </w:rPr>
        <w:footnoteReference w:id="536"/>
      </w:r>
      <w:r w:rsidRPr="00646C52">
        <w:rPr>
          <w:lang w:val="en-US"/>
        </w:rPr>
        <w:t xml:space="preserve"> Mexico pointed out that “unlike all the other rights alluded to in the draft –which are rights enjoyed by a person as an individual or as a member of a particular social group – it is difficult at a given moment to precisely establish which person or persons would be directly affected in the event of a violation of the rights contained in Article 25.”</w:t>
      </w:r>
      <w:r w:rsidRPr="00646C52">
        <w:rPr>
          <w:rStyle w:val="Refdenotaalpie"/>
          <w:lang w:val="en-US"/>
        </w:rPr>
        <w:footnoteReference w:id="537"/>
      </w:r>
      <w:r w:rsidRPr="00646C52">
        <w:rPr>
          <w:lang w:val="en-US"/>
        </w:rPr>
        <w:t xml:space="preserve"> The observations of Guatemala</w:t>
      </w:r>
      <w:r w:rsidRPr="00646C52">
        <w:rPr>
          <w:rStyle w:val="Refdenotaalpie"/>
          <w:lang w:val="en-US"/>
        </w:rPr>
        <w:footnoteReference w:id="538"/>
      </w:r>
      <w:r w:rsidRPr="00646C52">
        <w:rPr>
          <w:lang w:val="en-US"/>
        </w:rPr>
        <w:t xml:space="preserve"> and Brazil</w:t>
      </w:r>
      <w:r w:rsidRPr="00646C52">
        <w:rPr>
          <w:rStyle w:val="Refdenotaalpie"/>
          <w:lang w:val="en-US"/>
        </w:rPr>
        <w:footnoteReference w:id="539"/>
      </w:r>
      <w:r w:rsidRPr="00646C52">
        <w:rPr>
          <w:lang w:val="en-US"/>
        </w:rPr>
        <w:t xml:space="preserve"> were aimed at proposing articles in the context of the obligation of progressive development, or proposing that the States submit reports to the Commission on the measures adopted and the progress made in ensuring respect for ESCAR. In particular, Brazil emphasized that “economic, social and cultural rights are contemplated in very different degrees and forms by the legislation of the different American States and, although governments may wish to recognize them all, their enforcement depends substantially on the availability of material resources that enable their implementation.”</w:t>
      </w:r>
    </w:p>
    <w:p w14:paraId="4D245D47" w14:textId="77777777" w:rsidR="006168EA" w:rsidRPr="00646C52" w:rsidRDefault="006168EA" w:rsidP="006168EA">
      <w:pPr>
        <w:pStyle w:val="Numberedparagraphs"/>
        <w:numPr>
          <w:ilvl w:val="0"/>
          <w:numId w:val="0"/>
        </w:numPr>
        <w:rPr>
          <w:lang w:val="en-US"/>
        </w:rPr>
      </w:pPr>
    </w:p>
    <w:p w14:paraId="071B4DC1" w14:textId="77777777" w:rsidR="006168EA" w:rsidRPr="00646C52" w:rsidRDefault="006168EA" w:rsidP="007720B1">
      <w:pPr>
        <w:pStyle w:val="Numberedparagraphs"/>
        <w:numPr>
          <w:ilvl w:val="0"/>
          <w:numId w:val="83"/>
        </w:numPr>
        <w:ind w:left="0" w:firstLine="0"/>
        <w:rPr>
          <w:lang w:val="en-US"/>
        </w:rPr>
      </w:pPr>
      <w:r w:rsidRPr="00646C52">
        <w:rPr>
          <w:rFonts w:eastAsia="Times" w:cs="Arial"/>
          <w:lang w:val="en-US"/>
        </w:rPr>
        <w:t>I would also point out that, based on the positions adopted by the States, the only consensus reached was to include the obligation of progressive development of rights, pursuant to Article 26 of the Convention; however, there was no proposal to include ESCER in the same system of protection contemplated for other civil and political rights, at least not from an individual standpoint. Accordingly,</w:t>
      </w:r>
      <w:r w:rsidRPr="00646C52">
        <w:rPr>
          <w:rFonts w:eastAsia="Times" w:cs="Arial"/>
          <w:b/>
          <w:lang w:val="en-US"/>
        </w:rPr>
        <w:t xml:space="preserve"> </w:t>
      </w:r>
      <w:r w:rsidRPr="00646C52">
        <w:rPr>
          <w:rFonts w:eastAsia="Times" w:cs="Arial"/>
          <w:lang w:val="en-US"/>
        </w:rPr>
        <w:t>the</w:t>
      </w:r>
      <w:r w:rsidRPr="00646C52">
        <w:rPr>
          <w:rFonts w:eastAsia="Times" w:cs="Arial"/>
          <w:b/>
          <w:lang w:val="en-US"/>
        </w:rPr>
        <w:t xml:space="preserve"> </w:t>
      </w:r>
      <w:r w:rsidRPr="00646C52">
        <w:rPr>
          <w:rFonts w:eastAsia="Times" w:cs="Arial"/>
          <w:lang w:val="en-US"/>
        </w:rPr>
        <w:t xml:space="preserve">interpretation made using the methods cited is confirmed in </w:t>
      </w:r>
      <w:r w:rsidRPr="00646C52">
        <w:rPr>
          <w:rFonts w:cs="Cambria"/>
          <w:lang w:val="en-US"/>
        </w:rPr>
        <w:t>the preparatory works of the American Convention.</w:t>
      </w:r>
    </w:p>
    <w:p w14:paraId="3D829A3D" w14:textId="77777777" w:rsidR="006168EA" w:rsidRPr="00646C52" w:rsidRDefault="006168EA" w:rsidP="006168EA">
      <w:pPr>
        <w:pStyle w:val="Prrafodelista"/>
        <w:ind w:left="1440"/>
      </w:pPr>
    </w:p>
    <w:p w14:paraId="5663E7AE" w14:textId="77777777" w:rsidR="006168EA" w:rsidRPr="00646C52" w:rsidRDefault="006168EA" w:rsidP="007720B1">
      <w:pPr>
        <w:pStyle w:val="Numberedparagraphs"/>
        <w:numPr>
          <w:ilvl w:val="0"/>
          <w:numId w:val="83"/>
        </w:numPr>
        <w:ind w:left="0" w:firstLine="0"/>
        <w:rPr>
          <w:lang w:val="en-US"/>
        </w:rPr>
      </w:pPr>
      <w:r w:rsidRPr="00646C52">
        <w:rPr>
          <w:lang w:val="en-US"/>
        </w:rPr>
        <w:t>Despite my comments in this section, I am not unaware of the importance of the justiciability of ESCER and their protection through the inter-American system. However, to accomplish this we can turn to less problematic approaches in terms of interpretation, which are consistent with the jurisdiction granted to the Court by the States and with the stipulations of international law. Thus, as this Court has done on several occasions prior to its current jurisprudential stance, it can still protect ESCER in conjunction with other rights recognized in the Convention, in other words, through an indirect mechanism of protection</w:t>
      </w:r>
      <w:r w:rsidRPr="00646C52">
        <w:rPr>
          <w:rFonts w:cs="Arial"/>
          <w:lang w:val="en-US"/>
        </w:rPr>
        <w:t>.</w:t>
      </w:r>
    </w:p>
    <w:p w14:paraId="51BBF007" w14:textId="77777777" w:rsidR="006168EA" w:rsidRPr="00646C52" w:rsidRDefault="006168EA" w:rsidP="006168EA"/>
    <w:p w14:paraId="31F41303" w14:textId="77777777" w:rsidR="006168EA" w:rsidRPr="00646C52" w:rsidRDefault="006168EA" w:rsidP="007720B1">
      <w:pPr>
        <w:pStyle w:val="Numberedparagraphs"/>
        <w:numPr>
          <w:ilvl w:val="0"/>
          <w:numId w:val="83"/>
        </w:numPr>
        <w:ind w:left="0" w:firstLine="0"/>
        <w:rPr>
          <w:lang w:val="en-US"/>
        </w:rPr>
      </w:pPr>
      <w:r w:rsidRPr="00646C52">
        <w:rPr>
          <w:lang w:val="en-US"/>
        </w:rPr>
        <w:t>Article 26 of the American Convention establishes the obligation of progressive development and the consequent duty of non-retrogression of rights that may be derived from the OAS Charter; therefore, the Court may directly supervise compliance with those obligations. However, this is not the case with the economic, social, cultural and environmental rights in their individual dimension, since the Court is not competent to do so, based on the methods of interpretation previously applied. In this sense, I consider that this Court does not have jurisdiction to examine the alleged violation of the right to social security that would be contained in that article.</w:t>
      </w:r>
    </w:p>
    <w:p w14:paraId="7B8A2517" w14:textId="77777777" w:rsidR="006168EA" w:rsidRPr="00646C52" w:rsidRDefault="006168EA" w:rsidP="006168EA">
      <w:pPr>
        <w:pStyle w:val="Numberedparagraphs"/>
        <w:numPr>
          <w:ilvl w:val="0"/>
          <w:numId w:val="0"/>
        </w:numPr>
        <w:rPr>
          <w:lang w:val="en-US"/>
        </w:rPr>
      </w:pPr>
    </w:p>
    <w:p w14:paraId="7DBDDCBC" w14:textId="77777777" w:rsidR="006168EA" w:rsidRPr="00646C52" w:rsidRDefault="006168EA" w:rsidP="007720B1">
      <w:pPr>
        <w:pStyle w:val="Numberedparagraphs"/>
        <w:numPr>
          <w:ilvl w:val="0"/>
          <w:numId w:val="83"/>
        </w:numPr>
        <w:ind w:left="0" w:firstLine="0"/>
        <w:rPr>
          <w:lang w:val="en-US"/>
        </w:rPr>
      </w:pPr>
      <w:r w:rsidRPr="00646C52">
        <w:rPr>
          <w:rFonts w:eastAsia="Verdana" w:cs="Verdana"/>
          <w:lang w:val="en-US"/>
        </w:rPr>
        <w:t xml:space="preserve">Given that the dispute in this case concerns the alleged responsibility of the State for the failure to execute domestic judgments issued in favor of Mr. </w:t>
      </w:r>
      <w:proofErr w:type="spellStart"/>
      <w:r w:rsidRPr="00646C52">
        <w:rPr>
          <w:rFonts w:eastAsia="Verdana" w:cs="Verdana"/>
          <w:lang w:val="en-US"/>
        </w:rPr>
        <w:t>Muelle</w:t>
      </w:r>
      <w:proofErr w:type="spellEnd"/>
      <w:r w:rsidRPr="00646C52">
        <w:rPr>
          <w:rFonts w:eastAsia="Verdana" w:cs="Verdana"/>
          <w:lang w:val="en-US"/>
        </w:rPr>
        <w:t xml:space="preserve"> Flores, ordering the payment of a pension to which he was entitled, this Court should have considered that it is not competent to analyze the right to social security based on an interpretation of Article 26 of the American Convention. Thus, the Court should have admitted the preliminary objection filed by the State, and therefore it was not appropriate to continue with the in-depth analysis of the right to social security. </w:t>
      </w:r>
    </w:p>
    <w:p w14:paraId="77CA2263" w14:textId="77777777" w:rsidR="006168EA" w:rsidRPr="00646C52" w:rsidRDefault="006168EA" w:rsidP="006168EA">
      <w:pPr>
        <w:pStyle w:val="Prrafodelista"/>
        <w:ind w:left="1440"/>
      </w:pPr>
    </w:p>
    <w:p w14:paraId="2096272E"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For all the foregoing reasons, I consider that this </w:t>
      </w:r>
      <w:r w:rsidRPr="00646C52">
        <w:rPr>
          <w:rFonts w:cs="Arial"/>
          <w:lang w:val="en-US"/>
        </w:rPr>
        <w:t>Court could not assume jurisdiction for the presumed violation of a right or freedom not included in the protection system of the American Convention or in the Protocol of San Salvador; therefore, it is unnecessary to issue a statement on the right to social security.</w:t>
      </w:r>
    </w:p>
    <w:p w14:paraId="3B69C2E3" w14:textId="77777777" w:rsidR="006168EA" w:rsidRPr="00646C52" w:rsidRDefault="006168EA" w:rsidP="006168EA">
      <w:pPr>
        <w:pStyle w:val="Prrafodelista"/>
        <w:ind w:left="1440"/>
      </w:pPr>
    </w:p>
    <w:p w14:paraId="63665AA0" w14:textId="77777777" w:rsidR="006168EA" w:rsidRPr="00646C52" w:rsidRDefault="006168EA" w:rsidP="007720B1">
      <w:pPr>
        <w:pStyle w:val="Numberedparagraphs"/>
        <w:numPr>
          <w:ilvl w:val="0"/>
          <w:numId w:val="83"/>
        </w:numPr>
        <w:ind w:left="0" w:firstLine="0"/>
        <w:rPr>
          <w:lang w:val="en-US"/>
        </w:rPr>
      </w:pPr>
      <w:r w:rsidRPr="00646C52">
        <w:rPr>
          <w:lang w:val="en-US"/>
        </w:rPr>
        <w:t xml:space="preserve">Finally, I wish to emphasize that, for practical purposes, it became irrelevant in this specific case to declare the violation of Article 26 of the Convention to the detriment of the victim, given that the discussion in this case focused on the failure to execute domestic judicial rulings that had already declared Mr. </w:t>
      </w:r>
      <w:proofErr w:type="spellStart"/>
      <w:r w:rsidRPr="00646C52">
        <w:rPr>
          <w:lang w:val="en-US"/>
        </w:rPr>
        <w:t>Muelle</w:t>
      </w:r>
      <w:proofErr w:type="spellEnd"/>
      <w:r w:rsidRPr="00646C52">
        <w:rPr>
          <w:lang w:val="en-US"/>
        </w:rPr>
        <w:t xml:space="preserve"> Flores’ right to a pension. In that sense it was sufficient for this Court to declare, as indeed it did, the </w:t>
      </w:r>
      <w:r w:rsidRPr="00646C52">
        <w:rPr>
          <w:rFonts w:cs="Cambria"/>
          <w:lang w:val="en-US"/>
        </w:rPr>
        <w:t xml:space="preserve">violation of Articles </w:t>
      </w:r>
      <w:r w:rsidRPr="00646C52">
        <w:rPr>
          <w:lang w:val="en-US"/>
        </w:rPr>
        <w:t xml:space="preserve">8(1), 25(1) and 25(2)(c) of the Convention, as well as Article 21(1) and 21(2) thereof, to the detriment of Oscar </w:t>
      </w:r>
      <w:proofErr w:type="spellStart"/>
      <w:r w:rsidRPr="00646C52">
        <w:rPr>
          <w:lang w:val="en-US"/>
        </w:rPr>
        <w:t>Muelle</w:t>
      </w:r>
      <w:proofErr w:type="spellEnd"/>
      <w:r w:rsidRPr="00646C52">
        <w:rPr>
          <w:lang w:val="en-US"/>
        </w:rPr>
        <w:t xml:space="preserve"> Flores, to reach the same legal consequences derived from an incorrect interpretation by this Court regarding its jurisdiction and the analysis of the </w:t>
      </w:r>
      <w:r w:rsidRPr="00646C52">
        <w:rPr>
          <w:rFonts w:eastAsia="Verdana" w:cs="Verdana"/>
          <w:lang w:val="en-US"/>
        </w:rPr>
        <w:t>right to social security based on Article 26 of the American Convention.</w:t>
      </w:r>
    </w:p>
    <w:p w14:paraId="68AF95FF" w14:textId="77777777" w:rsidR="006168EA" w:rsidRPr="00646C52" w:rsidRDefault="006168EA" w:rsidP="006168EA">
      <w:pPr>
        <w:pStyle w:val="Numberedparagraphs"/>
        <w:numPr>
          <w:ilvl w:val="0"/>
          <w:numId w:val="0"/>
        </w:numPr>
        <w:rPr>
          <w:lang w:val="en-US" w:eastAsia="es-MX"/>
        </w:rPr>
      </w:pPr>
    </w:p>
    <w:p w14:paraId="331A4ABA" w14:textId="77777777" w:rsidR="006168EA" w:rsidRPr="00646C52" w:rsidRDefault="006168EA" w:rsidP="006168EA">
      <w:pPr>
        <w:pStyle w:val="Numberedparagraphs"/>
        <w:numPr>
          <w:ilvl w:val="0"/>
          <w:numId w:val="0"/>
        </w:numPr>
        <w:rPr>
          <w:lang w:val="en-US" w:eastAsia="es-MX"/>
        </w:rPr>
      </w:pPr>
    </w:p>
    <w:p w14:paraId="12B19B6A" w14:textId="77777777" w:rsidR="006168EA" w:rsidRPr="00646C52" w:rsidRDefault="006168EA" w:rsidP="006168EA">
      <w:pPr>
        <w:pStyle w:val="Numberedparagraphs"/>
        <w:numPr>
          <w:ilvl w:val="0"/>
          <w:numId w:val="0"/>
        </w:numPr>
        <w:rPr>
          <w:lang w:val="en-US" w:eastAsia="es-MX"/>
        </w:rPr>
      </w:pPr>
    </w:p>
    <w:p w14:paraId="42A3DCD1" w14:textId="77777777" w:rsidR="006168EA" w:rsidRPr="00646C52" w:rsidRDefault="006168EA" w:rsidP="006168EA">
      <w:pPr>
        <w:pStyle w:val="Numberedparagraphs"/>
        <w:numPr>
          <w:ilvl w:val="0"/>
          <w:numId w:val="0"/>
        </w:numPr>
        <w:rPr>
          <w:lang w:val="en-US" w:eastAsia="es-MX"/>
        </w:rPr>
      </w:pPr>
    </w:p>
    <w:p w14:paraId="235B1751" w14:textId="77777777" w:rsidR="006168EA" w:rsidRPr="00646C52" w:rsidRDefault="006168EA" w:rsidP="006168EA">
      <w:pPr>
        <w:pStyle w:val="Numberedparagraphs"/>
        <w:numPr>
          <w:ilvl w:val="0"/>
          <w:numId w:val="0"/>
        </w:numPr>
        <w:rPr>
          <w:lang w:val="en-US" w:eastAsia="es-MX"/>
        </w:rPr>
      </w:pPr>
    </w:p>
    <w:p w14:paraId="789A4CA6" w14:textId="77777777" w:rsidR="006168EA" w:rsidRPr="00646C52" w:rsidRDefault="006168EA" w:rsidP="006168EA">
      <w:pPr>
        <w:pStyle w:val="Numberedparagraphs"/>
        <w:numPr>
          <w:ilvl w:val="0"/>
          <w:numId w:val="0"/>
        </w:numPr>
        <w:rPr>
          <w:lang w:val="en-US" w:eastAsia="es-MX"/>
        </w:rPr>
      </w:pPr>
    </w:p>
    <w:p w14:paraId="527B6E6B" w14:textId="77777777" w:rsidR="006168EA" w:rsidRPr="00646C52" w:rsidRDefault="006168EA" w:rsidP="006168EA">
      <w:pPr>
        <w:pStyle w:val="Numberedparagraphs"/>
        <w:numPr>
          <w:ilvl w:val="0"/>
          <w:numId w:val="0"/>
        </w:numPr>
        <w:rPr>
          <w:lang w:val="en-US"/>
        </w:rPr>
      </w:pPr>
    </w:p>
    <w:p w14:paraId="6447F149" w14:textId="77777777" w:rsidR="006168EA" w:rsidRPr="007720B1" w:rsidRDefault="006168EA" w:rsidP="006168EA">
      <w:pPr>
        <w:ind w:left="3600" w:right="96" w:firstLine="720"/>
        <w:jc w:val="center"/>
        <w:rPr>
          <w:rFonts w:ascii="Verdana" w:hAnsi="Verdana"/>
          <w:sz w:val="20"/>
          <w:szCs w:val="20"/>
        </w:rPr>
      </w:pPr>
      <w:r w:rsidRPr="00646C52">
        <w:rPr>
          <w:szCs w:val="20"/>
        </w:rPr>
        <w:t xml:space="preserve">          </w:t>
      </w:r>
      <w:r w:rsidRPr="007720B1">
        <w:rPr>
          <w:rFonts w:ascii="Verdana" w:hAnsi="Verdana"/>
          <w:sz w:val="20"/>
          <w:szCs w:val="20"/>
        </w:rPr>
        <w:t>Humberto Antonio Sierra Porto</w:t>
      </w:r>
    </w:p>
    <w:p w14:paraId="3700655F" w14:textId="77777777" w:rsidR="006168EA" w:rsidRPr="007720B1" w:rsidRDefault="006168EA" w:rsidP="006168EA">
      <w:pPr>
        <w:ind w:left="3960" w:right="96" w:firstLine="360"/>
        <w:jc w:val="center"/>
        <w:rPr>
          <w:rFonts w:ascii="Verdana" w:hAnsi="Verdana"/>
          <w:sz w:val="20"/>
          <w:szCs w:val="20"/>
        </w:rPr>
      </w:pPr>
      <w:r w:rsidRPr="007720B1">
        <w:rPr>
          <w:rFonts w:ascii="Verdana" w:hAnsi="Verdana"/>
          <w:sz w:val="20"/>
          <w:szCs w:val="20"/>
        </w:rPr>
        <w:t xml:space="preserve">         </w:t>
      </w:r>
      <w:proofErr w:type="spellStart"/>
      <w:r w:rsidRPr="007720B1">
        <w:rPr>
          <w:rFonts w:ascii="Verdana" w:hAnsi="Verdana"/>
          <w:sz w:val="20"/>
          <w:szCs w:val="20"/>
        </w:rPr>
        <w:t>Judge</w:t>
      </w:r>
      <w:proofErr w:type="spellEnd"/>
    </w:p>
    <w:p w14:paraId="253DBDE9" w14:textId="77777777" w:rsidR="006168EA" w:rsidRPr="007720B1" w:rsidRDefault="006168EA" w:rsidP="006168EA">
      <w:pPr>
        <w:jc w:val="left"/>
        <w:rPr>
          <w:rFonts w:ascii="Verdana" w:eastAsia="MS Mincho" w:hAnsi="Verdana"/>
          <w:sz w:val="20"/>
          <w:szCs w:val="20"/>
          <w:lang w:eastAsia="es-ES"/>
        </w:rPr>
      </w:pPr>
    </w:p>
    <w:p w14:paraId="4CAB69A9" w14:textId="77777777" w:rsidR="006168EA" w:rsidRPr="007720B1" w:rsidRDefault="006168EA" w:rsidP="006168EA">
      <w:pPr>
        <w:jc w:val="left"/>
        <w:rPr>
          <w:rFonts w:ascii="Verdana" w:eastAsia="MS Mincho" w:hAnsi="Verdana"/>
          <w:sz w:val="20"/>
          <w:szCs w:val="20"/>
          <w:lang w:eastAsia="es-ES"/>
        </w:rPr>
      </w:pPr>
    </w:p>
    <w:p w14:paraId="67016650" w14:textId="77777777" w:rsidR="006168EA" w:rsidRPr="007720B1" w:rsidRDefault="006168EA" w:rsidP="006168EA">
      <w:pPr>
        <w:jc w:val="left"/>
        <w:rPr>
          <w:rFonts w:ascii="Verdana" w:eastAsia="MS Mincho" w:hAnsi="Verdana"/>
          <w:sz w:val="20"/>
          <w:szCs w:val="20"/>
          <w:lang w:eastAsia="es-ES"/>
        </w:rPr>
      </w:pPr>
    </w:p>
    <w:p w14:paraId="3BBEF6CF" w14:textId="77777777" w:rsidR="006168EA" w:rsidRPr="007720B1" w:rsidRDefault="006168EA" w:rsidP="006168EA">
      <w:pPr>
        <w:jc w:val="left"/>
        <w:rPr>
          <w:rFonts w:ascii="Verdana" w:eastAsia="MS Mincho" w:hAnsi="Verdana"/>
          <w:sz w:val="20"/>
          <w:szCs w:val="20"/>
          <w:lang w:eastAsia="es-ES"/>
        </w:rPr>
      </w:pPr>
    </w:p>
    <w:p w14:paraId="280F44AF" w14:textId="77777777" w:rsidR="006168EA" w:rsidRPr="007720B1" w:rsidRDefault="006168EA" w:rsidP="006168EA">
      <w:pPr>
        <w:jc w:val="left"/>
        <w:rPr>
          <w:rFonts w:ascii="Verdana" w:eastAsia="MS Mincho" w:hAnsi="Verdana"/>
          <w:sz w:val="20"/>
          <w:szCs w:val="20"/>
          <w:lang w:eastAsia="es-ES"/>
        </w:rPr>
      </w:pPr>
    </w:p>
    <w:p w14:paraId="6CCAAD1C" w14:textId="77777777" w:rsidR="006168EA" w:rsidRPr="007720B1" w:rsidRDefault="006168EA" w:rsidP="006168EA">
      <w:pPr>
        <w:jc w:val="left"/>
        <w:rPr>
          <w:rFonts w:ascii="Verdana" w:eastAsia="MS Mincho" w:hAnsi="Verdana"/>
          <w:sz w:val="20"/>
          <w:szCs w:val="20"/>
          <w:lang w:eastAsia="es-ES"/>
        </w:rPr>
      </w:pPr>
      <w:r w:rsidRPr="007720B1">
        <w:rPr>
          <w:rFonts w:ascii="Verdana" w:eastAsia="MS Mincho" w:hAnsi="Verdana"/>
          <w:sz w:val="20"/>
          <w:szCs w:val="20"/>
          <w:lang w:eastAsia="es-ES"/>
        </w:rPr>
        <w:t xml:space="preserve">      Pablo Saavedra Alessandri</w:t>
      </w:r>
    </w:p>
    <w:p w14:paraId="36600C93" w14:textId="77777777" w:rsidR="006168EA" w:rsidRPr="007720B1" w:rsidRDefault="006168EA" w:rsidP="006168EA">
      <w:pPr>
        <w:contextualSpacing/>
        <w:rPr>
          <w:rFonts w:ascii="Verdana" w:eastAsia="MS Mincho" w:hAnsi="Verdana"/>
          <w:sz w:val="20"/>
          <w:szCs w:val="20"/>
          <w:lang w:eastAsia="es-ES"/>
        </w:rPr>
      </w:pPr>
      <w:r w:rsidRPr="007720B1">
        <w:rPr>
          <w:rFonts w:ascii="Verdana" w:eastAsia="MS Mincho" w:hAnsi="Verdana"/>
          <w:sz w:val="20"/>
          <w:szCs w:val="20"/>
          <w:lang w:eastAsia="es-ES"/>
        </w:rPr>
        <w:tab/>
        <w:t xml:space="preserve">     </w:t>
      </w:r>
      <w:proofErr w:type="spellStart"/>
      <w:r w:rsidRPr="007720B1">
        <w:rPr>
          <w:rFonts w:ascii="Verdana" w:eastAsia="MS Mincho" w:hAnsi="Verdana"/>
          <w:sz w:val="20"/>
          <w:szCs w:val="20"/>
          <w:lang w:eastAsia="es-ES"/>
        </w:rPr>
        <w:t>Secretary</w:t>
      </w:r>
      <w:proofErr w:type="spellEnd"/>
    </w:p>
    <w:p w14:paraId="1DCF318E" w14:textId="77777777" w:rsidR="006168EA" w:rsidRPr="007720B1" w:rsidRDefault="006168EA" w:rsidP="006168EA">
      <w:pPr>
        <w:pStyle w:val="Numberedparagraphs"/>
        <w:numPr>
          <w:ilvl w:val="0"/>
          <w:numId w:val="0"/>
        </w:numPr>
        <w:rPr>
          <w:lang w:val="en-US"/>
        </w:rPr>
      </w:pPr>
    </w:p>
    <w:p w14:paraId="4A31EBCD" w14:textId="68C84B23" w:rsidR="00CD2B15" w:rsidRPr="00F91FF8" w:rsidRDefault="00CD2B15" w:rsidP="00CD2B15">
      <w:pPr>
        <w:pStyle w:val="Prrafodelista"/>
        <w:ind w:left="0"/>
        <w:rPr>
          <w:rFonts w:ascii="Verdana" w:hAnsi="Verdana"/>
          <w:sz w:val="20"/>
          <w:szCs w:val="20"/>
          <w:lang w:val="en-US"/>
        </w:rPr>
      </w:pPr>
    </w:p>
    <w:p w14:paraId="43A67A32" w14:textId="4C573A34" w:rsidR="008E6A56" w:rsidRPr="00FE0B19" w:rsidRDefault="008E6A56" w:rsidP="008E6A56">
      <w:pPr>
        <w:rPr>
          <w:rFonts w:ascii="Verdana" w:hAnsi="Verdana"/>
          <w:sz w:val="20"/>
          <w:lang w:val="en-US"/>
        </w:rPr>
      </w:pPr>
    </w:p>
    <w:p w14:paraId="64AAA01C" w14:textId="77777777" w:rsidR="008E6A56" w:rsidRPr="00FE0B19" w:rsidRDefault="008E6A56" w:rsidP="008E6A56">
      <w:pPr>
        <w:rPr>
          <w:rFonts w:ascii="Verdana" w:hAnsi="Verdana"/>
          <w:sz w:val="20"/>
          <w:lang w:val="en-US"/>
        </w:rPr>
      </w:pPr>
    </w:p>
    <w:p w14:paraId="00CD4B1C" w14:textId="77777777" w:rsidR="008E6A56" w:rsidRPr="00FE0B19" w:rsidRDefault="008E6A56" w:rsidP="008E6A56">
      <w:pPr>
        <w:pStyle w:val="Ttulo"/>
        <w:rPr>
          <w:lang w:val="en-US"/>
        </w:rPr>
      </w:pPr>
    </w:p>
    <w:p w14:paraId="5EC72B17" w14:textId="77777777" w:rsidR="008E6A56" w:rsidRPr="00FE0B19" w:rsidRDefault="008E6A56" w:rsidP="008E6A56">
      <w:pPr>
        <w:rPr>
          <w:lang w:val="en-US"/>
        </w:rPr>
      </w:pPr>
    </w:p>
    <w:p w14:paraId="19CCFADC" w14:textId="77777777" w:rsidR="00EB2CFE" w:rsidRPr="00FE0B19" w:rsidRDefault="00EB2CFE">
      <w:pPr>
        <w:rPr>
          <w:lang w:val="en-US"/>
        </w:rPr>
      </w:pPr>
    </w:p>
    <w:sectPr w:rsidR="00EB2CFE" w:rsidRPr="00FE0B19" w:rsidSect="007720B1">
      <w:footnotePr>
        <w:numRestart w:val="eachSect"/>
      </w:footnotePr>
      <w:pgSz w:w="12240" w:h="15840" w:code="1"/>
      <w:pgMar w:top="1701" w:right="1174"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3C132" w14:textId="77777777" w:rsidR="00E6764B" w:rsidRDefault="00E6764B" w:rsidP="008E6A56">
      <w:r>
        <w:separator/>
      </w:r>
    </w:p>
  </w:endnote>
  <w:endnote w:type="continuationSeparator" w:id="0">
    <w:p w14:paraId="2686EB12" w14:textId="77777777" w:rsidR="00E6764B" w:rsidRDefault="00E6764B" w:rsidP="008E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Helvetica Neue">
    <w:charset w:val="00"/>
    <w:family w:val="auto"/>
    <w:pitch w:val="variable"/>
    <w:sig w:usb0="E50002FF" w:usb1="500079DB" w:usb2="00000010" w:usb3="00000000" w:csb0="00000001" w:csb1="00000000"/>
  </w:font>
  <w:font w:name="MS ????">
    <w:panose1 w:val="00000000000000000000"/>
    <w:charset w:val="80"/>
    <w:family w:val="auto"/>
    <w:notTrueType/>
    <w:pitch w:val="variable"/>
    <w:sig w:usb0="00000001" w:usb1="08070000" w:usb2="00000010" w:usb3="00000000" w:csb0="00020000" w:csb1="00000000"/>
  </w:font>
  <w:font w:name="Verdana,Italic">
    <w:panose1 w:val="00000000000000000000"/>
    <w:charset w:val="00"/>
    <w:family w:val="swiss"/>
    <w:notTrueType/>
    <w:pitch w:val="default"/>
    <w:sig w:usb0="00000003" w:usb1="00000000" w:usb2="00000000" w:usb3="00000000" w:csb0="00000001" w:csb1="00000000"/>
  </w:font>
  <w:font w:name="Times-Roman">
    <w:panose1 w:val="00000000000000000000"/>
    <w:charset w:val="4D"/>
    <w:family w:val="roman"/>
    <w:notTrueType/>
    <w:pitch w:val="default"/>
    <w:sig w:usb0="03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iddenHorzOCR">
    <w:altName w:val="MS Mincho"/>
    <w:panose1 w:val="00000000000000000000"/>
    <w:charset w:val="80"/>
    <w:family w:val="auto"/>
    <w:notTrueType/>
    <w:pitch w:val="default"/>
    <w:sig w:usb0="00000000" w:usb1="08070000" w:usb2="00000010" w:usb3="00000000" w:csb0="00020000" w:csb1="00000000"/>
  </w:font>
  <w:font w:name="TimesNewRomanPS-ItalicMT">
    <w:altName w:val="Times New Roman"/>
    <w:charset w:val="4D"/>
    <w:family w:val="roman"/>
    <w:pitch w:val="default"/>
    <w:sig w:usb0="00000003" w:usb1="00000000" w:usb2="00000000" w:usb3="00000000" w:csb0="00000001" w:csb1="00000000"/>
  </w:font>
  <w:font w:name="JansonTextLTStd-Roman">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IDFont+F2">
    <w:charset w:val="00"/>
    <w:family w:val="auto"/>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F8E4" w14:textId="77777777" w:rsidR="00E6764B" w:rsidRDefault="00E6764B" w:rsidP="00B44D4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3F4BA" w14:textId="77777777" w:rsidR="00E6764B" w:rsidRDefault="00E6764B" w:rsidP="00B44D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D67C" w14:textId="77777777" w:rsidR="00E6764B" w:rsidRPr="00404559" w:rsidRDefault="00E6764B">
    <w:pPr>
      <w:pStyle w:val="Piedepgina"/>
      <w:jc w:val="center"/>
      <w:rPr>
        <w:rFonts w:ascii="Verdana" w:hAnsi="Verdana"/>
        <w:sz w:val="20"/>
        <w:szCs w:val="20"/>
      </w:rPr>
    </w:pPr>
  </w:p>
  <w:p w14:paraId="379846BD" w14:textId="77777777" w:rsidR="00E6764B" w:rsidRDefault="00E6764B" w:rsidP="00B44D4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51662" w14:textId="77777777" w:rsidR="00E6764B" w:rsidRDefault="00E6764B" w:rsidP="00B44D4F">
    <w:pPr>
      <w:pStyle w:val="Piedepgina"/>
    </w:pPr>
  </w:p>
  <w:p w14:paraId="642889FC" w14:textId="77777777" w:rsidR="00E6764B" w:rsidRDefault="00E67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7F45" w14:textId="77777777" w:rsidR="00E6764B" w:rsidRDefault="00E6764B" w:rsidP="008E6A56">
      <w:r>
        <w:separator/>
      </w:r>
    </w:p>
  </w:footnote>
  <w:footnote w:type="continuationSeparator" w:id="0">
    <w:p w14:paraId="3A85A73A" w14:textId="77777777" w:rsidR="00E6764B" w:rsidRDefault="00E6764B" w:rsidP="008E6A56">
      <w:r>
        <w:continuationSeparator/>
      </w:r>
    </w:p>
  </w:footnote>
  <w:footnote w:id="1">
    <w:p w14:paraId="530DCFB4" w14:textId="77777777" w:rsidR="00E6764B" w:rsidRPr="00CD437A" w:rsidRDefault="00E6764B" w:rsidP="008E6A56">
      <w:pPr>
        <w:spacing w:line="20" w:lineRule="atLeast"/>
        <w:rPr>
          <w:rFonts w:ascii="Verdana" w:hAnsi="Verdana"/>
          <w:color w:val="1F497D"/>
          <w:sz w:val="16"/>
          <w:szCs w:val="16"/>
          <w:lang w:val="en-US"/>
        </w:rPr>
      </w:pPr>
      <w:r w:rsidRPr="00CD437A">
        <w:rPr>
          <w:rStyle w:val="Refdenotaalpie"/>
          <w:sz w:val="16"/>
          <w:szCs w:val="16"/>
          <w:lang w:val="en-US"/>
        </w:rPr>
        <w:t>*</w:t>
      </w:r>
      <w:r w:rsidRPr="00CD437A">
        <w:rPr>
          <w:rFonts w:ascii="Verdana" w:hAnsi="Verdana"/>
          <w:sz w:val="16"/>
          <w:szCs w:val="16"/>
          <w:lang w:val="en-US"/>
        </w:rPr>
        <w:t xml:space="preserve"> Judge Ricardo Pérez Manrique did not take part in the deliberation and signing of this Judgment given that he became a member of the Court on January 1, 2019, when this case was at the judgment stage. </w:t>
      </w:r>
    </w:p>
  </w:footnote>
  <w:footnote w:id="2">
    <w:p w14:paraId="53E60A80" w14:textId="77777777" w:rsidR="00E6764B" w:rsidRPr="00CD437A" w:rsidRDefault="00E6764B" w:rsidP="008E6A56">
      <w:pPr>
        <w:ind w:right="26"/>
        <w:rPr>
          <w:rFonts w:ascii="Verdana" w:eastAsia="Verdana" w:hAnsi="Verdana" w:cs="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eastAsia="Verdana" w:hAnsi="Verdana" w:cs="Verdana"/>
          <w:sz w:val="16"/>
          <w:szCs w:val="16"/>
          <w:lang w:val="en-US"/>
        </w:rPr>
        <w:t xml:space="preserve">The Commission made a series of recommendations to the State, namely: “i) Comply </w:t>
      </w:r>
      <w:r w:rsidRPr="00CD437A">
        <w:rPr>
          <w:rFonts w:ascii="Verdana" w:eastAsia="Times New Roman" w:hAnsi="Verdana"/>
          <w:sz w:val="16"/>
          <w:szCs w:val="16"/>
          <w:bdr w:val="none" w:sz="0" w:space="0" w:color="auto" w:frame="1"/>
          <w:lang w:val="en-US"/>
        </w:rPr>
        <w:t xml:space="preserve">as soon as possible with the judgments of the Supreme Court of Justice of February 2, 1993, and the Constitutional Court of December 10, 1999. This means that the Peruvian State must immediately take the steps needed to pay Mr. Muelle Flores his pension, on the terms recognized by the courts, that is to say, those of the Decree Law 20530 pension scheme. This includes paying him the pensions he did not receive from the date of his retirement through to the date on which payment is effected. Bearing in mind the standards set forth in this report on the obligations of the State in connection with the privatization of State-owned enterprises, Peru may not cite privatization as an excuse for not complying with this recommendation; ii) Make full reparation for </w:t>
      </w:r>
      <w:r w:rsidRPr="00CD437A">
        <w:rPr>
          <w:rFonts w:ascii="Verdana" w:hAnsi="Verdana"/>
          <w:sz w:val="16"/>
          <w:szCs w:val="16"/>
          <w:bdr w:val="none" w:sz="0" w:space="0" w:color="auto" w:frame="1"/>
          <w:lang w:val="en-US"/>
        </w:rPr>
        <w:t>the violations declared in this report, including due compensation for material (property) and immaterial damages, and iii)</w:t>
      </w:r>
      <w:r w:rsidRPr="00CD437A">
        <w:rPr>
          <w:rFonts w:ascii="Verdana" w:eastAsia="Verdana" w:hAnsi="Verdana" w:cs="Verdana"/>
          <w:sz w:val="16"/>
          <w:szCs w:val="16"/>
          <w:lang w:val="en-US"/>
        </w:rPr>
        <w:t xml:space="preserve"> Adopt </w:t>
      </w:r>
      <w:r w:rsidRPr="00CD437A">
        <w:rPr>
          <w:rFonts w:ascii="Verdana" w:hAnsi="Verdana"/>
          <w:sz w:val="16"/>
          <w:szCs w:val="16"/>
          <w:bdr w:val="none" w:sz="0" w:space="0" w:color="auto" w:frame="1"/>
          <w:lang w:val="en-US"/>
        </w:rPr>
        <w:t>legislative and other measures needed to avoid the repetition of the violations declared in this report. In that regard, the State must take such steps as are needed to: a) Ensure that State-owned enterprises comply with the judicial rulings recognizing former workers’ pension rights; b) Ensure that proper safeguards are in place in privatization processes so that these actions do not impede compliance with judicial rulings in favor of retirees; c) Ensure that judgment execution processes meet the conventional standards of straightforwardness and promptness, and d) Ensure that the judicial authorities hearing such processes are legally empowered to apply, and do so in practice, the coercive mechanisms needed to guarantee compliance with judicial rulings.”</w:t>
      </w:r>
    </w:p>
  </w:footnote>
  <w:footnote w:id="3">
    <w:p w14:paraId="3B2DAFBC" w14:textId="77777777" w:rsidR="00E6764B" w:rsidRPr="00CD437A" w:rsidRDefault="00E6764B" w:rsidP="00CD2B15">
      <w:pPr>
        <w:pStyle w:val="Textonotapie"/>
      </w:pPr>
      <w:r w:rsidRPr="00CD437A">
        <w:rPr>
          <w:rStyle w:val="Refdenotaalpie"/>
        </w:rPr>
        <w:footnoteRef/>
      </w:r>
      <w:r w:rsidRPr="00CD437A">
        <w:t xml:space="preserve"> </w:t>
      </w:r>
      <w:r w:rsidRPr="00CD437A">
        <w:tab/>
        <w:t>In a communication dated September 11, 2017, pursuant to Article 2 of the Agreement of Understanding between the AIDEF and the Court, and following the instructions of the President of the Court, the General Coordinator of AIDEF was asked to appoint, within 10 days, the defender who would act as legal representative in this case and to provide details of an address for the notification of pertinent communications.</w:t>
      </w:r>
    </w:p>
  </w:footnote>
  <w:footnote w:id="4">
    <w:p w14:paraId="62BB93F7"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The AIDEF designated Mrs. Alicia Margarita </w:t>
      </w:r>
      <w:proofErr w:type="spellStart"/>
      <w:r w:rsidRPr="00CD437A">
        <w:t>Contero</w:t>
      </w:r>
      <w:proofErr w:type="spellEnd"/>
      <w:r w:rsidRPr="00CD437A">
        <w:t xml:space="preserve"> </w:t>
      </w:r>
      <w:proofErr w:type="spellStart"/>
      <w:r w:rsidRPr="00CD437A">
        <w:t>Bastidas</w:t>
      </w:r>
      <w:proofErr w:type="spellEnd"/>
      <w:r w:rsidRPr="00CD437A">
        <w:t xml:space="preserve"> (Ecuador) as alternate Inter-American Public Defender.</w:t>
      </w:r>
    </w:p>
  </w:footnote>
  <w:footnote w:id="5">
    <w:p w14:paraId="51284E4F" w14:textId="77777777" w:rsidR="00E6764B" w:rsidRPr="00CD437A" w:rsidRDefault="00E6764B" w:rsidP="008E6A56">
      <w:pPr>
        <w:tabs>
          <w:tab w:val="left" w:pos="567"/>
        </w:tabs>
        <w:autoSpaceDE w:val="0"/>
        <w:autoSpaceDN w:val="0"/>
        <w:rPr>
          <w:rFonts w:ascii="Verdana" w:hAnsi="Verdana"/>
          <w:color w:val="343736"/>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Pr>
          <w:rFonts w:ascii="Verdana" w:hAnsi="Verdana"/>
          <w:sz w:val="16"/>
          <w:szCs w:val="16"/>
          <w:lang w:val="en-US"/>
        </w:rPr>
        <w:t>In a communication of</w:t>
      </w:r>
      <w:r w:rsidRPr="00CD437A">
        <w:rPr>
          <w:rFonts w:ascii="Verdana" w:hAnsi="Verdana"/>
          <w:sz w:val="16"/>
          <w:szCs w:val="16"/>
          <w:lang w:val="en-US"/>
        </w:rPr>
        <w:t xml:space="preserve"> November 9, 2017, the State confirmed the appointment of Supranational Assistant Public Prosecutor, Iván Arturo Bazán Chacón, as agent, and Doris Margarita Yalle Jorges and Silvana Lucía Gómez Salazar as alternate agents. In communications dated February 19 and 21, 2018, the State confirmed the appointment of the lawyer Sofía Janett Donaires Vega as principal agent and the lawyer Sergio Manuel Tamayo Yañez as alternate agent in the case of Oscar Muelle Flores. </w:t>
      </w:r>
    </w:p>
  </w:footnote>
  <w:footnote w:id="6">
    <w:p w14:paraId="125115E7"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In that Order, the President of the Court also required the submission of the following testimonies, </w:t>
      </w:r>
      <w:r>
        <w:t>by affidavit</w:t>
      </w:r>
      <w:r w:rsidRPr="00CD437A">
        <w:t xml:space="preserve">: the presumed victim Oscar </w:t>
      </w:r>
      <w:proofErr w:type="spellStart"/>
      <w:r w:rsidRPr="00CD437A">
        <w:t>Muelle</w:t>
      </w:r>
      <w:proofErr w:type="spellEnd"/>
      <w:r w:rsidRPr="00CD437A">
        <w:t xml:space="preserve"> Flores; the witnesses offered by the representatives </w:t>
      </w:r>
      <w:proofErr w:type="spellStart"/>
      <w:r w:rsidRPr="00CD437A">
        <w:t>Vibeke</w:t>
      </w:r>
      <w:proofErr w:type="spellEnd"/>
      <w:r w:rsidRPr="00CD437A">
        <w:t xml:space="preserve"> Ann </w:t>
      </w:r>
      <w:proofErr w:type="spellStart"/>
      <w:r w:rsidRPr="00CD437A">
        <w:t>Muelle</w:t>
      </w:r>
      <w:proofErr w:type="spellEnd"/>
      <w:r w:rsidRPr="00CD437A">
        <w:t xml:space="preserve"> Jensen and Jesús </w:t>
      </w:r>
      <w:proofErr w:type="spellStart"/>
      <w:r w:rsidRPr="00CD437A">
        <w:t>Aníbal</w:t>
      </w:r>
      <w:proofErr w:type="spellEnd"/>
      <w:r w:rsidRPr="00CD437A">
        <w:t xml:space="preserve"> Delgado Flores; the expert witness proposed by the Commission, Christian </w:t>
      </w:r>
      <w:proofErr w:type="spellStart"/>
      <w:r w:rsidRPr="00CD437A">
        <w:t>Courtis</w:t>
      </w:r>
      <w:proofErr w:type="spellEnd"/>
      <w:r w:rsidRPr="00CD437A">
        <w:t xml:space="preserve">, the expert witness offered by the representatives, Maria Virginia </w:t>
      </w:r>
      <w:proofErr w:type="spellStart"/>
      <w:r w:rsidRPr="00CD437A">
        <w:t>Brás</w:t>
      </w:r>
      <w:proofErr w:type="spellEnd"/>
      <w:r w:rsidRPr="00CD437A">
        <w:t xml:space="preserve"> Gomes, and the expert witness offered by the State, César </w:t>
      </w:r>
      <w:proofErr w:type="spellStart"/>
      <w:r w:rsidRPr="00CD437A">
        <w:t>Gonzáles</w:t>
      </w:r>
      <w:proofErr w:type="spellEnd"/>
      <w:r w:rsidRPr="00CD437A">
        <w:t xml:space="preserve"> Hunt. Likewise, the President ordered that financial assistance be provided through the Victims’ Legal Assistance Fund of the Court. The statements requested by affidavit were received on August 27, 28 and 30, 2018. The statement of Mr. </w:t>
      </w:r>
      <w:proofErr w:type="spellStart"/>
      <w:r w:rsidRPr="00CD437A">
        <w:t>Muelle</w:t>
      </w:r>
      <w:proofErr w:type="spellEnd"/>
      <w:r w:rsidRPr="00CD437A">
        <w:t xml:space="preserve"> Flores was not forwarded as it was not possible to obtain it owing to his state of health. Likewise, the representatives withdrew the expert opinion of María Virginia </w:t>
      </w:r>
      <w:proofErr w:type="spellStart"/>
      <w:r w:rsidRPr="00CD437A">
        <w:t>Brás</w:t>
      </w:r>
      <w:proofErr w:type="spellEnd"/>
      <w:r w:rsidRPr="00CD437A">
        <w:t xml:space="preserve"> Gomes. </w:t>
      </w:r>
      <w:r w:rsidRPr="00CD437A">
        <w:rPr>
          <w:i/>
        </w:rPr>
        <w:t>Cf.</w:t>
      </w:r>
      <w:r w:rsidRPr="00CD437A">
        <w:t xml:space="preserve"> </w:t>
      </w:r>
      <w:r w:rsidRPr="00CD437A">
        <w:rPr>
          <w:i/>
        </w:rPr>
        <w:t xml:space="preserve">Case of </w:t>
      </w:r>
      <w:proofErr w:type="spellStart"/>
      <w:r w:rsidRPr="00CD437A">
        <w:rPr>
          <w:i/>
        </w:rPr>
        <w:t>Muelle</w:t>
      </w:r>
      <w:proofErr w:type="spellEnd"/>
      <w:r w:rsidRPr="00CD437A">
        <w:rPr>
          <w:i/>
        </w:rPr>
        <w:t xml:space="preserve"> Flores v. Peru</w:t>
      </w:r>
      <w:r w:rsidRPr="00CD437A">
        <w:t xml:space="preserve">. Order of the President of the Court of July 27, 2018, paragraph 8. Available at: </w:t>
      </w:r>
      <w:hyperlink r:id="rId1" w:history="1">
        <w:r w:rsidRPr="00CD437A">
          <w:rPr>
            <w:rStyle w:val="Hipervnculo"/>
          </w:rPr>
          <w:t>http://www.corteidh.or.cr/docs/asuntos/muelle_27_07_18.pdf</w:t>
        </w:r>
      </w:hyperlink>
    </w:p>
  </w:footnote>
  <w:footnote w:id="7">
    <w:p w14:paraId="4BC1F34B" w14:textId="77777777" w:rsidR="00E6764B" w:rsidRPr="00CD437A" w:rsidRDefault="00E6764B" w:rsidP="008E6A56">
      <w:pPr>
        <w:tabs>
          <w:tab w:val="left" w:pos="567"/>
        </w:tabs>
        <w:rPr>
          <w:rFonts w:ascii="Verdana" w:hAnsi="Verdana"/>
          <w:b/>
          <w:spacing w:val="-12"/>
          <w:sz w:val="16"/>
          <w:szCs w:val="16"/>
          <w:lang w:val="en-US"/>
        </w:rPr>
      </w:pPr>
      <w:r w:rsidRPr="00CD437A">
        <w:rPr>
          <w:rFonts w:ascii="Verdana" w:hAnsi="Verdana"/>
          <w:spacing w:val="-12"/>
          <w:sz w:val="16"/>
          <w:szCs w:val="16"/>
          <w:vertAlign w:val="superscript"/>
          <w:lang w:val="en-US"/>
        </w:rPr>
        <w:footnoteRef/>
      </w:r>
      <w:r w:rsidRPr="00CD437A">
        <w:rPr>
          <w:rFonts w:ascii="Verdana" w:hAnsi="Verdana"/>
          <w:spacing w:val="-12"/>
          <w:sz w:val="16"/>
          <w:szCs w:val="16"/>
          <w:lang w:val="en-US"/>
        </w:rPr>
        <w:t xml:space="preserve"> </w:t>
      </w:r>
      <w:r w:rsidRPr="00CD437A">
        <w:rPr>
          <w:rFonts w:ascii="Verdana" w:hAnsi="Verdana"/>
          <w:spacing w:val="-12"/>
          <w:sz w:val="16"/>
          <w:szCs w:val="16"/>
          <w:lang w:val="en-US"/>
        </w:rPr>
        <w:tab/>
      </w:r>
      <w:r w:rsidRPr="00CD437A">
        <w:rPr>
          <w:rFonts w:ascii="Verdana" w:hAnsi="Verdana"/>
          <w:i/>
          <w:spacing w:val="-12"/>
          <w:sz w:val="16"/>
          <w:szCs w:val="16"/>
          <w:lang w:val="en-US"/>
        </w:rPr>
        <w:t xml:space="preserve">Cf. Case of Las Palmeras v. Colombia. Preliminary objections. </w:t>
      </w:r>
      <w:r w:rsidRPr="00CD437A">
        <w:rPr>
          <w:rFonts w:ascii="Verdana" w:hAnsi="Verdana"/>
          <w:spacing w:val="-12"/>
          <w:sz w:val="16"/>
          <w:szCs w:val="16"/>
          <w:lang w:val="en-US"/>
        </w:rPr>
        <w:t xml:space="preserve">Judgment of February 4, 2000. Series C No. 67, para. 34, and </w:t>
      </w:r>
      <w:r w:rsidRPr="00CD437A">
        <w:rPr>
          <w:rStyle w:val="Textoennegrita"/>
          <w:rFonts w:ascii="Verdana" w:hAnsi="Verdana"/>
          <w:b w:val="0"/>
          <w:i/>
          <w:color w:val="000000"/>
          <w:sz w:val="16"/>
          <w:szCs w:val="16"/>
          <w:shd w:val="clear" w:color="auto" w:fill="FFFFFF"/>
          <w:lang w:val="en-US"/>
        </w:rPr>
        <w:t>Case of Women Victims of Sexual Torture in Atenco v. Mexico.</w:t>
      </w:r>
      <w:r w:rsidRPr="00CD437A">
        <w:rPr>
          <w:rStyle w:val="Textoennegrita"/>
          <w:rFonts w:ascii="Verdana" w:hAnsi="Verdana"/>
          <w:b w:val="0"/>
          <w:color w:val="000000"/>
          <w:sz w:val="16"/>
          <w:szCs w:val="16"/>
          <w:shd w:val="clear" w:color="auto" w:fill="FFFFFF"/>
          <w:lang w:val="en-US"/>
        </w:rPr>
        <w:t xml:space="preserve"> Preliminary objections, merits, reparations and costs. Judgment of November 28, 2018. Series C. No.374, para.21. </w:t>
      </w:r>
    </w:p>
  </w:footnote>
  <w:footnote w:id="8">
    <w:p w14:paraId="6A9F5CCF" w14:textId="77777777" w:rsidR="00E6764B" w:rsidRPr="00CD437A" w:rsidRDefault="00E6764B" w:rsidP="00CD2B15">
      <w:pPr>
        <w:pStyle w:val="Textonotapie"/>
        <w:rPr>
          <w:u w:val="single"/>
        </w:rPr>
      </w:pPr>
      <w:r w:rsidRPr="00CD437A">
        <w:rPr>
          <w:rStyle w:val="Refdenotaalpie"/>
        </w:rPr>
        <w:footnoteRef/>
      </w:r>
      <w:r w:rsidRPr="00CD437A">
        <w:t xml:space="preserve"> </w:t>
      </w:r>
      <w:r w:rsidRPr="00CD437A">
        <w:tab/>
        <w:t xml:space="preserve">Cf. Case of </w:t>
      </w:r>
      <w:proofErr w:type="spellStart"/>
      <w:r w:rsidRPr="00CD437A">
        <w:t>Castañeda</w:t>
      </w:r>
      <w:proofErr w:type="spellEnd"/>
      <w:r w:rsidRPr="00CD437A">
        <w:t xml:space="preserve"> Gutman v. United Mexican States.</w:t>
      </w:r>
      <w:r w:rsidRPr="00CD437A">
        <w:rPr>
          <w:rFonts w:eastAsia="Times New Roman" w:cs="Verdana"/>
          <w:b/>
          <w:smallCaps/>
          <w:lang w:eastAsia="en-US"/>
        </w:rPr>
        <w:t xml:space="preserve"> </w:t>
      </w:r>
      <w:r w:rsidRPr="00CD437A">
        <w:t>Preliminary objections, merits, reparations and costs.</w:t>
      </w:r>
      <w:r w:rsidRPr="00CD437A">
        <w:rPr>
          <w:rFonts w:eastAsia="Times New Roman" w:cs="Verdana"/>
          <w:iCs/>
          <w:smallCaps/>
          <w:lang w:eastAsia="en-US"/>
        </w:rPr>
        <w:t xml:space="preserve"> </w:t>
      </w:r>
      <w:r w:rsidRPr="00CD437A">
        <w:t xml:space="preserve">Judgment of August 6, 2008, para. 39, and </w:t>
      </w:r>
      <w:r w:rsidRPr="00CD437A">
        <w:rPr>
          <w:rStyle w:val="Textoennegrita"/>
          <w:b w:val="0"/>
          <w:i/>
          <w:color w:val="000000"/>
          <w:shd w:val="clear" w:color="auto" w:fill="FFFFFF"/>
        </w:rPr>
        <w:t>Case of Herzog et al. v. Brazil. Preliminary objections, merits, reparations and costs.</w:t>
      </w:r>
      <w:r w:rsidRPr="00CD437A">
        <w:rPr>
          <w:rStyle w:val="Textoennegrita"/>
          <w:b w:val="0"/>
          <w:color w:val="000000"/>
          <w:shd w:val="clear" w:color="auto" w:fill="FFFFFF"/>
        </w:rPr>
        <w:t xml:space="preserve"> Judgment of March 15, 2018. Series C No. 353, para. 97.</w:t>
      </w:r>
    </w:p>
  </w:footnote>
  <w:footnote w:id="9">
    <w:p w14:paraId="7EB865DC" w14:textId="77777777" w:rsidR="00E6764B" w:rsidRPr="00CD437A" w:rsidRDefault="00E6764B" w:rsidP="008E6A56">
      <w:pPr>
        <w:tabs>
          <w:tab w:val="left" w:pos="567"/>
        </w:tabs>
        <w:rPr>
          <w:rFonts w:ascii="Verdana" w:hAnsi="Verdana"/>
          <w:bCs/>
          <w:color w:val="000000"/>
          <w:sz w:val="16"/>
          <w:szCs w:val="16"/>
          <w:shd w:val="clear" w:color="auto" w:fill="FFFFFF"/>
          <w:lang w:val="en-US"/>
        </w:rPr>
      </w:pPr>
      <w:r w:rsidRPr="00CD437A">
        <w:rPr>
          <w:rFonts w:ascii="Verdana" w:hAnsi="Verdana"/>
          <w:spacing w:val="-12"/>
          <w:sz w:val="16"/>
          <w:szCs w:val="16"/>
          <w:vertAlign w:val="superscript"/>
          <w:lang w:val="en-US"/>
        </w:rPr>
        <w:footnoteRef/>
      </w:r>
      <w:r w:rsidRPr="00CD437A">
        <w:rPr>
          <w:rFonts w:ascii="Verdana" w:hAnsi="Verdana"/>
          <w:spacing w:val="-12"/>
          <w:sz w:val="16"/>
          <w:szCs w:val="16"/>
          <w:lang w:val="en-US"/>
        </w:rPr>
        <w:t xml:space="preserve"> </w:t>
      </w:r>
      <w:r w:rsidRPr="00CD437A">
        <w:rPr>
          <w:rFonts w:ascii="Verdana" w:hAnsi="Verdana"/>
          <w:spacing w:val="-12"/>
          <w:sz w:val="16"/>
          <w:szCs w:val="16"/>
          <w:lang w:val="en-US"/>
        </w:rPr>
        <w:tab/>
      </w:r>
      <w:r w:rsidRPr="00CD437A">
        <w:rPr>
          <w:rFonts w:ascii="Verdana" w:hAnsi="Verdana"/>
          <w:i/>
          <w:spacing w:val="-12"/>
          <w:sz w:val="16"/>
          <w:szCs w:val="16"/>
          <w:lang w:val="en-US"/>
        </w:rPr>
        <w:t xml:space="preserve">Cf. Castañeda Gutman v. United Mexican States, supra, </w:t>
      </w:r>
      <w:r w:rsidRPr="00CD437A">
        <w:rPr>
          <w:rFonts w:ascii="Verdana" w:hAnsi="Verdana"/>
          <w:spacing w:val="-12"/>
          <w:sz w:val="16"/>
          <w:szCs w:val="16"/>
          <w:lang w:val="en-US"/>
        </w:rPr>
        <w:t xml:space="preserve">para. 39, and </w:t>
      </w:r>
      <w:r w:rsidRPr="00CD437A">
        <w:rPr>
          <w:rStyle w:val="Textoennegrita"/>
          <w:rFonts w:ascii="Verdana" w:hAnsi="Verdana"/>
          <w:b w:val="0"/>
          <w:i/>
          <w:color w:val="000000"/>
          <w:sz w:val="16"/>
          <w:szCs w:val="16"/>
          <w:shd w:val="clear" w:color="auto" w:fill="FFFFFF"/>
          <w:lang w:val="en-US"/>
        </w:rPr>
        <w:t>Case of Lagos del Campo v. Peru. Preliminary objections, merits, reparations and costs</w:t>
      </w:r>
      <w:r w:rsidRPr="00CD437A">
        <w:rPr>
          <w:rStyle w:val="Textoennegrita"/>
          <w:rFonts w:ascii="Verdana" w:hAnsi="Verdana"/>
          <w:b w:val="0"/>
          <w:color w:val="000000"/>
          <w:sz w:val="16"/>
          <w:szCs w:val="16"/>
          <w:shd w:val="clear" w:color="auto" w:fill="FFFFFF"/>
          <w:lang w:val="en-US"/>
        </w:rPr>
        <w:t>. Judgment of August 31, 2017. Series C No. 340, para. 17.</w:t>
      </w:r>
    </w:p>
  </w:footnote>
  <w:footnote w:id="10">
    <w:p w14:paraId="0328A203" w14:textId="77777777" w:rsidR="00E6764B" w:rsidRPr="00CD437A" w:rsidRDefault="00E6764B" w:rsidP="00CD2B15">
      <w:pPr>
        <w:pStyle w:val="Textonotapie"/>
        <w:rPr>
          <w:bCs/>
          <w:shd w:val="clear" w:color="auto" w:fill="FFFFFF"/>
        </w:rPr>
      </w:pPr>
      <w:r w:rsidRPr="00CD437A">
        <w:rPr>
          <w:rStyle w:val="Refdenotaalpie"/>
        </w:rPr>
        <w:footnoteRef/>
      </w:r>
      <w:r w:rsidRPr="00CD437A">
        <w:t xml:space="preserve"> </w:t>
      </w:r>
      <w:r w:rsidRPr="00CD437A">
        <w:tab/>
        <w:t xml:space="preserve">It is important to </w:t>
      </w:r>
      <w:r>
        <w:t xml:space="preserve">emphasize </w:t>
      </w:r>
      <w:r w:rsidRPr="00CD437A">
        <w:t xml:space="preserve">that in the case of </w:t>
      </w:r>
      <w:r w:rsidRPr="00CD437A">
        <w:rPr>
          <w:i/>
        </w:rPr>
        <w:t xml:space="preserve">Acevedo </w:t>
      </w:r>
      <w:proofErr w:type="spellStart"/>
      <w:r w:rsidRPr="00CD437A">
        <w:rPr>
          <w:i/>
        </w:rPr>
        <w:t>Buendía</w:t>
      </w:r>
      <w:proofErr w:type="spellEnd"/>
      <w:r w:rsidRPr="00CD437A">
        <w:rPr>
          <w:i/>
        </w:rPr>
        <w:t xml:space="preserve"> et al. (“Discharged and Retired Employees of the Comptroller’s Office”) v. Peru</w:t>
      </w:r>
      <w:r w:rsidRPr="00CD437A">
        <w:t xml:space="preserve">, the Court analyzed arguments of this nature through a preliminary objection </w:t>
      </w:r>
      <w:proofErr w:type="spellStart"/>
      <w:r>
        <w:t>ratione</w:t>
      </w:r>
      <w:proofErr w:type="spellEnd"/>
      <w:r>
        <w:t xml:space="preserve"> </w:t>
      </w:r>
      <w:proofErr w:type="spellStart"/>
      <w:r>
        <w:t>materiae</w:t>
      </w:r>
      <w:proofErr w:type="spellEnd"/>
      <w:r w:rsidRPr="00CD437A">
        <w:t xml:space="preserve">. </w:t>
      </w:r>
      <w:r w:rsidRPr="00CD437A">
        <w:rPr>
          <w:i/>
        </w:rPr>
        <w:t>Cf.</w:t>
      </w:r>
      <w:r w:rsidRPr="00CD437A">
        <w:rPr>
          <w:b/>
        </w:rPr>
        <w:t xml:space="preserve"> </w:t>
      </w:r>
      <w:r w:rsidRPr="00CD437A">
        <w:rPr>
          <w:rStyle w:val="Textoennegrita"/>
          <w:b w:val="0"/>
          <w:i/>
          <w:shd w:val="clear" w:color="auto" w:fill="FFFFFF"/>
        </w:rPr>
        <w:t xml:space="preserve">Case of Acevedo </w:t>
      </w:r>
      <w:proofErr w:type="spellStart"/>
      <w:r w:rsidRPr="00CD437A">
        <w:rPr>
          <w:rStyle w:val="Textoennegrita"/>
          <w:b w:val="0"/>
          <w:i/>
          <w:shd w:val="clear" w:color="auto" w:fill="FFFFFF"/>
        </w:rPr>
        <w:t>Buendía</w:t>
      </w:r>
      <w:proofErr w:type="spellEnd"/>
      <w:r w:rsidRPr="00CD437A">
        <w:rPr>
          <w:rStyle w:val="Textoennegrita"/>
          <w:b w:val="0"/>
          <w:i/>
          <w:shd w:val="clear" w:color="auto" w:fill="FFFFFF"/>
        </w:rPr>
        <w:t xml:space="preserve"> et al. (“</w:t>
      </w:r>
      <w:r w:rsidRPr="00CD437A">
        <w:rPr>
          <w:i/>
        </w:rPr>
        <w:t>Discharged and Retired Employees of the Comptroller’s Office</w:t>
      </w:r>
      <w:r w:rsidRPr="00CD437A">
        <w:rPr>
          <w:rStyle w:val="Textoennegrita"/>
          <w:b w:val="0"/>
          <w:i/>
          <w:shd w:val="clear" w:color="auto" w:fill="FFFFFF"/>
        </w:rPr>
        <w:t>”) v. Peru. Preliminary objection, merits, reparations and costs.</w:t>
      </w:r>
      <w:r w:rsidRPr="00CD437A">
        <w:rPr>
          <w:rStyle w:val="Textoennegrita"/>
          <w:b w:val="0"/>
          <w:shd w:val="clear" w:color="auto" w:fill="FFFFFF"/>
        </w:rPr>
        <w:t xml:space="preserve"> Judgment of July 1, 2009. Series C No. 198, paras. 12 to 19.</w:t>
      </w:r>
    </w:p>
  </w:footnote>
  <w:footnote w:id="11">
    <w:p w14:paraId="48DBEE95" w14:textId="77777777" w:rsidR="00E6764B" w:rsidRPr="00CD437A" w:rsidRDefault="00E6764B" w:rsidP="008E6A56">
      <w:pPr>
        <w:tabs>
          <w:tab w:val="left" w:pos="567"/>
        </w:tabs>
        <w:rPr>
          <w:rFonts w:ascii="Verdana" w:hAnsi="Verdana"/>
          <w:sz w:val="16"/>
          <w:szCs w:val="16"/>
          <w:lang w:val="en-US"/>
        </w:rPr>
      </w:pPr>
      <w:r w:rsidRPr="00CD437A">
        <w:rPr>
          <w:rStyle w:val="Refdenotaalpie"/>
          <w:rFonts w:cs="Times"/>
          <w:sz w:val="16"/>
          <w:szCs w:val="16"/>
          <w:lang w:val="en-US"/>
        </w:rPr>
        <w:footnoteRef/>
      </w:r>
      <w:r w:rsidRPr="00CD437A">
        <w:rPr>
          <w:rFonts w:ascii="Verdana" w:hAnsi="Verdana"/>
          <w:sz w:val="16"/>
          <w:szCs w:val="16"/>
          <w:lang w:val="en-US"/>
        </w:rPr>
        <w:tab/>
      </w:r>
      <w:r w:rsidRPr="00CD437A">
        <w:rPr>
          <w:rFonts w:ascii="Verdana" w:hAnsi="Verdana"/>
          <w:i/>
          <w:sz w:val="16"/>
          <w:szCs w:val="16"/>
          <w:lang w:val="en-US"/>
        </w:rPr>
        <w:t xml:space="preserve">Cf. Case of Velásquez Rodríguez v. Honduras. Preliminary objections. </w:t>
      </w:r>
      <w:r w:rsidRPr="00CD437A">
        <w:rPr>
          <w:rFonts w:ascii="Verdana" w:hAnsi="Verdana"/>
          <w:sz w:val="16"/>
          <w:szCs w:val="16"/>
          <w:lang w:val="en-US"/>
        </w:rPr>
        <w:t xml:space="preserve">Judgment of June 26, 1987. Series C No. 1, para. 85, and </w:t>
      </w:r>
      <w:r w:rsidRPr="00CD437A">
        <w:rPr>
          <w:rFonts w:ascii="Verdana" w:hAnsi="Verdana"/>
          <w:i/>
          <w:sz w:val="16"/>
          <w:szCs w:val="16"/>
          <w:lang w:val="en-US"/>
        </w:rPr>
        <w:t>Case of</w:t>
      </w:r>
      <w:r w:rsidRPr="00CD437A">
        <w:rPr>
          <w:rFonts w:ascii="Verdana" w:hAnsi="Verdana"/>
          <w:sz w:val="16"/>
          <w:szCs w:val="16"/>
          <w:lang w:val="en-US"/>
        </w:rPr>
        <w:t xml:space="preserve"> </w:t>
      </w:r>
      <w:r w:rsidRPr="00CD437A">
        <w:rPr>
          <w:rFonts w:ascii="Verdana" w:hAnsi="Verdana"/>
          <w:i/>
          <w:sz w:val="16"/>
          <w:szCs w:val="16"/>
          <w:lang w:val="en-US"/>
        </w:rPr>
        <w:t>Amrhein et al. v. Costa Rica</w:t>
      </w:r>
      <w:r w:rsidRPr="00CD437A">
        <w:rPr>
          <w:rFonts w:ascii="Verdana" w:hAnsi="Verdana"/>
          <w:sz w:val="16"/>
          <w:szCs w:val="16"/>
          <w:lang w:val="en-US"/>
        </w:rPr>
        <w:t>. Preliminary objections, merits, reparations and costs. Judgment of April 25, 2018. Series C No.354, para. 39.</w:t>
      </w:r>
    </w:p>
  </w:footnote>
  <w:footnote w:id="12">
    <w:p w14:paraId="385CAB64" w14:textId="77777777" w:rsidR="00E6764B" w:rsidRPr="00CD437A" w:rsidRDefault="00E6764B" w:rsidP="008E6A56">
      <w:pPr>
        <w:tabs>
          <w:tab w:val="left" w:pos="567"/>
        </w:tabs>
        <w:rPr>
          <w:rFonts w:ascii="Verdana" w:hAnsi="Verdana"/>
          <w:sz w:val="16"/>
          <w:szCs w:val="16"/>
          <w:lang w:val="en-US"/>
        </w:rPr>
      </w:pPr>
      <w:r w:rsidRPr="00CD437A">
        <w:rPr>
          <w:rStyle w:val="Refdenotaalpie"/>
          <w:rFonts w:cs="Times"/>
          <w:sz w:val="16"/>
          <w:szCs w:val="16"/>
          <w:lang w:val="en-US"/>
        </w:rPr>
        <w:footnoteRef/>
      </w:r>
      <w:r w:rsidRPr="00CD437A">
        <w:rPr>
          <w:rStyle w:val="Refdenotaalpie"/>
          <w:rFonts w:cs="Times"/>
          <w:sz w:val="16"/>
          <w:szCs w:val="16"/>
          <w:lang w:val="en-US"/>
        </w:rPr>
        <w:t xml:space="preserve"> </w:t>
      </w:r>
      <w:r w:rsidRPr="00CD437A">
        <w:rPr>
          <w:rFonts w:ascii="Verdana" w:hAnsi="Verdana" w:cs="Verdana"/>
          <w:bCs/>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w:t>
      </w:r>
      <w:r w:rsidRPr="00CD437A">
        <w:rPr>
          <w:rFonts w:ascii="Verdana" w:hAnsi="Verdana"/>
          <w:i/>
          <w:sz w:val="16"/>
          <w:szCs w:val="16"/>
          <w:lang w:val="en-US"/>
        </w:rPr>
        <w:t>Case of Velásquez Rodríguez v. Honduras</w:t>
      </w:r>
      <w:r w:rsidRPr="00CD437A">
        <w:rPr>
          <w:rFonts w:ascii="Verdana" w:hAnsi="Verdana"/>
          <w:sz w:val="16"/>
          <w:szCs w:val="16"/>
          <w:lang w:val="en-US"/>
        </w:rPr>
        <w:t xml:space="preserve">. </w:t>
      </w:r>
      <w:r w:rsidRPr="00CD437A">
        <w:rPr>
          <w:rFonts w:ascii="Verdana" w:hAnsi="Verdana"/>
          <w:i/>
          <w:sz w:val="16"/>
          <w:szCs w:val="16"/>
          <w:lang w:val="en-US"/>
        </w:rPr>
        <w:t>Merits</w:t>
      </w:r>
      <w:r w:rsidRPr="00CD437A">
        <w:rPr>
          <w:rFonts w:ascii="Verdana" w:hAnsi="Verdana"/>
          <w:sz w:val="16"/>
          <w:szCs w:val="16"/>
          <w:lang w:val="en-US"/>
        </w:rPr>
        <w:t xml:space="preserve">. Judgment of July 29, 1988. Series C No. 4, para. 61, and </w:t>
      </w:r>
      <w:r w:rsidRPr="00CD437A">
        <w:rPr>
          <w:rFonts w:ascii="Verdana" w:hAnsi="Verdana"/>
          <w:i/>
          <w:sz w:val="16"/>
          <w:szCs w:val="16"/>
          <w:lang w:val="en-US"/>
        </w:rPr>
        <w:t xml:space="preserve">Case of Favela Nova Brasilia v. Brazil. </w:t>
      </w:r>
      <w:r w:rsidRPr="00CD437A">
        <w:rPr>
          <w:rFonts w:ascii="Verdana" w:hAnsi="Verdana"/>
          <w:sz w:val="16"/>
          <w:szCs w:val="16"/>
          <w:lang w:val="en-US"/>
        </w:rPr>
        <w:t>Preliminary objections, merits, reparations and costs. Judgment of February 16, 2017. Series C No. 33, para. 86.</w:t>
      </w:r>
    </w:p>
  </w:footnote>
  <w:footnote w:id="13">
    <w:p w14:paraId="5627DCF7" w14:textId="77777777" w:rsidR="00E6764B" w:rsidRPr="00CD437A" w:rsidRDefault="00E6764B" w:rsidP="008E6A56">
      <w:pPr>
        <w:tabs>
          <w:tab w:val="left" w:pos="567"/>
        </w:tabs>
        <w:rPr>
          <w:rFonts w:ascii="Verdana" w:hAnsi="Verdana"/>
          <w:i/>
          <w:sz w:val="16"/>
          <w:szCs w:val="16"/>
          <w:lang w:val="en-US"/>
        </w:rPr>
      </w:pPr>
      <w:r w:rsidRPr="00CD437A">
        <w:rPr>
          <w:rStyle w:val="Refdenotaalpie"/>
          <w:rFonts w:cs="Times"/>
          <w:sz w:val="16"/>
          <w:szCs w:val="16"/>
          <w:lang w:val="en-US"/>
        </w:rPr>
        <w:footnoteRef/>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w:t>
      </w:r>
      <w:r w:rsidRPr="00CD437A">
        <w:rPr>
          <w:rFonts w:ascii="Verdana" w:hAnsi="Verdana"/>
          <w:i/>
          <w:sz w:val="16"/>
          <w:szCs w:val="16"/>
          <w:lang w:val="en-US"/>
        </w:rPr>
        <w:t>Case of Velásquez Rodríguez v. Honduras</w:t>
      </w:r>
      <w:r w:rsidRPr="00CD437A">
        <w:rPr>
          <w:rFonts w:ascii="Verdana" w:hAnsi="Verdana"/>
          <w:sz w:val="16"/>
          <w:szCs w:val="16"/>
          <w:lang w:val="en-US"/>
        </w:rPr>
        <w:t xml:space="preserve">. </w:t>
      </w:r>
      <w:r w:rsidRPr="00CD437A">
        <w:rPr>
          <w:rFonts w:ascii="Verdana" w:hAnsi="Verdana" w:cs="Verdana"/>
          <w:i/>
          <w:sz w:val="16"/>
          <w:szCs w:val="16"/>
          <w:lang w:val="en-US" w:bidi="en-US"/>
        </w:rPr>
        <w:t>Merits, supra</w:t>
      </w:r>
      <w:r w:rsidRPr="00CD437A">
        <w:rPr>
          <w:rFonts w:ascii="Verdana" w:hAnsi="Verdana"/>
          <w:sz w:val="16"/>
          <w:szCs w:val="16"/>
          <w:lang w:val="en-US"/>
        </w:rPr>
        <w:t xml:space="preserve">, para. 63; </w:t>
      </w:r>
      <w:r w:rsidRPr="00CD437A">
        <w:rPr>
          <w:rFonts w:ascii="Verdana" w:hAnsi="Verdana"/>
          <w:i/>
          <w:sz w:val="16"/>
          <w:szCs w:val="16"/>
          <w:lang w:val="en-US"/>
        </w:rPr>
        <w:t>Case of Favela Nova Brasilia v. Brazil, supra, para. 86, and Duque v. Colombi</w:t>
      </w:r>
      <w:r w:rsidRPr="00CD437A">
        <w:rPr>
          <w:rFonts w:ascii="Verdana" w:hAnsi="Verdana"/>
          <w:bCs/>
          <w:i/>
          <w:sz w:val="16"/>
          <w:szCs w:val="16"/>
          <w:lang w:val="en-US"/>
        </w:rPr>
        <w:t>a.</w:t>
      </w:r>
      <w:r w:rsidRPr="00CD437A">
        <w:rPr>
          <w:rFonts w:ascii="Verdana" w:hAnsi="Verdana"/>
          <w:bCs/>
          <w:sz w:val="16"/>
          <w:szCs w:val="16"/>
          <w:lang w:val="en-US"/>
        </w:rPr>
        <w:t xml:space="preserve"> Preliminary objections, merits, reparations and costs. Judgment of February 26, 2016. Series C</w:t>
      </w:r>
      <w:r w:rsidRPr="00CD437A">
        <w:rPr>
          <w:rFonts w:ascii="Verdana" w:hAnsi="Verdana"/>
          <w:bCs/>
          <w:i/>
          <w:sz w:val="16"/>
          <w:szCs w:val="16"/>
          <w:lang w:val="en-US"/>
        </w:rPr>
        <w:t xml:space="preserve"> </w:t>
      </w:r>
      <w:r w:rsidRPr="00CD437A">
        <w:rPr>
          <w:rFonts w:ascii="Verdana" w:hAnsi="Verdana"/>
          <w:bCs/>
          <w:sz w:val="16"/>
          <w:szCs w:val="16"/>
          <w:lang w:val="en-US"/>
        </w:rPr>
        <w:t>No.310,</w:t>
      </w:r>
      <w:r w:rsidRPr="00CD437A">
        <w:rPr>
          <w:rFonts w:ascii="Verdana" w:hAnsi="Verdana"/>
          <w:bCs/>
          <w:i/>
          <w:sz w:val="16"/>
          <w:szCs w:val="16"/>
          <w:lang w:val="en-US"/>
        </w:rPr>
        <w:t xml:space="preserve"> supra</w:t>
      </w:r>
      <w:r w:rsidRPr="00CD437A">
        <w:rPr>
          <w:rFonts w:ascii="Verdana" w:hAnsi="Verdana"/>
          <w:bCs/>
          <w:sz w:val="16"/>
          <w:szCs w:val="16"/>
          <w:lang w:val="en-US"/>
        </w:rPr>
        <w:t>, para. 35</w:t>
      </w:r>
      <w:r w:rsidRPr="00CD437A">
        <w:rPr>
          <w:rFonts w:ascii="Verdana" w:hAnsi="Verdana"/>
          <w:sz w:val="16"/>
          <w:szCs w:val="16"/>
          <w:lang w:val="en-US"/>
        </w:rPr>
        <w:t>.</w:t>
      </w:r>
    </w:p>
  </w:footnote>
  <w:footnote w:id="14">
    <w:p w14:paraId="5254CE10" w14:textId="77777777" w:rsidR="00E6764B" w:rsidRPr="00CD437A" w:rsidRDefault="00E6764B" w:rsidP="008E6A56">
      <w:pPr>
        <w:tabs>
          <w:tab w:val="left" w:pos="567"/>
        </w:tabs>
        <w:rPr>
          <w:rFonts w:ascii="Verdana" w:hAnsi="Verdana"/>
          <w:sz w:val="16"/>
          <w:szCs w:val="16"/>
          <w:lang w:val="en-US"/>
        </w:rPr>
      </w:pPr>
      <w:r w:rsidRPr="00CD437A">
        <w:rPr>
          <w:rStyle w:val="Refdenotaalpie"/>
          <w:sz w:val="16"/>
          <w:szCs w:val="16"/>
          <w:lang w:val="en-US"/>
        </w:rPr>
        <w:footnoteRef/>
      </w:r>
      <w:r w:rsidRPr="00CD437A">
        <w:rPr>
          <w:rFonts w:ascii="Verdana" w:hAnsi="Verdana" w:cs="Verdana"/>
          <w:sz w:val="16"/>
          <w:szCs w:val="16"/>
          <w:lang w:val="en-US"/>
        </w:rPr>
        <w:tab/>
      </w:r>
      <w:r w:rsidRPr="00CD437A">
        <w:rPr>
          <w:rFonts w:ascii="Verdana" w:hAnsi="Verdana" w:cs="Verdana"/>
          <w:i/>
          <w:sz w:val="16"/>
          <w:szCs w:val="16"/>
          <w:lang w:val="en-US"/>
        </w:rPr>
        <w:t xml:space="preserve">Cf. Case of Velásquez Rodríguez v. Honduras. </w:t>
      </w:r>
      <w:r w:rsidRPr="00CD437A">
        <w:rPr>
          <w:rFonts w:ascii="Verdana" w:hAnsi="Verdana" w:cs="Verdana"/>
          <w:sz w:val="16"/>
          <w:szCs w:val="16"/>
          <w:lang w:val="en-US"/>
        </w:rPr>
        <w:t>Preliminary objections</w:t>
      </w:r>
      <w:r w:rsidRPr="00CD437A">
        <w:rPr>
          <w:rFonts w:ascii="Verdana" w:hAnsi="Verdana"/>
          <w:sz w:val="16"/>
          <w:szCs w:val="16"/>
          <w:lang w:val="en-US"/>
        </w:rPr>
        <w:t xml:space="preserve">, </w:t>
      </w:r>
      <w:r w:rsidRPr="00CD437A">
        <w:rPr>
          <w:rFonts w:ascii="Verdana" w:hAnsi="Verdana"/>
          <w:i/>
          <w:sz w:val="16"/>
          <w:szCs w:val="16"/>
          <w:lang w:val="en-US"/>
        </w:rPr>
        <w:t>supra</w:t>
      </w:r>
      <w:r w:rsidRPr="00CD437A">
        <w:rPr>
          <w:rFonts w:ascii="Verdana" w:hAnsi="Verdana"/>
          <w:sz w:val="16"/>
          <w:szCs w:val="16"/>
          <w:lang w:val="en-US"/>
        </w:rPr>
        <w:t xml:space="preserve">, </w:t>
      </w:r>
      <w:r w:rsidRPr="00CD437A">
        <w:rPr>
          <w:rFonts w:ascii="Verdana" w:hAnsi="Verdana" w:cs="Verdana"/>
          <w:sz w:val="16"/>
          <w:szCs w:val="16"/>
          <w:lang w:val="en-US"/>
        </w:rPr>
        <w:t xml:space="preserve">para. 88, and </w:t>
      </w:r>
      <w:r w:rsidRPr="00CD437A">
        <w:rPr>
          <w:rFonts w:ascii="Verdana" w:hAnsi="Verdana"/>
          <w:i/>
          <w:sz w:val="16"/>
          <w:szCs w:val="16"/>
          <w:lang w:val="en-US"/>
        </w:rPr>
        <w:t>Case of Duque v. Colombia, supra,</w:t>
      </w:r>
      <w:r w:rsidRPr="00CD437A">
        <w:rPr>
          <w:rFonts w:ascii="Verdana" w:hAnsi="Verdana"/>
          <w:sz w:val="16"/>
          <w:szCs w:val="16"/>
          <w:lang w:val="en-US"/>
        </w:rPr>
        <w:t xml:space="preserve"> para. 23.</w:t>
      </w:r>
    </w:p>
  </w:footnote>
  <w:footnote w:id="15">
    <w:p w14:paraId="1A722FF4" w14:textId="77777777" w:rsidR="00E6764B" w:rsidRPr="00CD437A" w:rsidRDefault="00E6764B" w:rsidP="008E6A56">
      <w:pPr>
        <w:tabs>
          <w:tab w:val="left" w:pos="567"/>
        </w:tabs>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b/>
          <w:i/>
          <w:sz w:val="16"/>
          <w:szCs w:val="16"/>
          <w:lang w:val="en-US"/>
        </w:rPr>
        <w:t xml:space="preserve"> </w:t>
      </w:r>
      <w:r w:rsidRPr="00CD437A">
        <w:rPr>
          <w:rStyle w:val="Textoennegrita"/>
          <w:rFonts w:ascii="Verdana" w:hAnsi="Verdana"/>
          <w:b w:val="0"/>
          <w:i/>
          <w:sz w:val="16"/>
          <w:szCs w:val="16"/>
          <w:lang w:val="en-US"/>
        </w:rPr>
        <w:t>Case of Granier et al. (Radio Caracas Televisión) v. Venezuela. Preliminary objections, merits, reparations and costs.</w:t>
      </w:r>
      <w:r w:rsidRPr="00CD437A">
        <w:rPr>
          <w:rStyle w:val="Textoennegrita"/>
          <w:rFonts w:ascii="Verdana" w:hAnsi="Verdana"/>
          <w:b w:val="0"/>
          <w:sz w:val="16"/>
          <w:szCs w:val="16"/>
          <w:lang w:val="en-US"/>
        </w:rPr>
        <w:t xml:space="preserve"> Judgment of June 22, 2015. Series C No. 293</w:t>
      </w:r>
      <w:r w:rsidRPr="00CD437A">
        <w:rPr>
          <w:rFonts w:ascii="Verdana" w:hAnsi="Verdana"/>
          <w:sz w:val="16"/>
          <w:szCs w:val="16"/>
          <w:lang w:val="en-US"/>
        </w:rPr>
        <w:t xml:space="preserve">, para. 28, and </w:t>
      </w:r>
      <w:r w:rsidRPr="00CD437A">
        <w:rPr>
          <w:rFonts w:ascii="Verdana" w:hAnsi="Verdana" w:cs="Calibri"/>
          <w:i/>
          <w:sz w:val="16"/>
          <w:szCs w:val="16"/>
          <w:lang w:val="en-US"/>
        </w:rPr>
        <w:t xml:space="preserve">Case of </w:t>
      </w:r>
      <w:r w:rsidRPr="00CD437A">
        <w:rPr>
          <w:rFonts w:ascii="Verdana" w:hAnsi="Verdana"/>
          <w:i/>
          <w:sz w:val="16"/>
          <w:szCs w:val="16"/>
          <w:lang w:val="en-US"/>
        </w:rPr>
        <w:t>V.R.P., V.P.C. et al. v. Nicaragua.</w:t>
      </w:r>
      <w:r w:rsidRPr="00CD437A">
        <w:rPr>
          <w:rFonts w:ascii="Verdana" w:hAnsi="Verdana"/>
          <w:sz w:val="16"/>
          <w:szCs w:val="16"/>
          <w:lang w:val="en-US"/>
        </w:rPr>
        <w:t xml:space="preserve"> Preliminary objections, merits, reparations and costs. Judgment of March 8, 2018. Series C No. 350, para. 22.</w:t>
      </w:r>
    </w:p>
  </w:footnote>
  <w:footnote w:id="16">
    <w:p w14:paraId="29A66BF3"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Velásquez</w:t>
      </w:r>
      <w:proofErr w:type="spellEnd"/>
      <w:r w:rsidRPr="00CD437A">
        <w:t xml:space="preserve"> Rodríguez v. Honduras. Preliminary objections, supra, paras. 88 and 91, and Case of Duque v. Colombia, supra, para. 23.</w:t>
      </w:r>
    </w:p>
  </w:footnote>
  <w:footnote w:id="17">
    <w:p w14:paraId="7088079D"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Reverón</w:t>
      </w:r>
      <w:proofErr w:type="spellEnd"/>
      <w:r w:rsidRPr="00CD437A">
        <w:t xml:space="preserve"> Trujillo v. Venezuela. Preliminary objection, merits, reparations and costs. Judgment of June 30, 2009. Series C No. 197, para. 23</w:t>
      </w:r>
      <w:r w:rsidRPr="00CD437A">
        <w:rPr>
          <w:bCs/>
        </w:rPr>
        <w:t>,</w:t>
      </w:r>
      <w:r w:rsidRPr="00CD437A">
        <w:t xml:space="preserve"> and Case of </w:t>
      </w:r>
      <w:proofErr w:type="spellStart"/>
      <w:r w:rsidRPr="00CD437A">
        <w:t>Amrhein</w:t>
      </w:r>
      <w:proofErr w:type="spellEnd"/>
      <w:r w:rsidRPr="00CD437A">
        <w:t xml:space="preserve"> et al. v Costa Rica, supra, para.39.</w:t>
      </w:r>
    </w:p>
  </w:footnote>
  <w:footnote w:id="18">
    <w:p w14:paraId="2D991709" w14:textId="77777777" w:rsidR="00E6764B" w:rsidRPr="00CD437A" w:rsidRDefault="00E6764B" w:rsidP="00CD2B15">
      <w:pPr>
        <w:pStyle w:val="Textonotapie"/>
      </w:pPr>
      <w:r w:rsidRPr="00CD437A">
        <w:rPr>
          <w:rStyle w:val="Refdenotaalpie"/>
          <w:rFonts w:eastAsia="ヒラギノ角ゴ Pro W3"/>
        </w:rPr>
        <w:footnoteRef/>
      </w:r>
      <w:r w:rsidRPr="00CD437A">
        <w:tab/>
        <w:t xml:space="preserve">Cf. Case of Expelled Dominicans and Haitians v. Dominican Republic. Preliminary objections, merits, reparations and costs. Judgment of August 28, 2014. Series C No. 282, para. 30, and Case of Dismissed Employees of </w:t>
      </w:r>
      <w:proofErr w:type="spellStart"/>
      <w:r w:rsidRPr="00CD437A">
        <w:t>Pe</w:t>
      </w:r>
      <w:r>
        <w:t>troPerú</w:t>
      </w:r>
      <w:proofErr w:type="spellEnd"/>
      <w:r w:rsidRPr="00CD437A">
        <w:t xml:space="preserve"> et al. v. Peru.</w:t>
      </w:r>
      <w:r w:rsidRPr="00CD437A">
        <w:rPr>
          <w:rFonts w:eastAsia="Calibri" w:cs="Calibri"/>
          <w:iCs/>
          <w:spacing w:val="15"/>
          <w:lang w:eastAsia="en-US"/>
        </w:rPr>
        <w:t xml:space="preserve"> </w:t>
      </w:r>
      <w:r w:rsidRPr="00CD437A">
        <w:rPr>
          <w:iCs/>
        </w:rPr>
        <w:t>Preliminary objections, merits, reparations and costs.</w:t>
      </w:r>
      <w:r w:rsidRPr="00CD437A">
        <w:t xml:space="preserve"> Judgment of November 23, 2017. Series C. No. 344, para.27.</w:t>
      </w:r>
    </w:p>
  </w:footnote>
  <w:footnote w:id="19">
    <w:p w14:paraId="651577A1"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r>
      <w:r w:rsidRPr="00CD437A">
        <w:rPr>
          <w:i/>
        </w:rPr>
        <w:t>Cf.</w:t>
      </w:r>
      <w:r w:rsidRPr="00CD437A">
        <w:t xml:space="preserve"> </w:t>
      </w:r>
      <w:r w:rsidRPr="00CD437A">
        <w:rPr>
          <w:i/>
        </w:rPr>
        <w:t>Report No. 48-2010-JUS/PPES</w:t>
      </w:r>
      <w:r w:rsidRPr="00CD437A">
        <w:t xml:space="preserve"> of the State of Peru of February 25, 2010, received by the Inter-American Commission on March 1, 2010 </w:t>
      </w:r>
      <w:r w:rsidRPr="00CD437A">
        <w:rPr>
          <w:rStyle w:val="Textoennegrita"/>
          <w:b w:val="0"/>
          <w:shd w:val="clear" w:color="auto" w:fill="FFFFFF"/>
        </w:rPr>
        <w:t>(evidence file, folios 39.8 to 39.9).</w:t>
      </w:r>
    </w:p>
  </w:footnote>
  <w:footnote w:id="20">
    <w:p w14:paraId="039B40A5"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The fact that the State did not allege failure to exhaust </w:t>
      </w:r>
      <w:r w:rsidRPr="00CD437A">
        <w:rPr>
          <w:color w:val="000000"/>
        </w:rPr>
        <w:t xml:space="preserve">domestic remedies was taken up by the Commission in </w:t>
      </w:r>
      <w:r w:rsidRPr="00CD437A">
        <w:rPr>
          <w:i/>
          <w:color w:val="000000"/>
        </w:rPr>
        <w:t>Admissibility Report No. 106/10</w:t>
      </w:r>
      <w:r w:rsidRPr="00CD437A">
        <w:rPr>
          <w:color w:val="000000"/>
        </w:rPr>
        <w:t xml:space="preserve">. </w:t>
      </w:r>
      <w:r w:rsidRPr="00CD437A">
        <w:rPr>
          <w:i/>
          <w:color w:val="000000"/>
        </w:rPr>
        <w:t>Cf.</w:t>
      </w:r>
      <w:r w:rsidRPr="00CD437A">
        <w:rPr>
          <w:color w:val="000000"/>
        </w:rPr>
        <w:t xml:space="preserve"> </w:t>
      </w:r>
      <w:r w:rsidRPr="00CD437A">
        <w:rPr>
          <w:i/>
        </w:rPr>
        <w:t>Admissibility Report No. 106/10</w:t>
      </w:r>
      <w:r w:rsidRPr="00CD437A">
        <w:t xml:space="preserve">, Petition 147-98, Oscar </w:t>
      </w:r>
      <w:proofErr w:type="spellStart"/>
      <w:r w:rsidRPr="00CD437A">
        <w:t>Muelle</w:t>
      </w:r>
      <w:proofErr w:type="spellEnd"/>
      <w:r w:rsidRPr="00CD437A">
        <w:t xml:space="preserve"> Flores, Peru, July 16, 2010, para. 327 (evidence file, folio 225).</w:t>
      </w:r>
    </w:p>
  </w:footnote>
  <w:footnote w:id="21">
    <w:p w14:paraId="760BB5A8" w14:textId="77777777" w:rsidR="00E6764B" w:rsidRPr="00CD437A" w:rsidRDefault="00E6764B" w:rsidP="00CD2B15">
      <w:pPr>
        <w:pStyle w:val="Textonotapie"/>
      </w:pPr>
      <w:r w:rsidRPr="00CD437A">
        <w:rPr>
          <w:rStyle w:val="Refdenotaalpie"/>
          <w:color w:val="000000"/>
        </w:rPr>
        <w:footnoteRef/>
      </w:r>
      <w:r w:rsidRPr="00CD437A">
        <w:t xml:space="preserve"> </w:t>
      </w:r>
      <w:r w:rsidRPr="00CD437A">
        <w:tab/>
        <w:t>Case of Tenorio Roca et al. v. Peru. Preliminary objections, merits, reparations and costs. Judgment of June 22, 2016. Series C No. 314, para. 24.</w:t>
      </w:r>
    </w:p>
  </w:footnote>
  <w:footnote w:id="22">
    <w:p w14:paraId="3A44E551" w14:textId="77777777" w:rsidR="00E6764B" w:rsidRPr="00CD437A" w:rsidRDefault="00E6764B" w:rsidP="00CD2B15">
      <w:pPr>
        <w:pStyle w:val="Textonotapie"/>
        <w:rPr>
          <w:color w:val="000000"/>
        </w:rPr>
      </w:pPr>
      <w:r w:rsidRPr="00CD437A">
        <w:rPr>
          <w:rStyle w:val="Refdenotaalpie"/>
          <w:color w:val="000000"/>
        </w:rPr>
        <w:footnoteRef/>
      </w:r>
      <w:r w:rsidRPr="00CD437A">
        <w:rPr>
          <w:color w:val="000000"/>
        </w:rPr>
        <w:t xml:space="preserve"> </w:t>
      </w:r>
      <w:r w:rsidRPr="00CD437A">
        <w:rPr>
          <w:color w:val="000000"/>
        </w:rPr>
        <w:tab/>
      </w:r>
      <w:r w:rsidRPr="00CD437A">
        <w:t xml:space="preserve">Cf. </w:t>
      </w:r>
      <w:r w:rsidRPr="00CD437A">
        <w:rPr>
          <w:bCs/>
        </w:rPr>
        <w:t xml:space="preserve">Case of Díaz Peña v. Venezuela. </w:t>
      </w:r>
      <w:r w:rsidRPr="00CD437A">
        <w:t xml:space="preserve">Preliminary objection, merits, reparations and costs. Judgment of June 26, 2012. Series C No. 244, paras. 118 and 122, and </w:t>
      </w:r>
      <w:r w:rsidRPr="00CD437A">
        <w:rPr>
          <w:color w:val="000000"/>
        </w:rPr>
        <w:t>Case of Tenorio Roca et al. v. Peru, supra, para. 23.</w:t>
      </w:r>
    </w:p>
  </w:footnote>
  <w:footnote w:id="23">
    <w:p w14:paraId="001E34DD" w14:textId="77777777" w:rsidR="00E6764B" w:rsidRPr="00CD437A" w:rsidRDefault="00E6764B" w:rsidP="00CD2B15">
      <w:pPr>
        <w:pStyle w:val="Textonotapie"/>
      </w:pPr>
      <w:r w:rsidRPr="00CD437A">
        <w:rPr>
          <w:rStyle w:val="Refdenotaalpie"/>
        </w:rPr>
        <w:footnoteRef/>
      </w:r>
      <w:r w:rsidRPr="00CD437A">
        <w:t xml:space="preserve"> </w:t>
      </w:r>
      <w:r w:rsidRPr="00CD437A">
        <w:tab/>
        <w:t>In this case the Court did not declare a violation of Article 26 of the Convention nor did it analyze the State’s obligation to ensure progressive development and the duty of non-retrogression, which was the focus of the Court’s analysis of Article 26.</w:t>
      </w:r>
    </w:p>
  </w:footnote>
  <w:footnote w:id="24">
    <w:p w14:paraId="21DEACFF" w14:textId="77777777" w:rsidR="00E6764B" w:rsidRPr="00CD437A" w:rsidRDefault="00E6764B" w:rsidP="00CD2B15">
      <w:pPr>
        <w:pStyle w:val="Textonotapie"/>
        <w:rPr>
          <w:color w:val="000000"/>
        </w:rPr>
      </w:pPr>
      <w:r w:rsidRPr="00CD437A">
        <w:rPr>
          <w:rStyle w:val="Refdenotaalpie"/>
          <w:color w:val="000000"/>
        </w:rPr>
        <w:footnoteRef/>
      </w:r>
      <w:r w:rsidRPr="00CD437A">
        <w:rPr>
          <w:color w:val="000000"/>
        </w:rPr>
        <w:t xml:space="preserve"> </w:t>
      </w:r>
      <w:r w:rsidRPr="00CD437A">
        <w:rPr>
          <w:color w:val="000000"/>
        </w:rPr>
        <w:tab/>
        <w:t>Cf.</w:t>
      </w:r>
      <w:r w:rsidRPr="00CD437A">
        <w:t xml:space="preserve"> Case of Lagos del Campo v. Peru, supra, paras. 142 and 145.</w:t>
      </w:r>
      <w:r w:rsidRPr="00CD437A">
        <w:rPr>
          <w:color w:val="000000"/>
        </w:rPr>
        <w:t xml:space="preserve"> </w:t>
      </w:r>
    </w:p>
  </w:footnote>
  <w:footnote w:id="25">
    <w:p w14:paraId="769F7AA4" w14:textId="77777777" w:rsidR="00E6764B" w:rsidRPr="00CD437A" w:rsidRDefault="00E6764B" w:rsidP="008E6A56">
      <w:pPr>
        <w:pStyle w:val="Ttulo3"/>
        <w:tabs>
          <w:tab w:val="left" w:pos="540"/>
          <w:tab w:val="left" w:pos="720"/>
        </w:tabs>
        <w:spacing w:before="0"/>
        <w:ind w:left="0"/>
        <w:rPr>
          <w:sz w:val="16"/>
          <w:szCs w:val="16"/>
          <w:lang w:val="en-US"/>
        </w:rPr>
      </w:pPr>
      <w:r w:rsidRPr="00CD437A">
        <w:rPr>
          <w:rStyle w:val="Refdenotaalpie"/>
          <w:i w:val="0"/>
          <w:color w:val="000000"/>
          <w:sz w:val="16"/>
          <w:szCs w:val="16"/>
          <w:lang w:val="en-US"/>
        </w:rPr>
        <w:footnoteRef/>
      </w:r>
      <w:r w:rsidRPr="00CD437A">
        <w:rPr>
          <w:i w:val="0"/>
          <w:color w:val="000000"/>
          <w:sz w:val="16"/>
          <w:szCs w:val="16"/>
          <w:lang w:val="en-US"/>
        </w:rPr>
        <w:t xml:space="preserve"> </w:t>
      </w:r>
      <w:r w:rsidRPr="00CD437A">
        <w:rPr>
          <w:color w:val="000000"/>
          <w:sz w:val="16"/>
          <w:szCs w:val="16"/>
          <w:lang w:val="en-US"/>
        </w:rPr>
        <w:tab/>
        <w:t>Cf.</w:t>
      </w:r>
      <w:r w:rsidRPr="00CD437A">
        <w:rPr>
          <w:sz w:val="16"/>
          <w:szCs w:val="16"/>
          <w:lang w:val="en-US"/>
        </w:rPr>
        <w:t xml:space="preserve"> </w:t>
      </w:r>
      <w:r w:rsidRPr="00CD437A">
        <w:rPr>
          <w:color w:val="000000"/>
          <w:sz w:val="16"/>
          <w:szCs w:val="16"/>
          <w:lang w:val="en-US"/>
        </w:rPr>
        <w:t>Case of Acevedo Buendía et al. (“Discharged and Retired Employees of the Comptroller’s Office”) v. Peru, supra</w:t>
      </w:r>
      <w:r w:rsidRPr="00CD437A">
        <w:rPr>
          <w:i w:val="0"/>
          <w:sz w:val="16"/>
          <w:szCs w:val="16"/>
          <w:lang w:val="en-US"/>
        </w:rPr>
        <w:t xml:space="preserve">, </w:t>
      </w:r>
      <w:r w:rsidRPr="00CD437A">
        <w:rPr>
          <w:i w:val="0"/>
          <w:color w:val="000000"/>
          <w:sz w:val="16"/>
          <w:szCs w:val="16"/>
          <w:lang w:val="en-US"/>
        </w:rPr>
        <w:t xml:space="preserve">paras. 16, 17 and 100, and </w:t>
      </w:r>
      <w:r w:rsidRPr="00CD437A">
        <w:rPr>
          <w:sz w:val="16"/>
          <w:szCs w:val="16"/>
          <w:lang w:val="en-US"/>
        </w:rPr>
        <w:t xml:space="preserve">Case of Lagos del Campo v. Peru, supra, </w:t>
      </w:r>
      <w:r w:rsidRPr="00CD437A">
        <w:rPr>
          <w:i w:val="0"/>
          <w:sz w:val="16"/>
          <w:szCs w:val="16"/>
          <w:lang w:val="en-US"/>
        </w:rPr>
        <w:t xml:space="preserve">para. 154. </w:t>
      </w:r>
    </w:p>
  </w:footnote>
  <w:footnote w:id="26">
    <w:p w14:paraId="5F30E328" w14:textId="77777777" w:rsidR="00E6764B" w:rsidRPr="00CD437A" w:rsidRDefault="00E6764B" w:rsidP="008E6A56">
      <w:pPr>
        <w:pStyle w:val="Ttulo3"/>
        <w:spacing w:before="0"/>
        <w:ind w:left="0"/>
        <w:rPr>
          <w:i w:val="0"/>
          <w:sz w:val="16"/>
          <w:szCs w:val="16"/>
          <w:lang w:val="en-US"/>
        </w:rPr>
      </w:pPr>
      <w:r w:rsidRPr="00CD437A">
        <w:rPr>
          <w:rStyle w:val="Refdenotaalpie"/>
          <w:i w:val="0"/>
          <w:color w:val="000000"/>
          <w:sz w:val="16"/>
          <w:szCs w:val="16"/>
          <w:lang w:val="en-US"/>
        </w:rPr>
        <w:footnoteRef/>
      </w:r>
      <w:r w:rsidRPr="00CD437A">
        <w:rPr>
          <w:sz w:val="16"/>
          <w:szCs w:val="16"/>
          <w:lang w:val="en-US"/>
        </w:rPr>
        <w:tab/>
        <w:t xml:space="preserve">Cf. Case of Lagos del Campo v. Peru, supra, </w:t>
      </w:r>
      <w:r w:rsidRPr="00CD437A">
        <w:rPr>
          <w:i w:val="0"/>
          <w:sz w:val="16"/>
          <w:szCs w:val="16"/>
          <w:lang w:val="en-US"/>
        </w:rPr>
        <w:t xml:space="preserve">paras. 142 and 154. The paragraph stated that “[i]n [this] sense, the Court [held] that the broad terms in which the American Convention is drafted indicate that the Court exercises full jurisdiction over all its articles and provisions. Also, it is pertinent to note that although Article 26 is found in Chapter III of the Convention, (entitled ‘Economic, Social and Cultural Rights’), it also appears in Part I of that instrument, entitled ‘State Obligations and Rights Protected’ and, therefore, is subject to the general obligations contained in Articles 1(1) and 2 indicated in Chapter I (entitled ‘General Obligations’), and in Articles 3 to 25 contained in Chapter II (entitled ‘Civil and Political Rights’)”. </w:t>
      </w:r>
      <w:r w:rsidRPr="00CD437A">
        <w:rPr>
          <w:sz w:val="16"/>
          <w:szCs w:val="16"/>
          <w:lang w:val="en-US"/>
        </w:rPr>
        <w:t>Cf.</w:t>
      </w:r>
      <w:r w:rsidRPr="00CD437A">
        <w:rPr>
          <w:i w:val="0"/>
          <w:sz w:val="16"/>
          <w:szCs w:val="16"/>
          <w:lang w:val="en-US"/>
        </w:rPr>
        <w:t xml:space="preserve"> </w:t>
      </w:r>
      <w:r w:rsidRPr="00CD437A">
        <w:rPr>
          <w:sz w:val="16"/>
          <w:szCs w:val="16"/>
          <w:lang w:val="en-US"/>
        </w:rPr>
        <w:t xml:space="preserve">Case of Acevedo Buendía et al. (“Discharged and Retired Employees of the Comptroller’s Office”) v. Peru, supra, </w:t>
      </w:r>
      <w:r w:rsidRPr="00CD437A">
        <w:rPr>
          <w:i w:val="0"/>
          <w:sz w:val="16"/>
          <w:szCs w:val="16"/>
          <w:lang w:val="en-US"/>
        </w:rPr>
        <w:t>para. 100, and UN, Committee on Economic, Social and Cultural Rights,</w:t>
      </w:r>
      <w:r w:rsidRPr="00CD437A">
        <w:rPr>
          <w:sz w:val="16"/>
          <w:szCs w:val="16"/>
          <w:lang w:val="en-US"/>
        </w:rPr>
        <w:t xml:space="preserve"> General Comment N</w:t>
      </w:r>
      <w:r w:rsidRPr="00CD437A">
        <w:rPr>
          <w:sz w:val="16"/>
          <w:szCs w:val="16"/>
          <w:vertAlign w:val="superscript"/>
          <w:lang w:val="en-US"/>
        </w:rPr>
        <w:t>o</w:t>
      </w:r>
      <w:r w:rsidRPr="00CD437A">
        <w:rPr>
          <w:sz w:val="16"/>
          <w:szCs w:val="16"/>
          <w:lang w:val="en-US"/>
        </w:rPr>
        <w:t xml:space="preserve"> 13: The right to education (Article 13 of the Covenant), </w:t>
      </w:r>
      <w:r w:rsidRPr="00CD437A">
        <w:rPr>
          <w:i w:val="0"/>
          <w:sz w:val="16"/>
          <w:szCs w:val="16"/>
          <w:lang w:val="en-US"/>
        </w:rPr>
        <w:t>U.N. Doc. E/C.12/1999/10,</w:t>
      </w:r>
      <w:r w:rsidRPr="00CD437A">
        <w:rPr>
          <w:sz w:val="16"/>
          <w:szCs w:val="16"/>
          <w:lang w:val="en-US"/>
        </w:rPr>
        <w:t xml:space="preserve"> </w:t>
      </w:r>
      <w:r w:rsidRPr="00CD437A">
        <w:rPr>
          <w:i w:val="0"/>
          <w:sz w:val="16"/>
          <w:szCs w:val="16"/>
          <w:lang w:val="en-US"/>
        </w:rPr>
        <w:t>December 8, 1999, para. 50.</w:t>
      </w:r>
    </w:p>
  </w:footnote>
  <w:footnote w:id="27">
    <w:p w14:paraId="71875FDA"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Case of </w:t>
      </w:r>
      <w:proofErr w:type="spellStart"/>
      <w:r w:rsidRPr="00CD437A">
        <w:rPr>
          <w:i/>
        </w:rPr>
        <w:t>Cuscul</w:t>
      </w:r>
      <w:proofErr w:type="spellEnd"/>
      <w:r w:rsidRPr="00CD437A">
        <w:rPr>
          <w:i/>
        </w:rPr>
        <w:t xml:space="preserve"> </w:t>
      </w:r>
      <w:proofErr w:type="spellStart"/>
      <w:r w:rsidRPr="00CD437A">
        <w:rPr>
          <w:i/>
        </w:rPr>
        <w:t>Pivaral</w:t>
      </w:r>
      <w:proofErr w:type="spellEnd"/>
      <w:r w:rsidRPr="00CD437A">
        <w:rPr>
          <w:i/>
        </w:rPr>
        <w:t xml:space="preserve"> et al. v. Guatemala. Preliminary objection, merits, reparations and costs. </w:t>
      </w:r>
      <w:r w:rsidRPr="00CD437A">
        <w:t xml:space="preserve">Judgment of August 23, 2018. Series C No. 359, paras. 75 to 97; </w:t>
      </w:r>
      <w:r w:rsidRPr="00CD437A">
        <w:rPr>
          <w:rStyle w:val="Textoennegrita"/>
          <w:b w:val="0"/>
          <w:color w:val="000000"/>
          <w:shd w:val="clear" w:color="auto" w:fill="FFFFFF"/>
        </w:rPr>
        <w:t xml:space="preserve">Environment and human rights (State obligations in relation to the environment in the context of the protection and guarantee of the rights to life and personal integrity- interpretation and scope </w:t>
      </w:r>
      <w:proofErr w:type="gramStart"/>
      <w:r w:rsidRPr="00CD437A">
        <w:rPr>
          <w:rStyle w:val="Textoennegrita"/>
          <w:b w:val="0"/>
          <w:color w:val="000000"/>
          <w:shd w:val="clear" w:color="auto" w:fill="FFFFFF"/>
        </w:rPr>
        <w:t>of  Articles</w:t>
      </w:r>
      <w:proofErr w:type="gramEnd"/>
      <w:r w:rsidRPr="00CD437A">
        <w:rPr>
          <w:rStyle w:val="Textoennegrita"/>
          <w:b w:val="0"/>
          <w:color w:val="000000"/>
          <w:shd w:val="clear" w:color="auto" w:fill="FFFFFF"/>
        </w:rPr>
        <w:t xml:space="preserve"> 4(1) and 5(1), in relation to Articles 1(1) and 2 of the American Convention on Human Rights). </w:t>
      </w:r>
      <w:r w:rsidRPr="00CD437A">
        <w:rPr>
          <w:rStyle w:val="Textoennegrita"/>
          <w:b w:val="0"/>
          <w:i/>
          <w:color w:val="000000"/>
          <w:shd w:val="clear" w:color="auto" w:fill="FFFFFF"/>
        </w:rPr>
        <w:t>Advisory Opinion OC-23/17</w:t>
      </w:r>
      <w:r w:rsidRPr="00CD437A">
        <w:rPr>
          <w:rStyle w:val="Textoennegrita"/>
          <w:b w:val="0"/>
          <w:color w:val="000000"/>
          <w:shd w:val="clear" w:color="auto" w:fill="FFFFFF"/>
        </w:rPr>
        <w:t xml:space="preserve"> of November 15, 2017. Series A No. 23,</w:t>
      </w:r>
      <w:r w:rsidRPr="00CD437A">
        <w:rPr>
          <w:rStyle w:val="Textoennegrita"/>
          <w:color w:val="000000"/>
          <w:shd w:val="clear" w:color="auto" w:fill="FFFFFF"/>
        </w:rPr>
        <w:t xml:space="preserve"> </w:t>
      </w:r>
      <w:r w:rsidRPr="00CD437A">
        <w:t xml:space="preserve">para. 57; </w:t>
      </w:r>
      <w:r w:rsidRPr="00CD437A">
        <w:rPr>
          <w:i/>
        </w:rPr>
        <w:t xml:space="preserve">Case of Dismissed Employees of </w:t>
      </w:r>
      <w:proofErr w:type="spellStart"/>
      <w:r w:rsidRPr="00CD437A">
        <w:rPr>
          <w:i/>
        </w:rPr>
        <w:t>PetroPerú</w:t>
      </w:r>
      <w:proofErr w:type="spellEnd"/>
      <w:r w:rsidRPr="00CD437A">
        <w:rPr>
          <w:i/>
        </w:rPr>
        <w:t xml:space="preserve"> et al. v. Peru, supra,</w:t>
      </w:r>
      <w:r w:rsidRPr="00CD437A">
        <w:t xml:space="preserve"> para. 192; </w:t>
      </w:r>
      <w:r w:rsidRPr="00CD437A">
        <w:rPr>
          <w:i/>
        </w:rPr>
        <w:t xml:space="preserve">Case of San Miguel Sosa and </w:t>
      </w:r>
      <w:proofErr w:type="gramStart"/>
      <w:r w:rsidRPr="00CD437A">
        <w:rPr>
          <w:i/>
        </w:rPr>
        <w:t>other</w:t>
      </w:r>
      <w:proofErr w:type="gramEnd"/>
      <w:r w:rsidRPr="00CD437A">
        <w:rPr>
          <w:i/>
        </w:rPr>
        <w:t xml:space="preserve"> v. Venezuela. Merits, reparations and costs.</w:t>
      </w:r>
      <w:r w:rsidRPr="00CD437A">
        <w:t xml:space="preserve"> Judgment of 8 February 2018. Series C No. 348, para. 220; </w:t>
      </w:r>
      <w:r w:rsidRPr="00CD437A">
        <w:rPr>
          <w:i/>
        </w:rPr>
        <w:t xml:space="preserve">Case of Poblete </w:t>
      </w:r>
      <w:proofErr w:type="spellStart"/>
      <w:r w:rsidRPr="00CD437A">
        <w:rPr>
          <w:i/>
        </w:rPr>
        <w:t>Vilches</w:t>
      </w:r>
      <w:proofErr w:type="spellEnd"/>
      <w:r w:rsidRPr="00CD437A">
        <w:rPr>
          <w:i/>
        </w:rPr>
        <w:t xml:space="preserve"> et al. v. Chile. Merits, reparations and costs. </w:t>
      </w:r>
      <w:r w:rsidRPr="00CD437A">
        <w:t xml:space="preserve">Judgment of March 8, 2018. Series C No. 349, para. 100, and </w:t>
      </w:r>
      <w:r w:rsidRPr="00CD437A">
        <w:rPr>
          <w:i/>
        </w:rPr>
        <w:t>Case of Lagos del Campo v. Peru, supra,</w:t>
      </w:r>
      <w:r w:rsidRPr="00CD437A">
        <w:t xml:space="preserve"> paras. 142 and 145.</w:t>
      </w:r>
    </w:p>
  </w:footnote>
  <w:footnote w:id="28">
    <w:p w14:paraId="717524BB"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paras. 75 to 97.</w:t>
      </w:r>
    </w:p>
  </w:footnote>
  <w:footnote w:id="29">
    <w:p w14:paraId="360F018F" w14:textId="77777777" w:rsidR="00E6764B" w:rsidRPr="00CD437A" w:rsidRDefault="00E6764B" w:rsidP="008E6A56">
      <w:pPr>
        <w:tabs>
          <w:tab w:val="left" w:pos="567"/>
        </w:tabs>
        <w:autoSpaceDE w:val="0"/>
        <w:autoSpaceDN w:val="0"/>
        <w:rPr>
          <w:rFonts w:ascii="Verdana" w:hAnsi="Verdana"/>
          <w:i/>
          <w:sz w:val="16"/>
          <w:szCs w:val="16"/>
          <w:lang w:val="en-US"/>
        </w:rPr>
      </w:pPr>
      <w:r w:rsidRPr="00CD437A">
        <w:rPr>
          <w:rStyle w:val="Refdenotaalpie"/>
          <w:sz w:val="16"/>
          <w:szCs w:val="16"/>
          <w:lang w:val="en-US"/>
        </w:rPr>
        <w:footnoteRef/>
      </w:r>
      <w:r w:rsidRPr="00CD437A">
        <w:rPr>
          <w:rFonts w:ascii="Verdana" w:hAnsi="Verdana"/>
          <w:sz w:val="16"/>
          <w:szCs w:val="16"/>
          <w:lang w:val="en-US"/>
        </w:rPr>
        <w:tab/>
      </w:r>
      <w:r w:rsidRPr="00CD437A">
        <w:rPr>
          <w:rFonts w:ascii="Verdana" w:hAnsi="Verdana"/>
          <w:i/>
          <w:sz w:val="16"/>
          <w:szCs w:val="16"/>
          <w:lang w:val="en-US"/>
        </w:rPr>
        <w:t>Cf. Case of Velásquez Rodríguez v. Honduras. Merits, supra,</w:t>
      </w:r>
      <w:r w:rsidRPr="00CD437A">
        <w:rPr>
          <w:rFonts w:ascii="Verdana" w:hAnsi="Verdana"/>
          <w:sz w:val="16"/>
          <w:szCs w:val="16"/>
          <w:lang w:val="en-US"/>
        </w:rPr>
        <w:t xml:space="preserve"> para. 140, and </w:t>
      </w:r>
      <w:r w:rsidRPr="00CD437A">
        <w:rPr>
          <w:rFonts w:ascii="Verdana" w:hAnsi="Verdana"/>
          <w:bCs/>
          <w:i/>
          <w:sz w:val="16"/>
          <w:szCs w:val="16"/>
          <w:lang w:val="en-US"/>
        </w:rPr>
        <w:t xml:space="preserve">Case of </w:t>
      </w:r>
      <w:r w:rsidRPr="00CD437A">
        <w:rPr>
          <w:rFonts w:ascii="Verdana" w:hAnsi="Verdana"/>
          <w:i/>
          <w:sz w:val="16"/>
          <w:szCs w:val="16"/>
          <w:lang w:val="en-US"/>
        </w:rPr>
        <w:t>V.R.P., V.P.C.</w:t>
      </w:r>
      <w:r w:rsidRPr="00CD437A">
        <w:rPr>
          <w:rFonts w:ascii="Verdana" w:hAnsi="Verdana"/>
          <w:bCs/>
          <w:i/>
          <w:sz w:val="16"/>
          <w:szCs w:val="16"/>
          <w:lang w:val="en-US"/>
        </w:rPr>
        <w:t xml:space="preserve"> et al. v. Nicaragua</w:t>
      </w:r>
      <w:r w:rsidRPr="00CD437A">
        <w:rPr>
          <w:rStyle w:val="Textoennegrita"/>
          <w:rFonts w:ascii="Verdana" w:hAnsi="Verdana"/>
          <w:b w:val="0"/>
          <w:i/>
          <w:color w:val="000000"/>
          <w:sz w:val="16"/>
          <w:szCs w:val="16"/>
          <w:shd w:val="clear" w:color="auto" w:fill="FFFFFF"/>
          <w:lang w:val="en-US"/>
        </w:rPr>
        <w:t xml:space="preserve">, supra, </w:t>
      </w:r>
      <w:r w:rsidRPr="00CD437A">
        <w:rPr>
          <w:rFonts w:ascii="Verdana" w:hAnsi="Verdana"/>
          <w:sz w:val="16"/>
          <w:szCs w:val="16"/>
          <w:lang w:val="en-US"/>
        </w:rPr>
        <w:t>para. 59.</w:t>
      </w:r>
    </w:p>
  </w:footnote>
  <w:footnote w:id="30">
    <w:p w14:paraId="78BBACE1"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In general, documentary evidence may be presented in accordance with Article 57(2) of the Rules of Procedure, together with the briefs submitting the case, the pleadings and motions brief or the answer brief, as applicable. Evidence forwarded outside those procedural opportunities is not admissible, except in the circumstances established in Article 57(2) of the Rules of Procedure (namely, force majeure, serious impediment) or if it involves a supervening fact, i.e. an event that occurred after the procedural moments indicated. </w:t>
      </w:r>
      <w:r w:rsidRPr="00CD437A">
        <w:rPr>
          <w:i/>
        </w:rPr>
        <w:t xml:space="preserve">Cf. Case of Barrios Family v. Venezuela. Merits, reparations and costs. </w:t>
      </w:r>
      <w:r w:rsidRPr="00CD437A">
        <w:t xml:space="preserve">Judgment of November 24, 2011. Series C No. 237, paras. 17 and 18, and </w:t>
      </w:r>
      <w:r w:rsidRPr="00CD437A">
        <w:rPr>
          <w:bCs/>
          <w:i/>
        </w:rPr>
        <w:t xml:space="preserve">Case of </w:t>
      </w:r>
      <w:proofErr w:type="spellStart"/>
      <w:r w:rsidRPr="00CD437A">
        <w:rPr>
          <w:bCs/>
          <w:i/>
        </w:rPr>
        <w:t>Colindres</w:t>
      </w:r>
      <w:proofErr w:type="spellEnd"/>
      <w:r w:rsidRPr="00CD437A">
        <w:rPr>
          <w:bCs/>
          <w:i/>
        </w:rPr>
        <w:t xml:space="preserve"> </w:t>
      </w:r>
      <w:proofErr w:type="spellStart"/>
      <w:r w:rsidRPr="00CD437A">
        <w:rPr>
          <w:bCs/>
          <w:i/>
        </w:rPr>
        <w:t>Schonenberg</w:t>
      </w:r>
      <w:proofErr w:type="spellEnd"/>
      <w:r w:rsidRPr="00CD437A">
        <w:rPr>
          <w:bCs/>
          <w:i/>
        </w:rPr>
        <w:t xml:space="preserve"> v. El Salvador</w:t>
      </w:r>
      <w:bookmarkStart w:id="55" w:name="_Toc424833993"/>
      <w:bookmarkStart w:id="56" w:name="_Toc424834594"/>
      <w:bookmarkStart w:id="57" w:name="_Toc424834677"/>
      <w:bookmarkStart w:id="58" w:name="_Toc424834744"/>
      <w:r w:rsidRPr="00CD437A">
        <w:rPr>
          <w:bCs/>
        </w:rPr>
        <w:t xml:space="preserve">. </w:t>
      </w:r>
      <w:r w:rsidRPr="00CD437A">
        <w:t>Merits, reparations and costs</w:t>
      </w:r>
      <w:bookmarkEnd w:id="55"/>
      <w:bookmarkEnd w:id="56"/>
      <w:bookmarkEnd w:id="57"/>
      <w:bookmarkEnd w:id="58"/>
      <w:r w:rsidRPr="00CD437A">
        <w:t>.</w:t>
      </w:r>
      <w:bookmarkStart w:id="59" w:name="_Toc424833992"/>
      <w:bookmarkStart w:id="60" w:name="_Toc424834593"/>
      <w:bookmarkStart w:id="61" w:name="_Toc424834676"/>
      <w:bookmarkStart w:id="62" w:name="_Toc424834743"/>
      <w:r w:rsidRPr="00CD437A">
        <w:t xml:space="preserve"> Judgment of February </w:t>
      </w:r>
      <w:bookmarkEnd w:id="59"/>
      <w:bookmarkEnd w:id="60"/>
      <w:bookmarkEnd w:id="61"/>
      <w:bookmarkEnd w:id="62"/>
      <w:r w:rsidRPr="00CD437A">
        <w:t>4, 2019. Series C No. 373, para. 14.</w:t>
      </w:r>
    </w:p>
  </w:footnote>
  <w:footnote w:id="31">
    <w:p w14:paraId="52E41D16"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Velásquez</w:t>
      </w:r>
      <w:proofErr w:type="spellEnd"/>
      <w:r w:rsidRPr="00CD437A">
        <w:t xml:space="preserve"> Rodríguez v. Honduras. Merits, supra, para. 140, and </w:t>
      </w:r>
      <w:bookmarkStart w:id="63" w:name="_Toc424833991"/>
      <w:bookmarkStart w:id="64" w:name="_Toc424834592"/>
      <w:bookmarkStart w:id="65" w:name="_Toc424834675"/>
      <w:bookmarkStart w:id="66" w:name="_Toc424834742"/>
      <w:r w:rsidRPr="00CD437A">
        <w:t xml:space="preserve">Case of </w:t>
      </w:r>
      <w:bookmarkEnd w:id="63"/>
      <w:bookmarkEnd w:id="64"/>
      <w:bookmarkEnd w:id="65"/>
      <w:bookmarkEnd w:id="66"/>
      <w:proofErr w:type="spellStart"/>
      <w:r w:rsidRPr="00CD437A">
        <w:t>Omeara</w:t>
      </w:r>
      <w:proofErr w:type="spellEnd"/>
      <w:r w:rsidRPr="00CD437A">
        <w:t xml:space="preserve"> </w:t>
      </w:r>
      <w:proofErr w:type="spellStart"/>
      <w:r w:rsidRPr="00CD437A">
        <w:t>Carrascal</w:t>
      </w:r>
      <w:proofErr w:type="spellEnd"/>
      <w:r w:rsidRPr="00CD437A">
        <w:t xml:space="preserve"> et al. v. Colombia. </w:t>
      </w:r>
      <w:r w:rsidRPr="00CD437A">
        <w:rPr>
          <w:color w:val="000000"/>
        </w:rPr>
        <w:t>Merits, reparations and costs.</w:t>
      </w:r>
      <w:r w:rsidRPr="00CD437A">
        <w:t xml:space="preserve"> Judgment of November 21, 2018. Series C No. 368, para.64.</w:t>
      </w:r>
    </w:p>
  </w:footnote>
  <w:footnote w:id="32">
    <w:p w14:paraId="143CBDD2" w14:textId="77777777" w:rsidR="00E6764B" w:rsidRPr="00CD437A" w:rsidRDefault="00E6764B" w:rsidP="008E6A56">
      <w:pPr>
        <w:pStyle w:val="Prrafodelista"/>
        <w:tabs>
          <w:tab w:val="left" w:pos="540"/>
          <w:tab w:val="left" w:pos="630"/>
        </w:tabs>
        <w:ind w:left="0"/>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The Court received the sta</w:t>
      </w:r>
      <w:r>
        <w:rPr>
          <w:rFonts w:ascii="Verdana" w:hAnsi="Verdana"/>
          <w:sz w:val="16"/>
          <w:szCs w:val="16"/>
          <w:lang w:val="en-US"/>
        </w:rPr>
        <w:t>tements rendered by affidavit from</w:t>
      </w:r>
      <w:r w:rsidRPr="00CD437A">
        <w:rPr>
          <w:rFonts w:ascii="Verdana" w:hAnsi="Verdana"/>
          <w:sz w:val="16"/>
          <w:szCs w:val="16"/>
          <w:lang w:val="en-US"/>
        </w:rPr>
        <w:t xml:space="preserve"> the witnesses offered by the representatives</w:t>
      </w:r>
      <w:r>
        <w:rPr>
          <w:rFonts w:ascii="Verdana" w:hAnsi="Verdana"/>
          <w:sz w:val="16"/>
          <w:szCs w:val="16"/>
          <w:lang w:val="en-US"/>
        </w:rPr>
        <w:t>,</w:t>
      </w:r>
      <w:r w:rsidRPr="00CD437A">
        <w:rPr>
          <w:rFonts w:ascii="Verdana" w:hAnsi="Verdana"/>
          <w:sz w:val="16"/>
          <w:szCs w:val="16"/>
          <w:lang w:val="en-US"/>
        </w:rPr>
        <w:t xml:space="preserve"> </w:t>
      </w:r>
      <w:r>
        <w:rPr>
          <w:rFonts w:ascii="Verdana" w:hAnsi="Verdana"/>
          <w:sz w:val="16"/>
          <w:szCs w:val="16"/>
          <w:lang w:val="en-US"/>
        </w:rPr>
        <w:t xml:space="preserve">namely, </w:t>
      </w:r>
      <w:r w:rsidRPr="00CD437A">
        <w:rPr>
          <w:rFonts w:ascii="Verdana" w:hAnsi="Verdana" w:cs="Verdana"/>
          <w:iCs/>
          <w:sz w:val="16"/>
          <w:szCs w:val="16"/>
          <w:lang w:val="en-US" w:eastAsia="en-US"/>
        </w:rPr>
        <w:t>Vibeke Ann Muelle Jensen and Jesús Aníbal Delgado Flores,</w:t>
      </w:r>
      <w:r w:rsidRPr="00CD437A">
        <w:rPr>
          <w:rFonts w:ascii="Verdana" w:hAnsi="Verdana"/>
          <w:sz w:val="16"/>
          <w:szCs w:val="16"/>
          <w:lang w:val="en-US"/>
        </w:rPr>
        <w:t xml:space="preserve"> together with the expert opinions of </w:t>
      </w:r>
      <w:r w:rsidRPr="00CD437A">
        <w:rPr>
          <w:rFonts w:ascii="Verdana" w:hAnsi="Verdana" w:cs="Verdana"/>
          <w:iCs/>
          <w:sz w:val="16"/>
          <w:szCs w:val="16"/>
          <w:lang w:val="en-US" w:eastAsia="en-US"/>
        </w:rPr>
        <w:t xml:space="preserve">Christian Courtis and César Gonzáles Hunt, </w:t>
      </w:r>
      <w:r w:rsidRPr="00CD437A">
        <w:rPr>
          <w:rFonts w:ascii="Verdana" w:hAnsi="Verdana"/>
          <w:sz w:val="16"/>
          <w:szCs w:val="16"/>
          <w:lang w:val="en-US"/>
        </w:rPr>
        <w:t>offered by the Commission and the State, respectively. The purpose of these statements are established in the Order of the President of July 27, 2018 (</w:t>
      </w:r>
      <w:r w:rsidRPr="00CD437A">
        <w:rPr>
          <w:rFonts w:ascii="Verdana" w:hAnsi="Verdana"/>
          <w:i/>
          <w:sz w:val="16"/>
          <w:szCs w:val="16"/>
          <w:lang w:val="en-US"/>
        </w:rPr>
        <w:t xml:space="preserve">supra </w:t>
      </w:r>
      <w:r w:rsidRPr="00CD437A">
        <w:rPr>
          <w:rFonts w:ascii="Verdana" w:hAnsi="Verdana"/>
          <w:sz w:val="16"/>
          <w:szCs w:val="16"/>
          <w:lang w:val="en-US"/>
        </w:rPr>
        <w:t xml:space="preserve">para. 10). Available at: </w:t>
      </w:r>
      <w:hyperlink r:id="rId2" w:history="1">
        <w:r w:rsidRPr="00CD437A">
          <w:rPr>
            <w:rStyle w:val="Hipervnculo"/>
            <w:sz w:val="16"/>
            <w:szCs w:val="16"/>
            <w:lang w:val="en-US"/>
          </w:rPr>
          <w:t>http://www.corteidh.or.cr/docs/asuntos/muelle_27_07_18.pdf</w:t>
        </w:r>
      </w:hyperlink>
      <w:r w:rsidRPr="00CD437A">
        <w:rPr>
          <w:rFonts w:ascii="Verdana" w:hAnsi="Verdana"/>
          <w:sz w:val="16"/>
          <w:szCs w:val="16"/>
          <w:lang w:val="en-US"/>
        </w:rPr>
        <w:t xml:space="preserve"> </w:t>
      </w:r>
    </w:p>
  </w:footnote>
  <w:footnote w:id="33">
    <w:p w14:paraId="794AD92F" w14:textId="77777777" w:rsidR="00E6764B" w:rsidRPr="00CD437A" w:rsidRDefault="00E6764B" w:rsidP="00CD2B15">
      <w:pPr>
        <w:pStyle w:val="Textonotapie"/>
        <w:rPr>
          <w:b/>
        </w:rPr>
      </w:pPr>
      <w:r w:rsidRPr="00CD437A">
        <w:rPr>
          <w:rStyle w:val="Refdenotaalpie"/>
        </w:rPr>
        <w:footnoteRef/>
      </w:r>
      <w:r w:rsidRPr="00CD437A">
        <w:rPr>
          <w:b/>
        </w:rPr>
        <w:t xml:space="preserve"> </w:t>
      </w:r>
      <w:r w:rsidRPr="00CD437A">
        <w:rPr>
          <w:b/>
        </w:rPr>
        <w:tab/>
      </w:r>
      <w:r w:rsidRPr="00CD437A">
        <w:t xml:space="preserve">Cf. Case of Díaz Peña v. Venezuela, supra, 33, and Case of </w:t>
      </w:r>
      <w:proofErr w:type="spellStart"/>
      <w:r w:rsidRPr="00CD437A">
        <w:t>Omeara</w:t>
      </w:r>
      <w:proofErr w:type="spellEnd"/>
      <w:r w:rsidRPr="00CD437A">
        <w:t xml:space="preserve"> </w:t>
      </w:r>
      <w:proofErr w:type="spellStart"/>
      <w:r w:rsidRPr="00CD437A">
        <w:t>Carrascal</w:t>
      </w:r>
      <w:proofErr w:type="spellEnd"/>
      <w:r w:rsidRPr="00CD437A">
        <w:t xml:space="preserve"> et al. v. Colombia</w:t>
      </w:r>
      <w:r w:rsidRPr="00CD437A">
        <w:rPr>
          <w:rStyle w:val="Textoennegrita"/>
          <w:b w:val="0"/>
          <w:i/>
          <w:shd w:val="clear" w:color="auto" w:fill="FFFFFF"/>
        </w:rPr>
        <w:t>, supra,</w:t>
      </w:r>
      <w:r w:rsidRPr="00CD437A">
        <w:rPr>
          <w:rStyle w:val="Textoennegrita"/>
          <w:b w:val="0"/>
          <w:shd w:val="clear" w:color="auto" w:fill="FFFFFF"/>
        </w:rPr>
        <w:t xml:space="preserve"> para. 69.</w:t>
      </w:r>
    </w:p>
  </w:footnote>
  <w:footnote w:id="34">
    <w:p w14:paraId="477ACD3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Curriculum vitae of Oscar </w:t>
      </w:r>
      <w:proofErr w:type="spellStart"/>
      <w:r w:rsidRPr="00CD437A">
        <w:t>Muelle</w:t>
      </w:r>
      <w:proofErr w:type="spellEnd"/>
      <w:r w:rsidRPr="00CD437A">
        <w:t xml:space="preserve"> Flores (evidence file, folios 1482 to 1483 and 1486 to 1487).</w:t>
      </w:r>
    </w:p>
  </w:footnote>
  <w:footnote w:id="35">
    <w:p w14:paraId="4D20B663"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of the Supreme Court of Justice </w:t>
      </w:r>
      <w:r w:rsidRPr="00CD437A">
        <w:rPr>
          <w:bCs/>
          <w:shd w:val="clear" w:color="auto" w:fill="FFFFFF"/>
        </w:rPr>
        <w:t xml:space="preserve">of February </w:t>
      </w:r>
      <w:r w:rsidRPr="00CD437A">
        <w:rPr>
          <w:rStyle w:val="Textoennegrita"/>
          <w:b w:val="0"/>
          <w:shd w:val="clear" w:color="auto" w:fill="FFFFFF"/>
        </w:rPr>
        <w:t xml:space="preserve">2, 1993 (evidence file, folio 13), and </w:t>
      </w:r>
      <w:r w:rsidRPr="00CD437A">
        <w:t xml:space="preserve">Brief No. 2 of the law firm Laos, Aguilar, </w:t>
      </w:r>
      <w:proofErr w:type="spellStart"/>
      <w:r w:rsidRPr="00CD437A">
        <w:t>Celi</w:t>
      </w:r>
      <w:proofErr w:type="spellEnd"/>
      <w:r w:rsidRPr="00CD437A">
        <w:t xml:space="preserve"> &amp; </w:t>
      </w:r>
      <w:proofErr w:type="spellStart"/>
      <w:r w:rsidRPr="00CD437A">
        <w:t>Vinatea</w:t>
      </w:r>
      <w:proofErr w:type="spellEnd"/>
      <w:r w:rsidRPr="00CD437A">
        <w:t xml:space="preserve"> Abogados, of September 24, 1996 (evidence file, folio 4).</w:t>
      </w:r>
    </w:p>
  </w:footnote>
  <w:footnote w:id="36">
    <w:p w14:paraId="7B01DF42"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Brief of the Pension Standardization Office (ONP) presented before the Administrative Chamber of the Superior Court of Lima of September 24, 1996 (evidence file, folio 4).</w:t>
      </w:r>
    </w:p>
  </w:footnote>
  <w:footnote w:id="37">
    <w:p w14:paraId="11DEEB61"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of the Supreme Court of Justice </w:t>
      </w:r>
      <w:r w:rsidRPr="00CD437A">
        <w:rPr>
          <w:bCs/>
          <w:shd w:val="clear" w:color="auto" w:fill="FFFFFF"/>
        </w:rPr>
        <w:t>of February</w:t>
      </w:r>
      <w:r w:rsidRPr="00CD437A">
        <w:rPr>
          <w:rStyle w:val="Textoennegrita"/>
          <w:b w:val="0"/>
          <w:shd w:val="clear" w:color="auto" w:fill="FFFFFF"/>
        </w:rPr>
        <w:t xml:space="preserve"> 2, 1993 (evidence file, folio 13), and </w:t>
      </w:r>
      <w:r w:rsidRPr="00CD437A">
        <w:t xml:space="preserve">Brief No. 2 of the law firm Laos, Aguilar, </w:t>
      </w:r>
      <w:proofErr w:type="spellStart"/>
      <w:r w:rsidRPr="00CD437A">
        <w:t>Celi</w:t>
      </w:r>
      <w:proofErr w:type="spellEnd"/>
      <w:r w:rsidRPr="00CD437A">
        <w:t xml:space="preserve"> &amp; </w:t>
      </w:r>
      <w:proofErr w:type="spellStart"/>
      <w:r w:rsidRPr="00CD437A">
        <w:t>Vinatea</w:t>
      </w:r>
      <w:proofErr w:type="spellEnd"/>
      <w:r w:rsidRPr="00CD437A">
        <w:t xml:space="preserve"> Abogados, of September 24, 1996 (evidence file, folio 4).</w:t>
      </w:r>
    </w:p>
  </w:footnote>
  <w:footnote w:id="38">
    <w:p w14:paraId="2FF89A37" w14:textId="77777777" w:rsidR="00E6764B" w:rsidRPr="00CD437A" w:rsidRDefault="00E6764B" w:rsidP="00CD2B15">
      <w:pPr>
        <w:pStyle w:val="Textonotapie"/>
        <w:rPr>
          <w:i/>
        </w:rPr>
      </w:pPr>
      <w:r w:rsidRPr="00CD437A">
        <w:rPr>
          <w:rStyle w:val="Refdenotaalpie"/>
        </w:rPr>
        <w:footnoteRef/>
      </w:r>
      <w:r w:rsidRPr="00CD437A">
        <w:rPr>
          <w:i/>
        </w:rPr>
        <w:t xml:space="preserve"> </w:t>
      </w:r>
      <w:r w:rsidRPr="00CD437A">
        <w:rPr>
          <w:i/>
        </w:rPr>
        <w:tab/>
        <w:t>Cf.</w:t>
      </w:r>
      <w:r w:rsidRPr="00CD437A">
        <w:t xml:space="preserve"> </w:t>
      </w:r>
      <w:r w:rsidRPr="00CD437A">
        <w:rPr>
          <w:rStyle w:val="Textoennegrita"/>
          <w:b w:val="0"/>
          <w:shd w:val="clear" w:color="auto" w:fill="FFFFFF"/>
        </w:rPr>
        <w:t xml:space="preserve">Judgment of the Constitutional Court of December 10, 1999 (evidence file, folio 28) and Brief </w:t>
      </w:r>
      <w:r w:rsidRPr="00CD437A">
        <w:t xml:space="preserve">No. 2 of the law firm Laos, Aguilar, </w:t>
      </w:r>
      <w:proofErr w:type="spellStart"/>
      <w:r w:rsidRPr="00CD437A">
        <w:t>Celi</w:t>
      </w:r>
      <w:proofErr w:type="spellEnd"/>
      <w:r w:rsidRPr="00CD437A">
        <w:t xml:space="preserve"> &amp; </w:t>
      </w:r>
      <w:proofErr w:type="spellStart"/>
      <w:r w:rsidRPr="00CD437A">
        <w:t>Vinatea</w:t>
      </w:r>
      <w:proofErr w:type="spellEnd"/>
      <w:r w:rsidRPr="00CD437A">
        <w:t xml:space="preserve"> Abogados, of September 24, 1996 (evidence file, folio 4).</w:t>
      </w:r>
    </w:p>
  </w:footnote>
  <w:footnote w:id="39">
    <w:p w14:paraId="6F410FBC" w14:textId="77777777" w:rsidR="00E6764B" w:rsidRPr="00CD437A" w:rsidRDefault="00E6764B" w:rsidP="00CD2B15">
      <w:pPr>
        <w:pStyle w:val="Textonotapie"/>
        <w:rPr>
          <w:b/>
          <w:i/>
        </w:rPr>
      </w:pPr>
      <w:r w:rsidRPr="00CD437A">
        <w:rPr>
          <w:rStyle w:val="Refdenotaalpie"/>
        </w:rPr>
        <w:footnoteRef/>
      </w:r>
      <w:r w:rsidRPr="00CD437A">
        <w:rPr>
          <w:b/>
          <w:i/>
        </w:rPr>
        <w:t xml:space="preserve"> </w:t>
      </w:r>
      <w:r w:rsidRPr="00CD437A">
        <w:rPr>
          <w:b/>
          <w:i/>
        </w:rPr>
        <w:tab/>
      </w:r>
      <w:r w:rsidRPr="00CD437A">
        <w:rPr>
          <w:rStyle w:val="Textoennegrita"/>
          <w:b w:val="0"/>
          <w:i/>
          <w:shd w:val="clear" w:color="auto" w:fill="FFFFFF"/>
        </w:rPr>
        <w:t>Cf.</w:t>
      </w:r>
      <w:r w:rsidRPr="00CD437A">
        <w:rPr>
          <w:rStyle w:val="Textoennegrita"/>
          <w:shd w:val="clear" w:color="auto" w:fill="FFFFFF"/>
        </w:rPr>
        <w:t xml:space="preserve"> </w:t>
      </w:r>
      <w:r w:rsidRPr="00CD437A">
        <w:t xml:space="preserve">Opinion No. 735-97 issued by the Senior Prosecutor for Administrative Matters before the Constitutional and Social Chamber of the Supreme Court on </w:t>
      </w:r>
      <w:r w:rsidRPr="00CD437A">
        <w:rPr>
          <w:rStyle w:val="Textoennegrita"/>
          <w:b w:val="0"/>
          <w:shd w:val="clear" w:color="auto" w:fill="FFFFFF"/>
        </w:rPr>
        <w:t>August 22, 1997 (evidence file, folio 10 to 11).</w:t>
      </w:r>
    </w:p>
  </w:footnote>
  <w:footnote w:id="40">
    <w:p w14:paraId="2E05A4BF" w14:textId="77777777" w:rsidR="00E6764B" w:rsidRPr="00CD437A" w:rsidRDefault="00E6764B" w:rsidP="008E6A56">
      <w:pPr>
        <w:tabs>
          <w:tab w:val="left" w:pos="567"/>
        </w:tabs>
        <w:autoSpaceDE w:val="0"/>
        <w:autoSpaceDN w:val="0"/>
        <w:rPr>
          <w:rFonts w:ascii="Verdana" w:hAnsi="Verdana"/>
          <w:i/>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Application for </w:t>
      </w:r>
      <w:r w:rsidRPr="00CD437A">
        <w:rPr>
          <w:rFonts w:ascii="Verdana" w:hAnsi="Verdana"/>
          <w:i/>
          <w:sz w:val="16"/>
          <w:szCs w:val="16"/>
          <w:lang w:val="en-US"/>
        </w:rPr>
        <w:t>amparo</w:t>
      </w:r>
      <w:r w:rsidRPr="00CD437A">
        <w:rPr>
          <w:rFonts w:ascii="Verdana" w:hAnsi="Verdana"/>
          <w:sz w:val="16"/>
          <w:szCs w:val="16"/>
          <w:lang w:val="en-US"/>
        </w:rPr>
        <w:t xml:space="preserve"> filed by Oscar Muelle Flores before the </w:t>
      </w:r>
      <w:r w:rsidRPr="00CD437A">
        <w:rPr>
          <w:rFonts w:ascii="Verdana" w:hAnsi="Verdana"/>
          <w:bCs/>
          <w:sz w:val="16"/>
          <w:szCs w:val="16"/>
          <w:lang w:val="en-US"/>
        </w:rPr>
        <w:t xml:space="preserve">Fifth Civil Court of Lima on </w:t>
      </w:r>
      <w:r w:rsidRPr="00CD437A">
        <w:rPr>
          <w:rFonts w:ascii="Verdana" w:hAnsi="Verdana"/>
          <w:sz w:val="16"/>
          <w:szCs w:val="16"/>
          <w:lang w:val="en-US"/>
        </w:rPr>
        <w:t xml:space="preserve">April 18, 1991 (evidence file, folio 16), and Resolution No. 6 issued by the </w:t>
      </w:r>
      <w:r w:rsidRPr="00CD437A">
        <w:rPr>
          <w:rFonts w:ascii="Verdana" w:hAnsi="Verdana"/>
          <w:bCs/>
          <w:sz w:val="16"/>
          <w:szCs w:val="16"/>
          <w:lang w:val="en-US"/>
        </w:rPr>
        <w:t xml:space="preserve">Fifth Civil Court of Lima on </w:t>
      </w:r>
      <w:r w:rsidRPr="00CD437A">
        <w:rPr>
          <w:rFonts w:ascii="Verdana" w:hAnsi="Verdana"/>
          <w:sz w:val="16"/>
          <w:szCs w:val="16"/>
          <w:lang w:val="en-US"/>
        </w:rPr>
        <w:t>July 19, 1991 (evidence file, folio 22).</w:t>
      </w:r>
    </w:p>
  </w:footnote>
  <w:footnote w:id="41">
    <w:p w14:paraId="298DFA32"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Article 1 of Decree Law No. 20530 that established the Pensions and Benefits Regime for Civil Services Rendered to the State not included in Decree Law No. 19990, promulgated on February 27, 1974. </w:t>
      </w:r>
      <w:r w:rsidRPr="00CD437A">
        <w:rPr>
          <w:i/>
        </w:rPr>
        <w:t>Cf.</w:t>
      </w:r>
      <w:r w:rsidRPr="00CD437A">
        <w:t xml:space="preserve"> Affidavit rendered by César José </w:t>
      </w:r>
      <w:proofErr w:type="spellStart"/>
      <w:r w:rsidRPr="00CD437A">
        <w:t>Gonzáles</w:t>
      </w:r>
      <w:proofErr w:type="spellEnd"/>
      <w:r w:rsidRPr="00CD437A">
        <w:t xml:space="preserve"> Hunt on August 24, 2018 (evidence file, folio 1849).</w:t>
      </w:r>
    </w:p>
  </w:footnote>
  <w:footnote w:id="42">
    <w:p w14:paraId="46C41C97"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Affidavit rendered by César José </w:t>
      </w:r>
      <w:proofErr w:type="spellStart"/>
      <w:r w:rsidRPr="00CD437A">
        <w:t>Gonzáles</w:t>
      </w:r>
      <w:proofErr w:type="spellEnd"/>
      <w:r w:rsidRPr="00CD437A">
        <w:t xml:space="preserve"> Hunt on August 24, 2018 (evidence file, folio 1849).</w:t>
      </w:r>
    </w:p>
  </w:footnote>
  <w:footnote w:id="43">
    <w:p w14:paraId="6C89B12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Article 4 of Decree Law No. 20530, </w:t>
      </w:r>
      <w:r w:rsidRPr="00CD437A">
        <w:rPr>
          <w:i/>
        </w:rPr>
        <w:t>supra</w:t>
      </w:r>
      <w:r w:rsidRPr="00CD437A">
        <w:t>.</w:t>
      </w:r>
    </w:p>
  </w:footnote>
  <w:footnote w:id="44">
    <w:p w14:paraId="795F3A3A"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Affidavit rendered by César José </w:t>
      </w:r>
      <w:proofErr w:type="spellStart"/>
      <w:r w:rsidRPr="00CD437A">
        <w:t>Gonzáles</w:t>
      </w:r>
      <w:proofErr w:type="spellEnd"/>
      <w:r w:rsidRPr="00CD437A">
        <w:t xml:space="preserve"> Hunt on August 24, 2018 (evidence file, folio 1849).</w:t>
      </w:r>
    </w:p>
  </w:footnote>
  <w:footnote w:id="45">
    <w:p w14:paraId="5549C179"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The Eighth Transitory Provision of the 1979 Peruvian Constitution established that: “The pensions of dismissed and retired public administration workers with more than 20 years of service who </w:t>
      </w:r>
      <w:r>
        <w:t xml:space="preserve">are not subject to </w:t>
      </w:r>
      <w:r w:rsidRPr="00CD437A">
        <w:t xml:space="preserve">the Peruvian Social Security Service regime, or </w:t>
      </w:r>
      <w:r>
        <w:t xml:space="preserve">any </w:t>
      </w:r>
      <w:r w:rsidRPr="00CD437A">
        <w:t xml:space="preserve">other special regimes, are progressively equalized with the wages of active public servants in  the respective categories, for a period of 10 fiscal years, starting from January 1, 1980, and must be included in the National Budget under the appropriate headings.” </w:t>
      </w:r>
    </w:p>
  </w:footnote>
  <w:footnote w:id="46">
    <w:p w14:paraId="09902949"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Affidavit rendered by César José </w:t>
      </w:r>
      <w:proofErr w:type="spellStart"/>
      <w:r w:rsidRPr="00CD437A">
        <w:t>Gonzáles</w:t>
      </w:r>
      <w:proofErr w:type="spellEnd"/>
      <w:r w:rsidRPr="00CD437A">
        <w:t xml:space="preserve"> Hunt of August 24, 2018 (evidence file, folio 1850).</w:t>
      </w:r>
    </w:p>
  </w:footnote>
  <w:footnote w:id="47">
    <w:p w14:paraId="7A8C7F54" w14:textId="77777777" w:rsidR="00E6764B" w:rsidRPr="00CD437A" w:rsidRDefault="00E6764B" w:rsidP="00CD2B15">
      <w:pPr>
        <w:pStyle w:val="Textonotapie"/>
      </w:pPr>
      <w:r w:rsidRPr="00CD437A">
        <w:rPr>
          <w:rStyle w:val="Refdenotaalpie"/>
        </w:rPr>
        <w:footnoteRef/>
      </w:r>
      <w:r w:rsidRPr="00CD437A">
        <w:t xml:space="preserve"> </w:t>
      </w:r>
      <w:r w:rsidRPr="00CD437A">
        <w:tab/>
        <w:t>Article 5 of Law No. 23495, “Progressive Equalization of Pensions of Discharged and Retired Workers of the Public Administration not subject to the Social Security System or to other special regimes,” adopted on November 19, 1982.</w:t>
      </w:r>
    </w:p>
  </w:footnote>
  <w:footnote w:id="48">
    <w:p w14:paraId="7AFDA0FD" w14:textId="77777777" w:rsidR="00E6764B" w:rsidRPr="00CD437A" w:rsidRDefault="00E6764B" w:rsidP="00CD2B15">
      <w:pPr>
        <w:pStyle w:val="Textonotapie"/>
      </w:pPr>
      <w:r w:rsidRPr="00CD437A">
        <w:rPr>
          <w:rStyle w:val="Refdenotaalpie"/>
        </w:rPr>
        <w:footnoteRef/>
      </w:r>
      <w:r w:rsidRPr="00CD437A">
        <w:rPr>
          <w:i/>
        </w:rPr>
        <w:t xml:space="preserve"> </w:t>
      </w:r>
      <w:r w:rsidRPr="00CD437A">
        <w:rPr>
          <w:i/>
        </w:rPr>
        <w:tab/>
        <w:t>Cf.</w:t>
      </w:r>
      <w:r w:rsidRPr="00CD437A">
        <w:t xml:space="preserve"> Judgment </w:t>
      </w:r>
      <w:r>
        <w:t xml:space="preserve">of </w:t>
      </w:r>
      <w:r w:rsidRPr="00CD437A">
        <w:t xml:space="preserve">the Fifth Civil Court of Lima on July 19, 1991 (evidence file, folios 23 to 24), and </w:t>
      </w:r>
      <w:r w:rsidRPr="00CD437A">
        <w:rPr>
          <w:rStyle w:val="Textoennegrita"/>
          <w:b w:val="0"/>
          <w:shd w:val="clear" w:color="auto" w:fill="FFFFFF"/>
        </w:rPr>
        <w:t xml:space="preserve">Judgment </w:t>
      </w:r>
      <w:r>
        <w:rPr>
          <w:rStyle w:val="Textoennegrita"/>
          <w:b w:val="0"/>
          <w:shd w:val="clear" w:color="auto" w:fill="FFFFFF"/>
        </w:rPr>
        <w:t xml:space="preserve">of </w:t>
      </w:r>
      <w:r w:rsidRPr="00CD437A">
        <w:rPr>
          <w:rStyle w:val="Textoennegrita"/>
          <w:b w:val="0"/>
          <w:shd w:val="clear" w:color="auto" w:fill="FFFFFF"/>
        </w:rPr>
        <w:t>the Supreme Court of Justice on February 2, 1993 (evidence file, folio 13).</w:t>
      </w:r>
    </w:p>
  </w:footnote>
  <w:footnote w:id="49">
    <w:p w14:paraId="6F16044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Brief of the </w:t>
      </w:r>
      <w:proofErr w:type="spellStart"/>
      <w:r w:rsidRPr="00CD437A">
        <w:rPr>
          <w:rStyle w:val="Textoennegrita"/>
          <w:b w:val="0"/>
          <w:i/>
          <w:shd w:val="clear" w:color="auto" w:fill="FFFFFF"/>
        </w:rPr>
        <w:t>Empresa</w:t>
      </w:r>
      <w:proofErr w:type="spellEnd"/>
      <w:r w:rsidRPr="00CD437A">
        <w:rPr>
          <w:rStyle w:val="Textoennegrita"/>
          <w:b w:val="0"/>
          <w:i/>
          <w:shd w:val="clear" w:color="auto" w:fill="FFFFFF"/>
        </w:rPr>
        <w:t xml:space="preserve"> Minera Especial </w:t>
      </w:r>
      <w:proofErr w:type="spellStart"/>
      <w:r w:rsidRPr="00CD437A">
        <w:rPr>
          <w:rStyle w:val="Textoennegrita"/>
          <w:b w:val="0"/>
          <w:i/>
          <w:shd w:val="clear" w:color="auto" w:fill="FFFFFF"/>
        </w:rPr>
        <w:t>Tintaya</w:t>
      </w:r>
      <w:proofErr w:type="spellEnd"/>
      <w:r w:rsidRPr="00CD437A">
        <w:rPr>
          <w:rStyle w:val="Textoennegrita"/>
          <w:b w:val="0"/>
          <w:i/>
          <w:shd w:val="clear" w:color="auto" w:fill="FFFFFF"/>
        </w:rPr>
        <w:t xml:space="preserve"> S.A.</w:t>
      </w:r>
      <w:r w:rsidRPr="00CD437A">
        <w:rPr>
          <w:rStyle w:val="Textoennegrita"/>
          <w:b w:val="0"/>
          <w:shd w:val="clear" w:color="auto" w:fill="FFFFFF"/>
        </w:rPr>
        <w:t xml:space="preserve"> to the </w:t>
      </w:r>
      <w:r w:rsidRPr="00CD437A">
        <w:rPr>
          <w:shd w:val="clear" w:color="auto" w:fill="FFFFFF"/>
        </w:rPr>
        <w:t>Fifth Civil Court of Lima of May</w:t>
      </w:r>
      <w:r w:rsidRPr="00CD437A">
        <w:rPr>
          <w:rStyle w:val="Textoennegrita"/>
          <w:b w:val="0"/>
          <w:shd w:val="clear" w:color="auto" w:fill="FFFFFF"/>
        </w:rPr>
        <w:t xml:space="preserve"> 3, 1991 (evidence file, folios 588 to 589).</w:t>
      </w:r>
    </w:p>
  </w:footnote>
  <w:footnote w:id="50">
    <w:p w14:paraId="3AAE965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Communication </w:t>
      </w:r>
      <w:r>
        <w:rPr>
          <w:rStyle w:val="Textoennegrita"/>
          <w:b w:val="0"/>
          <w:shd w:val="clear" w:color="auto" w:fill="FFFFFF"/>
        </w:rPr>
        <w:t xml:space="preserve">from </w:t>
      </w:r>
      <w:r w:rsidRPr="00CD437A">
        <w:rPr>
          <w:rStyle w:val="Textoennegrita"/>
          <w:b w:val="0"/>
          <w:shd w:val="clear" w:color="auto" w:fill="FFFFFF"/>
        </w:rPr>
        <w:t xml:space="preserve">the State of December 18, 2012 (evidence file, folio 109) and communication from the </w:t>
      </w:r>
      <w:proofErr w:type="spellStart"/>
      <w:r w:rsidRPr="00CD437A">
        <w:rPr>
          <w:rStyle w:val="Textoennegrita"/>
          <w:b w:val="0"/>
          <w:i/>
          <w:shd w:val="clear" w:color="auto" w:fill="FFFFFF"/>
        </w:rPr>
        <w:t>Empresa</w:t>
      </w:r>
      <w:proofErr w:type="spellEnd"/>
      <w:r w:rsidRPr="00CD437A">
        <w:rPr>
          <w:rStyle w:val="Textoennegrita"/>
          <w:b w:val="0"/>
          <w:i/>
          <w:shd w:val="clear" w:color="auto" w:fill="FFFFFF"/>
        </w:rPr>
        <w:t xml:space="preserve"> Minera Especial </w:t>
      </w:r>
      <w:proofErr w:type="spellStart"/>
      <w:r w:rsidRPr="00CD437A">
        <w:rPr>
          <w:rStyle w:val="Textoennegrita"/>
          <w:b w:val="0"/>
          <w:i/>
          <w:shd w:val="clear" w:color="auto" w:fill="FFFFFF"/>
        </w:rPr>
        <w:t>Tintaya</w:t>
      </w:r>
      <w:proofErr w:type="spellEnd"/>
      <w:r w:rsidRPr="00CD437A">
        <w:rPr>
          <w:rStyle w:val="Textoennegrita"/>
          <w:b w:val="0"/>
          <w:i/>
          <w:shd w:val="clear" w:color="auto" w:fill="FFFFFF"/>
        </w:rPr>
        <w:t xml:space="preserve"> S.A.</w:t>
      </w:r>
      <w:r w:rsidRPr="00CD437A">
        <w:rPr>
          <w:rStyle w:val="Textoennegrita"/>
          <w:b w:val="0"/>
          <w:shd w:val="clear" w:color="auto" w:fill="FFFFFF"/>
        </w:rPr>
        <w:t xml:space="preserve"> to the </w:t>
      </w:r>
      <w:r w:rsidRPr="00CD437A">
        <w:rPr>
          <w:shd w:val="clear" w:color="auto" w:fill="FFFFFF"/>
        </w:rPr>
        <w:t xml:space="preserve">Fifth Civil Court of Lima of May </w:t>
      </w:r>
      <w:r w:rsidRPr="00CD437A">
        <w:rPr>
          <w:rStyle w:val="Textoennegrita"/>
          <w:b w:val="0"/>
          <w:shd w:val="clear" w:color="auto" w:fill="FFFFFF"/>
        </w:rPr>
        <w:t>3, 1991 (evidence file folios 588 to 589).</w:t>
      </w:r>
    </w:p>
  </w:footnote>
  <w:footnote w:id="51">
    <w:p w14:paraId="56CB831E" w14:textId="77777777" w:rsidR="00E6764B" w:rsidRPr="00CD437A" w:rsidRDefault="00E6764B" w:rsidP="008E6A56">
      <w:pPr>
        <w:tabs>
          <w:tab w:val="left" w:pos="567"/>
        </w:tabs>
        <w:rPr>
          <w:rFonts w:ascii="Verdana" w:hAnsi="Verdana"/>
          <w:i/>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 xml:space="preserve">Likewise, Mr. Muelle Flores filed a criminal complaint before the Office of the Provincial Criminal Prosecutor of Lima against certain public servants for the crimes of violation of the freedom to work and abuse of authority, in a brief dated December 30, 1993, alleging their failure to pay his pension, as ordered by the </w:t>
      </w:r>
      <w:r w:rsidRPr="00CD437A">
        <w:rPr>
          <w:rFonts w:ascii="Verdana" w:hAnsi="Verdana"/>
          <w:i/>
          <w:sz w:val="16"/>
          <w:szCs w:val="16"/>
          <w:lang w:val="en-US"/>
        </w:rPr>
        <w:t>amparo</w:t>
      </w:r>
      <w:r w:rsidRPr="00CD437A">
        <w:rPr>
          <w:rFonts w:ascii="Verdana" w:hAnsi="Verdana"/>
          <w:sz w:val="16"/>
          <w:szCs w:val="16"/>
          <w:lang w:val="en-US"/>
        </w:rPr>
        <w:t xml:space="preserve"> rulings. On June 30, 1997</w:t>
      </w:r>
      <w:r>
        <w:rPr>
          <w:rFonts w:ascii="Verdana" w:hAnsi="Verdana"/>
          <w:sz w:val="16"/>
          <w:szCs w:val="16"/>
          <w:lang w:val="en-US"/>
        </w:rPr>
        <w:t>,</w:t>
      </w:r>
      <w:r w:rsidRPr="00CD437A">
        <w:rPr>
          <w:rFonts w:ascii="Verdana" w:hAnsi="Verdana"/>
          <w:sz w:val="16"/>
          <w:szCs w:val="16"/>
          <w:lang w:val="en-US"/>
        </w:rPr>
        <w:t xml:space="preserve"> the Second Criminal Chamber declared that said action had expired, and ordered the case to be archived. </w:t>
      </w:r>
      <w:r w:rsidRPr="00CD437A">
        <w:rPr>
          <w:rFonts w:ascii="Verdana" w:hAnsi="Verdana"/>
          <w:i/>
          <w:sz w:val="16"/>
          <w:szCs w:val="16"/>
          <w:lang w:val="en-US"/>
        </w:rPr>
        <w:t>Cf.</w:t>
      </w:r>
      <w:r w:rsidRPr="00CD437A">
        <w:rPr>
          <w:rFonts w:ascii="Verdana" w:hAnsi="Verdana"/>
          <w:sz w:val="16"/>
          <w:szCs w:val="16"/>
          <w:lang w:val="en-US"/>
        </w:rPr>
        <w:t xml:space="preserve"> Complaint filed </w:t>
      </w:r>
      <w:r w:rsidRPr="00CD437A">
        <w:rPr>
          <w:rStyle w:val="Textoennegrita"/>
          <w:rFonts w:ascii="Verdana" w:hAnsi="Verdana"/>
          <w:b w:val="0"/>
          <w:sz w:val="16"/>
          <w:szCs w:val="16"/>
          <w:shd w:val="clear" w:color="auto" w:fill="FFFFFF"/>
          <w:lang w:val="en-US"/>
        </w:rPr>
        <w:t xml:space="preserve">by Oscar Muelle on December 30, 1993 (evidence file, folios 353 to 358), and Judgment </w:t>
      </w:r>
      <w:r>
        <w:rPr>
          <w:rStyle w:val="Textoennegrita"/>
          <w:rFonts w:ascii="Verdana" w:hAnsi="Verdana"/>
          <w:b w:val="0"/>
          <w:sz w:val="16"/>
          <w:szCs w:val="16"/>
          <w:shd w:val="clear" w:color="auto" w:fill="FFFFFF"/>
          <w:lang w:val="en-US"/>
        </w:rPr>
        <w:t>of</w:t>
      </w:r>
      <w:r w:rsidRPr="00CD437A">
        <w:rPr>
          <w:rStyle w:val="Textoennegrita"/>
          <w:rFonts w:ascii="Verdana" w:hAnsi="Verdana"/>
          <w:b w:val="0"/>
          <w:sz w:val="16"/>
          <w:szCs w:val="16"/>
          <w:shd w:val="clear" w:color="auto" w:fill="FFFFFF"/>
          <w:lang w:val="en-US"/>
        </w:rPr>
        <w:t xml:space="preserve"> the Second Criminal Chamber </w:t>
      </w:r>
      <w:r>
        <w:rPr>
          <w:rStyle w:val="Textoennegrita"/>
          <w:rFonts w:ascii="Verdana" w:hAnsi="Verdana"/>
          <w:b w:val="0"/>
          <w:sz w:val="16"/>
          <w:szCs w:val="16"/>
          <w:shd w:val="clear" w:color="auto" w:fill="FFFFFF"/>
          <w:lang w:val="en-US"/>
        </w:rPr>
        <w:t>of</w:t>
      </w:r>
      <w:r w:rsidRPr="00CD437A">
        <w:rPr>
          <w:rStyle w:val="Textoennegrita"/>
          <w:rFonts w:ascii="Verdana" w:hAnsi="Verdana"/>
          <w:b w:val="0"/>
          <w:sz w:val="16"/>
          <w:szCs w:val="16"/>
          <w:shd w:val="clear" w:color="auto" w:fill="FFFFFF"/>
          <w:lang w:val="en-US"/>
        </w:rPr>
        <w:t xml:space="preserve"> June 30, 1997 (evidence file, folios 351 to 352).</w:t>
      </w:r>
    </w:p>
  </w:footnote>
  <w:footnote w:id="52">
    <w:p w14:paraId="5871F01C"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t>
      </w:r>
      <w:r>
        <w:rPr>
          <w:rStyle w:val="Textoennegrita"/>
          <w:b w:val="0"/>
          <w:shd w:val="clear" w:color="auto" w:fill="FFFFFF"/>
        </w:rPr>
        <w:t xml:space="preserve">Aide-mémoire </w:t>
      </w:r>
      <w:r w:rsidRPr="00CD437A">
        <w:rPr>
          <w:rStyle w:val="Textoennegrita"/>
          <w:b w:val="0"/>
          <w:shd w:val="clear" w:color="auto" w:fill="FFFFFF"/>
        </w:rPr>
        <w:t xml:space="preserve">stating that Oscar Rubén </w:t>
      </w:r>
      <w:proofErr w:type="spellStart"/>
      <w:r w:rsidRPr="00CD437A">
        <w:rPr>
          <w:rStyle w:val="Textoennegrita"/>
          <w:b w:val="0"/>
          <w:shd w:val="clear" w:color="auto" w:fill="FFFFFF"/>
        </w:rPr>
        <w:t>Muelle</w:t>
      </w:r>
      <w:proofErr w:type="spellEnd"/>
      <w:r w:rsidRPr="00CD437A">
        <w:rPr>
          <w:rStyle w:val="Textoennegrita"/>
          <w:b w:val="0"/>
          <w:shd w:val="clear" w:color="auto" w:fill="FFFFFF"/>
        </w:rPr>
        <w:t xml:space="preserve"> Flores was born on March 25, 1936, and </w:t>
      </w:r>
      <w:r w:rsidRPr="00CD437A">
        <w:t xml:space="preserve">affidavit rendered by Oscar </w:t>
      </w:r>
      <w:proofErr w:type="spellStart"/>
      <w:r w:rsidRPr="00CD437A">
        <w:t>Muelle</w:t>
      </w:r>
      <w:proofErr w:type="spellEnd"/>
      <w:r w:rsidRPr="00CD437A">
        <w:t xml:space="preserve"> Flores on October 25, 2017 (evidence file, folios 1520 and 1612).</w:t>
      </w:r>
    </w:p>
  </w:footnote>
  <w:footnote w:id="53">
    <w:p w14:paraId="261556B0"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Medical Diagnostic Report issued by “Hearing: the latest-generation hearing aids” (evidence file, folios 1499 to 1519). </w:t>
      </w:r>
    </w:p>
  </w:footnote>
  <w:footnote w:id="54">
    <w:p w14:paraId="1BAB62B9" w14:textId="77777777" w:rsidR="00E6764B" w:rsidRPr="00CD437A" w:rsidRDefault="00E6764B" w:rsidP="00CD2B15">
      <w:pPr>
        <w:pStyle w:val="Textonotapie"/>
      </w:pPr>
      <w:r w:rsidRPr="00CD437A">
        <w:rPr>
          <w:rStyle w:val="Refdenotaalpie"/>
        </w:rPr>
        <w:footnoteRef/>
      </w:r>
      <w:r w:rsidRPr="00CD437A">
        <w:tab/>
      </w:r>
      <w:r w:rsidRPr="00CD437A">
        <w:rPr>
          <w:i/>
        </w:rPr>
        <w:t>Cf.</w:t>
      </w:r>
      <w:r w:rsidRPr="00CD437A">
        <w:t xml:space="preserve"> Discharge report from the Central Air Force Hospital of Peru (FAP) and medical certificates (evidence file, folios 1878 to 1890). In sworn statem</w:t>
      </w:r>
      <w:r>
        <w:t xml:space="preserve">ents before the Court, both </w:t>
      </w:r>
      <w:r w:rsidRPr="00CD437A">
        <w:t xml:space="preserve">Mr. </w:t>
      </w:r>
      <w:proofErr w:type="spellStart"/>
      <w:r w:rsidRPr="00CD437A">
        <w:t>Muelle’s</w:t>
      </w:r>
      <w:proofErr w:type="spellEnd"/>
      <w:r w:rsidRPr="00CD437A">
        <w:t xml:space="preserve"> daughter, </w:t>
      </w:r>
      <w:proofErr w:type="spellStart"/>
      <w:r w:rsidRPr="00CD437A">
        <w:t>Vibeke</w:t>
      </w:r>
      <w:proofErr w:type="spellEnd"/>
      <w:r w:rsidRPr="00CD437A">
        <w:t xml:space="preserve"> Ann </w:t>
      </w:r>
      <w:proofErr w:type="spellStart"/>
      <w:r w:rsidRPr="00CD437A">
        <w:t>Muelle</w:t>
      </w:r>
      <w:proofErr w:type="spellEnd"/>
      <w:r w:rsidRPr="00CD437A">
        <w:t xml:space="preserve">, and his half-brother, Jesús </w:t>
      </w:r>
      <w:proofErr w:type="spellStart"/>
      <w:r w:rsidRPr="00CD437A">
        <w:t>Aníbal</w:t>
      </w:r>
      <w:proofErr w:type="spellEnd"/>
      <w:r w:rsidRPr="00CD437A">
        <w:t xml:space="preserve"> Delgado Flores, referred to Mr. </w:t>
      </w:r>
      <w:proofErr w:type="spellStart"/>
      <w:r w:rsidRPr="00CD437A">
        <w:t>Muelle</w:t>
      </w:r>
      <w:proofErr w:type="spellEnd"/>
      <w:r w:rsidRPr="00CD437A">
        <w:t xml:space="preserve"> Flores’ health condition. His daughter said that her father suffered from senile dementia, and his brother stressed that Mr. </w:t>
      </w:r>
      <w:proofErr w:type="spellStart"/>
      <w:r w:rsidRPr="00CD437A">
        <w:t>Muelle</w:t>
      </w:r>
      <w:proofErr w:type="spellEnd"/>
      <w:r w:rsidRPr="00CD437A">
        <w:t xml:space="preserve"> Flores suffered nervous depression and hearing loss due to stress. </w:t>
      </w:r>
      <w:r w:rsidRPr="00CD437A">
        <w:rPr>
          <w:i/>
        </w:rPr>
        <w:t>Cf.</w:t>
      </w:r>
      <w:r w:rsidRPr="00CD437A">
        <w:t xml:space="preserve"> Affidavit rendered by </w:t>
      </w:r>
      <w:proofErr w:type="spellStart"/>
      <w:r w:rsidRPr="00CD437A">
        <w:t>Vibeke</w:t>
      </w:r>
      <w:proofErr w:type="spellEnd"/>
      <w:r w:rsidRPr="00CD437A">
        <w:t xml:space="preserve"> Ann </w:t>
      </w:r>
      <w:proofErr w:type="spellStart"/>
      <w:r w:rsidRPr="00CD437A">
        <w:t>Muelle</w:t>
      </w:r>
      <w:proofErr w:type="spellEnd"/>
      <w:r w:rsidRPr="00CD437A">
        <w:t xml:space="preserve"> Jensen on August 22, 2018 (e</w:t>
      </w:r>
      <w:r>
        <w:t>vidence file, folio 1840), and a</w:t>
      </w:r>
      <w:r w:rsidRPr="00CD437A">
        <w:t xml:space="preserve">ffidavit rendered by Jesús </w:t>
      </w:r>
      <w:proofErr w:type="spellStart"/>
      <w:r w:rsidRPr="00CD437A">
        <w:t>Aníbal</w:t>
      </w:r>
      <w:proofErr w:type="spellEnd"/>
      <w:r w:rsidRPr="00CD437A">
        <w:t xml:space="preserve"> Delgado Flores on August 22, 2018 (evidence file, folios 1841 to 1842). </w:t>
      </w:r>
    </w:p>
  </w:footnote>
  <w:footnote w:id="55">
    <w:p w14:paraId="18F7234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shd w:val="clear" w:color="auto" w:fill="FFFFFF"/>
        </w:rPr>
        <w:t xml:space="preserve"> </w:t>
      </w:r>
      <w:r w:rsidRPr="00CD437A">
        <w:t xml:space="preserve">Application for amparo </w:t>
      </w:r>
      <w:r>
        <w:t xml:space="preserve">filed by </w:t>
      </w:r>
      <w:r w:rsidRPr="00CD437A">
        <w:t xml:space="preserve">Oscar </w:t>
      </w:r>
      <w:proofErr w:type="spellStart"/>
      <w:r w:rsidRPr="00CD437A">
        <w:t>Muelle</w:t>
      </w:r>
      <w:proofErr w:type="spellEnd"/>
      <w:r w:rsidRPr="00CD437A">
        <w:t xml:space="preserve"> Flores before the </w:t>
      </w:r>
      <w:r w:rsidRPr="00CD437A">
        <w:rPr>
          <w:bCs/>
        </w:rPr>
        <w:t xml:space="preserve">Fifth Civil Court of Lima of </w:t>
      </w:r>
      <w:r w:rsidRPr="00CD437A">
        <w:t>April 18, 1991 (evidence file, folios 16 to 20).</w:t>
      </w:r>
    </w:p>
  </w:footnote>
  <w:footnote w:id="56">
    <w:p w14:paraId="5C1247D8"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Judgment </w:t>
      </w:r>
      <w:r>
        <w:t xml:space="preserve">of </w:t>
      </w:r>
      <w:r w:rsidRPr="00CD437A">
        <w:t xml:space="preserve">the </w:t>
      </w:r>
      <w:r>
        <w:rPr>
          <w:bCs/>
        </w:rPr>
        <w:t>Fifth Civil Court of Lima of</w:t>
      </w:r>
      <w:r w:rsidRPr="00CD437A">
        <w:rPr>
          <w:bCs/>
        </w:rPr>
        <w:t xml:space="preserve"> </w:t>
      </w:r>
      <w:r w:rsidRPr="00CD437A">
        <w:t>July 19, 1991 (evidence file, folios 22 to 24).</w:t>
      </w:r>
    </w:p>
  </w:footnote>
  <w:footnote w:id="57">
    <w:p w14:paraId="445B0182" w14:textId="77777777" w:rsidR="00E6764B" w:rsidRPr="00CD437A" w:rsidRDefault="00E6764B" w:rsidP="00CD2B15">
      <w:pPr>
        <w:pStyle w:val="Textonotapie"/>
        <w:rPr>
          <w:b/>
          <w:shd w:val="clear" w:color="auto" w:fill="FFFFFF"/>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Judgment </w:t>
      </w:r>
      <w:r>
        <w:rPr>
          <w:rStyle w:val="Textoennegrita"/>
          <w:b w:val="0"/>
          <w:shd w:val="clear" w:color="auto" w:fill="FFFFFF"/>
        </w:rPr>
        <w:t xml:space="preserve">of the </w:t>
      </w:r>
      <w:r w:rsidRPr="00CD437A">
        <w:rPr>
          <w:shd w:val="clear" w:color="auto" w:fill="FFFFFF"/>
        </w:rPr>
        <w:t>Second Civil Chamber of the Superior Court of Lima</w:t>
      </w:r>
      <w:r w:rsidRPr="00CD437A">
        <w:rPr>
          <w:rStyle w:val="Textoennegrita"/>
          <w:shd w:val="clear" w:color="auto" w:fill="FFFFFF"/>
        </w:rPr>
        <w:t xml:space="preserve"> </w:t>
      </w:r>
      <w:r>
        <w:rPr>
          <w:rStyle w:val="Textoennegrita"/>
          <w:b w:val="0"/>
          <w:shd w:val="clear" w:color="auto" w:fill="FFFFFF"/>
        </w:rPr>
        <w:t>of</w:t>
      </w:r>
      <w:r w:rsidRPr="00CD437A">
        <w:rPr>
          <w:rStyle w:val="Textoennegrita"/>
          <w:shd w:val="clear" w:color="auto" w:fill="FFFFFF"/>
        </w:rPr>
        <w:t xml:space="preserve"> </w:t>
      </w:r>
      <w:r w:rsidRPr="00CD437A">
        <w:rPr>
          <w:rStyle w:val="Textoennegrita"/>
          <w:b w:val="0"/>
          <w:shd w:val="clear" w:color="auto" w:fill="FFFFFF"/>
        </w:rPr>
        <w:t>May 29, 1992 (evidence file, folios 592-593).</w:t>
      </w:r>
    </w:p>
  </w:footnote>
  <w:footnote w:id="58">
    <w:p w14:paraId="7255C279"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Judgment </w:t>
      </w:r>
      <w:r>
        <w:rPr>
          <w:rStyle w:val="Textoennegrita"/>
          <w:b w:val="0"/>
          <w:shd w:val="clear" w:color="auto" w:fill="FFFFFF"/>
        </w:rPr>
        <w:t>of the Supreme Court of Justice of</w:t>
      </w:r>
      <w:r w:rsidRPr="00CD437A">
        <w:rPr>
          <w:rStyle w:val="Textoennegrita"/>
          <w:b w:val="0"/>
          <w:shd w:val="clear" w:color="auto" w:fill="FFFFFF"/>
        </w:rPr>
        <w:t xml:space="preserve"> February 2, 1993 (evidence file, folio 13).</w:t>
      </w:r>
    </w:p>
  </w:footnote>
  <w:footnote w:id="59">
    <w:p w14:paraId="5F128B86"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N. 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2013 (evidence file, folio 1725) and </w:t>
      </w:r>
      <w:r w:rsidRPr="00CD437A">
        <w:t xml:space="preserve">Affidavit rendered by César José </w:t>
      </w:r>
      <w:proofErr w:type="spellStart"/>
      <w:r w:rsidRPr="00CD437A">
        <w:t>Gonzáles</w:t>
      </w:r>
      <w:proofErr w:type="spellEnd"/>
      <w:r w:rsidRPr="00CD437A">
        <w:t xml:space="preserve"> Hunt on August 24, 2018 (evidence file, folio 1848).</w:t>
      </w:r>
    </w:p>
  </w:footnote>
  <w:footnote w:id="60">
    <w:p w14:paraId="657F7F5A"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N.08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2013 (evidence file, folio 1725), and </w:t>
      </w:r>
      <w:r w:rsidRPr="00CD437A">
        <w:t xml:space="preserve">Affidavit rendered by César José </w:t>
      </w:r>
      <w:proofErr w:type="spellStart"/>
      <w:r w:rsidRPr="00CD437A">
        <w:t>Gonzáles</w:t>
      </w:r>
      <w:proofErr w:type="spellEnd"/>
      <w:r w:rsidRPr="00CD437A">
        <w:t xml:space="preserve"> Hunt on August 24, 2018 (evidence file, folio 1848).</w:t>
      </w:r>
    </w:p>
  </w:footnote>
  <w:footnote w:id="61">
    <w:p w14:paraId="67457A35"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shd w:val="clear" w:color="auto" w:fill="FFFFFF"/>
        </w:rPr>
        <w:t xml:space="preserve">Resolution No. 08 </w:t>
      </w:r>
      <w:r>
        <w:rPr>
          <w:rStyle w:val="Textoennegrita"/>
          <w:b w:val="0"/>
          <w:shd w:val="clear" w:color="auto" w:fill="FFFFFF"/>
        </w:rPr>
        <w:t xml:space="preserve">of </w:t>
      </w:r>
      <w:r w:rsidRPr="00CD437A">
        <w:rPr>
          <w:rStyle w:val="Textoennegrita"/>
          <w:b w:val="0"/>
          <w:shd w:val="clear" w:color="auto" w:fill="FFFFFF"/>
        </w:rPr>
        <w:t>the Second Civil Chamber of the Superior Co</w:t>
      </w:r>
      <w:r>
        <w:rPr>
          <w:rStyle w:val="Textoennegrita"/>
          <w:b w:val="0"/>
          <w:shd w:val="clear" w:color="auto" w:fill="FFFFFF"/>
        </w:rPr>
        <w:t>urt of Lima of</w:t>
      </w:r>
      <w:r w:rsidRPr="00CD437A">
        <w:rPr>
          <w:rStyle w:val="Textoennegrita"/>
          <w:b w:val="0"/>
          <w:shd w:val="clear" w:color="auto" w:fill="FFFFFF"/>
        </w:rPr>
        <w:t xml:space="preserve"> October 10, 2013 (evidence file, folio 1726), and </w:t>
      </w:r>
      <w:r w:rsidRPr="00CD437A">
        <w:t xml:space="preserve">Affidavit rendered by César José </w:t>
      </w:r>
      <w:proofErr w:type="spellStart"/>
      <w:r w:rsidRPr="00CD437A">
        <w:t>Gonzáles</w:t>
      </w:r>
      <w:proofErr w:type="spellEnd"/>
      <w:r w:rsidRPr="00CD437A">
        <w:t xml:space="preserve"> Hunt on August 24, 2018 (evidence file, folio 1848).</w:t>
      </w:r>
    </w:p>
  </w:footnote>
  <w:footnote w:id="62">
    <w:p w14:paraId="6F6E2D46"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shd w:val="clear" w:color="auto" w:fill="FFFFFF"/>
        </w:rPr>
        <w:t xml:space="preserve">Resolution No. 08 </w:t>
      </w:r>
      <w:r>
        <w:rPr>
          <w:rStyle w:val="Textoennegrita"/>
          <w:b w:val="0"/>
          <w:shd w:val="clear" w:color="auto" w:fill="FFFFFF"/>
        </w:rPr>
        <w:t xml:space="preserve">of </w:t>
      </w:r>
      <w:r w:rsidRPr="00CD437A">
        <w:rPr>
          <w:rStyle w:val="Textoennegrita"/>
          <w:b w:val="0"/>
          <w:shd w:val="clear" w:color="auto" w:fill="FFFFFF"/>
        </w:rPr>
        <w:t>the Second Civil Chamber of the Superior Court of Lima</w:t>
      </w:r>
      <w:r>
        <w:rPr>
          <w:rStyle w:val="Textoennegrita"/>
          <w:b w:val="0"/>
          <w:shd w:val="clear" w:color="auto" w:fill="FFFFFF"/>
        </w:rPr>
        <w:t xml:space="preserve"> of</w:t>
      </w:r>
      <w:r w:rsidRPr="00CD437A">
        <w:rPr>
          <w:rStyle w:val="Textoennegrita"/>
          <w:b w:val="0"/>
          <w:shd w:val="clear" w:color="auto" w:fill="FFFFFF"/>
        </w:rPr>
        <w:t xml:space="preserve"> October 10, 2013 (evidence file, folio 1726), and </w:t>
      </w:r>
      <w:r w:rsidRPr="00CD437A">
        <w:t xml:space="preserve">Affidavit rendered by César José </w:t>
      </w:r>
      <w:proofErr w:type="spellStart"/>
      <w:r w:rsidRPr="00CD437A">
        <w:t>Gonzáles</w:t>
      </w:r>
      <w:proofErr w:type="spellEnd"/>
      <w:r w:rsidRPr="00CD437A">
        <w:t xml:space="preserve"> Hunt on August 24, 2018 (evidence file, folio 1848).</w:t>
      </w:r>
    </w:p>
  </w:footnote>
  <w:footnote w:id="63">
    <w:p w14:paraId="70CBD77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Resolution No.08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2013 (evidence file, folio 1726), and </w:t>
      </w:r>
      <w:r w:rsidRPr="00CD437A">
        <w:t xml:space="preserve">Affidavit rendered by César José </w:t>
      </w:r>
      <w:proofErr w:type="spellStart"/>
      <w:r w:rsidRPr="00CD437A">
        <w:t>Gonzáles</w:t>
      </w:r>
      <w:proofErr w:type="spellEnd"/>
      <w:r w:rsidRPr="00CD437A">
        <w:t xml:space="preserve"> Hunt on August 24, 2018 (evidence file, folio 1848).</w:t>
      </w:r>
    </w:p>
  </w:footnote>
  <w:footnote w:id="64">
    <w:p w14:paraId="57157540"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Numeral two stated that litigation existed with two officials, without </w:t>
      </w:r>
      <w:r>
        <w:t xml:space="preserve">identifying them </w:t>
      </w:r>
      <w:r w:rsidRPr="00CD437A">
        <w:t xml:space="preserve">or </w:t>
      </w:r>
      <w:r>
        <w:t xml:space="preserve">specifying the </w:t>
      </w:r>
      <w:r w:rsidRPr="00CD437A">
        <w:t>type</w:t>
      </w:r>
      <w:r>
        <w:t xml:space="preserve"> of litigation</w:t>
      </w:r>
      <w:r w:rsidRPr="00CD437A">
        <w:t xml:space="preserve">. </w:t>
      </w:r>
      <w:r w:rsidRPr="00CD437A">
        <w:rPr>
          <w:i/>
        </w:rPr>
        <w:t>Cf.</w:t>
      </w:r>
      <w:r w:rsidRPr="00CD437A">
        <w:t xml:space="preserve"> </w:t>
      </w:r>
      <w:r w:rsidRPr="00CD437A">
        <w:rPr>
          <w:rStyle w:val="Textoennegrita"/>
          <w:b w:val="0"/>
          <w:shd w:val="clear" w:color="auto" w:fill="FFFFFF"/>
        </w:rPr>
        <w:t xml:space="preserve">Resolution No. 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w:t>
      </w:r>
      <w:r>
        <w:rPr>
          <w:rStyle w:val="Textoennegrita"/>
          <w:b w:val="0"/>
          <w:shd w:val="clear" w:color="auto" w:fill="FFFFFF"/>
        </w:rPr>
        <w:t>13 (evidence file, folios 1726 to</w:t>
      </w:r>
      <w:r w:rsidRPr="00CD437A">
        <w:rPr>
          <w:rStyle w:val="Textoennegrita"/>
          <w:b w:val="0"/>
          <w:shd w:val="clear" w:color="auto" w:fill="FFFFFF"/>
        </w:rPr>
        <w:t xml:space="preserve"> 1727), and </w:t>
      </w:r>
      <w:r w:rsidRPr="00CD437A">
        <w:t xml:space="preserve">Affidavit rendered by César José </w:t>
      </w:r>
      <w:proofErr w:type="spellStart"/>
      <w:r w:rsidRPr="00CD437A">
        <w:t>Gonzáles</w:t>
      </w:r>
      <w:proofErr w:type="spellEnd"/>
      <w:r w:rsidRPr="00CD437A">
        <w:t xml:space="preserve"> Hunt on August 24, 20</w:t>
      </w:r>
      <w:r>
        <w:t>18 (evidence file, folios 1848 to</w:t>
      </w:r>
      <w:r w:rsidRPr="00CD437A">
        <w:t xml:space="preserve"> 1849).</w:t>
      </w:r>
    </w:p>
  </w:footnote>
  <w:footnote w:id="65">
    <w:p w14:paraId="6D3FF8AE" w14:textId="77777777" w:rsidR="00E6764B" w:rsidRPr="00CD437A" w:rsidRDefault="00E6764B" w:rsidP="00CD2B15">
      <w:pPr>
        <w:pStyle w:val="Textonotapie"/>
        <w:rPr>
          <w:i/>
        </w:rPr>
      </w:pPr>
      <w:r w:rsidRPr="00CD437A">
        <w:rPr>
          <w:rStyle w:val="Refdenotaalpie"/>
        </w:rPr>
        <w:footnoteRef/>
      </w:r>
      <w:r w:rsidRPr="00CD437A">
        <w:tab/>
      </w:r>
      <w:r w:rsidRPr="00CD437A">
        <w:rPr>
          <w:i/>
        </w:rPr>
        <w:t>Cf.</w:t>
      </w:r>
      <w:r w:rsidRPr="00CD437A">
        <w:t xml:space="preserve"> Notice of appearance of Xstrata </w:t>
      </w:r>
      <w:proofErr w:type="spellStart"/>
      <w:r w:rsidRPr="00CD437A">
        <w:t>Tintaya</w:t>
      </w:r>
      <w:proofErr w:type="spellEnd"/>
      <w:r w:rsidRPr="00CD437A">
        <w:t xml:space="preserve"> S.A. of April 13, 2009, presented before the Thirty-eighth Civil Court of Lima </w:t>
      </w:r>
      <w:r w:rsidRPr="00CD437A">
        <w:rPr>
          <w:rStyle w:val="Textoennegrita"/>
          <w:b w:val="0"/>
          <w:shd w:val="clear" w:color="auto" w:fill="FFFFFF"/>
        </w:rPr>
        <w:t>(evidence file, folio 63 to 64).</w:t>
      </w:r>
    </w:p>
  </w:footnote>
  <w:footnote w:id="66">
    <w:p w14:paraId="4A3422A5" w14:textId="77777777" w:rsidR="00E6764B" w:rsidRPr="00CD437A" w:rsidRDefault="00E6764B" w:rsidP="00CD2B15">
      <w:pPr>
        <w:pStyle w:val="Textonotapie"/>
        <w:rPr>
          <w:b/>
        </w:rPr>
      </w:pPr>
      <w:r w:rsidRPr="00CD437A">
        <w:rPr>
          <w:rStyle w:val="Refdenotaalpie"/>
        </w:rPr>
        <w:footnoteRef/>
      </w:r>
      <w:r w:rsidRPr="00CD437A">
        <w:rPr>
          <w:b/>
        </w:rPr>
        <w:tab/>
      </w:r>
      <w:r w:rsidRPr="00CD437A">
        <w:t>After</w:t>
      </w:r>
      <w:r w:rsidRPr="00CD437A">
        <w:rPr>
          <w:b/>
        </w:rPr>
        <w:t xml:space="preserve"> </w:t>
      </w:r>
      <w:r w:rsidRPr="00CD437A">
        <w:t xml:space="preserve">privatization, ownership of </w:t>
      </w:r>
      <w:proofErr w:type="spellStart"/>
      <w:r w:rsidRPr="00CD437A">
        <w:t>Tintaya</w:t>
      </w:r>
      <w:proofErr w:type="spellEnd"/>
      <w:r w:rsidRPr="00CD437A">
        <w:t xml:space="preserve"> S.A. was transferred on </w:t>
      </w:r>
      <w:r>
        <w:t xml:space="preserve">several </w:t>
      </w:r>
      <w:r w:rsidRPr="00CD437A">
        <w:t xml:space="preserve">occasions and its business name </w:t>
      </w:r>
      <w:r>
        <w:t xml:space="preserve">was </w:t>
      </w:r>
      <w:r w:rsidRPr="00CD437A">
        <w:t>changed. Therefore</w:t>
      </w:r>
      <w:r>
        <w:t>, for the purposes</w:t>
      </w:r>
      <w:r w:rsidRPr="00CD437A">
        <w:t xml:space="preserve"> of this Judgment</w:t>
      </w:r>
      <w:r>
        <w:t>,</w:t>
      </w:r>
      <w:r w:rsidRPr="00CD437A">
        <w:t xml:space="preserve"> the Court will use the business name employed during its interventions in the domestic judicial proceedings.</w:t>
      </w:r>
      <w:r w:rsidRPr="00CD437A">
        <w:rPr>
          <w:b/>
        </w:rPr>
        <w:t xml:space="preserve"> </w:t>
      </w:r>
    </w:p>
  </w:footnote>
  <w:footnote w:id="67">
    <w:p w14:paraId="4D220276"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w:t>
      </w:r>
      <w:r>
        <w:rPr>
          <w:rStyle w:val="Textoennegrita"/>
          <w:b w:val="0"/>
          <w:shd w:val="clear" w:color="auto" w:fill="FFFFFF"/>
        </w:rPr>
        <w:t xml:space="preserve">of </w:t>
      </w:r>
      <w:r w:rsidRPr="00CD437A">
        <w:rPr>
          <w:rStyle w:val="Textoennegrita"/>
          <w:b w:val="0"/>
          <w:shd w:val="clear" w:color="auto" w:fill="FFFFFF"/>
        </w:rPr>
        <w:t>the Constitutional Court of October 10, 1999 (evidence file, folio 26).</w:t>
      </w:r>
    </w:p>
  </w:footnote>
  <w:footnote w:id="68">
    <w:p w14:paraId="2CC53FA3"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w:t>
      </w:r>
      <w:r>
        <w:rPr>
          <w:rStyle w:val="Textoennegrita"/>
          <w:b w:val="0"/>
          <w:shd w:val="clear" w:color="auto" w:fill="FFFFFF"/>
        </w:rPr>
        <w:t>of the Constitutional Court of</w:t>
      </w:r>
      <w:r w:rsidRPr="00CD437A">
        <w:rPr>
          <w:rStyle w:val="Textoennegrita"/>
          <w:b w:val="0"/>
          <w:shd w:val="clear" w:color="auto" w:fill="FFFFFF"/>
        </w:rPr>
        <w:t xml:space="preserve"> December 10, 1999 (evidence file, folio 28).</w:t>
      </w:r>
    </w:p>
  </w:footnote>
  <w:footnote w:id="69">
    <w:p w14:paraId="262710BB"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w:t>
      </w:r>
      <w:r>
        <w:rPr>
          <w:rStyle w:val="Textoennegrita"/>
          <w:b w:val="0"/>
          <w:shd w:val="clear" w:color="auto" w:fill="FFFFFF"/>
        </w:rPr>
        <w:t>of the Constitutional Court of December 10</w:t>
      </w:r>
      <w:r w:rsidRPr="00CD437A">
        <w:rPr>
          <w:rStyle w:val="Textoennegrita"/>
          <w:b w:val="0"/>
          <w:shd w:val="clear" w:color="auto" w:fill="FFFFFF"/>
        </w:rPr>
        <w:t>, 1999 (evidence file, folio 26).</w:t>
      </w:r>
    </w:p>
  </w:footnote>
  <w:footnote w:id="70">
    <w:p w14:paraId="43B99878"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w:t>
      </w:r>
      <w:r>
        <w:rPr>
          <w:rStyle w:val="Textoennegrita"/>
          <w:b w:val="0"/>
          <w:shd w:val="clear" w:color="auto" w:fill="FFFFFF"/>
        </w:rPr>
        <w:t>of the Constitutional Court of December 10</w:t>
      </w:r>
      <w:r w:rsidRPr="00CD437A">
        <w:rPr>
          <w:rStyle w:val="Textoennegrita"/>
          <w:b w:val="0"/>
          <w:shd w:val="clear" w:color="auto" w:fill="FFFFFF"/>
        </w:rPr>
        <w:t>, 1999 (evidence file, folio 27).</w:t>
      </w:r>
    </w:p>
  </w:footnote>
  <w:footnote w:id="71">
    <w:p w14:paraId="421B18D2"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w:t>
      </w:r>
      <w:r>
        <w:rPr>
          <w:rStyle w:val="Textoennegrita"/>
          <w:b w:val="0"/>
          <w:shd w:val="clear" w:color="auto" w:fill="FFFFFF"/>
        </w:rPr>
        <w:t>of the Constitutional Court of December 10</w:t>
      </w:r>
      <w:r w:rsidRPr="00CD437A">
        <w:rPr>
          <w:rStyle w:val="Textoennegrita"/>
          <w:b w:val="0"/>
          <w:shd w:val="clear" w:color="auto" w:fill="FFFFFF"/>
        </w:rPr>
        <w:t>, 1999 (evidence file, folio 27).</w:t>
      </w:r>
    </w:p>
  </w:footnote>
  <w:footnote w:id="72">
    <w:p w14:paraId="24941957"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Judgment </w:t>
      </w:r>
      <w:r>
        <w:rPr>
          <w:rStyle w:val="Textoennegrita"/>
          <w:b w:val="0"/>
          <w:shd w:val="clear" w:color="auto" w:fill="FFFFFF"/>
        </w:rPr>
        <w:t>of the Constitutional Court of December 10</w:t>
      </w:r>
      <w:r w:rsidRPr="00CD437A">
        <w:rPr>
          <w:rStyle w:val="Textoennegrita"/>
          <w:b w:val="0"/>
          <w:shd w:val="clear" w:color="auto" w:fill="FFFFFF"/>
        </w:rPr>
        <w:t>, 1999 (evidence file, folio 27).</w:t>
      </w:r>
    </w:p>
  </w:footnote>
  <w:footnote w:id="73">
    <w:p w14:paraId="609CEB68"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Judgment </w:t>
      </w:r>
      <w:r>
        <w:rPr>
          <w:rStyle w:val="Textoennegrita"/>
          <w:b w:val="0"/>
          <w:shd w:val="clear" w:color="auto" w:fill="FFFFFF"/>
        </w:rPr>
        <w:t>of the Constitutional Court of December 10</w:t>
      </w:r>
      <w:r w:rsidRPr="00CD437A">
        <w:rPr>
          <w:rStyle w:val="Textoennegrita"/>
          <w:b w:val="0"/>
          <w:shd w:val="clear" w:color="auto" w:fill="FFFFFF"/>
        </w:rPr>
        <w:t>, 1999 (evidence file, folio 29).</w:t>
      </w:r>
    </w:p>
  </w:footnote>
  <w:footnote w:id="74">
    <w:p w14:paraId="7EFFD596"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Judgment </w:t>
      </w:r>
      <w:r>
        <w:rPr>
          <w:rStyle w:val="Textoennegrita"/>
          <w:b w:val="0"/>
          <w:shd w:val="clear" w:color="auto" w:fill="FFFFFF"/>
        </w:rPr>
        <w:t>of the Constitutional Court of December 10</w:t>
      </w:r>
      <w:r w:rsidRPr="00CD437A">
        <w:rPr>
          <w:rStyle w:val="Textoennegrita"/>
          <w:b w:val="0"/>
          <w:shd w:val="clear" w:color="auto" w:fill="FFFFFF"/>
        </w:rPr>
        <w:t>, 1999 (evidence file, folio 29).</w:t>
      </w:r>
    </w:p>
  </w:footnote>
  <w:footnote w:id="75">
    <w:p w14:paraId="37B1CF68"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t>
      </w:r>
      <w:r w:rsidRPr="00CD437A">
        <w:rPr>
          <w:rStyle w:val="Textoennegrita"/>
          <w:b w:val="0"/>
          <w:shd w:val="clear" w:color="auto" w:fill="FFFFFF"/>
        </w:rPr>
        <w:t xml:space="preserve">Judgment </w:t>
      </w:r>
      <w:r>
        <w:rPr>
          <w:rStyle w:val="Textoennegrita"/>
          <w:b w:val="0"/>
          <w:shd w:val="clear" w:color="auto" w:fill="FFFFFF"/>
        </w:rPr>
        <w:t xml:space="preserve">of </w:t>
      </w:r>
      <w:r w:rsidRPr="00CD437A">
        <w:rPr>
          <w:rStyle w:val="Textoennegrita"/>
          <w:b w:val="0"/>
          <w:shd w:val="clear" w:color="auto" w:fill="FFFFFF"/>
        </w:rPr>
        <w:t>the Chamber of Constitutional and Social Law of the Supreme Court of Justice of October 29, 1997 (evidence file folio 387).</w:t>
      </w:r>
    </w:p>
  </w:footnote>
  <w:footnote w:id="76">
    <w:p w14:paraId="3B6EA29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First Supplementary Provision of Legislative Decree No. 817, published on April 23, 1996</w:t>
      </w:r>
      <w:r>
        <w:t>,</w:t>
      </w:r>
      <w:r w:rsidRPr="00CD437A">
        <w:t xml:space="preserve"> in the Official Gazette </w:t>
      </w:r>
      <w:r w:rsidRPr="00CD437A">
        <w:rPr>
          <w:i/>
        </w:rPr>
        <w:t xml:space="preserve">El </w:t>
      </w:r>
      <w:proofErr w:type="spellStart"/>
      <w:r w:rsidRPr="00CD437A">
        <w:rPr>
          <w:i/>
        </w:rPr>
        <w:t>Peruano</w:t>
      </w:r>
      <w:proofErr w:type="spellEnd"/>
      <w:r w:rsidRPr="00CD437A">
        <w:t>. Some articles of this law were declared unconstitutional by the Constitutional Court in the Judgment of April 23, 1997,</w:t>
      </w:r>
      <w:r>
        <w:t xml:space="preserve"> </w:t>
      </w:r>
      <w:r w:rsidRPr="00CD437A">
        <w:t xml:space="preserve">Case File No. 008-96-I/TC. </w:t>
      </w:r>
      <w:r w:rsidRPr="00CD437A">
        <w:rPr>
          <w:i/>
        </w:rPr>
        <w:t>See also</w:t>
      </w:r>
      <w:r w:rsidRPr="00CD437A">
        <w:t xml:space="preserve">, Affidavit rendered by César José </w:t>
      </w:r>
      <w:proofErr w:type="spellStart"/>
      <w:r w:rsidRPr="00CD437A">
        <w:t>Gonzáles</w:t>
      </w:r>
      <w:proofErr w:type="spellEnd"/>
      <w:r w:rsidRPr="00CD437A">
        <w:t xml:space="preserve"> Hunt on August 24, 2018 (evidence file, folio 1853 to 1855).</w:t>
      </w:r>
    </w:p>
  </w:footnote>
  <w:footnote w:id="77">
    <w:p w14:paraId="1E617F70"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Resolution </w:t>
      </w:r>
      <w:r>
        <w:t xml:space="preserve">of </w:t>
      </w:r>
      <w:r w:rsidRPr="00CD437A">
        <w:t xml:space="preserve">the Administrative Chamber of the Superior Court of Lima of July 30, 1996 </w:t>
      </w:r>
      <w:r w:rsidRPr="00CD437A">
        <w:rPr>
          <w:rStyle w:val="Textoennegrita"/>
          <w:b w:val="0"/>
          <w:shd w:val="clear" w:color="auto" w:fill="FFFFFF"/>
        </w:rPr>
        <w:t>(evidence file, folio 417).</w:t>
      </w:r>
    </w:p>
  </w:footnote>
  <w:footnote w:id="78">
    <w:p w14:paraId="1D629EB7"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Notification of the resolution issued by the Administrative Chamber of the Superior Court of Lima of August 15, 1996 </w:t>
      </w:r>
      <w:r w:rsidRPr="00CD437A">
        <w:rPr>
          <w:rStyle w:val="Textoennegrita"/>
          <w:b w:val="0"/>
          <w:shd w:val="clear" w:color="auto" w:fill="FFFFFF"/>
        </w:rPr>
        <w:t>(evidence file, folio 418).</w:t>
      </w:r>
    </w:p>
  </w:footnote>
  <w:footnote w:id="79">
    <w:p w14:paraId="6B6FA0B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Brief of the Pension Standardization Office (ONP) presented before the Administrative Chamber</w:t>
      </w:r>
      <w:r>
        <w:t xml:space="preserve"> of the Superior Court of Lima</w:t>
      </w:r>
      <w:r w:rsidRPr="00CD437A">
        <w:t xml:space="preserve"> </w:t>
      </w:r>
      <w:r>
        <w:t xml:space="preserve">on </w:t>
      </w:r>
      <w:r w:rsidRPr="00CD437A">
        <w:t>September 24, 1996 (evidence file, folio 4).</w:t>
      </w:r>
    </w:p>
  </w:footnote>
  <w:footnote w:id="80">
    <w:p w14:paraId="34750B82"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r>
      <w:r w:rsidRPr="00CD437A">
        <w:rPr>
          <w:i/>
        </w:rPr>
        <w:t>Cf.</w:t>
      </w:r>
      <w:r w:rsidRPr="00CD437A">
        <w:t xml:space="preserve"> Opinion issued by the Office of the Public Prosecutor for Administrative Matters of the Attorney General’s Office before the Constitutional and Social Chamber of the Supreme Court of Justice on August 22,</w:t>
      </w:r>
      <w:r w:rsidRPr="00CD437A">
        <w:rPr>
          <w:rStyle w:val="Textoennegrita"/>
          <w:b w:val="0"/>
          <w:shd w:val="clear" w:color="auto" w:fill="FFFFFF"/>
        </w:rPr>
        <w:t xml:space="preserve"> 1997 (evidence file, folio 10) and Judgment </w:t>
      </w:r>
      <w:r>
        <w:rPr>
          <w:rStyle w:val="Textoennegrita"/>
          <w:b w:val="0"/>
          <w:shd w:val="clear" w:color="auto" w:fill="FFFFFF"/>
        </w:rPr>
        <w:t xml:space="preserve">of </w:t>
      </w:r>
      <w:r w:rsidRPr="00CD437A">
        <w:rPr>
          <w:rStyle w:val="Textoennegrita"/>
          <w:b w:val="0"/>
          <w:shd w:val="clear" w:color="auto" w:fill="FFFFFF"/>
        </w:rPr>
        <w:t>the Constitutional and Social Chamber of the Supreme Court of Justice of October 29, 1997 (evidence file, folio 387).</w:t>
      </w:r>
    </w:p>
  </w:footnote>
  <w:footnote w:id="81">
    <w:p w14:paraId="09474648"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r>
      <w:r w:rsidRPr="00CD437A">
        <w:rPr>
          <w:i/>
        </w:rPr>
        <w:t>Cf.</w:t>
      </w:r>
      <w:r w:rsidRPr="00CD437A">
        <w:t xml:space="preserve"> Opinion issued by the Office of the Public Prosecutor for Administrative Matters of the Attorney General’s Office before the Constitutional and Social Chamber of the Supreme Court on </w:t>
      </w:r>
      <w:r w:rsidRPr="00CD437A">
        <w:rPr>
          <w:rStyle w:val="Textoennegrita"/>
          <w:b w:val="0"/>
          <w:shd w:val="clear" w:color="auto" w:fill="FFFFFF"/>
        </w:rPr>
        <w:t>August 22, 1997 (evidence file, folios 10 to 11).</w:t>
      </w:r>
    </w:p>
  </w:footnote>
  <w:footnote w:id="82">
    <w:p w14:paraId="0E5FF9A6"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Opinion issued by the Office of the Public Prosecutor for Administrative Matters of the Attorney General’s Office before the Constitutional and Social Chamber of the Supreme Court of Justice on August 22,</w:t>
      </w:r>
      <w:r w:rsidRPr="00CD437A">
        <w:rPr>
          <w:rStyle w:val="Textoennegrita"/>
          <w:b w:val="0"/>
          <w:shd w:val="clear" w:color="auto" w:fill="FFFFFF"/>
        </w:rPr>
        <w:t xml:space="preserve"> 1997 (evidence file, folios 10 a 11) and Judgment </w:t>
      </w:r>
      <w:r>
        <w:rPr>
          <w:rStyle w:val="Textoennegrita"/>
          <w:b w:val="0"/>
          <w:shd w:val="clear" w:color="auto" w:fill="FFFFFF"/>
        </w:rPr>
        <w:t xml:space="preserve">of </w:t>
      </w:r>
      <w:r w:rsidRPr="00CD437A">
        <w:rPr>
          <w:rStyle w:val="Textoennegrita"/>
          <w:b w:val="0"/>
          <w:shd w:val="clear" w:color="auto" w:fill="FFFFFF"/>
        </w:rPr>
        <w:t xml:space="preserve">the Constitutional and Social Chamber </w:t>
      </w:r>
      <w:r>
        <w:rPr>
          <w:rStyle w:val="Textoennegrita"/>
          <w:b w:val="0"/>
          <w:shd w:val="clear" w:color="auto" w:fill="FFFFFF"/>
        </w:rPr>
        <w:t>of the Supreme Court of</w:t>
      </w:r>
      <w:r w:rsidRPr="00CD437A">
        <w:rPr>
          <w:rStyle w:val="Textoennegrita"/>
          <w:b w:val="0"/>
          <w:shd w:val="clear" w:color="auto" w:fill="FFFFFF"/>
        </w:rPr>
        <w:t xml:space="preserve"> October 29, 1997 (evidence file, folio 387).</w:t>
      </w:r>
    </w:p>
  </w:footnote>
  <w:footnote w:id="83">
    <w:p w14:paraId="12F8FF58"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Notarized letter of October 30, 1998, forwarded by Oscar </w:t>
      </w:r>
      <w:proofErr w:type="spellStart"/>
      <w:r w:rsidRPr="00CD437A">
        <w:t>Muelle</w:t>
      </w:r>
      <w:proofErr w:type="spellEnd"/>
      <w:r w:rsidRPr="00CD437A">
        <w:t xml:space="preserve"> Flores to the </w:t>
      </w:r>
      <w:r w:rsidRPr="00CD437A">
        <w:rPr>
          <w:shd w:val="clear" w:color="auto" w:fill="FFFFFF"/>
        </w:rPr>
        <w:t>Pension Standardization Office</w:t>
      </w:r>
      <w:r w:rsidRPr="00CD437A">
        <w:t xml:space="preserve"> </w:t>
      </w:r>
      <w:r w:rsidRPr="00CD437A">
        <w:rPr>
          <w:rStyle w:val="Textoennegrita"/>
          <w:b w:val="0"/>
          <w:shd w:val="clear" w:color="auto" w:fill="FFFFFF"/>
        </w:rPr>
        <w:t xml:space="preserve">(evidence file, folios 344 to 346), and </w:t>
      </w:r>
      <w:r w:rsidRPr="00CD437A">
        <w:t xml:space="preserve">letters issued by the </w:t>
      </w:r>
      <w:r w:rsidRPr="00CD437A">
        <w:rPr>
          <w:shd w:val="clear" w:color="auto" w:fill="FFFFFF"/>
        </w:rPr>
        <w:t xml:space="preserve">Pension Standardization Office of November 27 and December 7, 1998, </w:t>
      </w:r>
      <w:r>
        <w:rPr>
          <w:shd w:val="clear" w:color="auto" w:fill="FFFFFF"/>
        </w:rPr>
        <w:t xml:space="preserve">with </w:t>
      </w:r>
      <w:r w:rsidRPr="00CD437A">
        <w:rPr>
          <w:shd w:val="clear" w:color="auto" w:fill="FFFFFF"/>
        </w:rPr>
        <w:t xml:space="preserve">reference to the notarized letters of October </w:t>
      </w:r>
      <w:r w:rsidRPr="00CD437A">
        <w:t xml:space="preserve">30, November 4 and 17, 1998 forwarded by Oscar </w:t>
      </w:r>
      <w:proofErr w:type="spellStart"/>
      <w:r w:rsidRPr="00CD437A">
        <w:t>Muelle</w:t>
      </w:r>
      <w:proofErr w:type="spellEnd"/>
      <w:r w:rsidRPr="00CD437A">
        <w:t xml:space="preserve"> Flores to the </w:t>
      </w:r>
      <w:r w:rsidRPr="00CD437A">
        <w:rPr>
          <w:shd w:val="clear" w:color="auto" w:fill="FFFFFF"/>
        </w:rPr>
        <w:t xml:space="preserve">ONP </w:t>
      </w:r>
      <w:r w:rsidRPr="00CD437A">
        <w:rPr>
          <w:rStyle w:val="Textoennegrita"/>
          <w:b w:val="0"/>
          <w:shd w:val="clear" w:color="auto" w:fill="FFFFFF"/>
        </w:rPr>
        <w:t>(evidence file, folios 259 to 260).</w:t>
      </w:r>
    </w:p>
  </w:footnote>
  <w:footnote w:id="84">
    <w:p w14:paraId="7568829F"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Letter issued by the </w:t>
      </w:r>
      <w:r w:rsidRPr="00CD437A">
        <w:rPr>
          <w:shd w:val="clear" w:color="auto" w:fill="FFFFFF"/>
        </w:rPr>
        <w:t xml:space="preserve">Pension Standardization Office on November 27, 1998 </w:t>
      </w:r>
      <w:r w:rsidRPr="00CD437A">
        <w:rPr>
          <w:rStyle w:val="Textoennegrita"/>
          <w:b w:val="0"/>
          <w:shd w:val="clear" w:color="auto" w:fill="FFFFFF"/>
        </w:rPr>
        <w:t>(evidence file, folios 261 to 262).</w:t>
      </w:r>
    </w:p>
  </w:footnote>
  <w:footnote w:id="85">
    <w:p w14:paraId="4567FBAE"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Letters issued by the </w:t>
      </w:r>
      <w:r w:rsidRPr="00CD437A">
        <w:rPr>
          <w:shd w:val="clear" w:color="auto" w:fill="FFFFFF"/>
        </w:rPr>
        <w:t xml:space="preserve">Pension Standardization Office on November 27 and December 7, 1998 </w:t>
      </w:r>
      <w:r w:rsidRPr="00CD437A">
        <w:rPr>
          <w:rStyle w:val="Textoennegrita"/>
          <w:b w:val="0"/>
          <w:shd w:val="clear" w:color="auto" w:fill="FFFFFF"/>
        </w:rPr>
        <w:t>(evidence file, folios 259 to 260).</w:t>
      </w:r>
    </w:p>
  </w:footnote>
  <w:footnote w:id="86">
    <w:p w14:paraId="412F2E08" w14:textId="77777777" w:rsidR="00E6764B" w:rsidRPr="00CD437A" w:rsidRDefault="00E6764B" w:rsidP="00CD2B15">
      <w:pPr>
        <w:pStyle w:val="Textonotapie"/>
        <w:rPr>
          <w:rStyle w:val="Textoennegrita"/>
          <w:rFonts w:eastAsia="Calibri"/>
          <w:b w:val="0"/>
          <w:i/>
          <w:shd w:val="clear" w:color="auto" w:fill="FFFFFF"/>
          <w:lang w:eastAsia="es-CR"/>
        </w:rPr>
      </w:pPr>
      <w:r w:rsidRPr="00CD437A">
        <w:rPr>
          <w:rStyle w:val="Refdenotaalpie"/>
        </w:rPr>
        <w:footnoteRef/>
      </w:r>
      <w:r w:rsidRPr="00CD437A">
        <w:rPr>
          <w:i/>
        </w:rPr>
        <w:t xml:space="preserve"> </w:t>
      </w:r>
      <w:r w:rsidRPr="00CD437A">
        <w:rPr>
          <w:i/>
        </w:rPr>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of </w:t>
      </w:r>
      <w:r w:rsidRPr="00CD437A">
        <w:rPr>
          <w:rStyle w:val="Textoennegrita"/>
          <w:b w:val="0"/>
          <w:shd w:val="clear" w:color="auto" w:fill="FFFFFF"/>
        </w:rPr>
        <w:t xml:space="preserve">the Fifth Civil Court of Lima of December 18, 1995 (evidence file, folio 31). </w:t>
      </w:r>
    </w:p>
  </w:footnote>
  <w:footnote w:id="87">
    <w:p w14:paraId="4A05D15B" w14:textId="77777777" w:rsidR="00E6764B" w:rsidRPr="00CD437A" w:rsidRDefault="00E6764B" w:rsidP="00CD2B15">
      <w:pPr>
        <w:pStyle w:val="Textonotapie"/>
        <w:rPr>
          <w:shd w:val="clear" w:color="auto" w:fill="FFFFFF"/>
        </w:rPr>
      </w:pPr>
      <w:r w:rsidRPr="00CD437A">
        <w:rPr>
          <w:rStyle w:val="Refdenotaalpie"/>
        </w:rPr>
        <w:footnoteRef/>
      </w:r>
      <w:r w:rsidRPr="00CD437A">
        <w:rPr>
          <w:i/>
        </w:rPr>
        <w:t xml:space="preserve"> </w:t>
      </w:r>
      <w:r w:rsidRPr="00CD437A">
        <w:rPr>
          <w:i/>
        </w:rPr>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of </w:t>
      </w:r>
      <w:r w:rsidRPr="00CD437A">
        <w:rPr>
          <w:rStyle w:val="Textoennegrita"/>
          <w:b w:val="0"/>
          <w:shd w:val="clear" w:color="auto" w:fill="FFFFFF"/>
        </w:rPr>
        <w:t xml:space="preserve">the Fifth Civil Court of Lima of April 7, 1997 (evidence file, folio 34). </w:t>
      </w:r>
    </w:p>
  </w:footnote>
  <w:footnote w:id="88">
    <w:p w14:paraId="5C3D71D7" w14:textId="77777777" w:rsidR="00E6764B" w:rsidRPr="00CD437A" w:rsidRDefault="00E6764B" w:rsidP="00CD2B15">
      <w:pPr>
        <w:pStyle w:val="Textonotapie"/>
        <w:rPr>
          <w:bCs/>
          <w:shd w:val="clear" w:color="auto" w:fill="FFFFFF"/>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of </w:t>
      </w:r>
      <w:r w:rsidRPr="00CD437A">
        <w:t>the First Transitory Corporate Court Specializing in Public Law of October 20, 1999</w:t>
      </w:r>
      <w:r w:rsidRPr="00CD437A">
        <w:rPr>
          <w:rStyle w:val="Textoennegrita"/>
          <w:b w:val="0"/>
          <w:shd w:val="clear" w:color="auto" w:fill="FFFFFF"/>
        </w:rPr>
        <w:t xml:space="preserve"> (evidence file, folio 1719).</w:t>
      </w:r>
    </w:p>
  </w:footnote>
  <w:footnote w:id="89">
    <w:p w14:paraId="3C452085" w14:textId="77777777" w:rsidR="00E6764B" w:rsidRPr="00CD437A" w:rsidRDefault="00E6764B" w:rsidP="00CD2B15">
      <w:pPr>
        <w:pStyle w:val="Textonotapie"/>
        <w:rPr>
          <w:b/>
          <w:i/>
          <w:shd w:val="clear" w:color="auto" w:fill="FFFFFF"/>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Communication of </w:t>
      </w:r>
      <w:r w:rsidRPr="00CD437A">
        <w:rPr>
          <w:shd w:val="clear" w:color="auto" w:fill="FFFFFF"/>
        </w:rPr>
        <w:t>August 24, 2000,</w:t>
      </w:r>
      <w:r w:rsidRPr="00CD437A">
        <w:rPr>
          <w:rStyle w:val="Textoennegrita"/>
          <w:shd w:val="clear" w:color="auto" w:fill="FFFFFF"/>
        </w:rPr>
        <w:t xml:space="preserve"> </w:t>
      </w:r>
      <w:r w:rsidRPr="005E2D51">
        <w:rPr>
          <w:rStyle w:val="Textoennegrita"/>
          <w:b w:val="0"/>
          <w:shd w:val="clear" w:color="auto" w:fill="FFFFFF"/>
        </w:rPr>
        <w:t>sent</w:t>
      </w:r>
      <w:r>
        <w:rPr>
          <w:rStyle w:val="Textoennegrita"/>
          <w:shd w:val="clear" w:color="auto" w:fill="FFFFFF"/>
        </w:rPr>
        <w:t xml:space="preserve"> </w:t>
      </w:r>
      <w:r w:rsidRPr="00CD437A">
        <w:t xml:space="preserve">by Oscar </w:t>
      </w:r>
      <w:proofErr w:type="spellStart"/>
      <w:r w:rsidRPr="00CD437A">
        <w:t>Muelle</w:t>
      </w:r>
      <w:proofErr w:type="spellEnd"/>
      <w:r w:rsidRPr="00CD437A">
        <w:t xml:space="preserve"> Flores to the </w:t>
      </w:r>
      <w:r w:rsidRPr="00CD437A">
        <w:rPr>
          <w:shd w:val="clear" w:color="auto" w:fill="FFFFFF"/>
        </w:rPr>
        <w:t>Pension Standardization Office,</w:t>
      </w:r>
      <w:r w:rsidRPr="00CD437A">
        <w:t xml:space="preserve"> September 19, 2000 </w:t>
      </w:r>
      <w:r w:rsidRPr="00CD437A">
        <w:rPr>
          <w:rStyle w:val="Textoennegrita"/>
          <w:b w:val="0"/>
          <w:shd w:val="clear" w:color="auto" w:fill="FFFFFF"/>
        </w:rPr>
        <w:t>(evidence file, folio 36).</w:t>
      </w:r>
    </w:p>
  </w:footnote>
  <w:footnote w:id="90">
    <w:p w14:paraId="42FD58DF"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Based on the evidence provided by the parties, the following payments were made to Mr. </w:t>
      </w:r>
      <w:proofErr w:type="spellStart"/>
      <w:r w:rsidRPr="00CD437A">
        <w:t>Muelle</w:t>
      </w:r>
      <w:proofErr w:type="spellEnd"/>
      <w:r w:rsidRPr="00CD437A">
        <w:t xml:space="preserve"> Flores: a) March 19, 1999, for the sum of 59,200 soles, for pensions corresponding to the months </w:t>
      </w:r>
      <w:r>
        <w:t xml:space="preserve">from </w:t>
      </w:r>
      <w:r w:rsidRPr="00CD437A">
        <w:t xml:space="preserve">February 1993 </w:t>
      </w:r>
      <w:r>
        <w:t xml:space="preserve">to </w:t>
      </w:r>
      <w:r w:rsidRPr="00CD437A">
        <w:t>March 1999;</w:t>
      </w:r>
      <w:r w:rsidRPr="00CD437A">
        <w:rPr>
          <w:b/>
        </w:rPr>
        <w:t xml:space="preserve"> </w:t>
      </w:r>
      <w:r w:rsidRPr="00CD437A">
        <w:t xml:space="preserve">b) June 26, 1999, for the sum of 19,200 soles for pensions corresponding to the months </w:t>
      </w:r>
      <w:r>
        <w:t>from February 1991 to October</w:t>
      </w:r>
      <w:r w:rsidRPr="00CD437A">
        <w:t xml:space="preserve"> 1992</w:t>
      </w:r>
      <w:r>
        <w:t>,</w:t>
      </w:r>
      <w:r w:rsidRPr="00CD437A">
        <w:t xml:space="preserve"> and from April to June, 1999; c) September 21, 1999, for the sum of 2,400 soles for pensions corresponding to the months </w:t>
      </w:r>
      <w:r>
        <w:t xml:space="preserve">from </w:t>
      </w:r>
      <w:r w:rsidRPr="00CD437A">
        <w:t xml:space="preserve">July to September, 1999; d) December 3, 1999, for the sum of 2,400 soles for pensions corresponding to the months </w:t>
      </w:r>
      <w:r>
        <w:t xml:space="preserve">from </w:t>
      </w:r>
      <w:r w:rsidRPr="00CD437A">
        <w:t xml:space="preserve">October to December, 1999; e) February 18, 2000, for the sum of 2,400 soles for pensions </w:t>
      </w:r>
      <w:r>
        <w:t>corresponding to the months from</w:t>
      </w:r>
      <w:r w:rsidRPr="00CD437A">
        <w:t xml:space="preserve"> January to March, 2000; f) May 11, 2000, for the sum of 2,400 soles for pensions corresponding to the months </w:t>
      </w:r>
      <w:r>
        <w:t xml:space="preserve">from </w:t>
      </w:r>
      <w:r w:rsidRPr="00CD437A">
        <w:t xml:space="preserve">April to June of 2000; g) September 22, 2000, for the sum of 4,800 soles for pensions corresponding to the months </w:t>
      </w:r>
      <w:r>
        <w:t xml:space="preserve">from </w:t>
      </w:r>
      <w:r w:rsidRPr="00CD437A">
        <w:t xml:space="preserve">July to December 2000, and h) 4,800 soles for pensions corresponding to the months from January to June to December, 2001. </w:t>
      </w:r>
      <w:r>
        <w:t xml:space="preserve">Regarding </w:t>
      </w:r>
      <w:r w:rsidRPr="00CD437A">
        <w:t xml:space="preserve">this last payment, although the Court does not have the corresponding receipt, Mr. </w:t>
      </w:r>
      <w:proofErr w:type="spellStart"/>
      <w:r w:rsidRPr="00CD437A">
        <w:t>Muelle</w:t>
      </w:r>
      <w:proofErr w:type="spellEnd"/>
      <w:r w:rsidRPr="00CD437A">
        <w:t xml:space="preserve"> Flores admitted having received </w:t>
      </w:r>
      <w:r>
        <w:t>i</w:t>
      </w:r>
      <w:r w:rsidRPr="00CD437A">
        <w:t xml:space="preserve">t for the period mentioned. </w:t>
      </w:r>
      <w:r w:rsidRPr="00CD437A">
        <w:rPr>
          <w:i/>
        </w:rPr>
        <w:t>Cf.</w:t>
      </w:r>
      <w:r w:rsidRPr="00CD437A">
        <w:t xml:space="preserve"> Receipt </w:t>
      </w:r>
      <w:proofErr w:type="gramStart"/>
      <w:r w:rsidRPr="00CD437A">
        <w:t>of  payment</w:t>
      </w:r>
      <w:proofErr w:type="gramEnd"/>
      <w:r w:rsidRPr="00CD437A">
        <w:t xml:space="preserve"> and delivery certificate signed by the legal representative of  BHP </w:t>
      </w:r>
      <w:proofErr w:type="spellStart"/>
      <w:r w:rsidRPr="00CD437A">
        <w:t>Tintaya</w:t>
      </w:r>
      <w:proofErr w:type="spellEnd"/>
      <w:r w:rsidRPr="00CD437A">
        <w:t xml:space="preserve"> and Oscar </w:t>
      </w:r>
      <w:proofErr w:type="spellStart"/>
      <w:r w:rsidRPr="00CD437A">
        <w:t>Muelle</w:t>
      </w:r>
      <w:proofErr w:type="spellEnd"/>
      <w:r w:rsidRPr="00CD437A">
        <w:t xml:space="preserve"> Flores on March 19, 1999; receipts of payment dated June 26, September 21 and December 3, 1999, February 18, May 11 and September 22, 2000 </w:t>
      </w:r>
      <w:r w:rsidRPr="00CD437A">
        <w:rPr>
          <w:rStyle w:val="Textoennegrita"/>
          <w:b w:val="0"/>
          <w:shd w:val="clear" w:color="auto" w:fill="FFFFFF"/>
        </w:rPr>
        <w:t>(evidence file, folios 1673 to 1688).</w:t>
      </w:r>
      <w:r w:rsidRPr="00CD437A">
        <w:t xml:space="preserve"> See also</w:t>
      </w:r>
      <w:r w:rsidRPr="00CD437A">
        <w:rPr>
          <w:i/>
        </w:rPr>
        <w:t>,</w:t>
      </w:r>
      <w:r w:rsidRPr="00CD437A">
        <w:t xml:space="preserve"> Appeal filed by Oscar </w:t>
      </w:r>
      <w:proofErr w:type="spellStart"/>
      <w:r w:rsidRPr="00CD437A">
        <w:t>Muelle</w:t>
      </w:r>
      <w:proofErr w:type="spellEnd"/>
      <w:r w:rsidRPr="00CD437A">
        <w:t xml:space="preserve"> on May 17, 2010, (evidence file, folios 74 and 75).</w:t>
      </w:r>
    </w:p>
  </w:footnote>
  <w:footnote w:id="91">
    <w:p w14:paraId="0C473297"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Delivery certificate signed by the legal representative of BHP </w:t>
      </w:r>
      <w:proofErr w:type="spellStart"/>
      <w:r w:rsidRPr="00CD437A">
        <w:t>Ti</w:t>
      </w:r>
      <w:r>
        <w:t>ntaya</w:t>
      </w:r>
      <w:proofErr w:type="spellEnd"/>
      <w:r>
        <w:t xml:space="preserve"> and Oscar </w:t>
      </w:r>
      <w:proofErr w:type="spellStart"/>
      <w:r>
        <w:t>Muelle</w:t>
      </w:r>
      <w:proofErr w:type="spellEnd"/>
      <w:r>
        <w:t xml:space="preserve"> Flores on</w:t>
      </w:r>
      <w:r w:rsidRPr="00CD437A">
        <w:t xml:space="preserve"> March 19, 1999 </w:t>
      </w:r>
      <w:r w:rsidRPr="00CD437A">
        <w:rPr>
          <w:rStyle w:val="Textoennegrita"/>
          <w:b w:val="0"/>
          <w:shd w:val="clear" w:color="auto" w:fill="FFFFFF"/>
        </w:rPr>
        <w:t>(evidence file, folio 1675).</w:t>
      </w:r>
    </w:p>
  </w:footnote>
  <w:footnote w:id="92">
    <w:p w14:paraId="226C7A96" w14:textId="77777777" w:rsidR="00E6764B" w:rsidRPr="00CD437A" w:rsidRDefault="00E6764B" w:rsidP="00CD2B15">
      <w:pPr>
        <w:pStyle w:val="Textonotapie"/>
        <w:rPr>
          <w:i/>
          <w:shd w:val="clear" w:color="auto" w:fill="FFFFFF"/>
        </w:rPr>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Communication of the </w:t>
      </w:r>
      <w:r w:rsidRPr="00CD437A">
        <w:rPr>
          <w:shd w:val="clear" w:color="auto" w:fill="FFFFFF"/>
        </w:rPr>
        <w:t>Pension Standardization Office of October 26, 2000</w:t>
      </w:r>
      <w:r w:rsidRPr="00CD437A">
        <w:rPr>
          <w:rStyle w:val="Textoennegrita"/>
          <w:b w:val="0"/>
          <w:shd w:val="clear" w:color="auto" w:fill="FFFFFF"/>
        </w:rPr>
        <w:t xml:space="preserve"> (evidence file, folio 38). </w:t>
      </w:r>
    </w:p>
  </w:footnote>
  <w:footnote w:id="93">
    <w:p w14:paraId="36A79B05"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No</w:t>
      </w:r>
      <w:r>
        <w:t xml:space="preserve">tarized letter of July 5, 2004 sent </w:t>
      </w:r>
      <w:r w:rsidRPr="00CD437A">
        <w:t xml:space="preserve">by Oscar </w:t>
      </w:r>
      <w:proofErr w:type="spellStart"/>
      <w:r w:rsidRPr="00CD437A">
        <w:t>Muelle</w:t>
      </w:r>
      <w:proofErr w:type="spellEnd"/>
      <w:r w:rsidRPr="00CD437A">
        <w:t xml:space="preserve"> Flores to the </w:t>
      </w:r>
      <w:r w:rsidRPr="00CD437A">
        <w:rPr>
          <w:bCs/>
          <w:shd w:val="clear" w:color="auto" w:fill="FFFFFF"/>
        </w:rPr>
        <w:t>Pension Standardization Office</w:t>
      </w:r>
      <w:r w:rsidRPr="00CD437A">
        <w:t xml:space="preserve"> on August 23, 2004 </w:t>
      </w:r>
      <w:r w:rsidRPr="00CD437A">
        <w:rPr>
          <w:rStyle w:val="Textoennegrita"/>
          <w:b w:val="0"/>
          <w:shd w:val="clear" w:color="auto" w:fill="FFFFFF"/>
        </w:rPr>
        <w:t>(evidence file, folios 251 to 256).</w:t>
      </w:r>
    </w:p>
  </w:footnote>
  <w:footnote w:id="94">
    <w:p w14:paraId="56F2D014"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r>
      <w:r w:rsidRPr="00CD437A">
        <w:rPr>
          <w:i/>
        </w:rPr>
        <w:t>Cf.</w:t>
      </w:r>
      <w:r w:rsidRPr="00CD437A">
        <w:t xml:space="preserve"> Letter issued by the </w:t>
      </w:r>
      <w:r w:rsidRPr="00CD437A">
        <w:rPr>
          <w:shd w:val="clear" w:color="auto" w:fill="FFFFFF"/>
        </w:rPr>
        <w:t xml:space="preserve">Pension Standardization Office November 2004 </w:t>
      </w:r>
      <w:r w:rsidRPr="00CD437A">
        <w:rPr>
          <w:rStyle w:val="Textoennegrita"/>
          <w:b w:val="0"/>
          <w:shd w:val="clear" w:color="auto" w:fill="FFFFFF"/>
        </w:rPr>
        <w:t>(evidence file, folio 250).</w:t>
      </w:r>
    </w:p>
  </w:footnote>
  <w:footnote w:id="95">
    <w:p w14:paraId="3C25711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Letter issued by the Ministry of Economy and Finance on November </w:t>
      </w:r>
      <w:r w:rsidRPr="00CD437A">
        <w:rPr>
          <w:shd w:val="clear" w:color="auto" w:fill="FFFFFF"/>
        </w:rPr>
        <w:t xml:space="preserve">3, 2004 and Report No. 466-2004-EF/65.16 of October 27, 2004 </w:t>
      </w:r>
      <w:r w:rsidRPr="00CD437A">
        <w:rPr>
          <w:rStyle w:val="Textoennegrita"/>
          <w:b w:val="0"/>
          <w:shd w:val="clear" w:color="auto" w:fill="FFFFFF"/>
        </w:rPr>
        <w:t>(evidence file, folios 246 to 249).</w:t>
      </w:r>
    </w:p>
  </w:footnote>
  <w:footnote w:id="96">
    <w:p w14:paraId="037194A6"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Communication of Oscar </w:t>
      </w:r>
      <w:proofErr w:type="spellStart"/>
      <w:r w:rsidRPr="00CD437A">
        <w:t>Muelle</w:t>
      </w:r>
      <w:proofErr w:type="spellEnd"/>
      <w:r w:rsidRPr="00CD437A">
        <w:t xml:space="preserve"> Flores of May 29, 2010 received by the Inter-American Commission </w:t>
      </w:r>
      <w:r>
        <w:t xml:space="preserve">on </w:t>
      </w:r>
      <w:r w:rsidRPr="00CD437A">
        <w:t xml:space="preserve">July </w:t>
      </w:r>
      <w:r>
        <w:t xml:space="preserve">8, </w:t>
      </w:r>
      <w:r w:rsidRPr="00CD437A">
        <w:t xml:space="preserve">2010 </w:t>
      </w:r>
      <w:r w:rsidRPr="00CD437A">
        <w:rPr>
          <w:rStyle w:val="Textoennegrita"/>
          <w:b w:val="0"/>
          <w:shd w:val="clear" w:color="auto" w:fill="FFFFFF"/>
        </w:rPr>
        <w:t>(evidence file, folios 237 to 238).</w:t>
      </w:r>
    </w:p>
  </w:footnote>
  <w:footnote w:id="97">
    <w:p w14:paraId="37604460"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Communication of Oscar </w:t>
      </w:r>
      <w:proofErr w:type="spellStart"/>
      <w:r w:rsidRPr="00CD437A">
        <w:t>Muelle</w:t>
      </w:r>
      <w:proofErr w:type="spellEnd"/>
      <w:r w:rsidRPr="00CD437A">
        <w:t xml:space="preserve"> Flores of May 29, 2010 received by the Inter-American Commission </w:t>
      </w:r>
      <w:r>
        <w:t xml:space="preserve">on </w:t>
      </w:r>
      <w:r w:rsidRPr="00CD437A">
        <w:t xml:space="preserve">July </w:t>
      </w:r>
      <w:r>
        <w:t>8,</w:t>
      </w:r>
      <w:r w:rsidRPr="00CD437A">
        <w:t xml:space="preserve"> 2010 </w:t>
      </w:r>
      <w:r w:rsidRPr="00CD437A">
        <w:rPr>
          <w:rStyle w:val="Textoennegrita"/>
          <w:b w:val="0"/>
          <w:shd w:val="clear" w:color="auto" w:fill="FFFFFF"/>
        </w:rPr>
        <w:t>(evidence file, folios 237 to 238).</w:t>
      </w:r>
      <w:r w:rsidRPr="00CD437A">
        <w:t xml:space="preserve"> </w:t>
      </w:r>
    </w:p>
  </w:footnote>
  <w:footnote w:id="98">
    <w:p w14:paraId="032BE6D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w:t>
      </w:r>
      <w:r w:rsidRPr="00CD437A">
        <w:t>Resolution issued by the Thirty-eighth Civil Court of Lima of April 26, 2010 (evidence file, folio 68).</w:t>
      </w:r>
    </w:p>
  </w:footnote>
  <w:footnote w:id="99">
    <w:p w14:paraId="4642FF39" w14:textId="77777777" w:rsidR="00E6764B" w:rsidRPr="00CD437A" w:rsidRDefault="00E6764B" w:rsidP="00CD2B15">
      <w:pPr>
        <w:pStyle w:val="Textonotapie"/>
        <w:rPr>
          <w:bCs/>
          <w:i/>
          <w:shd w:val="clear" w:color="auto" w:fill="FFFFFF"/>
        </w:rPr>
      </w:pPr>
      <w:r w:rsidRPr="00CD437A">
        <w:rPr>
          <w:rStyle w:val="Refdenotaalpie"/>
        </w:rPr>
        <w:footnoteRef/>
      </w:r>
      <w:r w:rsidRPr="00CD437A">
        <w:t xml:space="preserve"> </w:t>
      </w:r>
      <w:r w:rsidRPr="00CD437A">
        <w:tab/>
      </w:r>
      <w:r w:rsidRPr="00CD437A">
        <w:rPr>
          <w:i/>
        </w:rPr>
        <w:t>Cf.</w:t>
      </w:r>
      <w:r>
        <w:t xml:space="preserve"> Report No.</w:t>
      </w:r>
      <w:r w:rsidRPr="00CD437A">
        <w:t>48-2010-JUS/PPES from the State of Peru of February 25, 2010</w:t>
      </w:r>
      <w:r>
        <w:t>,</w:t>
      </w:r>
      <w:r w:rsidRPr="00CD437A">
        <w:t xml:space="preserve"> received by the Inter-American Commission </w:t>
      </w:r>
      <w:r>
        <w:t xml:space="preserve">on March </w:t>
      </w:r>
      <w:r w:rsidRPr="00CD437A">
        <w:t>1</w:t>
      </w:r>
      <w:r>
        <w:t>,</w:t>
      </w:r>
      <w:r w:rsidRPr="00CD437A">
        <w:t xml:space="preserve"> 2010 </w:t>
      </w:r>
      <w:r w:rsidRPr="00CD437A">
        <w:rPr>
          <w:rStyle w:val="Textoennegrita"/>
          <w:b w:val="0"/>
          <w:shd w:val="clear" w:color="auto" w:fill="FFFFFF"/>
        </w:rPr>
        <w:t xml:space="preserve">(evidence file, folios 39.8 to 39.9). </w:t>
      </w:r>
    </w:p>
  </w:footnote>
  <w:footnote w:id="100">
    <w:p w14:paraId="13460DFF"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i/>
        </w:rPr>
        <w:t>Cf.</w:t>
      </w:r>
      <w:r w:rsidRPr="00CD437A">
        <w:t xml:space="preserve"> Notice of appearance of the firm Xstrata </w:t>
      </w:r>
      <w:proofErr w:type="spellStart"/>
      <w:r w:rsidRPr="00CD437A">
        <w:t>Tintaya</w:t>
      </w:r>
      <w:proofErr w:type="spellEnd"/>
      <w:r w:rsidRPr="00CD437A">
        <w:t xml:space="preserve"> S.A. of April 13, 2009, presented before the Thirty-eighth Civil Court of Lima </w:t>
      </w:r>
      <w:r w:rsidRPr="00CD437A">
        <w:rPr>
          <w:rStyle w:val="Textoennegrita"/>
          <w:b w:val="0"/>
          <w:shd w:val="clear" w:color="auto" w:fill="FFFFFF"/>
        </w:rPr>
        <w:t>(evidence file, folios 62 to 64).</w:t>
      </w:r>
    </w:p>
  </w:footnote>
  <w:footnote w:id="101">
    <w:p w14:paraId="0193A36B" w14:textId="77777777" w:rsidR="00E6764B" w:rsidRPr="00CD437A" w:rsidRDefault="00E6764B" w:rsidP="00CD2B15">
      <w:pPr>
        <w:pStyle w:val="Textonotapie"/>
        <w:rPr>
          <w:i/>
        </w:rPr>
      </w:pPr>
      <w:r w:rsidRPr="00CD437A">
        <w:rPr>
          <w:rStyle w:val="Refdenotaalpie"/>
        </w:rPr>
        <w:footnoteRef/>
      </w:r>
      <w:r w:rsidRPr="00CD437A">
        <w:t xml:space="preserve"> </w:t>
      </w:r>
      <w:r w:rsidRPr="00CD437A">
        <w:tab/>
      </w:r>
      <w:r w:rsidRPr="00CD437A">
        <w:rPr>
          <w:i/>
        </w:rPr>
        <w:t>Cf.</w:t>
      </w:r>
      <w:r w:rsidRPr="00CD437A">
        <w:t xml:space="preserve"> Notice of appearance of the firm Xstrata </w:t>
      </w:r>
      <w:proofErr w:type="spellStart"/>
      <w:r w:rsidRPr="00CD437A">
        <w:t>Tintaya</w:t>
      </w:r>
      <w:proofErr w:type="spellEnd"/>
      <w:r w:rsidRPr="00CD437A">
        <w:t xml:space="preserve"> S.A. of April 13, 2009, presented before the Thirty-eighth Civil Court of Lima </w:t>
      </w:r>
      <w:r w:rsidRPr="00CD437A">
        <w:rPr>
          <w:rStyle w:val="Textoennegrita"/>
          <w:b w:val="0"/>
          <w:shd w:val="clear" w:color="auto" w:fill="FFFFFF"/>
        </w:rPr>
        <w:t>(evidence file, folios 62 to 64).</w:t>
      </w:r>
    </w:p>
  </w:footnote>
  <w:footnote w:id="102">
    <w:p w14:paraId="17F0E0B1"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shd w:val="clear" w:color="auto" w:fill="FFFFFF"/>
        </w:rPr>
        <w:t xml:space="preserve">Cf. </w:t>
      </w:r>
      <w:r w:rsidRPr="00CD437A">
        <w:rPr>
          <w:shd w:val="clear" w:color="auto" w:fill="FFFFFF"/>
        </w:rPr>
        <w:t xml:space="preserve">Resolution </w:t>
      </w:r>
      <w:r>
        <w:rPr>
          <w:shd w:val="clear" w:color="auto" w:fill="FFFFFF"/>
        </w:rPr>
        <w:t xml:space="preserve">of </w:t>
      </w:r>
      <w:r w:rsidRPr="00CD437A">
        <w:rPr>
          <w:shd w:val="clear" w:color="auto" w:fill="FFFFFF"/>
        </w:rPr>
        <w:t>the Thirty-eighth Civil Court of Lima of April 26, 2010 (evidence file, folio 68).</w:t>
      </w:r>
    </w:p>
  </w:footnote>
  <w:footnote w:id="103">
    <w:p w14:paraId="0EE8AF36"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w:t>
      </w:r>
      <w:r w:rsidRPr="00CD437A">
        <w:t xml:space="preserve">Resolution </w:t>
      </w:r>
      <w:r>
        <w:t xml:space="preserve">of </w:t>
      </w:r>
      <w:r w:rsidRPr="00CD437A">
        <w:t>the Thirty-eighth Civil Court of Lima of April 26, 2010 (evidence file, folio 68).</w:t>
      </w:r>
    </w:p>
  </w:footnote>
  <w:footnote w:id="104">
    <w:p w14:paraId="0F965F7B"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Appeal filed </w:t>
      </w:r>
      <w:r>
        <w:t xml:space="preserve">by Oscar </w:t>
      </w:r>
      <w:proofErr w:type="spellStart"/>
      <w:r>
        <w:t>Muelle</w:t>
      </w:r>
      <w:proofErr w:type="spellEnd"/>
      <w:r>
        <w:t xml:space="preserve"> on</w:t>
      </w:r>
      <w:r w:rsidRPr="00CD437A">
        <w:t xml:space="preserve"> May 17, 2010 (evidence files, folio 70). </w:t>
      </w:r>
    </w:p>
  </w:footnote>
  <w:footnote w:id="105">
    <w:p w14:paraId="16D9BE00"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w:t>
      </w:r>
      <w:r w:rsidRPr="00CD437A">
        <w:t xml:space="preserve">Resolution </w:t>
      </w:r>
      <w:r>
        <w:t xml:space="preserve">of </w:t>
      </w:r>
      <w:r w:rsidRPr="00CD437A">
        <w:t>the Thirty-E</w:t>
      </w:r>
      <w:r>
        <w:t>ighth Civil Court of Lima of May 19, 2010 (evidence file</w:t>
      </w:r>
      <w:r w:rsidRPr="00CD437A">
        <w:t xml:space="preserve">, folio 83). </w:t>
      </w:r>
    </w:p>
  </w:footnote>
  <w:footnote w:id="106">
    <w:p w14:paraId="3A5ACCB2"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Pr>
          <w:rStyle w:val="Textoennegrita"/>
          <w:b w:val="0"/>
          <w:shd w:val="clear" w:color="auto" w:fill="FFFFFF"/>
        </w:rPr>
        <w:t xml:space="preserve"> Appeal filed by Oscar </w:t>
      </w:r>
      <w:proofErr w:type="spellStart"/>
      <w:r>
        <w:rPr>
          <w:rStyle w:val="Textoennegrita"/>
          <w:b w:val="0"/>
          <w:shd w:val="clear" w:color="auto" w:fill="FFFFFF"/>
        </w:rPr>
        <w:t>Muelle</w:t>
      </w:r>
      <w:proofErr w:type="spellEnd"/>
      <w:r>
        <w:rPr>
          <w:rStyle w:val="Textoennegrita"/>
          <w:b w:val="0"/>
          <w:shd w:val="clear" w:color="auto" w:fill="FFFFFF"/>
        </w:rPr>
        <w:t xml:space="preserve"> on</w:t>
      </w:r>
      <w:r w:rsidRPr="00CD437A">
        <w:rPr>
          <w:rStyle w:val="Textoennegrita"/>
          <w:b w:val="0"/>
          <w:shd w:val="clear" w:color="auto" w:fill="FFFFFF"/>
        </w:rPr>
        <w:t xml:space="preserve"> May 17, 2010 (evidence file, folios 74 and 75).</w:t>
      </w:r>
    </w:p>
  </w:footnote>
  <w:footnote w:id="107">
    <w:p w14:paraId="486B9DD2"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April 13, 20</w:t>
      </w:r>
      <w:r>
        <w:rPr>
          <w:rStyle w:val="Textoennegrita"/>
          <w:b w:val="0"/>
          <w:shd w:val="clear" w:color="auto" w:fill="FFFFFF"/>
        </w:rPr>
        <w:t>11 (evidence file</w:t>
      </w:r>
      <w:r w:rsidRPr="00CD437A">
        <w:rPr>
          <w:rStyle w:val="Textoennegrita"/>
          <w:b w:val="0"/>
          <w:shd w:val="clear" w:color="auto" w:fill="FFFFFF"/>
        </w:rPr>
        <w:t xml:space="preserve">, folio 98). </w:t>
      </w:r>
    </w:p>
  </w:footnote>
  <w:footnote w:id="108">
    <w:p w14:paraId="639258A7" w14:textId="77777777" w:rsidR="00E6764B" w:rsidRPr="00CD437A" w:rsidRDefault="00E6764B" w:rsidP="00CD2B15">
      <w:pPr>
        <w:pStyle w:val="Textonotapie"/>
        <w:rPr>
          <w:b/>
        </w:rPr>
      </w:pPr>
      <w:r w:rsidRPr="00CD437A">
        <w:rPr>
          <w:rStyle w:val="Refdenotaalpie"/>
        </w:rPr>
        <w:footnoteRef/>
      </w:r>
      <w:r w:rsidRPr="00CD437A">
        <w:rPr>
          <w:b/>
        </w:rPr>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No. 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 xml:space="preserve">of the Superior Court of Lima of </w:t>
      </w:r>
      <w:r w:rsidRPr="00CD437A">
        <w:rPr>
          <w:rStyle w:val="Textoennegrita"/>
          <w:b w:val="0"/>
          <w:shd w:val="clear" w:color="auto" w:fill="FFFFFF"/>
        </w:rPr>
        <w:t>October 10, 2013 (evidence file, folio 1721).</w:t>
      </w:r>
    </w:p>
  </w:footnote>
  <w:footnote w:id="109">
    <w:p w14:paraId="005FF6EF" w14:textId="77777777" w:rsidR="00E6764B" w:rsidRPr="00CD437A" w:rsidRDefault="00E6764B" w:rsidP="00CD2B15">
      <w:pPr>
        <w:pStyle w:val="Textonotapie"/>
        <w:rPr>
          <w:b/>
        </w:rPr>
      </w:pPr>
      <w:r w:rsidRPr="00CD437A">
        <w:rPr>
          <w:rStyle w:val="Refdenotaalpie"/>
        </w:rPr>
        <w:footnoteRef/>
      </w:r>
      <w:r w:rsidRPr="00CD437A">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No. 08 </w:t>
      </w:r>
      <w:r>
        <w:rPr>
          <w:rStyle w:val="Textoennegrita"/>
          <w:b w:val="0"/>
          <w:shd w:val="clear" w:color="auto" w:fill="FFFFFF"/>
        </w:rPr>
        <w:t xml:space="preserve">of </w:t>
      </w:r>
      <w:r w:rsidRPr="00CD437A">
        <w:rPr>
          <w:rStyle w:val="Textoennegrita"/>
          <w:b w:val="0"/>
          <w:shd w:val="clear" w:color="auto" w:fill="FFFFFF"/>
        </w:rPr>
        <w:t>the Second Civil Chamber of the Superior Court of</w:t>
      </w:r>
      <w:r>
        <w:rPr>
          <w:rStyle w:val="Textoennegrita"/>
          <w:b w:val="0"/>
          <w:shd w:val="clear" w:color="auto" w:fill="FFFFFF"/>
        </w:rPr>
        <w:t xml:space="preserve"> Lima of</w:t>
      </w:r>
      <w:r w:rsidRPr="00CD437A">
        <w:rPr>
          <w:rStyle w:val="Textoennegrita"/>
          <w:b w:val="0"/>
          <w:shd w:val="clear" w:color="auto" w:fill="FFFFFF"/>
        </w:rPr>
        <w:t xml:space="preserve"> October 10, 2013 (evidence file, folio 1721).</w:t>
      </w:r>
    </w:p>
  </w:footnote>
  <w:footnote w:id="110">
    <w:p w14:paraId="7C90D064" w14:textId="77777777" w:rsidR="00E6764B" w:rsidRPr="00CD437A" w:rsidRDefault="00E6764B" w:rsidP="00CD2B15">
      <w:pPr>
        <w:pStyle w:val="Textonotapie"/>
        <w:rPr>
          <w:b/>
        </w:rPr>
      </w:pPr>
      <w:r w:rsidRPr="00CD437A">
        <w:rPr>
          <w:rStyle w:val="Refdenotaalpie"/>
        </w:rPr>
        <w:footnoteRef/>
      </w:r>
      <w:r w:rsidRPr="00CD437A">
        <w:rPr>
          <w:b/>
        </w:rPr>
        <w:tab/>
      </w:r>
      <w:r w:rsidRPr="00CD437A">
        <w:rPr>
          <w:rStyle w:val="Textoennegrita"/>
          <w:b w:val="0"/>
          <w:shd w:val="clear" w:color="auto" w:fill="FFFFFF"/>
        </w:rPr>
        <w:t xml:space="preserve">Resolution </w:t>
      </w:r>
      <w:r>
        <w:rPr>
          <w:rStyle w:val="Textoennegrita"/>
          <w:b w:val="0"/>
          <w:shd w:val="clear" w:color="auto" w:fill="FFFFFF"/>
        </w:rPr>
        <w:t xml:space="preserve">of </w:t>
      </w:r>
      <w:r w:rsidRPr="00CD437A">
        <w:rPr>
          <w:rStyle w:val="Textoennegrita"/>
          <w:b w:val="0"/>
          <w:shd w:val="clear" w:color="auto" w:fill="FFFFFF"/>
        </w:rPr>
        <w:t>the Thirty-Third Civil Court of Lima of October 30, 2012 (evidence file, folio 114).</w:t>
      </w:r>
    </w:p>
  </w:footnote>
  <w:footnote w:id="111">
    <w:p w14:paraId="5A97748E" w14:textId="77777777" w:rsidR="00E6764B" w:rsidRPr="00CD437A" w:rsidRDefault="00E6764B" w:rsidP="00CD2B15">
      <w:pPr>
        <w:pStyle w:val="Textonotapie"/>
        <w:rPr>
          <w:b/>
        </w:rPr>
      </w:pPr>
      <w:r w:rsidRPr="00CD437A">
        <w:rPr>
          <w:rStyle w:val="Refdenotaalpie"/>
        </w:rPr>
        <w:footnoteRef/>
      </w:r>
      <w:r w:rsidRPr="00CD437A">
        <w:t xml:space="preserve"> </w:t>
      </w:r>
      <w:r w:rsidRPr="00CD437A">
        <w:rPr>
          <w:b/>
        </w:rPr>
        <w:tab/>
      </w:r>
      <w:r w:rsidRPr="00CD437A">
        <w:rPr>
          <w:rStyle w:val="Textoennegrita"/>
          <w:b w:val="0"/>
          <w:i/>
          <w:shd w:val="clear" w:color="auto" w:fill="FFFFFF"/>
        </w:rPr>
        <w:t>Cf.</w:t>
      </w:r>
      <w:r>
        <w:rPr>
          <w:rStyle w:val="Textoennegrita"/>
          <w:b w:val="0"/>
          <w:shd w:val="clear" w:color="auto" w:fill="FFFFFF"/>
        </w:rPr>
        <w:t xml:space="preserve"> Appeal filed by Oscar </w:t>
      </w:r>
      <w:proofErr w:type="spellStart"/>
      <w:r>
        <w:rPr>
          <w:rStyle w:val="Textoennegrita"/>
          <w:b w:val="0"/>
          <w:shd w:val="clear" w:color="auto" w:fill="FFFFFF"/>
        </w:rPr>
        <w:t>Muelle</w:t>
      </w:r>
      <w:proofErr w:type="spellEnd"/>
      <w:r>
        <w:rPr>
          <w:rStyle w:val="Textoennegrita"/>
          <w:b w:val="0"/>
          <w:shd w:val="clear" w:color="auto" w:fill="FFFFFF"/>
        </w:rPr>
        <w:t xml:space="preserve"> on</w:t>
      </w:r>
      <w:r w:rsidRPr="00CD437A">
        <w:rPr>
          <w:rStyle w:val="Textoennegrita"/>
          <w:b w:val="0"/>
          <w:shd w:val="clear" w:color="auto" w:fill="FFFFFF"/>
        </w:rPr>
        <w:t xml:space="preserve"> November 20, 2012 (evidence file, folio 116). </w:t>
      </w:r>
    </w:p>
  </w:footnote>
  <w:footnote w:id="112">
    <w:p w14:paraId="7F5F46EC" w14:textId="77777777" w:rsidR="00E6764B" w:rsidRPr="00CD437A" w:rsidRDefault="00E6764B" w:rsidP="00CD2B15">
      <w:pPr>
        <w:pStyle w:val="Textonotapie"/>
        <w:rPr>
          <w:b/>
        </w:rPr>
      </w:pPr>
      <w:r w:rsidRPr="00CD437A">
        <w:rPr>
          <w:rStyle w:val="Refdenotaalpie"/>
        </w:rPr>
        <w:footnoteRef/>
      </w:r>
      <w:r w:rsidRPr="00CD437A">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No. 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2013 (evidence file, folios 1725 to 1729).</w:t>
      </w:r>
    </w:p>
  </w:footnote>
  <w:footnote w:id="113">
    <w:p w14:paraId="0530B5B0" w14:textId="77777777" w:rsidR="00E6764B" w:rsidRPr="00CD437A" w:rsidRDefault="00E6764B" w:rsidP="00CD2B15">
      <w:pPr>
        <w:pStyle w:val="Textonotapie"/>
        <w:rPr>
          <w:b/>
        </w:rPr>
      </w:pPr>
      <w:r w:rsidRPr="00CD437A">
        <w:rPr>
          <w:rStyle w:val="Refdenotaalpie"/>
        </w:rPr>
        <w:footnoteRef/>
      </w:r>
      <w:r w:rsidRPr="00CD437A">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No. 08 </w:t>
      </w:r>
      <w:r>
        <w:rPr>
          <w:rStyle w:val="Textoennegrita"/>
          <w:b w:val="0"/>
          <w:shd w:val="clear" w:color="auto" w:fill="FFFFFF"/>
        </w:rPr>
        <w:t xml:space="preserve">of </w:t>
      </w:r>
      <w:r w:rsidRPr="00CD437A">
        <w:rPr>
          <w:rStyle w:val="Textoennegrita"/>
          <w:b w:val="0"/>
          <w:shd w:val="clear" w:color="auto" w:fill="FFFFFF"/>
        </w:rPr>
        <w:t xml:space="preserve">the 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2013 (evidence file, folio 1728).</w:t>
      </w:r>
    </w:p>
  </w:footnote>
  <w:footnote w:id="114">
    <w:p w14:paraId="38B6CE6B" w14:textId="77777777" w:rsidR="00E6764B" w:rsidRPr="00CD437A" w:rsidRDefault="00E6764B" w:rsidP="00CD2B15">
      <w:pPr>
        <w:pStyle w:val="Textonotapie"/>
        <w:rPr>
          <w:b/>
        </w:rPr>
      </w:pPr>
      <w:r w:rsidRPr="00CD437A">
        <w:rPr>
          <w:rStyle w:val="Refdenotaalpie"/>
        </w:rPr>
        <w:footnoteRef/>
      </w:r>
      <w:r w:rsidRPr="00CD437A">
        <w:rPr>
          <w:b/>
        </w:rPr>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No. 08 of the </w:t>
      </w:r>
      <w:r w:rsidRPr="00CD437A">
        <w:rPr>
          <w:rStyle w:val="Textoennegrita"/>
          <w:b w:val="0"/>
          <w:shd w:val="clear" w:color="auto" w:fill="FFFFFF"/>
        </w:rPr>
        <w:t xml:space="preserve">Second Civil Chamber </w:t>
      </w:r>
      <w:r>
        <w:rPr>
          <w:rStyle w:val="Textoennegrita"/>
          <w:b w:val="0"/>
          <w:shd w:val="clear" w:color="auto" w:fill="FFFFFF"/>
        </w:rPr>
        <w:t>of the Superior Court of Lima of</w:t>
      </w:r>
      <w:r w:rsidRPr="00CD437A">
        <w:rPr>
          <w:rStyle w:val="Textoennegrita"/>
          <w:b w:val="0"/>
          <w:shd w:val="clear" w:color="auto" w:fill="FFFFFF"/>
        </w:rPr>
        <w:t xml:space="preserve"> October 10, 2013 (evidence file, folio 1730).</w:t>
      </w:r>
    </w:p>
  </w:footnote>
  <w:footnote w:id="115">
    <w:p w14:paraId="5819C286" w14:textId="77777777" w:rsidR="00E6764B" w:rsidRPr="00CD437A" w:rsidRDefault="00E6764B" w:rsidP="00CD2B15">
      <w:pPr>
        <w:pStyle w:val="Textonotapie"/>
        <w:rPr>
          <w:b/>
        </w:rPr>
      </w:pPr>
      <w:r w:rsidRPr="00CD437A">
        <w:rPr>
          <w:rStyle w:val="Refdenotaalpie"/>
        </w:rPr>
        <w:footnoteRef/>
      </w:r>
      <w:r w:rsidRPr="00CD437A">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No. 08 of the </w:t>
      </w:r>
      <w:r w:rsidRPr="00CD437A">
        <w:rPr>
          <w:rStyle w:val="Textoennegrita"/>
          <w:b w:val="0"/>
          <w:shd w:val="clear" w:color="auto" w:fill="FFFFFF"/>
        </w:rPr>
        <w:t xml:space="preserve">Second Civil Chamber of the Superior Court of Lima of </w:t>
      </w:r>
      <w:r>
        <w:rPr>
          <w:rStyle w:val="Textoennegrita"/>
          <w:b w:val="0"/>
          <w:shd w:val="clear" w:color="auto" w:fill="FFFFFF"/>
        </w:rPr>
        <w:t>October 10</w:t>
      </w:r>
      <w:r w:rsidRPr="00CD437A">
        <w:rPr>
          <w:rStyle w:val="Textoennegrita"/>
          <w:b w:val="0"/>
          <w:shd w:val="clear" w:color="auto" w:fill="FFFFFF"/>
        </w:rPr>
        <w:t>, 2013 (evidence file, folios 1737 to 1738).</w:t>
      </w:r>
    </w:p>
  </w:footnote>
  <w:footnote w:id="116">
    <w:p w14:paraId="6F487ED8" w14:textId="77777777" w:rsidR="00E6764B" w:rsidRPr="00CD437A" w:rsidRDefault="00E6764B" w:rsidP="00CD2B15">
      <w:pPr>
        <w:pStyle w:val="Textonotapie"/>
      </w:pPr>
      <w:r w:rsidRPr="00CD437A">
        <w:rPr>
          <w:rStyle w:val="Refdenotaalpie"/>
        </w:rPr>
        <w:footnoteRef/>
      </w:r>
      <w:r w:rsidRPr="00CD437A">
        <w:rPr>
          <w:b/>
        </w:rPr>
        <w:t xml:space="preserve"> </w:t>
      </w:r>
      <w:r w:rsidRPr="00CD437A">
        <w:rPr>
          <w:b/>
        </w:rPr>
        <w:tab/>
      </w:r>
      <w:r w:rsidRPr="00CD437A">
        <w:rPr>
          <w:rStyle w:val="Textoennegrita"/>
          <w:b w:val="0"/>
          <w:i/>
          <w:shd w:val="clear" w:color="auto" w:fill="FFFFFF"/>
        </w:rPr>
        <w:t>Cf.</w:t>
      </w:r>
      <w:r w:rsidRPr="00CD437A">
        <w:rPr>
          <w:rStyle w:val="Textoennegrita"/>
          <w:b w:val="0"/>
          <w:shd w:val="clear" w:color="auto" w:fill="FFFFFF"/>
        </w:rPr>
        <w:t xml:space="preserve"> Resolution No. 104 </w:t>
      </w:r>
      <w:r>
        <w:rPr>
          <w:rStyle w:val="Textoennegrita"/>
          <w:b w:val="0"/>
          <w:shd w:val="clear" w:color="auto" w:fill="FFFFFF"/>
        </w:rPr>
        <w:t xml:space="preserve">of </w:t>
      </w:r>
      <w:r w:rsidRPr="00CD437A">
        <w:rPr>
          <w:rStyle w:val="Textoennegrita"/>
          <w:b w:val="0"/>
          <w:shd w:val="clear" w:color="auto" w:fill="FFFFFF"/>
        </w:rPr>
        <w:t>the Thi</w:t>
      </w:r>
      <w:r>
        <w:rPr>
          <w:rStyle w:val="Textoennegrita"/>
          <w:b w:val="0"/>
          <w:shd w:val="clear" w:color="auto" w:fill="FFFFFF"/>
        </w:rPr>
        <w:t>rty-Third Civil Court of Lima of</w:t>
      </w:r>
      <w:r w:rsidRPr="00CD437A">
        <w:rPr>
          <w:rStyle w:val="Textoennegrita"/>
          <w:b w:val="0"/>
          <w:shd w:val="clear" w:color="auto" w:fill="FFFFFF"/>
        </w:rPr>
        <w:t xml:space="preserve"> September 5, 2014 and Official Letter issued by the Thirty-Third Civil Court of Lima on September 9, 2014 (evidence file, folios 1740 to 1741).</w:t>
      </w:r>
    </w:p>
  </w:footnote>
  <w:footnote w:id="117">
    <w:p w14:paraId="4B372173"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No. 106 </w:t>
      </w:r>
      <w:r>
        <w:rPr>
          <w:rStyle w:val="Textoennegrita"/>
          <w:b w:val="0"/>
          <w:shd w:val="clear" w:color="auto" w:fill="FFFFFF"/>
        </w:rPr>
        <w:t xml:space="preserve">of </w:t>
      </w:r>
      <w:r w:rsidRPr="00CD437A">
        <w:rPr>
          <w:rStyle w:val="Textoennegrita"/>
          <w:b w:val="0"/>
          <w:shd w:val="clear" w:color="auto" w:fill="FFFFFF"/>
        </w:rPr>
        <w:t>the Thi</w:t>
      </w:r>
      <w:r>
        <w:rPr>
          <w:rStyle w:val="Textoennegrita"/>
          <w:b w:val="0"/>
          <w:shd w:val="clear" w:color="auto" w:fill="FFFFFF"/>
        </w:rPr>
        <w:t>rty-Third Civil Court of Lima of</w:t>
      </w:r>
      <w:r w:rsidRPr="00CD437A">
        <w:rPr>
          <w:rStyle w:val="Textoennegrita"/>
          <w:b w:val="0"/>
          <w:shd w:val="clear" w:color="auto" w:fill="FFFFFF"/>
        </w:rPr>
        <w:t xml:space="preserve"> June 11, 2015 (evidence file, folios 1743-1746).</w:t>
      </w:r>
    </w:p>
  </w:footnote>
  <w:footnote w:id="118">
    <w:p w14:paraId="1D0B11B8"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No. 109 </w:t>
      </w:r>
      <w:r>
        <w:rPr>
          <w:rStyle w:val="Textoennegrita"/>
          <w:b w:val="0"/>
          <w:shd w:val="clear" w:color="auto" w:fill="FFFFFF"/>
        </w:rPr>
        <w:t xml:space="preserve">of </w:t>
      </w:r>
      <w:r w:rsidRPr="00CD437A">
        <w:rPr>
          <w:rStyle w:val="Textoennegrita"/>
          <w:b w:val="0"/>
          <w:shd w:val="clear" w:color="auto" w:fill="FFFFFF"/>
        </w:rPr>
        <w:t>the Thi</w:t>
      </w:r>
      <w:r>
        <w:rPr>
          <w:rStyle w:val="Textoennegrita"/>
          <w:b w:val="0"/>
          <w:shd w:val="clear" w:color="auto" w:fill="FFFFFF"/>
        </w:rPr>
        <w:t>rty-Third Civil Court of Lima of</w:t>
      </w:r>
      <w:r w:rsidRPr="00CD437A">
        <w:rPr>
          <w:rStyle w:val="Textoennegrita"/>
          <w:b w:val="0"/>
          <w:shd w:val="clear" w:color="auto" w:fill="FFFFFF"/>
        </w:rPr>
        <w:t xml:space="preserve"> October 26, 2015 (evidence file, folio 1748). This Court requested information from </w:t>
      </w:r>
      <w:proofErr w:type="spellStart"/>
      <w:r w:rsidRPr="00CD437A">
        <w:rPr>
          <w:rStyle w:val="Textoennegrita"/>
          <w:b w:val="0"/>
          <w:i/>
          <w:shd w:val="clear" w:color="auto" w:fill="FFFFFF"/>
        </w:rPr>
        <w:t>Proinversión</w:t>
      </w:r>
      <w:proofErr w:type="spellEnd"/>
      <w:r w:rsidRPr="00CD437A">
        <w:rPr>
          <w:rStyle w:val="Textoennegrita"/>
          <w:b w:val="0"/>
          <w:shd w:val="clear" w:color="auto" w:fill="FFFFFF"/>
        </w:rPr>
        <w:t xml:space="preserve"> after the MEF indicated</w:t>
      </w:r>
      <w:r>
        <w:rPr>
          <w:rStyle w:val="Textoennegrita"/>
          <w:b w:val="0"/>
          <w:shd w:val="clear" w:color="auto" w:fill="FFFFFF"/>
        </w:rPr>
        <w:t>,</w:t>
      </w:r>
      <w:r w:rsidRPr="00CD437A">
        <w:rPr>
          <w:rStyle w:val="Textoennegrita"/>
          <w:b w:val="0"/>
          <w:shd w:val="clear" w:color="auto" w:fill="FFFFFF"/>
        </w:rPr>
        <w:t xml:space="preserve"> on July 21, 2015, that the State entity that should provide a response on the assets and liabilities assumed by the former State-owned</w:t>
      </w:r>
      <w:r>
        <w:rPr>
          <w:rStyle w:val="Textoennegrita"/>
          <w:b w:val="0"/>
          <w:shd w:val="clear" w:color="auto" w:fill="FFFFFF"/>
        </w:rPr>
        <w:t xml:space="preserve"> company </w:t>
      </w:r>
      <w:proofErr w:type="spellStart"/>
      <w:r>
        <w:rPr>
          <w:rStyle w:val="Textoennegrita"/>
          <w:b w:val="0"/>
          <w:shd w:val="clear" w:color="auto" w:fill="FFFFFF"/>
        </w:rPr>
        <w:t>Tintaya</w:t>
      </w:r>
      <w:proofErr w:type="spellEnd"/>
      <w:r>
        <w:rPr>
          <w:rStyle w:val="Textoennegrita"/>
          <w:b w:val="0"/>
          <w:shd w:val="clear" w:color="auto" w:fill="FFFFFF"/>
        </w:rPr>
        <w:t xml:space="preserve"> S.A. w</w:t>
      </w:r>
      <w:r w:rsidRPr="00CD437A">
        <w:rPr>
          <w:rStyle w:val="Textoennegrita"/>
          <w:b w:val="0"/>
          <w:shd w:val="clear" w:color="auto" w:fill="FFFFFF"/>
        </w:rPr>
        <w:t xml:space="preserve">ould be the </w:t>
      </w:r>
      <w:r w:rsidRPr="00CD437A">
        <w:rPr>
          <w:rFonts w:eastAsia="Calibri" w:cs="Arial"/>
          <w:shd w:val="clear" w:color="auto" w:fill="FFFFFF"/>
          <w:lang w:eastAsia="es-CR"/>
        </w:rPr>
        <w:t>National Fund for State Business Activity</w:t>
      </w:r>
      <w:r w:rsidRPr="00CD437A">
        <w:rPr>
          <w:rStyle w:val="Textoennegrita"/>
          <w:b w:val="0"/>
          <w:shd w:val="clear" w:color="auto" w:fill="FFFFFF"/>
        </w:rPr>
        <w:t xml:space="preserve"> (FONAFE). In turn, on July 17, 2015, FONAFE indicated that the entity that should respond to that request was PROINVERSIÓN. </w:t>
      </w:r>
      <w:r w:rsidRPr="00CD437A">
        <w:rPr>
          <w:rStyle w:val="Textoennegrita"/>
          <w:b w:val="0"/>
          <w:i/>
          <w:shd w:val="clear" w:color="auto" w:fill="FFFFFF"/>
        </w:rPr>
        <w:t>Cf.</w:t>
      </w:r>
      <w:r w:rsidRPr="00CD437A">
        <w:rPr>
          <w:rStyle w:val="Textoennegrita"/>
          <w:b w:val="0"/>
          <w:shd w:val="clear" w:color="auto" w:fill="FFFFFF"/>
        </w:rPr>
        <w:t xml:space="preserve"> Brief of Mr. </w:t>
      </w:r>
      <w:proofErr w:type="spellStart"/>
      <w:r w:rsidRPr="00CD437A">
        <w:rPr>
          <w:rStyle w:val="Textoennegrita"/>
          <w:b w:val="0"/>
          <w:shd w:val="clear" w:color="auto" w:fill="FFFFFF"/>
        </w:rPr>
        <w:t>Muelle</w:t>
      </w:r>
      <w:proofErr w:type="spellEnd"/>
      <w:r w:rsidRPr="00CD437A">
        <w:rPr>
          <w:rStyle w:val="Textoennegrita"/>
          <w:b w:val="0"/>
          <w:shd w:val="clear" w:color="auto" w:fill="FFFFFF"/>
        </w:rPr>
        <w:t xml:space="preserve"> of May 3, 2017 (evidence file, folios 1754 to 1755).</w:t>
      </w:r>
    </w:p>
  </w:footnote>
  <w:footnote w:id="119">
    <w:p w14:paraId="4CB38A9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Brief of Mr. </w:t>
      </w:r>
      <w:proofErr w:type="spellStart"/>
      <w:r w:rsidRPr="00CD437A">
        <w:rPr>
          <w:rStyle w:val="Textoennegrita"/>
          <w:b w:val="0"/>
          <w:shd w:val="clear" w:color="auto" w:fill="FFFFFF"/>
        </w:rPr>
        <w:t>Muelle</w:t>
      </w:r>
      <w:proofErr w:type="spellEnd"/>
      <w:r w:rsidRPr="00CD437A">
        <w:rPr>
          <w:rStyle w:val="Textoennegrita"/>
          <w:b w:val="0"/>
          <w:shd w:val="clear" w:color="auto" w:fill="FFFFFF"/>
        </w:rPr>
        <w:t xml:space="preserve"> of June 7, 2016 (evidence file, folios 1750-1751).</w:t>
      </w:r>
    </w:p>
  </w:footnote>
  <w:footnote w:id="120">
    <w:p w14:paraId="1ED9DA3E"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Brief of Mr. </w:t>
      </w:r>
      <w:proofErr w:type="spellStart"/>
      <w:r w:rsidRPr="00CD437A">
        <w:rPr>
          <w:rStyle w:val="Textoennegrita"/>
          <w:b w:val="0"/>
          <w:shd w:val="clear" w:color="auto" w:fill="FFFFFF"/>
        </w:rPr>
        <w:t>Muelle</w:t>
      </w:r>
      <w:proofErr w:type="spellEnd"/>
      <w:r w:rsidRPr="00CD437A">
        <w:rPr>
          <w:rStyle w:val="Textoennegrita"/>
          <w:b w:val="0"/>
          <w:shd w:val="clear" w:color="auto" w:fill="FFFFFF"/>
        </w:rPr>
        <w:t xml:space="preserve"> Flores of May 3, 20</w:t>
      </w:r>
      <w:r>
        <w:rPr>
          <w:rStyle w:val="Textoennegrita"/>
          <w:b w:val="0"/>
          <w:shd w:val="clear" w:color="auto" w:fill="FFFFFF"/>
        </w:rPr>
        <w:t>17 (evidence file, folios 1754 to</w:t>
      </w:r>
      <w:r w:rsidRPr="00CD437A">
        <w:rPr>
          <w:rStyle w:val="Textoennegrita"/>
          <w:b w:val="0"/>
          <w:shd w:val="clear" w:color="auto" w:fill="FFFFFF"/>
        </w:rPr>
        <w:t xml:space="preserve"> 1758).</w:t>
      </w:r>
      <w:r w:rsidRPr="00CD437A">
        <w:rPr>
          <w:rStyle w:val="Textoennegrita"/>
          <w:shd w:val="clear" w:color="auto" w:fill="FFFFFF"/>
        </w:rPr>
        <w:t xml:space="preserve"> </w:t>
      </w:r>
    </w:p>
  </w:footnote>
  <w:footnote w:id="121">
    <w:p w14:paraId="26964641"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of </w:t>
      </w:r>
      <w:r w:rsidRPr="00CD437A">
        <w:rPr>
          <w:rStyle w:val="Textoennegrita"/>
          <w:b w:val="0"/>
          <w:shd w:val="clear" w:color="auto" w:fill="FFFFFF"/>
        </w:rPr>
        <w:t xml:space="preserve">the </w:t>
      </w:r>
      <w:r w:rsidRPr="00CD437A">
        <w:rPr>
          <w:shd w:val="clear" w:color="auto" w:fill="FFFFFF"/>
        </w:rPr>
        <w:t xml:space="preserve">Second Civil Chamber </w:t>
      </w:r>
      <w:r>
        <w:rPr>
          <w:shd w:val="clear" w:color="auto" w:fill="FFFFFF"/>
        </w:rPr>
        <w:t>of the Superior Court of Lima of</w:t>
      </w:r>
      <w:r w:rsidRPr="00CD437A">
        <w:rPr>
          <w:shd w:val="clear" w:color="auto" w:fill="FFFFFF"/>
        </w:rPr>
        <w:t xml:space="preserve"> February 14,</w:t>
      </w:r>
      <w:r w:rsidRPr="00CD437A">
        <w:rPr>
          <w:rStyle w:val="Textoennegrita"/>
          <w:b w:val="0"/>
          <w:shd w:val="clear" w:color="auto" w:fill="FFFFFF"/>
        </w:rPr>
        <w:t xml:space="preserve"> 2017 (evidence file, folios 1760 to 1762).</w:t>
      </w:r>
    </w:p>
  </w:footnote>
  <w:footnote w:id="122">
    <w:p w14:paraId="6E11FB42"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Resolution </w:t>
      </w:r>
      <w:r>
        <w:rPr>
          <w:rStyle w:val="Textoennegrita"/>
          <w:b w:val="0"/>
          <w:shd w:val="clear" w:color="auto" w:fill="FFFFFF"/>
        </w:rPr>
        <w:t xml:space="preserve">of the Second </w:t>
      </w:r>
      <w:r w:rsidRPr="00CD437A">
        <w:rPr>
          <w:rStyle w:val="Textoennegrita"/>
          <w:b w:val="0"/>
          <w:shd w:val="clear" w:color="auto" w:fill="FFFFFF"/>
        </w:rPr>
        <w:t xml:space="preserve">Civil Chamber </w:t>
      </w:r>
      <w:r>
        <w:rPr>
          <w:rStyle w:val="Textoennegrita"/>
          <w:b w:val="0"/>
          <w:shd w:val="clear" w:color="auto" w:fill="FFFFFF"/>
        </w:rPr>
        <w:t>of the Superior Court of Lima of</w:t>
      </w:r>
      <w:r w:rsidRPr="00CD437A">
        <w:rPr>
          <w:rStyle w:val="Textoennegrita"/>
          <w:b w:val="0"/>
          <w:shd w:val="clear" w:color="auto" w:fill="FFFFFF"/>
        </w:rPr>
        <w:t xml:space="preserve"> February 14, 2017 (evidence file, folio 1761).</w:t>
      </w:r>
    </w:p>
  </w:footnote>
  <w:footnote w:id="123">
    <w:p w14:paraId="42E11667"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rStyle w:val="Textoennegrita"/>
          <w:b w:val="0"/>
          <w:i/>
          <w:shd w:val="clear" w:color="auto" w:fill="FFFFFF"/>
        </w:rPr>
        <w:t>Cf.</w:t>
      </w:r>
      <w:r w:rsidRPr="00CD437A">
        <w:rPr>
          <w:rStyle w:val="Textoennegrita"/>
          <w:b w:val="0"/>
          <w:shd w:val="clear" w:color="auto" w:fill="FFFFFF"/>
        </w:rPr>
        <w:t xml:space="preserve"> Oral report </w:t>
      </w:r>
      <w:r>
        <w:rPr>
          <w:rStyle w:val="Textoennegrita"/>
          <w:b w:val="0"/>
          <w:shd w:val="clear" w:color="auto" w:fill="FFFFFF"/>
        </w:rPr>
        <w:t xml:space="preserve">of </w:t>
      </w:r>
      <w:r w:rsidRPr="00CD437A">
        <w:rPr>
          <w:rStyle w:val="Textoennegrita"/>
          <w:b w:val="0"/>
          <w:shd w:val="clear" w:color="auto" w:fill="FFFFFF"/>
        </w:rPr>
        <w:t>the Thirty-Third Civil Court of Lima of March 27, 2018 (evidence file, folio 1770).</w:t>
      </w:r>
    </w:p>
  </w:footnote>
  <w:footnote w:id="124">
    <w:p w14:paraId="502537F9" w14:textId="77777777" w:rsidR="00E6764B" w:rsidRPr="00CD437A" w:rsidRDefault="00E6764B" w:rsidP="008E6A56">
      <w:pPr>
        <w:tabs>
          <w:tab w:val="left" w:pos="567"/>
        </w:tabs>
        <w:autoSpaceDE w:val="0"/>
        <w:autoSpaceDN w:val="0"/>
        <w:rPr>
          <w:rFonts w:ascii="Verdana" w:hAnsi="Verdana"/>
          <w:iCs/>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 xml:space="preserve">According to the </w:t>
      </w:r>
      <w:r w:rsidRPr="00CD437A">
        <w:rPr>
          <w:rFonts w:ascii="Verdana" w:hAnsi="Verdana" w:cs="Arial"/>
          <w:sz w:val="16"/>
          <w:szCs w:val="16"/>
          <w:lang w:val="en-US"/>
        </w:rPr>
        <w:t xml:space="preserve">State, on September 29, 1994, Supreme Decree No. 125-94-EF was published in the Official Gazette, </w:t>
      </w:r>
      <w:r w:rsidRPr="00CD437A">
        <w:rPr>
          <w:rFonts w:ascii="Verdana" w:hAnsi="Verdana" w:cs="Arial"/>
          <w:i/>
          <w:sz w:val="16"/>
          <w:szCs w:val="16"/>
          <w:lang w:val="en-US"/>
        </w:rPr>
        <w:t>El Peruano</w:t>
      </w:r>
      <w:r w:rsidRPr="00CD437A">
        <w:rPr>
          <w:rFonts w:ascii="Verdana" w:hAnsi="Verdana" w:cs="Arial"/>
          <w:sz w:val="16"/>
          <w:szCs w:val="16"/>
          <w:lang w:val="en-US"/>
        </w:rPr>
        <w:t xml:space="preserve">; </w:t>
      </w:r>
      <w:r>
        <w:rPr>
          <w:rFonts w:ascii="Verdana" w:hAnsi="Verdana" w:cs="Arial"/>
          <w:sz w:val="16"/>
          <w:szCs w:val="16"/>
          <w:lang w:val="en-US"/>
        </w:rPr>
        <w:t>Article 1 of that</w:t>
      </w:r>
      <w:r w:rsidRPr="00CD437A">
        <w:rPr>
          <w:rFonts w:ascii="Verdana" w:hAnsi="Verdana" w:cs="Arial"/>
          <w:sz w:val="16"/>
          <w:szCs w:val="16"/>
          <w:lang w:val="en-US"/>
        </w:rPr>
        <w:t xml:space="preserve"> Decree establishes the following: </w:t>
      </w:r>
      <w:r w:rsidRPr="00CD437A">
        <w:rPr>
          <w:rFonts w:ascii="Verdana" w:hAnsi="Verdana"/>
          <w:i/>
          <w:iCs/>
          <w:sz w:val="16"/>
          <w:szCs w:val="16"/>
          <w:lang w:val="en-US"/>
        </w:rPr>
        <w:t>"</w:t>
      </w:r>
      <w:r w:rsidRPr="00CD437A">
        <w:rPr>
          <w:rFonts w:ascii="Verdana" w:hAnsi="Verdana"/>
          <w:iCs/>
          <w:sz w:val="16"/>
          <w:szCs w:val="16"/>
          <w:lang w:val="en-US"/>
        </w:rPr>
        <w:t xml:space="preserve">Article 1.- The Ministry of  Economy and Finance is authorized to assume the balance resulting from the offsetting of financial assets </w:t>
      </w:r>
      <w:r w:rsidRPr="00CD437A">
        <w:rPr>
          <w:rFonts w:ascii="Verdana" w:hAnsi="Verdana"/>
          <w:sz w:val="16"/>
          <w:szCs w:val="16"/>
          <w:lang w:val="en-US"/>
        </w:rPr>
        <w:t xml:space="preserve">– </w:t>
      </w:r>
      <w:r w:rsidRPr="00CD437A">
        <w:rPr>
          <w:rFonts w:ascii="Verdana" w:hAnsi="Verdana"/>
          <w:iCs/>
          <w:sz w:val="16"/>
          <w:szCs w:val="16"/>
          <w:lang w:val="en-US"/>
        </w:rPr>
        <w:t xml:space="preserve">consisting of available cash and accounts receivable- </w:t>
      </w:r>
      <w:r>
        <w:rPr>
          <w:rFonts w:ascii="Verdana" w:hAnsi="Verdana"/>
          <w:iCs/>
          <w:sz w:val="16"/>
          <w:szCs w:val="16"/>
          <w:lang w:val="en-US"/>
        </w:rPr>
        <w:t xml:space="preserve">and liabilities held by </w:t>
      </w:r>
      <w:r w:rsidRPr="00CD437A">
        <w:rPr>
          <w:rFonts w:ascii="Verdana" w:hAnsi="Verdana"/>
          <w:i/>
          <w:iCs/>
          <w:sz w:val="16"/>
          <w:szCs w:val="16"/>
          <w:lang w:val="en-US"/>
        </w:rPr>
        <w:t>Empresa Minera Especial Tintaya S.A</w:t>
      </w:r>
      <w:r w:rsidRPr="00CD437A">
        <w:rPr>
          <w:rFonts w:ascii="Verdana" w:hAnsi="Verdana"/>
          <w:iCs/>
          <w:sz w:val="16"/>
          <w:szCs w:val="16"/>
          <w:lang w:val="en-US"/>
        </w:rPr>
        <w:t xml:space="preserve">. on the date of entry into force of this legal provision, </w:t>
      </w:r>
      <w:r>
        <w:rPr>
          <w:rFonts w:ascii="Verdana" w:hAnsi="Verdana"/>
          <w:iCs/>
          <w:sz w:val="16"/>
          <w:szCs w:val="16"/>
          <w:lang w:val="en-US"/>
        </w:rPr>
        <w:t xml:space="preserve">through </w:t>
      </w:r>
      <w:r w:rsidRPr="00CD437A">
        <w:rPr>
          <w:rFonts w:ascii="Verdana" w:hAnsi="Verdana"/>
          <w:iCs/>
          <w:sz w:val="16"/>
          <w:szCs w:val="16"/>
          <w:lang w:val="en-US"/>
        </w:rPr>
        <w:t xml:space="preserve">the organizations and companies listed in the paragraph following this Article. If said exercise should result in a debit balance, that is, if the liabilities are greater than the assets, it shall be capitalized, the </w:t>
      </w:r>
      <w:r w:rsidRPr="00CD437A">
        <w:rPr>
          <w:rFonts w:ascii="Verdana" w:hAnsi="Verdana"/>
          <w:i/>
          <w:iCs/>
          <w:sz w:val="16"/>
          <w:szCs w:val="16"/>
          <w:lang w:val="en-US"/>
        </w:rPr>
        <w:t>Empresa Minera Especial Tintaya</w:t>
      </w:r>
      <w:r w:rsidRPr="00CD437A">
        <w:rPr>
          <w:rFonts w:ascii="Verdana" w:hAnsi="Verdana"/>
          <w:iCs/>
          <w:sz w:val="16"/>
          <w:szCs w:val="16"/>
          <w:lang w:val="en-US"/>
        </w:rPr>
        <w:t xml:space="preserve"> </w:t>
      </w:r>
      <w:r w:rsidRPr="00CD437A">
        <w:rPr>
          <w:rFonts w:ascii="Verdana" w:hAnsi="Verdana"/>
          <w:i/>
          <w:iCs/>
          <w:sz w:val="16"/>
          <w:szCs w:val="16"/>
          <w:lang w:val="en-US"/>
        </w:rPr>
        <w:t>S.A</w:t>
      </w:r>
      <w:r w:rsidRPr="00CD437A">
        <w:rPr>
          <w:rFonts w:ascii="Verdana" w:hAnsi="Verdana"/>
          <w:iCs/>
          <w:sz w:val="16"/>
          <w:szCs w:val="16"/>
          <w:lang w:val="en-US"/>
        </w:rPr>
        <w:t xml:space="preserve">. being required to issue the corresponding shares in the name of </w:t>
      </w:r>
      <w:r w:rsidRPr="00CD437A">
        <w:rPr>
          <w:rFonts w:ascii="Verdana" w:hAnsi="Verdana"/>
          <w:i/>
          <w:iCs/>
          <w:sz w:val="16"/>
          <w:szCs w:val="16"/>
          <w:lang w:val="en-US"/>
        </w:rPr>
        <w:t>Empresa Minera del Peru S.A. -MINERD PERU</w:t>
      </w:r>
      <w:r w:rsidRPr="00CD437A">
        <w:rPr>
          <w:rFonts w:ascii="Verdana" w:hAnsi="Verdana"/>
          <w:iCs/>
          <w:sz w:val="16"/>
          <w:szCs w:val="16"/>
          <w:lang w:val="en-US"/>
        </w:rPr>
        <w:t xml:space="preserve">-. If the balance is positive, i.e. the assets are greater than the liabilities, this will be applied in favor of the Ministry of Economy and Finance, which will assume responsibility for administering payments; the </w:t>
      </w:r>
      <w:r w:rsidRPr="00CD437A">
        <w:rPr>
          <w:rFonts w:ascii="Verdana" w:hAnsi="Verdana"/>
          <w:i/>
          <w:iCs/>
          <w:sz w:val="16"/>
          <w:szCs w:val="16"/>
          <w:lang w:val="en-US"/>
        </w:rPr>
        <w:t>Empresa Minera Especial Tintaya S.A.</w:t>
      </w:r>
      <w:r w:rsidRPr="00CD437A">
        <w:rPr>
          <w:rFonts w:ascii="Verdana" w:hAnsi="Verdana"/>
          <w:iCs/>
          <w:sz w:val="16"/>
          <w:szCs w:val="16"/>
          <w:lang w:val="en-US"/>
        </w:rPr>
        <w:t xml:space="preserve"> must implement the corresponding capital reduction. </w:t>
      </w:r>
    </w:p>
    <w:p w14:paraId="3EE11B08" w14:textId="77777777" w:rsidR="00E6764B" w:rsidRPr="00CD437A" w:rsidRDefault="00E6764B" w:rsidP="008E6A56">
      <w:pPr>
        <w:autoSpaceDE w:val="0"/>
        <w:autoSpaceDN w:val="0"/>
        <w:rPr>
          <w:rFonts w:ascii="Verdana" w:hAnsi="Verdana"/>
          <w:i/>
          <w:iCs/>
          <w:sz w:val="16"/>
          <w:szCs w:val="16"/>
          <w:lang w:val="en-US"/>
        </w:rPr>
      </w:pPr>
      <w:r w:rsidRPr="00CD437A">
        <w:rPr>
          <w:rFonts w:ascii="Verdana" w:hAnsi="Verdana"/>
          <w:iCs/>
          <w:sz w:val="16"/>
          <w:szCs w:val="16"/>
          <w:lang w:val="en-US"/>
        </w:rPr>
        <w:t xml:space="preserve">The organizations and companies authorized to offset an entity’s assets and liabilities are the following: the Public Treasury, the </w:t>
      </w:r>
      <w:r w:rsidRPr="00CD437A">
        <w:rPr>
          <w:rStyle w:val="nfasis"/>
          <w:rFonts w:ascii="Verdana" w:hAnsi="Verdana" w:cs="Arial"/>
          <w:bCs/>
          <w:i w:val="0"/>
          <w:iCs w:val="0"/>
          <w:sz w:val="16"/>
          <w:szCs w:val="16"/>
          <w:shd w:val="clear" w:color="auto" w:fill="FFFFFF"/>
          <w:lang w:val="en-US"/>
        </w:rPr>
        <w:t>National Superintendency</w:t>
      </w:r>
      <w:r w:rsidRPr="00CD437A">
        <w:rPr>
          <w:rFonts w:ascii="Verdana" w:hAnsi="Verdana" w:cs="Arial"/>
          <w:sz w:val="16"/>
          <w:szCs w:val="16"/>
          <w:shd w:val="clear" w:color="auto" w:fill="FFFFFF"/>
          <w:lang w:val="en-US"/>
        </w:rPr>
        <w:t> of Tax Administration</w:t>
      </w:r>
      <w:r w:rsidRPr="00CD437A">
        <w:rPr>
          <w:rFonts w:ascii="Verdana" w:hAnsi="Verdana"/>
          <w:iCs/>
          <w:sz w:val="16"/>
          <w:szCs w:val="16"/>
          <w:lang w:val="en-US"/>
        </w:rPr>
        <w:t xml:space="preserve"> </w:t>
      </w:r>
      <w:r w:rsidRPr="00CD437A">
        <w:rPr>
          <w:rFonts w:ascii="Verdana" w:hAnsi="Verdana"/>
          <w:sz w:val="16"/>
          <w:szCs w:val="16"/>
          <w:lang w:val="en-US"/>
        </w:rPr>
        <w:t xml:space="preserve">- </w:t>
      </w:r>
      <w:r w:rsidRPr="00CD437A">
        <w:rPr>
          <w:rFonts w:ascii="Verdana" w:hAnsi="Verdana"/>
          <w:iCs/>
          <w:sz w:val="16"/>
          <w:szCs w:val="16"/>
          <w:lang w:val="en-US"/>
        </w:rPr>
        <w:t xml:space="preserve">SUNAT-, </w:t>
      </w:r>
      <w:r>
        <w:rPr>
          <w:rFonts w:ascii="Verdana" w:hAnsi="Verdana"/>
          <w:i/>
          <w:iCs/>
          <w:sz w:val="16"/>
          <w:szCs w:val="16"/>
          <w:lang w:val="en-US"/>
        </w:rPr>
        <w:t xml:space="preserve">Empresa Minera de </w:t>
      </w:r>
      <w:r w:rsidRPr="00CD437A">
        <w:rPr>
          <w:rFonts w:ascii="Verdana" w:hAnsi="Verdana"/>
          <w:i/>
          <w:iCs/>
          <w:sz w:val="16"/>
          <w:szCs w:val="16"/>
          <w:lang w:val="en-US"/>
        </w:rPr>
        <w:t>Comercialización</w:t>
      </w:r>
      <w:r w:rsidRPr="00CD437A">
        <w:rPr>
          <w:rFonts w:ascii="Verdana" w:hAnsi="Verdana"/>
          <w:iCs/>
          <w:sz w:val="16"/>
          <w:szCs w:val="16"/>
          <w:lang w:val="en-US"/>
        </w:rPr>
        <w:t xml:space="preserve"> (MINPECO S.A.) in liquidation, the Mining Bank of Peru in liquidation, the </w:t>
      </w:r>
      <w:r w:rsidRPr="00CD437A">
        <w:rPr>
          <w:rStyle w:val="nfasis"/>
          <w:rFonts w:ascii="Verdana" w:hAnsi="Verdana" w:cs="Arial"/>
          <w:bCs/>
          <w:i w:val="0"/>
          <w:iCs w:val="0"/>
          <w:sz w:val="16"/>
          <w:szCs w:val="16"/>
          <w:shd w:val="clear" w:color="auto" w:fill="FFFFFF"/>
          <w:lang w:val="en-US"/>
        </w:rPr>
        <w:t>Geological</w:t>
      </w:r>
      <w:r w:rsidRPr="00CD437A">
        <w:rPr>
          <w:rFonts w:ascii="Verdana" w:hAnsi="Verdana" w:cs="Arial"/>
          <w:sz w:val="16"/>
          <w:szCs w:val="16"/>
          <w:shd w:val="clear" w:color="auto" w:fill="FFFFFF"/>
          <w:lang w:val="en-US"/>
        </w:rPr>
        <w:t>, </w:t>
      </w:r>
      <w:r w:rsidRPr="00CD437A">
        <w:rPr>
          <w:rStyle w:val="nfasis"/>
          <w:rFonts w:ascii="Verdana" w:hAnsi="Verdana" w:cs="Arial"/>
          <w:bCs/>
          <w:i w:val="0"/>
          <w:iCs w:val="0"/>
          <w:sz w:val="16"/>
          <w:szCs w:val="16"/>
          <w:shd w:val="clear" w:color="auto" w:fill="FFFFFF"/>
          <w:lang w:val="en-US"/>
        </w:rPr>
        <w:t>Mining</w:t>
      </w:r>
      <w:r w:rsidRPr="00CD437A">
        <w:rPr>
          <w:rFonts w:ascii="Verdana" w:hAnsi="Verdana" w:cs="Arial"/>
          <w:sz w:val="16"/>
          <w:szCs w:val="16"/>
          <w:shd w:val="clear" w:color="auto" w:fill="FFFFFF"/>
          <w:lang w:val="en-US"/>
        </w:rPr>
        <w:t> and </w:t>
      </w:r>
      <w:r w:rsidRPr="00CD437A">
        <w:rPr>
          <w:rStyle w:val="nfasis"/>
          <w:rFonts w:ascii="Verdana" w:hAnsi="Verdana" w:cs="Arial"/>
          <w:bCs/>
          <w:i w:val="0"/>
          <w:iCs w:val="0"/>
          <w:sz w:val="16"/>
          <w:szCs w:val="16"/>
          <w:shd w:val="clear" w:color="auto" w:fill="FFFFFF"/>
          <w:lang w:val="en-US"/>
        </w:rPr>
        <w:t>Metallurgical Institute</w:t>
      </w:r>
      <w:r w:rsidRPr="00CD437A">
        <w:rPr>
          <w:rFonts w:ascii="Arial" w:hAnsi="Arial" w:cs="Arial"/>
          <w:sz w:val="21"/>
          <w:szCs w:val="21"/>
          <w:shd w:val="clear" w:color="auto" w:fill="FFFFFF"/>
          <w:lang w:val="en-US"/>
        </w:rPr>
        <w:t> </w:t>
      </w:r>
      <w:r w:rsidRPr="00CD437A">
        <w:rPr>
          <w:rFonts w:ascii="Verdana" w:hAnsi="Verdana"/>
          <w:iCs/>
          <w:sz w:val="16"/>
          <w:szCs w:val="16"/>
          <w:lang w:val="en-US"/>
        </w:rPr>
        <w:t xml:space="preserve"> -(INGEMMET), the Inka Regional Government, the National Fund </w:t>
      </w:r>
      <w:r w:rsidRPr="00CD437A">
        <w:rPr>
          <w:rFonts w:ascii="Verdana" w:hAnsi="Verdana" w:cs="Arial"/>
          <w:sz w:val="16"/>
          <w:szCs w:val="16"/>
          <w:shd w:val="clear" w:color="auto" w:fill="FFFFFF"/>
          <w:lang w:val="en-US"/>
        </w:rPr>
        <w:t>for Financing State Enterprises</w:t>
      </w:r>
      <w:r w:rsidRPr="00CD437A">
        <w:rPr>
          <w:rFonts w:ascii="Verdana" w:hAnsi="Verdana"/>
          <w:iCs/>
          <w:sz w:val="16"/>
          <w:szCs w:val="16"/>
          <w:lang w:val="en-US"/>
        </w:rPr>
        <w:t xml:space="preserve"> (FONAFE) and the Peruvian Social Security Institute (IPSS).</w:t>
      </w:r>
      <w:r w:rsidRPr="00CD437A">
        <w:rPr>
          <w:rFonts w:ascii="Verdana" w:hAnsi="Verdana"/>
          <w:sz w:val="16"/>
          <w:szCs w:val="16"/>
          <w:lang w:val="en-US"/>
        </w:rPr>
        <w:t>"</w:t>
      </w:r>
    </w:p>
  </w:footnote>
  <w:footnote w:id="125">
    <w:p w14:paraId="5CD6D7FF" w14:textId="77777777" w:rsidR="00E6764B" w:rsidRPr="00CD437A" w:rsidRDefault="00E6764B" w:rsidP="00CD2B15">
      <w:pPr>
        <w:pStyle w:val="Textonotapie"/>
      </w:pPr>
      <w:r w:rsidRPr="00CD437A">
        <w:rPr>
          <w:rStyle w:val="Refdenotaalpie"/>
        </w:rPr>
        <w:footnoteRef/>
      </w:r>
      <w:r w:rsidRPr="00CD437A">
        <w:t xml:space="preserve"> </w:t>
      </w:r>
      <w:r w:rsidRPr="00CD437A">
        <w:tab/>
        <w:t>Article 7 of Law No</w:t>
      </w:r>
      <w:r>
        <w:t>.</w:t>
      </w:r>
      <w:r w:rsidRPr="00CD437A">
        <w:t xml:space="preserve"> 27719, “Law of recognition, declaration and qualification of pension benefits legally obtained under Decree Law N° 20530 and its </w:t>
      </w:r>
      <w:r>
        <w:t xml:space="preserve">supplementary </w:t>
      </w:r>
      <w:r w:rsidRPr="00CD437A">
        <w:t xml:space="preserve">rules and amendments”, published in the Official Gazette </w:t>
      </w:r>
      <w:r w:rsidRPr="00CD437A">
        <w:rPr>
          <w:i/>
        </w:rPr>
        <w:t xml:space="preserve">El </w:t>
      </w:r>
      <w:proofErr w:type="spellStart"/>
      <w:r w:rsidRPr="00CD437A">
        <w:rPr>
          <w:i/>
        </w:rPr>
        <w:t>Peruano</w:t>
      </w:r>
      <w:proofErr w:type="spellEnd"/>
      <w:r w:rsidRPr="00CD437A">
        <w:t xml:space="preserve"> on May 12, 2012 (evidence file, folio 1691).</w:t>
      </w:r>
    </w:p>
  </w:footnote>
  <w:footnote w:id="126">
    <w:p w14:paraId="39294687" w14:textId="77777777" w:rsidR="00E6764B" w:rsidRPr="00CD437A" w:rsidRDefault="00E6764B" w:rsidP="00CD2B15">
      <w:pPr>
        <w:pStyle w:val="Textonotapie"/>
      </w:pPr>
      <w:r w:rsidRPr="00CD437A">
        <w:rPr>
          <w:rStyle w:val="Refdenotaalpie"/>
        </w:rPr>
        <w:footnoteRef/>
      </w:r>
      <w:r w:rsidRPr="00CD437A">
        <w:t xml:space="preserve"> </w:t>
      </w:r>
      <w:r w:rsidRPr="00CD437A">
        <w:tab/>
        <w:t>Article 1 of Law No. 28115</w:t>
      </w:r>
      <w:r>
        <w:t>,</w:t>
      </w:r>
      <w:r w:rsidRPr="00CD437A">
        <w:t xml:space="preserve"> “Law that expands and specifies the scope of Law N°27719 “Law on the recognition, declaration and qualification of pension benefits legally obtained under Decree Law N°20530 and its </w:t>
      </w:r>
      <w:r>
        <w:t xml:space="preserve">supplementary </w:t>
      </w:r>
      <w:r w:rsidRPr="00CD437A">
        <w:t xml:space="preserve">rules and amendments”, published in the Official Gazette </w:t>
      </w:r>
      <w:r w:rsidRPr="00CD437A">
        <w:rPr>
          <w:i/>
        </w:rPr>
        <w:t xml:space="preserve">El </w:t>
      </w:r>
      <w:proofErr w:type="spellStart"/>
      <w:r w:rsidRPr="00CD437A">
        <w:rPr>
          <w:i/>
        </w:rPr>
        <w:t>Peruano</w:t>
      </w:r>
      <w:proofErr w:type="spellEnd"/>
      <w:r w:rsidRPr="00CD437A">
        <w:t xml:space="preserve"> on December 6, 2003 (evidence file, folio 1694).</w:t>
      </w:r>
    </w:p>
  </w:footnote>
  <w:footnote w:id="127">
    <w:p w14:paraId="7F836A4D"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Article 3 of Law No. 28389, “Law to reform Articles 11, 103 and the First Final and Transitory Provision of the Constitution of Peru” published in the Official Gazette </w:t>
      </w:r>
      <w:r w:rsidRPr="00CD437A">
        <w:rPr>
          <w:i/>
        </w:rPr>
        <w:t xml:space="preserve">El </w:t>
      </w:r>
      <w:proofErr w:type="spellStart"/>
      <w:r w:rsidRPr="00CD437A">
        <w:rPr>
          <w:i/>
        </w:rPr>
        <w:t>Peruano</w:t>
      </w:r>
      <w:proofErr w:type="spellEnd"/>
      <w:r w:rsidRPr="00CD437A">
        <w:t>, on November 17, 2004 (evidence file, folio 1696).</w:t>
      </w:r>
    </w:p>
  </w:footnote>
  <w:footnote w:id="128">
    <w:p w14:paraId="6F921431" w14:textId="77777777" w:rsidR="00E6764B" w:rsidRPr="00CD437A" w:rsidRDefault="00E6764B" w:rsidP="008E6A56">
      <w:pPr>
        <w:autoSpaceDE w:val="0"/>
        <w:autoSpaceDN w:val="0"/>
        <w:rPr>
          <w:rFonts w:ascii="Verdana" w:hAnsi="Verdana"/>
          <w:iCs/>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Article 3 of Law N° 28389, “Law </w:t>
      </w:r>
      <w:r>
        <w:rPr>
          <w:rFonts w:ascii="Verdana" w:hAnsi="Verdana"/>
          <w:sz w:val="16"/>
          <w:szCs w:val="16"/>
          <w:lang w:val="en-US"/>
        </w:rPr>
        <w:t>to Reform</w:t>
      </w:r>
      <w:r w:rsidRPr="00CD437A">
        <w:rPr>
          <w:rFonts w:ascii="Verdana" w:hAnsi="Verdana"/>
          <w:sz w:val="16"/>
          <w:szCs w:val="16"/>
          <w:lang w:val="en-US"/>
        </w:rPr>
        <w:t xml:space="preserve"> Articles 11, 103 and First Final and Transitory Provision of the Constitution of Peru” published in the Official Gazette </w:t>
      </w:r>
      <w:r w:rsidRPr="00CD437A">
        <w:rPr>
          <w:rFonts w:ascii="Verdana" w:hAnsi="Verdana"/>
          <w:i/>
          <w:sz w:val="16"/>
          <w:szCs w:val="16"/>
          <w:lang w:val="en-US"/>
        </w:rPr>
        <w:t>El Peruano</w:t>
      </w:r>
      <w:r w:rsidRPr="00CD437A">
        <w:rPr>
          <w:rFonts w:ascii="Verdana" w:hAnsi="Verdana"/>
          <w:sz w:val="16"/>
          <w:szCs w:val="16"/>
          <w:lang w:val="en-US"/>
        </w:rPr>
        <w:t xml:space="preserve">, on November 17, 2004 (evidence file, folio 1696). This Article states: </w:t>
      </w:r>
      <w:r w:rsidRPr="00CD437A">
        <w:rPr>
          <w:rFonts w:ascii="Verdana" w:hAnsi="Verdana"/>
          <w:iCs/>
          <w:sz w:val="16"/>
          <w:szCs w:val="16"/>
          <w:lang w:val="en-US"/>
        </w:rPr>
        <w:t xml:space="preserve">“[t]he pension scheme of Decree Law No 20530 is hereby declared permanently closed.” </w:t>
      </w:r>
      <w:r>
        <w:rPr>
          <w:rFonts w:ascii="Verdana" w:hAnsi="Verdana"/>
          <w:iCs/>
          <w:sz w:val="16"/>
          <w:szCs w:val="16"/>
          <w:lang w:val="en-US"/>
        </w:rPr>
        <w:t xml:space="preserve">The changes brought about </w:t>
      </w:r>
      <w:r w:rsidRPr="00CD437A">
        <w:rPr>
          <w:rFonts w:ascii="Verdana" w:hAnsi="Verdana"/>
          <w:iCs/>
          <w:sz w:val="16"/>
          <w:szCs w:val="16"/>
          <w:lang w:val="en-US"/>
        </w:rPr>
        <w:t xml:space="preserve">through this Constitutional Reform included: 1. No admission or re-admission of new workers to the Decree Law No 20530 pension scheme. 2. Workers affiliated to that system who did not meet the requirements to obtain their pension must opt for the National Pensions System or the </w:t>
      </w:r>
      <w:r>
        <w:rPr>
          <w:rFonts w:ascii="Verdana" w:hAnsi="Verdana"/>
          <w:iCs/>
          <w:sz w:val="16"/>
          <w:szCs w:val="16"/>
          <w:lang w:val="en-US"/>
        </w:rPr>
        <w:t xml:space="preserve">system of the </w:t>
      </w:r>
      <w:r w:rsidRPr="00CD437A">
        <w:rPr>
          <w:rFonts w:ascii="Verdana" w:hAnsi="Verdana"/>
          <w:iCs/>
          <w:sz w:val="16"/>
          <w:szCs w:val="16"/>
          <w:lang w:val="en-US"/>
        </w:rPr>
        <w:t>Private Pension Fund Administrators.</w:t>
      </w:r>
    </w:p>
    <w:p w14:paraId="521D7E55" w14:textId="77777777" w:rsidR="00E6764B" w:rsidRPr="00CD437A" w:rsidRDefault="00E6764B" w:rsidP="008E6A56">
      <w:pPr>
        <w:autoSpaceDE w:val="0"/>
        <w:autoSpaceDN w:val="0"/>
        <w:rPr>
          <w:rFonts w:ascii="Verdana" w:hAnsi="Verdana"/>
          <w:iCs/>
          <w:sz w:val="16"/>
          <w:szCs w:val="16"/>
          <w:lang w:val="en-US"/>
        </w:rPr>
      </w:pPr>
      <w:r>
        <w:rPr>
          <w:rFonts w:ascii="Verdana" w:hAnsi="Verdana"/>
          <w:iCs/>
          <w:sz w:val="16"/>
          <w:szCs w:val="16"/>
          <w:lang w:val="en-US"/>
        </w:rPr>
        <w:t>Also, f</w:t>
      </w:r>
      <w:r w:rsidRPr="00CD437A">
        <w:rPr>
          <w:rFonts w:ascii="Verdana" w:hAnsi="Verdana"/>
          <w:iCs/>
          <w:sz w:val="16"/>
          <w:szCs w:val="16"/>
          <w:lang w:val="en-US"/>
        </w:rPr>
        <w:t>or reasons of social interest, immediate application of the new pension rules to employees and pensioners of the State pension regimes. Discontinuation of pension equalization with wages, and the reduction of the amount of pensions lower than one Taxation Unit. Gradual imposition of caps on pensions that exceed one Taxation Unit.</w:t>
      </w:r>
    </w:p>
    <w:p w14:paraId="50845753" w14:textId="77777777" w:rsidR="00E6764B" w:rsidRPr="00CD437A" w:rsidRDefault="00E6764B" w:rsidP="008E6A56">
      <w:pPr>
        <w:autoSpaceDE w:val="0"/>
        <w:autoSpaceDN w:val="0"/>
        <w:rPr>
          <w:rFonts w:ascii="Verdana" w:hAnsi="Verdana"/>
          <w:iCs/>
          <w:sz w:val="16"/>
          <w:szCs w:val="16"/>
          <w:lang w:val="en-US"/>
        </w:rPr>
      </w:pPr>
      <w:r w:rsidRPr="00CD437A">
        <w:rPr>
          <w:rFonts w:ascii="Verdana" w:hAnsi="Verdana"/>
          <w:iCs/>
          <w:sz w:val="16"/>
          <w:szCs w:val="16"/>
          <w:lang w:val="en-US"/>
        </w:rPr>
        <w:t xml:space="preserve">Budgetary savings obtained from the application of new pension rules </w:t>
      </w:r>
      <w:r>
        <w:rPr>
          <w:rFonts w:ascii="Verdana" w:hAnsi="Verdana"/>
          <w:iCs/>
          <w:sz w:val="16"/>
          <w:szCs w:val="16"/>
          <w:lang w:val="en-US"/>
        </w:rPr>
        <w:t xml:space="preserve">to </w:t>
      </w:r>
      <w:r w:rsidRPr="00CD437A">
        <w:rPr>
          <w:rFonts w:ascii="Verdana" w:hAnsi="Verdana"/>
          <w:iCs/>
          <w:sz w:val="16"/>
          <w:szCs w:val="16"/>
          <w:lang w:val="en-US"/>
        </w:rPr>
        <w:t>be used to increase the lowest pensions, according to law. Any modifications made to the existing pension schemes, and to new pension regimes that may be established in future, must be governed by criteria of financial sustainability and non-adjustment</w:t>
      </w:r>
      <w:r w:rsidRPr="00CD437A">
        <w:rPr>
          <w:rFonts w:ascii="Verdana" w:hAnsi="Verdana"/>
          <w:sz w:val="16"/>
          <w:szCs w:val="16"/>
          <w:lang w:val="en-US"/>
        </w:rPr>
        <w:t xml:space="preserve"> […]”.</w:t>
      </w:r>
    </w:p>
  </w:footnote>
  <w:footnote w:id="129">
    <w:p w14:paraId="0016D9D5"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Article 4 of Law No. 28449 entitled “Law to establish the new rules of the pensions system of Decree Law N° 20530”, published in the Official Gazette </w:t>
      </w:r>
      <w:r w:rsidRPr="00CD437A">
        <w:rPr>
          <w:i/>
        </w:rPr>
        <w:t xml:space="preserve">El </w:t>
      </w:r>
      <w:proofErr w:type="spellStart"/>
      <w:r w:rsidRPr="00CD437A">
        <w:rPr>
          <w:i/>
        </w:rPr>
        <w:t>Peruano</w:t>
      </w:r>
      <w:proofErr w:type="spellEnd"/>
      <w:r>
        <w:t>, on</w:t>
      </w:r>
      <w:r w:rsidRPr="00CD437A">
        <w:t xml:space="preserve"> December 30,</w:t>
      </w:r>
      <w:r>
        <w:t xml:space="preserve"> </w:t>
      </w:r>
      <w:r w:rsidRPr="00CD437A">
        <w:t>2004 (evidence file, folio 1700).</w:t>
      </w:r>
    </w:p>
  </w:footnote>
  <w:footnote w:id="130">
    <w:p w14:paraId="07AF6938" w14:textId="77777777" w:rsidR="00E6764B" w:rsidRPr="00CD437A" w:rsidRDefault="00E6764B" w:rsidP="008E6A56">
      <w:pPr>
        <w:tabs>
          <w:tab w:val="left" w:pos="540"/>
          <w:tab w:val="left" w:pos="720"/>
        </w:tabs>
        <w:autoSpaceDE w:val="0"/>
        <w:autoSpaceDN w:val="0"/>
        <w:rPr>
          <w:rFonts w:ascii="Verdana" w:hAnsi="Verdana"/>
          <w:iCs/>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Article 10 of Law 28449 entitled “Law establishing the new rules of the pension scheme of Decree Law N° 20530”, published in the Official Gazette </w:t>
      </w:r>
      <w:r w:rsidRPr="00CD437A">
        <w:rPr>
          <w:rFonts w:ascii="Verdana" w:hAnsi="Verdana"/>
          <w:i/>
          <w:sz w:val="16"/>
          <w:szCs w:val="16"/>
          <w:lang w:val="en-US"/>
        </w:rPr>
        <w:t>El Peruano</w:t>
      </w:r>
      <w:r>
        <w:rPr>
          <w:rFonts w:ascii="Verdana" w:hAnsi="Verdana"/>
          <w:sz w:val="16"/>
          <w:szCs w:val="16"/>
          <w:lang w:val="en-US"/>
        </w:rPr>
        <w:t>, on</w:t>
      </w:r>
      <w:r w:rsidRPr="00CD437A">
        <w:rPr>
          <w:rFonts w:ascii="Verdana" w:hAnsi="Verdana"/>
          <w:sz w:val="16"/>
          <w:szCs w:val="16"/>
          <w:lang w:val="en-US"/>
        </w:rPr>
        <w:t xml:space="preserve"> December 30, 2004 (evidence file, folio 1698). Said Article establishes that: “</w:t>
      </w:r>
      <w:r w:rsidRPr="00CD437A">
        <w:rPr>
          <w:rFonts w:ascii="Verdana" w:hAnsi="Verdana"/>
          <w:iCs/>
          <w:sz w:val="16"/>
          <w:szCs w:val="16"/>
          <w:lang w:val="en-US"/>
        </w:rPr>
        <w:t xml:space="preserve">[t]he Ministry of Economy and Finance is the national government entity that administers the pensions of Decree Law No 20530. Any reference to the entities responsible for functions related to the regime regulated by this Law shall be referred to the Ministry of Economy and Finance, except in relation to the payment of pensions, unless this task is delegated to it by Supreme Decree, with the approval of the Council of Ministers." </w:t>
      </w:r>
    </w:p>
  </w:footnote>
  <w:footnote w:id="131">
    <w:p w14:paraId="6F643C98" w14:textId="77777777" w:rsidR="00E6764B" w:rsidRPr="00CD437A" w:rsidRDefault="00E6764B" w:rsidP="00CD2B15">
      <w:pPr>
        <w:pStyle w:val="Textonotapie"/>
      </w:pPr>
      <w:r w:rsidRPr="00CD437A">
        <w:rPr>
          <w:rStyle w:val="Refdenotaalpie"/>
        </w:rPr>
        <w:footnoteRef/>
      </w:r>
      <w:r w:rsidRPr="00CD437A">
        <w:t xml:space="preserve"> </w:t>
      </w:r>
      <w:r w:rsidRPr="00CD437A">
        <w:tab/>
        <w:t>Article 8(1) of the Convention establishes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32">
    <w:p w14:paraId="73758400" w14:textId="77777777" w:rsidR="00E6764B" w:rsidRPr="00CD437A" w:rsidRDefault="00E6764B" w:rsidP="00CD2B15">
      <w:pPr>
        <w:pStyle w:val="Textonotapie"/>
      </w:pPr>
      <w:r w:rsidRPr="00CD437A">
        <w:rPr>
          <w:rStyle w:val="Refdenotaalpie"/>
        </w:rPr>
        <w:footnoteRef/>
      </w:r>
      <w:r w:rsidRPr="00CD437A">
        <w:t xml:space="preserve"> </w:t>
      </w:r>
      <w:r w:rsidRPr="00CD437A">
        <w:tab/>
        <w:t>Article 2</w:t>
      </w:r>
      <w:r>
        <w:t>5 of the Convention establishes</w:t>
      </w:r>
      <w:r w:rsidRPr="00CD437A">
        <w:t xml:space="preserve"> that:</w:t>
      </w:r>
    </w:p>
    <w:p w14:paraId="7E55FAA5" w14:textId="77777777" w:rsidR="00E6764B" w:rsidRPr="00CD437A" w:rsidRDefault="00E6764B" w:rsidP="00CD2B15">
      <w:pPr>
        <w:pStyle w:val="Textonotapie"/>
      </w:pPr>
      <w:r w:rsidRPr="00CD437A">
        <w:t xml:space="preserve">1. </w:t>
      </w:r>
      <w: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CD437A">
        <w:t>.</w:t>
      </w:r>
    </w:p>
    <w:p w14:paraId="437D7584" w14:textId="77777777" w:rsidR="00E6764B" w:rsidRPr="00CD437A" w:rsidRDefault="00E6764B" w:rsidP="00CD2B15">
      <w:pPr>
        <w:pStyle w:val="Textonotapie"/>
      </w:pPr>
      <w:r w:rsidRPr="00CD437A">
        <w:t>2. The States Parties undertake: a) to ensure that any person claiming such remedy shall have his rights determined by the competent authority provided for by the legal system of the State.</w:t>
      </w:r>
    </w:p>
  </w:footnote>
  <w:footnote w:id="133">
    <w:p w14:paraId="3F12203F" w14:textId="77777777" w:rsidR="00E6764B" w:rsidRPr="00CD437A" w:rsidRDefault="00E6764B" w:rsidP="00CD2B15">
      <w:pPr>
        <w:pStyle w:val="Textonotapie"/>
      </w:pPr>
      <w:r w:rsidRPr="00CD437A">
        <w:rPr>
          <w:rStyle w:val="Refdenotaalpie"/>
        </w:rPr>
        <w:footnoteRef/>
      </w:r>
      <w:r w:rsidRPr="00CD437A">
        <w:t xml:space="preserve"> </w:t>
      </w:r>
      <w:r w:rsidRPr="00CD437A">
        <w:tab/>
        <w:t>Article 26 of</w:t>
      </w:r>
      <w:r>
        <w:t xml:space="preserve"> the Convention establishes the following</w:t>
      </w:r>
      <w:r w:rsidRPr="00CD437A">
        <w:t>: “Progressive Development</w:t>
      </w:r>
      <w:r w:rsidRPr="00CD437A">
        <w:rPr>
          <w:bCs/>
        </w:rPr>
        <w:t>.</w:t>
      </w:r>
      <w:r w:rsidRPr="00CD437A">
        <w:t xml:space="preserve">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 subject to available resources, by legislation or other appropriate means.”</w:t>
      </w:r>
    </w:p>
  </w:footnote>
  <w:footnote w:id="134">
    <w:p w14:paraId="356BDBD1" w14:textId="77777777" w:rsidR="00E6764B" w:rsidRPr="00CD437A" w:rsidRDefault="00E6764B" w:rsidP="00CD2B15">
      <w:pPr>
        <w:pStyle w:val="Textonotapie"/>
      </w:pPr>
      <w:r w:rsidRPr="00CD437A">
        <w:rPr>
          <w:rStyle w:val="Refdenotaalpie"/>
        </w:rPr>
        <w:footnoteRef/>
      </w:r>
      <w:r w:rsidRPr="00CD437A">
        <w:t xml:space="preserve"> </w:t>
      </w:r>
      <w:r w:rsidRPr="00CD437A">
        <w:tab/>
        <w:t>Article 5(1) establishes that: “Every person has the right to have his physical, mental, and moral integrity respected.”</w:t>
      </w:r>
    </w:p>
  </w:footnote>
  <w:footnote w:id="135">
    <w:p w14:paraId="05DCACFB" w14:textId="77777777" w:rsidR="00E6764B" w:rsidRPr="00CD437A" w:rsidRDefault="00E6764B" w:rsidP="00CD2B15">
      <w:pPr>
        <w:pStyle w:val="Textonotapie"/>
      </w:pPr>
      <w:r w:rsidRPr="00CD437A">
        <w:rPr>
          <w:rStyle w:val="Refdenotaalpie"/>
        </w:rPr>
        <w:footnoteRef/>
      </w:r>
      <w:r w:rsidRPr="00CD437A">
        <w:t xml:space="preserve"> </w:t>
      </w:r>
      <w:r w:rsidRPr="00CD437A">
        <w:tab/>
        <w:t>Article 11(</w:t>
      </w:r>
      <w:r w:rsidRPr="00CD437A">
        <w:rPr>
          <w:rFonts w:cs="Tahoma"/>
        </w:rPr>
        <w:t>1) establishes that: “</w:t>
      </w:r>
      <w:r w:rsidRPr="00CD437A">
        <w:t>Everyone has the right to have his honor respected and his dignity recognized.”</w:t>
      </w:r>
    </w:p>
  </w:footnote>
  <w:footnote w:id="136">
    <w:p w14:paraId="7DE4DAAB"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Article 21 of the Convention establishes that </w:t>
      </w:r>
      <w:r w:rsidRPr="00CD437A">
        <w:rPr>
          <w:bCs/>
        </w:rPr>
        <w:t>“</w:t>
      </w:r>
      <w:r w:rsidRPr="00CD437A">
        <w:t>1. Everyone has the right to the use and enjoyment of his property. The law may subordinate such use and enjoyment to the interest of society. 2. No one shall be deprived of his property except upon payment of just compensation, for reasons of public utility or social interest, and in the cases and according to the forms established by law. 3. Usury and any other form of exploitation of man by man shall be prohibited by law.”</w:t>
      </w:r>
    </w:p>
  </w:footnote>
  <w:footnote w:id="137">
    <w:p w14:paraId="4FA5C8E2" w14:textId="77777777" w:rsidR="00E6764B" w:rsidRPr="00CD437A" w:rsidRDefault="00E6764B" w:rsidP="008E6A56">
      <w:pPr>
        <w:tabs>
          <w:tab w:val="left" w:pos="567"/>
        </w:tabs>
        <w:rPr>
          <w:rFonts w:ascii="Verdana" w:hAnsi="Verdana"/>
          <w:b/>
          <w:sz w:val="16"/>
          <w:szCs w:val="16"/>
          <w:lang w:val="en-US"/>
        </w:rPr>
      </w:pPr>
      <w:r w:rsidRPr="00CD437A">
        <w:rPr>
          <w:rStyle w:val="Refdenotaalpie"/>
          <w:sz w:val="16"/>
          <w:szCs w:val="16"/>
          <w:lang w:val="en-US"/>
        </w:rPr>
        <w:footnoteRef/>
      </w:r>
      <w:r w:rsidRPr="00CD437A">
        <w:rPr>
          <w:rFonts w:ascii="Verdana" w:hAnsi="Verdana"/>
          <w:b/>
          <w:sz w:val="16"/>
          <w:szCs w:val="16"/>
          <w:lang w:val="en-US"/>
        </w:rPr>
        <w:t xml:space="preserve"> </w:t>
      </w:r>
      <w:r w:rsidRPr="00CD437A">
        <w:rPr>
          <w:rFonts w:ascii="Verdana" w:hAnsi="Verdana"/>
          <w:b/>
          <w:sz w:val="16"/>
          <w:szCs w:val="16"/>
          <w:lang w:val="en-US"/>
        </w:rPr>
        <w:tab/>
      </w:r>
      <w:r w:rsidRPr="00CD437A">
        <w:rPr>
          <w:rFonts w:ascii="Verdana" w:hAnsi="Verdana"/>
          <w:sz w:val="16"/>
          <w:szCs w:val="16"/>
          <w:lang w:val="en-US"/>
        </w:rPr>
        <w:t>Article 2 of the Convention establishes that: “</w:t>
      </w:r>
      <w:r w:rsidRPr="00CD437A">
        <w:rPr>
          <w:rFonts w:ascii="Verdana" w:hAnsi="Verdana"/>
          <w:color w:val="000000"/>
          <w:sz w:val="16"/>
          <w:szCs w:val="16"/>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CD437A">
        <w:rPr>
          <w:rFonts w:ascii="Verdana" w:hAnsi="Verdana" w:cs="Tahoma"/>
          <w:color w:val="000000"/>
          <w:sz w:val="16"/>
          <w:szCs w:val="16"/>
          <w:lang w:val="en-US"/>
        </w:rPr>
        <w:t>.”</w:t>
      </w:r>
    </w:p>
  </w:footnote>
  <w:footnote w:id="138">
    <w:p w14:paraId="26185C32" w14:textId="77777777" w:rsidR="00E6764B" w:rsidRPr="00CD437A" w:rsidRDefault="00E6764B" w:rsidP="008E6A56">
      <w:pPr>
        <w:tabs>
          <w:tab w:val="left" w:pos="567"/>
        </w:tabs>
        <w:rPr>
          <w:rFonts w:ascii="Verdana" w:hAnsi="Verdana"/>
          <w:i/>
          <w:sz w:val="16"/>
          <w:szCs w:val="16"/>
          <w:lang w:val="en-US"/>
        </w:rPr>
      </w:pPr>
      <w:r w:rsidRPr="00CD437A">
        <w:rPr>
          <w:rStyle w:val="Refdenotaalpie"/>
          <w:rFonts w:eastAsia="Times New Roman"/>
          <w:spacing w:val="-4"/>
          <w:sz w:val="16"/>
          <w:szCs w:val="16"/>
          <w:lang w:val="en-US"/>
        </w:rPr>
        <w:footnoteRef/>
      </w:r>
      <w:r w:rsidRPr="00CD437A">
        <w:rPr>
          <w:rFonts w:ascii="Verdana" w:hAnsi="Verdana"/>
          <w:spacing w:val="-4"/>
          <w:sz w:val="16"/>
          <w:szCs w:val="16"/>
          <w:lang w:val="en-US"/>
        </w:rPr>
        <w:t xml:space="preserve"> </w:t>
      </w:r>
      <w:r w:rsidRPr="00CD437A">
        <w:rPr>
          <w:rFonts w:ascii="Verdana" w:hAnsi="Verdana"/>
          <w:spacing w:val="-4"/>
          <w:sz w:val="16"/>
          <w:szCs w:val="16"/>
          <w:lang w:val="en-US"/>
        </w:rPr>
        <w:tab/>
      </w:r>
      <w:r w:rsidRPr="00CD437A">
        <w:rPr>
          <w:rFonts w:ascii="Verdana" w:hAnsi="Verdana"/>
          <w:i/>
          <w:spacing w:val="-4"/>
          <w:sz w:val="16"/>
          <w:szCs w:val="16"/>
          <w:lang w:val="en-US"/>
        </w:rPr>
        <w:t xml:space="preserve">Cf. Case of the “Street Children” (Villagrán Morales et al.) v. Guatemala. Merits. </w:t>
      </w:r>
      <w:r w:rsidRPr="00CD437A">
        <w:rPr>
          <w:rFonts w:ascii="Verdana" w:hAnsi="Verdana"/>
          <w:spacing w:val="-4"/>
          <w:sz w:val="16"/>
          <w:szCs w:val="16"/>
          <w:lang w:val="en-US"/>
        </w:rPr>
        <w:t xml:space="preserve">Judgment of November 19, 1999. Series C No. 63, para. 237, and </w:t>
      </w:r>
      <w:r w:rsidRPr="00CD437A">
        <w:rPr>
          <w:rFonts w:ascii="Verdana" w:hAnsi="Verdana"/>
          <w:i/>
          <w:spacing w:val="-4"/>
          <w:sz w:val="16"/>
          <w:szCs w:val="16"/>
          <w:lang w:val="en-US"/>
        </w:rPr>
        <w:t>Case of</w:t>
      </w:r>
      <w:r w:rsidRPr="00CD437A">
        <w:rPr>
          <w:rFonts w:ascii="Verdana" w:hAnsi="Verdana"/>
          <w:bCs/>
          <w:sz w:val="16"/>
          <w:szCs w:val="16"/>
          <w:lang w:val="en-US"/>
        </w:rPr>
        <w:t xml:space="preserve"> </w:t>
      </w:r>
      <w:r w:rsidRPr="00CD437A">
        <w:rPr>
          <w:rFonts w:ascii="Verdana" w:hAnsi="Verdana"/>
          <w:bCs/>
          <w:i/>
          <w:sz w:val="16"/>
          <w:szCs w:val="16"/>
          <w:lang w:val="en-US"/>
        </w:rPr>
        <w:t>Favela Nova Brasilia v. Brazil, supra,</w:t>
      </w:r>
      <w:r w:rsidRPr="00CD437A">
        <w:rPr>
          <w:rFonts w:ascii="Verdana" w:hAnsi="Verdana"/>
          <w:bCs/>
          <w:sz w:val="16"/>
          <w:szCs w:val="16"/>
          <w:lang w:val="en-US"/>
        </w:rPr>
        <w:t xml:space="preserve"> para. 234.</w:t>
      </w:r>
    </w:p>
  </w:footnote>
  <w:footnote w:id="139">
    <w:p w14:paraId="0F95B8B1" w14:textId="77777777" w:rsidR="00E6764B" w:rsidRPr="00CD437A" w:rsidRDefault="00E6764B" w:rsidP="008E6A56">
      <w:pPr>
        <w:tabs>
          <w:tab w:val="left" w:pos="567"/>
        </w:tabs>
        <w:rPr>
          <w:rFonts w:ascii="Verdana" w:hAnsi="Verdana"/>
          <w:sz w:val="16"/>
          <w:szCs w:val="16"/>
          <w:lang w:val="en-US"/>
        </w:rPr>
      </w:pPr>
      <w:r w:rsidRPr="00CD437A">
        <w:rPr>
          <w:rStyle w:val="Refdenotaalpie"/>
          <w:rFonts w:eastAsia="Times New Roman"/>
          <w:spacing w:val="-4"/>
          <w:sz w:val="16"/>
          <w:szCs w:val="16"/>
          <w:lang w:val="en-US"/>
        </w:rPr>
        <w:footnoteRef/>
      </w:r>
      <w:r w:rsidRPr="00CD437A">
        <w:rPr>
          <w:rFonts w:ascii="Verdana" w:hAnsi="Verdana"/>
          <w:spacing w:val="-4"/>
          <w:sz w:val="16"/>
          <w:szCs w:val="16"/>
          <w:lang w:val="en-US"/>
        </w:rPr>
        <w:t xml:space="preserve"> </w:t>
      </w:r>
      <w:r w:rsidRPr="00CD437A">
        <w:rPr>
          <w:rFonts w:ascii="Verdana" w:hAnsi="Verdana"/>
          <w:spacing w:val="-4"/>
          <w:sz w:val="16"/>
          <w:szCs w:val="16"/>
          <w:lang w:val="en-US"/>
        </w:rPr>
        <w:tab/>
      </w:r>
      <w:r w:rsidRPr="00CD437A">
        <w:rPr>
          <w:rFonts w:ascii="Verdana" w:hAnsi="Verdana"/>
          <w:i/>
          <w:spacing w:val="-4"/>
          <w:sz w:val="16"/>
          <w:szCs w:val="16"/>
          <w:lang w:val="en-US"/>
        </w:rPr>
        <w:t>Cf. Case of Baena Ricardo et al. v. Panama</w:t>
      </w:r>
      <w:r w:rsidRPr="00CD437A">
        <w:rPr>
          <w:rFonts w:ascii="Verdana" w:hAnsi="Verdana"/>
          <w:spacing w:val="-4"/>
          <w:sz w:val="16"/>
          <w:szCs w:val="16"/>
          <w:lang w:val="en-US"/>
        </w:rPr>
        <w:t xml:space="preserve">. </w:t>
      </w:r>
      <w:r w:rsidRPr="00CD437A">
        <w:rPr>
          <w:rFonts w:ascii="Verdana" w:hAnsi="Verdana"/>
          <w:i/>
          <w:spacing w:val="-4"/>
          <w:sz w:val="16"/>
          <w:szCs w:val="16"/>
          <w:lang w:val="en-US"/>
        </w:rPr>
        <w:t xml:space="preserve">Jurisdiction. </w:t>
      </w:r>
      <w:r w:rsidRPr="00CD437A">
        <w:rPr>
          <w:rFonts w:ascii="Verdana" w:hAnsi="Verdana"/>
          <w:spacing w:val="-4"/>
          <w:sz w:val="16"/>
          <w:szCs w:val="16"/>
          <w:lang w:val="en-US"/>
        </w:rPr>
        <w:t xml:space="preserve">Judgment of November 28, 2003. Series C No. 104, para. 79, and </w:t>
      </w:r>
      <w:r w:rsidRPr="00CD437A">
        <w:rPr>
          <w:rFonts w:ascii="Verdana" w:hAnsi="Verdana"/>
          <w:i/>
          <w:spacing w:val="-4"/>
          <w:sz w:val="16"/>
          <w:szCs w:val="16"/>
          <w:lang w:val="en-US"/>
        </w:rPr>
        <w:t>Case of</w:t>
      </w:r>
      <w:r w:rsidRPr="00CD437A">
        <w:rPr>
          <w:rFonts w:ascii="Verdana" w:hAnsi="Verdana"/>
          <w:bCs/>
          <w:sz w:val="16"/>
          <w:szCs w:val="16"/>
          <w:lang w:val="en-US"/>
        </w:rPr>
        <w:t xml:space="preserve"> </w:t>
      </w:r>
      <w:r w:rsidRPr="00CD437A">
        <w:rPr>
          <w:rFonts w:ascii="Verdana" w:hAnsi="Verdana"/>
          <w:bCs/>
          <w:i/>
          <w:sz w:val="16"/>
          <w:szCs w:val="16"/>
          <w:lang w:val="en-US"/>
        </w:rPr>
        <w:t>Favela Nova Brasilia v. Brazil, supra,</w:t>
      </w:r>
      <w:r w:rsidRPr="00CD437A">
        <w:rPr>
          <w:rFonts w:ascii="Verdana" w:hAnsi="Verdana"/>
          <w:bCs/>
          <w:sz w:val="16"/>
          <w:szCs w:val="16"/>
          <w:lang w:val="en-US"/>
        </w:rPr>
        <w:t xml:space="preserve"> para. 234.</w:t>
      </w:r>
    </w:p>
  </w:footnote>
  <w:footnote w:id="140">
    <w:p w14:paraId="7DDB1F8F" w14:textId="77777777" w:rsidR="00E6764B" w:rsidRPr="00CD437A" w:rsidRDefault="00E6764B" w:rsidP="008E6A56">
      <w:pPr>
        <w:tabs>
          <w:tab w:val="left" w:pos="567"/>
        </w:tabs>
        <w:rPr>
          <w:rFonts w:ascii="Verdana" w:hAnsi="Verdana"/>
          <w:sz w:val="16"/>
          <w:szCs w:val="16"/>
          <w:lang w:val="en-US"/>
        </w:rPr>
      </w:pPr>
      <w:r w:rsidRPr="00CD437A">
        <w:rPr>
          <w:rStyle w:val="Refdenotaalpie"/>
          <w:rFonts w:eastAsia="Times New Roman"/>
          <w:spacing w:val="-4"/>
          <w:sz w:val="16"/>
          <w:szCs w:val="16"/>
          <w:lang w:val="en-US"/>
        </w:rPr>
        <w:footnoteRef/>
      </w:r>
      <w:r w:rsidRPr="00CD437A">
        <w:rPr>
          <w:rFonts w:ascii="Verdana" w:hAnsi="Verdana"/>
          <w:spacing w:val="-4"/>
          <w:sz w:val="16"/>
          <w:szCs w:val="16"/>
          <w:lang w:val="en-US"/>
        </w:rPr>
        <w:t xml:space="preserve"> </w:t>
      </w:r>
      <w:r w:rsidRPr="00CD437A">
        <w:rPr>
          <w:rFonts w:ascii="Verdana" w:hAnsi="Verdana"/>
          <w:spacing w:val="-4"/>
          <w:sz w:val="16"/>
          <w:szCs w:val="16"/>
          <w:lang w:val="en-US"/>
        </w:rPr>
        <w:tab/>
      </w:r>
      <w:r w:rsidRPr="00CD437A">
        <w:rPr>
          <w:rFonts w:ascii="Verdana" w:hAnsi="Verdana"/>
          <w:i/>
          <w:spacing w:val="-4"/>
          <w:sz w:val="16"/>
          <w:szCs w:val="16"/>
          <w:lang w:val="en-US"/>
        </w:rPr>
        <w:t>Cf.</w:t>
      </w:r>
      <w:r w:rsidRPr="00CD437A">
        <w:rPr>
          <w:rFonts w:ascii="Verdana" w:hAnsi="Verdana"/>
          <w:spacing w:val="-4"/>
          <w:sz w:val="16"/>
          <w:szCs w:val="16"/>
          <w:lang w:val="en-US"/>
        </w:rPr>
        <w:t xml:space="preserve"> </w:t>
      </w:r>
      <w:r w:rsidRPr="00CD437A">
        <w:rPr>
          <w:rFonts w:ascii="Verdana" w:hAnsi="Verdana"/>
          <w:i/>
          <w:spacing w:val="-4"/>
          <w:sz w:val="16"/>
          <w:szCs w:val="16"/>
          <w:lang w:val="en-US"/>
        </w:rPr>
        <w:t>Case of Acevedo Jaramillo et al. v. Peru, supra,</w:t>
      </w:r>
      <w:r w:rsidRPr="00CD437A">
        <w:rPr>
          <w:rFonts w:ascii="Verdana" w:hAnsi="Verdana"/>
          <w:spacing w:val="-4"/>
          <w:sz w:val="16"/>
          <w:szCs w:val="16"/>
          <w:lang w:val="en-US"/>
        </w:rPr>
        <w:t xml:space="preserve"> para. 167, and </w:t>
      </w:r>
      <w:r w:rsidRPr="00CD437A">
        <w:rPr>
          <w:rFonts w:ascii="Verdana" w:hAnsi="Verdana"/>
          <w:i/>
          <w:spacing w:val="-4"/>
          <w:sz w:val="16"/>
          <w:szCs w:val="16"/>
          <w:lang w:val="en-US"/>
        </w:rPr>
        <w:t>Case of the Garifuna Community of Punta Piedra and its Members</w:t>
      </w:r>
      <w:r w:rsidRPr="00CD437A">
        <w:rPr>
          <w:rFonts w:ascii="Verdana" w:hAnsi="Verdana"/>
          <w:bCs/>
          <w:i/>
          <w:sz w:val="16"/>
          <w:szCs w:val="16"/>
          <w:lang w:val="en-US"/>
        </w:rPr>
        <w:t xml:space="preserve"> v. Honduras.</w:t>
      </w:r>
      <w:r w:rsidRPr="00CD437A">
        <w:rPr>
          <w:rFonts w:ascii="Verdana" w:hAnsi="Verdana"/>
          <w:b/>
          <w:i/>
          <w:sz w:val="16"/>
          <w:szCs w:val="16"/>
          <w:lang w:val="en-US" w:eastAsia="en-US"/>
        </w:rPr>
        <w:t xml:space="preserve"> </w:t>
      </w:r>
      <w:r w:rsidRPr="00CD437A">
        <w:rPr>
          <w:rFonts w:ascii="Verdana" w:hAnsi="Verdana"/>
          <w:bCs/>
          <w:i/>
          <w:sz w:val="16"/>
          <w:szCs w:val="16"/>
          <w:lang w:val="en-US"/>
        </w:rPr>
        <w:t xml:space="preserve">Preliminary objections, merits, reparations and costs. </w:t>
      </w:r>
      <w:r w:rsidRPr="00CD437A">
        <w:rPr>
          <w:rFonts w:ascii="Verdana" w:hAnsi="Verdana"/>
          <w:bCs/>
          <w:sz w:val="16"/>
          <w:szCs w:val="16"/>
          <w:lang w:val="en-US"/>
        </w:rPr>
        <w:t>Judgment of October 8, 2015. Series C No.304, para.248.</w:t>
      </w:r>
    </w:p>
  </w:footnote>
  <w:footnote w:id="141">
    <w:p w14:paraId="5A56B92B" w14:textId="77777777" w:rsidR="00E6764B" w:rsidRPr="00CD437A" w:rsidRDefault="00E6764B" w:rsidP="008E6A56">
      <w:pPr>
        <w:tabs>
          <w:tab w:val="left" w:pos="567"/>
        </w:tabs>
        <w:rPr>
          <w:rFonts w:ascii="Verdana" w:hAnsi="Verdana"/>
          <w:sz w:val="16"/>
          <w:szCs w:val="16"/>
          <w:lang w:val="en-US"/>
        </w:rPr>
      </w:pPr>
      <w:r w:rsidRPr="00CD437A">
        <w:rPr>
          <w:rStyle w:val="Refdenotaalpie"/>
          <w:rFonts w:eastAsia="Times New Roman"/>
          <w:spacing w:val="-4"/>
          <w:sz w:val="16"/>
          <w:szCs w:val="16"/>
          <w:lang w:val="en-US"/>
        </w:rPr>
        <w:footnoteRef/>
      </w:r>
      <w:r w:rsidRPr="00CD437A">
        <w:rPr>
          <w:rFonts w:ascii="Verdana" w:hAnsi="Verdana"/>
          <w:spacing w:val="-4"/>
          <w:sz w:val="16"/>
          <w:szCs w:val="16"/>
          <w:lang w:val="en-US"/>
        </w:rPr>
        <w:t xml:space="preserve"> </w:t>
      </w:r>
      <w:r w:rsidRPr="00CD437A">
        <w:rPr>
          <w:rFonts w:ascii="Verdana" w:hAnsi="Verdana"/>
          <w:spacing w:val="-4"/>
          <w:sz w:val="16"/>
          <w:szCs w:val="16"/>
          <w:lang w:val="en-US"/>
        </w:rPr>
        <w:tab/>
      </w:r>
      <w:r w:rsidRPr="00CD437A">
        <w:rPr>
          <w:rFonts w:ascii="Verdana" w:hAnsi="Verdana"/>
          <w:i/>
          <w:spacing w:val="-4"/>
          <w:sz w:val="16"/>
          <w:szCs w:val="16"/>
          <w:lang w:val="en-US"/>
        </w:rPr>
        <w:t>Cf.</w:t>
      </w:r>
      <w:r w:rsidRPr="00CD437A">
        <w:rPr>
          <w:rFonts w:ascii="Verdana" w:hAnsi="Verdana"/>
          <w:spacing w:val="-4"/>
          <w:sz w:val="16"/>
          <w:szCs w:val="16"/>
          <w:lang w:val="en-US"/>
        </w:rPr>
        <w:t xml:space="preserve"> </w:t>
      </w:r>
      <w:r w:rsidRPr="00CD437A">
        <w:rPr>
          <w:rFonts w:ascii="Verdana" w:hAnsi="Verdana"/>
          <w:i/>
          <w:spacing w:val="-4"/>
          <w:sz w:val="16"/>
          <w:szCs w:val="16"/>
          <w:lang w:val="en-US"/>
        </w:rPr>
        <w:t xml:space="preserve">Case of Cantos v. Argentina. Merits, reparations and costs. </w:t>
      </w:r>
      <w:r w:rsidRPr="00CD437A">
        <w:rPr>
          <w:rFonts w:ascii="Verdana" w:hAnsi="Verdana"/>
          <w:spacing w:val="-4"/>
          <w:sz w:val="16"/>
          <w:szCs w:val="16"/>
          <w:lang w:val="en-US"/>
        </w:rPr>
        <w:t xml:space="preserve">Judgment of November 28, 2002. Series C No. 97, para. 54, and </w:t>
      </w:r>
      <w:r w:rsidRPr="00CD437A">
        <w:rPr>
          <w:rFonts w:ascii="Verdana" w:hAnsi="Verdana"/>
          <w:i/>
          <w:spacing w:val="-4"/>
          <w:sz w:val="16"/>
          <w:szCs w:val="16"/>
          <w:lang w:val="en-US"/>
        </w:rPr>
        <w:t>Case of the Garifuna Community of Punta Piedra and its Members</w:t>
      </w:r>
      <w:r w:rsidRPr="00CD437A">
        <w:rPr>
          <w:rFonts w:ascii="Verdana" w:hAnsi="Verdana"/>
          <w:bCs/>
          <w:i/>
          <w:spacing w:val="-4"/>
          <w:sz w:val="16"/>
          <w:szCs w:val="16"/>
          <w:lang w:val="en-US"/>
        </w:rPr>
        <w:t xml:space="preserve"> v. Honduras, supra,</w:t>
      </w:r>
      <w:r w:rsidRPr="00CD437A">
        <w:rPr>
          <w:rFonts w:ascii="Verdana" w:hAnsi="Verdana"/>
          <w:bCs/>
          <w:spacing w:val="-4"/>
          <w:sz w:val="16"/>
          <w:szCs w:val="16"/>
          <w:lang w:val="en-US"/>
        </w:rPr>
        <w:t xml:space="preserve"> para.</w:t>
      </w:r>
      <w:r>
        <w:rPr>
          <w:rFonts w:ascii="Verdana" w:hAnsi="Verdana"/>
          <w:bCs/>
          <w:spacing w:val="-4"/>
          <w:sz w:val="16"/>
          <w:szCs w:val="16"/>
          <w:lang w:val="en-US"/>
        </w:rPr>
        <w:t xml:space="preserve"> </w:t>
      </w:r>
      <w:r w:rsidRPr="00CD437A">
        <w:rPr>
          <w:rFonts w:ascii="Verdana" w:hAnsi="Verdana"/>
          <w:bCs/>
          <w:sz w:val="16"/>
          <w:szCs w:val="16"/>
          <w:lang w:val="en-US"/>
        </w:rPr>
        <w:t>244.</w:t>
      </w:r>
    </w:p>
  </w:footnote>
  <w:footnote w:id="142">
    <w:p w14:paraId="4C0A8927" w14:textId="77777777" w:rsidR="00E6764B" w:rsidRPr="00CD437A" w:rsidRDefault="00E6764B" w:rsidP="00CD2B15">
      <w:pPr>
        <w:pStyle w:val="Textonotapie"/>
        <w:rPr>
          <w:spacing w:val="-4"/>
        </w:rPr>
      </w:pPr>
      <w:r w:rsidRPr="00CD437A">
        <w:rPr>
          <w:rStyle w:val="Refdenotaalpie"/>
          <w:rFonts w:eastAsia="Times New Roman"/>
        </w:rPr>
        <w:footnoteRef/>
      </w:r>
      <w:r w:rsidRPr="00CD437A">
        <w:tab/>
      </w:r>
      <w:r w:rsidRPr="00CD437A">
        <w:rPr>
          <w:rFonts w:cs="Calibri"/>
        </w:rPr>
        <w:t xml:space="preserve">Cf. </w:t>
      </w:r>
      <w:r w:rsidRPr="00CD437A">
        <w:rPr>
          <w:rStyle w:val="Textoennegrita"/>
          <w:b w:val="0"/>
          <w:i/>
          <w:shd w:val="clear" w:color="auto" w:fill="FFFFFF"/>
        </w:rPr>
        <w:t>Judicial Guarantees in States of Emergency (Arts. 27(2), 25 and 8, American Convention on Human Rights)</w:t>
      </w:r>
      <w:r w:rsidRPr="00CD437A">
        <w:rPr>
          <w:rStyle w:val="Textoennegrita"/>
          <w:b w:val="0"/>
          <w:shd w:val="clear" w:color="auto" w:fill="FFFFFF"/>
        </w:rPr>
        <w:t>. Advisory Opinion OC-9/87 of October 6, 1987. Series A No. 9, para. 24</w:t>
      </w:r>
      <w:r w:rsidRPr="00CD437A">
        <w:rPr>
          <w:rFonts w:cs="Calibri"/>
        </w:rPr>
        <w:t xml:space="preserve">; </w:t>
      </w:r>
      <w:r w:rsidRPr="00CD437A">
        <w:rPr>
          <w:spacing w:val="-4"/>
        </w:rPr>
        <w:t xml:space="preserve">Case of Acevedo Jaramillo et al. v. Peru, supra, para. 220, and </w:t>
      </w:r>
      <w:r w:rsidRPr="00CD437A">
        <w:rPr>
          <w:rStyle w:val="Textoennegrita"/>
          <w:b w:val="0"/>
          <w:i/>
          <w:shd w:val="clear" w:color="auto" w:fill="FFFFFF"/>
        </w:rPr>
        <w:t xml:space="preserve">Case of </w:t>
      </w:r>
      <w:proofErr w:type="spellStart"/>
      <w:r w:rsidRPr="00CD437A">
        <w:rPr>
          <w:rStyle w:val="Textoennegrita"/>
          <w:b w:val="0"/>
          <w:i/>
          <w:shd w:val="clear" w:color="auto" w:fill="FFFFFF"/>
        </w:rPr>
        <w:t>Cuscul</w:t>
      </w:r>
      <w:proofErr w:type="spellEnd"/>
      <w:r w:rsidRPr="00CD437A">
        <w:rPr>
          <w:rStyle w:val="Textoennegrita"/>
          <w:b w:val="0"/>
          <w:i/>
          <w:shd w:val="clear" w:color="auto" w:fill="FFFFFF"/>
        </w:rPr>
        <w:t xml:space="preserve"> </w:t>
      </w:r>
      <w:proofErr w:type="spellStart"/>
      <w:r w:rsidRPr="00CD437A">
        <w:rPr>
          <w:rStyle w:val="Textoennegrita"/>
          <w:b w:val="0"/>
          <w:i/>
          <w:shd w:val="clear" w:color="auto" w:fill="FFFFFF"/>
        </w:rPr>
        <w:t>Pivaral</w:t>
      </w:r>
      <w:proofErr w:type="spellEnd"/>
      <w:r w:rsidRPr="00CD437A">
        <w:rPr>
          <w:rStyle w:val="Textoennegrita"/>
          <w:b w:val="0"/>
          <w:i/>
          <w:shd w:val="clear" w:color="auto" w:fill="FFFFFF"/>
        </w:rPr>
        <w:t xml:space="preserve"> et al. v. Guatemala, supra,</w:t>
      </w:r>
      <w:r w:rsidRPr="00CD437A">
        <w:rPr>
          <w:rFonts w:cs="Calibri"/>
          <w:b/>
        </w:rPr>
        <w:t xml:space="preserve"> </w:t>
      </w:r>
      <w:r w:rsidRPr="00CD437A">
        <w:rPr>
          <w:rFonts w:cs="Calibri"/>
        </w:rPr>
        <w:t>para. 169.</w:t>
      </w:r>
    </w:p>
  </w:footnote>
  <w:footnote w:id="143">
    <w:p w14:paraId="4B3C7189" w14:textId="77777777" w:rsidR="00E6764B" w:rsidRPr="00CD437A" w:rsidRDefault="00E6764B" w:rsidP="00CD2B15">
      <w:pPr>
        <w:pStyle w:val="Textonotapie"/>
      </w:pPr>
      <w:r w:rsidRPr="00CD437A">
        <w:rPr>
          <w:rStyle w:val="Refdenotaalpie"/>
          <w:rFonts w:eastAsia="Times New Roman"/>
          <w:spacing w:val="-4"/>
        </w:rPr>
        <w:footnoteRef/>
      </w:r>
      <w:r w:rsidRPr="00CD437A">
        <w:t xml:space="preserve"> </w:t>
      </w:r>
      <w:r w:rsidRPr="00CD437A">
        <w:tab/>
        <w:t xml:space="preserve">Cf. Case of </w:t>
      </w:r>
      <w:proofErr w:type="spellStart"/>
      <w:r w:rsidRPr="00CD437A">
        <w:t>Baena</w:t>
      </w:r>
      <w:proofErr w:type="spellEnd"/>
      <w:r w:rsidRPr="00CD437A">
        <w:t xml:space="preserve"> Ricardo et al. v. Panama. Jurisdiction, supra, para. 73, and </w:t>
      </w:r>
      <w:r w:rsidRPr="00CD437A">
        <w:rPr>
          <w:bCs/>
        </w:rPr>
        <w:t xml:space="preserve">Case of </w:t>
      </w:r>
      <w:proofErr w:type="spellStart"/>
      <w:r w:rsidRPr="00CD437A">
        <w:rPr>
          <w:bCs/>
        </w:rPr>
        <w:t>Colindres</w:t>
      </w:r>
      <w:proofErr w:type="spellEnd"/>
      <w:r w:rsidRPr="00CD437A">
        <w:rPr>
          <w:bCs/>
        </w:rPr>
        <w:t xml:space="preserve"> </w:t>
      </w:r>
      <w:proofErr w:type="spellStart"/>
      <w:r w:rsidRPr="00CD437A">
        <w:rPr>
          <w:bCs/>
        </w:rPr>
        <w:t>Schonenberg</w:t>
      </w:r>
      <w:proofErr w:type="spellEnd"/>
      <w:r w:rsidRPr="00CD437A">
        <w:rPr>
          <w:bCs/>
        </w:rPr>
        <w:t xml:space="preserve"> v. El Salvador</w:t>
      </w:r>
      <w:r w:rsidRPr="00CD437A">
        <w:t xml:space="preserve">, supra, para.101. </w:t>
      </w:r>
    </w:p>
  </w:footnote>
  <w:footnote w:id="144">
    <w:p w14:paraId="68DC82D6"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t xml:space="preserve">Cf. Case of </w:t>
      </w:r>
      <w:proofErr w:type="spellStart"/>
      <w:r w:rsidRPr="00CD437A">
        <w:t>Mejía</w:t>
      </w:r>
      <w:proofErr w:type="spellEnd"/>
      <w:r w:rsidRPr="00CD437A">
        <w:t xml:space="preserve"> </w:t>
      </w:r>
      <w:proofErr w:type="spellStart"/>
      <w:r w:rsidRPr="00CD437A">
        <w:t>Idrovo</w:t>
      </w:r>
      <w:proofErr w:type="spellEnd"/>
      <w:r w:rsidRPr="00CD437A">
        <w:t xml:space="preserve"> v. Ecuador. Preliminary objections, merits, reparations and costs. Judgment of July 5, 2011. Series C No. 228, para. 105, and </w:t>
      </w:r>
      <w:r w:rsidRPr="00CD437A">
        <w:rPr>
          <w:rStyle w:val="Textoennegrita"/>
          <w:b w:val="0"/>
          <w:i/>
          <w:color w:val="000000"/>
          <w:shd w:val="clear" w:color="auto" w:fill="FFFFFF"/>
        </w:rPr>
        <w:t>Case of the Garifuna Community of Punta Piedra and its Members v. Honduras, supra</w:t>
      </w:r>
      <w:r w:rsidRPr="00CD437A">
        <w:rPr>
          <w:rStyle w:val="Textoennegrita"/>
          <w:b w:val="0"/>
          <w:color w:val="000000"/>
          <w:shd w:val="clear" w:color="auto" w:fill="FFFFFF"/>
        </w:rPr>
        <w:t>, para. 244.</w:t>
      </w:r>
    </w:p>
  </w:footnote>
  <w:footnote w:id="145">
    <w:p w14:paraId="6E94456C" w14:textId="77777777" w:rsidR="00E6764B" w:rsidRPr="00CD437A" w:rsidRDefault="00E6764B" w:rsidP="008E6A56">
      <w:pPr>
        <w:spacing w:after="120"/>
        <w:rPr>
          <w:rFonts w:ascii="Verdana" w:hAnsi="Verdana"/>
          <w:bCs/>
          <w:sz w:val="16"/>
          <w:szCs w:val="16"/>
          <w:lang w:val="en-US"/>
        </w:rPr>
      </w:pPr>
      <w:r w:rsidRPr="00CD437A">
        <w:rPr>
          <w:rStyle w:val="Refdenotaalpie"/>
          <w:rFonts w:cs="Times"/>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eastAsia="Times New Roman" w:hAnsi="Verdana"/>
          <w:i/>
          <w:sz w:val="16"/>
          <w:szCs w:val="16"/>
          <w:lang w:val="en-US" w:eastAsia="x-none"/>
        </w:rPr>
        <w:t>Cf.</w:t>
      </w:r>
      <w:r w:rsidRPr="00CD437A">
        <w:rPr>
          <w:rFonts w:ascii="Verdana" w:eastAsia="Times New Roman" w:hAnsi="Verdana"/>
          <w:sz w:val="16"/>
          <w:szCs w:val="16"/>
          <w:lang w:val="en-US" w:eastAsia="x-none"/>
        </w:rPr>
        <w:t xml:space="preserve"> </w:t>
      </w:r>
      <w:r w:rsidRPr="00CD437A">
        <w:rPr>
          <w:rFonts w:ascii="Verdana" w:eastAsia="Times New Roman" w:hAnsi="Verdana"/>
          <w:i/>
          <w:sz w:val="16"/>
          <w:szCs w:val="16"/>
          <w:lang w:val="en-US" w:eastAsia="x-none"/>
        </w:rPr>
        <w:t>Case of Mejía Idrovo v. Ecuador</w:t>
      </w:r>
      <w:r w:rsidRPr="00CD437A">
        <w:rPr>
          <w:rFonts w:ascii="Verdana" w:eastAsia="Times New Roman" w:hAnsi="Verdana"/>
          <w:sz w:val="16"/>
          <w:szCs w:val="16"/>
          <w:lang w:val="en-US" w:eastAsia="x-none"/>
        </w:rPr>
        <w:t xml:space="preserve">, para. 105, citing </w:t>
      </w:r>
      <w:r w:rsidRPr="00CD437A">
        <w:rPr>
          <w:rFonts w:ascii="Verdana" w:eastAsia="Times New Roman" w:hAnsi="Verdana" w:cs="TimesNewRomanPS-ItalicMT"/>
          <w:iCs/>
          <w:sz w:val="16"/>
          <w:szCs w:val="16"/>
          <w:lang w:val="en-US" w:eastAsia="x-none"/>
        </w:rPr>
        <w:t xml:space="preserve">ECHR, </w:t>
      </w:r>
      <w:r w:rsidRPr="00CD437A">
        <w:rPr>
          <w:rFonts w:ascii="Verdana" w:eastAsia="Times New Roman" w:hAnsi="Verdana"/>
          <w:i/>
          <w:sz w:val="16"/>
          <w:szCs w:val="16"/>
          <w:lang w:val="en-US" w:eastAsia="x-none"/>
        </w:rPr>
        <w:t xml:space="preserve">Case of </w:t>
      </w:r>
      <w:r w:rsidRPr="00CD437A">
        <w:rPr>
          <w:rFonts w:ascii="Verdana" w:eastAsia="Times New Roman" w:hAnsi="Verdana"/>
          <w:i/>
          <w:iCs/>
          <w:sz w:val="16"/>
          <w:szCs w:val="16"/>
          <w:lang w:val="en-US" w:eastAsia="x-none"/>
        </w:rPr>
        <w:t>Matheus v. France</w:t>
      </w:r>
      <w:r w:rsidRPr="00CD437A">
        <w:rPr>
          <w:rFonts w:ascii="Verdana" w:eastAsia="Times New Roman" w:hAnsi="Verdana"/>
          <w:sz w:val="16"/>
          <w:szCs w:val="16"/>
          <w:lang w:val="en-US" w:eastAsia="x-none"/>
        </w:rPr>
        <w:t xml:space="preserve">, (No. </w:t>
      </w:r>
      <w:r w:rsidRPr="00CD437A">
        <w:rPr>
          <w:rFonts w:ascii="Verdana" w:eastAsia="Times New Roman" w:hAnsi="Verdana"/>
          <w:iCs/>
          <w:sz w:val="16"/>
          <w:szCs w:val="16"/>
          <w:lang w:val="en-US" w:eastAsia="x-none"/>
        </w:rPr>
        <w:t>62740/01),</w:t>
      </w:r>
      <w:r w:rsidRPr="00CD437A">
        <w:rPr>
          <w:rFonts w:ascii="Verdana" w:eastAsia="Times New Roman" w:hAnsi="Verdana"/>
          <w:sz w:val="16"/>
          <w:szCs w:val="16"/>
          <w:lang w:val="en-US" w:eastAsia="x-none"/>
        </w:rPr>
        <w:t xml:space="preserve"> Judgment of March 31, 2005, para. 58. </w:t>
      </w:r>
      <w:r w:rsidRPr="00CD437A">
        <w:rPr>
          <w:rFonts w:ascii="Verdana" w:hAnsi="Verdana"/>
          <w:sz w:val="16"/>
          <w:szCs w:val="16"/>
          <w:lang w:val="en-US"/>
        </w:rPr>
        <w:t xml:space="preserve">According to the principles proposed by </w:t>
      </w:r>
      <w:r w:rsidRPr="00CD437A">
        <w:rPr>
          <w:rFonts w:ascii="Verdana" w:eastAsia="Times New Roman" w:hAnsi="Verdana"/>
          <w:sz w:val="16"/>
          <w:szCs w:val="16"/>
          <w:lang w:val="en-US" w:eastAsia="x-none"/>
        </w:rPr>
        <w:t xml:space="preserve">the Consultative Council of European Judges (CCJE), an advisory body of the </w:t>
      </w:r>
      <w:r w:rsidRPr="00CD437A">
        <w:rPr>
          <w:rFonts w:ascii="Verdana" w:hAnsi="Verdana" w:cs="Arial"/>
          <w:color w:val="161616"/>
          <w:sz w:val="16"/>
          <w:szCs w:val="16"/>
          <w:shd w:val="clear" w:color="auto" w:fill="FFFFFF"/>
          <w:lang w:val="en-US"/>
        </w:rPr>
        <w:t>Committee of Ministers of the Council of Europe</w:t>
      </w:r>
      <w:r w:rsidRPr="00CD437A">
        <w:rPr>
          <w:rFonts w:ascii="Verdana" w:eastAsia="Times New Roman" w:hAnsi="Verdana"/>
          <w:sz w:val="16"/>
          <w:szCs w:val="16"/>
          <w:lang w:val="en-US" w:eastAsia="x-none"/>
        </w:rPr>
        <w:t xml:space="preserve"> on matters concerning the </w:t>
      </w:r>
      <w:r w:rsidRPr="00CD437A">
        <w:rPr>
          <w:rFonts w:ascii="Verdana" w:hAnsi="Verdana" w:cs="Arial"/>
          <w:color w:val="161616"/>
          <w:sz w:val="16"/>
          <w:szCs w:val="16"/>
          <w:shd w:val="clear" w:color="auto" w:fill="FFFFFF"/>
          <w:lang w:val="en-US"/>
        </w:rPr>
        <w:t>independence, impartiality and professional competence of judges</w:t>
      </w:r>
      <w:r w:rsidRPr="00CD437A">
        <w:rPr>
          <w:rFonts w:ascii="Verdana" w:eastAsia="Times New Roman" w:hAnsi="Verdana"/>
          <w:sz w:val="16"/>
          <w:szCs w:val="16"/>
          <w:lang w:val="en-US" w:eastAsia="x-none"/>
        </w:rPr>
        <w:t>, “the enforcement of judicial decisions should be fair, swift, effective and proportionate</w:t>
      </w:r>
      <w:r>
        <w:rPr>
          <w:rFonts w:ascii="Verdana" w:eastAsia="Times New Roman" w:hAnsi="Verdana"/>
          <w:sz w:val="16"/>
          <w:szCs w:val="16"/>
          <w:lang w:val="en-US" w:eastAsia="x-none"/>
        </w:rPr>
        <w:t>.</w:t>
      </w:r>
      <w:r w:rsidRPr="00CD437A">
        <w:rPr>
          <w:rFonts w:ascii="Verdana" w:eastAsia="Times New Roman" w:hAnsi="Verdana"/>
          <w:sz w:val="16"/>
          <w:szCs w:val="16"/>
          <w:lang w:val="en-US" w:eastAsia="x-none"/>
        </w:rPr>
        <w:t>” (</w:t>
      </w:r>
      <w:r w:rsidRPr="00CD437A">
        <w:rPr>
          <w:rFonts w:ascii="Verdana" w:eastAsia="Times New Roman" w:hAnsi="Verdana"/>
          <w:i/>
          <w:sz w:val="16"/>
          <w:szCs w:val="16"/>
          <w:lang w:val="en-US" w:eastAsia="x-none"/>
        </w:rPr>
        <w:t xml:space="preserve">Cf. </w:t>
      </w:r>
      <w:r w:rsidRPr="00CD437A">
        <w:rPr>
          <w:rFonts w:ascii="Verdana" w:eastAsia="Times New Roman" w:hAnsi="Verdana"/>
          <w:bCs/>
          <w:sz w:val="16"/>
          <w:szCs w:val="16"/>
          <w:lang w:val="en-US" w:eastAsia="x-none"/>
        </w:rPr>
        <w:t xml:space="preserve">Opinion No. 13 (2010), </w:t>
      </w:r>
      <w:r w:rsidRPr="00CD437A">
        <w:rPr>
          <w:rFonts w:ascii="Verdana" w:eastAsia="Times New Roman" w:hAnsi="Verdana"/>
          <w:bCs/>
          <w:i/>
          <w:sz w:val="16"/>
          <w:szCs w:val="16"/>
          <w:lang w:val="en-US" w:eastAsia="x-none"/>
        </w:rPr>
        <w:t>On the role of judges in the enforcement of judicial decisions</w:t>
      </w:r>
      <w:r w:rsidRPr="00CD437A">
        <w:rPr>
          <w:rFonts w:ascii="Verdana" w:eastAsia="Times New Roman" w:hAnsi="Verdana"/>
          <w:bCs/>
          <w:sz w:val="16"/>
          <w:szCs w:val="16"/>
          <w:lang w:val="en-US" w:eastAsia="x-none"/>
        </w:rPr>
        <w:t xml:space="preserve">. </w:t>
      </w:r>
      <w:r w:rsidRPr="00CD437A">
        <w:rPr>
          <w:rFonts w:ascii="Verdana" w:eastAsia="Times New Roman" w:hAnsi="Verdana"/>
          <w:sz w:val="16"/>
          <w:szCs w:val="16"/>
          <w:lang w:val="en-US" w:eastAsia="x-none"/>
        </w:rPr>
        <w:t xml:space="preserve">Available at: </w:t>
      </w:r>
      <w:hyperlink r:id="rId3" w:history="1">
        <w:r w:rsidRPr="00CD437A">
          <w:rPr>
            <w:rFonts w:ascii="Verdana" w:eastAsia="Times New Roman" w:hAnsi="Verdana"/>
            <w:sz w:val="16"/>
            <w:szCs w:val="16"/>
            <w:lang w:val="en-US" w:eastAsia="x-none"/>
          </w:rPr>
          <w:t>https://wcd.coe.int/wcd/ViewDoc.jsp?Ref=CCJE(2010)2&amp;Language=lanEnglish&amp;Ver=original&amp;BackColorInternet=DBDCF2&amp;BackColorIntranet=FDC864&amp;BackColorLogged=FDC864</w:t>
        </w:r>
      </w:hyperlink>
      <w:r w:rsidRPr="00CD437A">
        <w:rPr>
          <w:rFonts w:ascii="Verdana" w:eastAsia="Times New Roman" w:hAnsi="Verdana"/>
          <w:sz w:val="16"/>
          <w:szCs w:val="16"/>
          <w:lang w:val="en-US" w:eastAsia="x-none"/>
        </w:rPr>
        <w:t>.</w:t>
      </w:r>
    </w:p>
  </w:footnote>
  <w:footnote w:id="146">
    <w:p w14:paraId="49383FD6" w14:textId="77777777" w:rsidR="00E6764B" w:rsidRPr="00CD437A" w:rsidRDefault="00E6764B" w:rsidP="00CD2B15">
      <w:pPr>
        <w:pStyle w:val="Textonotapie"/>
      </w:pPr>
      <w:r w:rsidRPr="00CD437A">
        <w:rPr>
          <w:rStyle w:val="Refdenotaalpie"/>
          <w:rFonts w:cs="Times"/>
        </w:rPr>
        <w:footnoteRef/>
      </w:r>
      <w:r w:rsidRPr="00CD437A">
        <w:t xml:space="preserve"> </w:t>
      </w:r>
      <w:r w:rsidRPr="00CD437A">
        <w:tab/>
        <w:t xml:space="preserve">Cf. Case of </w:t>
      </w:r>
      <w:proofErr w:type="spellStart"/>
      <w:r w:rsidRPr="00CD437A">
        <w:t>Mejía</w:t>
      </w:r>
      <w:proofErr w:type="spellEnd"/>
      <w:r w:rsidRPr="00CD437A">
        <w:t xml:space="preserve"> </w:t>
      </w:r>
      <w:proofErr w:type="spellStart"/>
      <w:r w:rsidRPr="00CD437A">
        <w:t>Idrovo</w:t>
      </w:r>
      <w:proofErr w:type="spellEnd"/>
      <w:r w:rsidRPr="00CD437A">
        <w:t xml:space="preserve"> v. Ecuador, supra, para. 106. Cf. Advisory Opinion No. 13 (2010) On the role of judges in the enforcement of judicial decisions, Conclusions, F), supra note 84. See </w:t>
      </w:r>
      <w:r w:rsidRPr="00CD437A">
        <w:rPr>
          <w:rFonts w:eastAsia="Times New Roman"/>
          <w:lang w:eastAsia="en-US"/>
        </w:rPr>
        <w:t xml:space="preserve">also </w:t>
      </w:r>
      <w:r w:rsidRPr="00CD437A">
        <w:rPr>
          <w:rFonts w:eastAsia="Times New Roman"/>
          <w:iCs/>
          <w:lang w:eastAsia="en-US"/>
        </w:rPr>
        <w:t>Case of Matheus v. France</w:t>
      </w:r>
      <w:r w:rsidRPr="00CD437A">
        <w:rPr>
          <w:rFonts w:eastAsia="Times New Roman"/>
          <w:lang w:eastAsia="en-US"/>
        </w:rPr>
        <w:t>, supra note 84</w:t>
      </w:r>
      <w:r w:rsidRPr="00CD437A">
        <w:rPr>
          <w:rFonts w:eastAsia="Times New Roman"/>
          <w:iCs/>
          <w:lang w:eastAsia="en-US"/>
        </w:rPr>
        <w:t xml:space="preserve">, paras. 58 and </w:t>
      </w:r>
      <w:proofErr w:type="spellStart"/>
      <w:r w:rsidRPr="00CD437A">
        <w:rPr>
          <w:rFonts w:eastAsia="Times New Roman"/>
          <w:iCs/>
          <w:lang w:eastAsia="en-US"/>
        </w:rPr>
        <w:t>subsq</w:t>
      </w:r>
      <w:proofErr w:type="spellEnd"/>
      <w:r w:rsidRPr="00CD437A">
        <w:rPr>
          <w:rFonts w:eastAsia="Times New Roman"/>
          <w:iCs/>
          <w:lang w:eastAsia="en-US"/>
        </w:rPr>
        <w:t xml:space="preserve">; and </w:t>
      </w:r>
      <w:proofErr w:type="spellStart"/>
      <w:r w:rsidRPr="00CD437A">
        <w:rPr>
          <w:rFonts w:eastAsia="Times New Roman" w:cs="Times"/>
          <w:iCs/>
          <w:lang w:eastAsia="en-US"/>
        </w:rPr>
        <w:t>Cabourdin</w:t>
      </w:r>
      <w:proofErr w:type="spellEnd"/>
      <w:r w:rsidRPr="00CD437A">
        <w:rPr>
          <w:rFonts w:eastAsia="Times New Roman" w:cs="Times"/>
          <w:iCs/>
          <w:lang w:eastAsia="en-US"/>
        </w:rPr>
        <w:t xml:space="preserve"> versus</w:t>
      </w:r>
      <w:r w:rsidRPr="00CD437A">
        <w:rPr>
          <w:rFonts w:eastAsia="Times New Roman"/>
          <w:lang w:eastAsia="en-US"/>
        </w:rPr>
        <w:t xml:space="preserve"> </w:t>
      </w:r>
      <w:r w:rsidRPr="00CD437A">
        <w:rPr>
          <w:rFonts w:eastAsia="Times New Roman" w:cs="Times"/>
          <w:iCs/>
          <w:lang w:eastAsia="en-US"/>
        </w:rPr>
        <w:t>France</w:t>
      </w:r>
      <w:r w:rsidRPr="00CD437A">
        <w:rPr>
          <w:rFonts w:eastAsia="Times New Roman"/>
          <w:lang w:eastAsia="en-US"/>
        </w:rPr>
        <w:t>, nº 60796/00, Judgment of April 11, 2006, paras.</w:t>
      </w:r>
      <w:r w:rsidRPr="00CD437A">
        <w:rPr>
          <w:rFonts w:eastAsia="Times New Roman"/>
          <w:iCs/>
          <w:lang w:eastAsia="en-US"/>
        </w:rPr>
        <w:t xml:space="preserve"> 28-</w:t>
      </w:r>
      <w:r w:rsidRPr="00CD437A">
        <w:rPr>
          <w:rFonts w:eastAsia="Times New Roman"/>
          <w:lang w:eastAsia="en-US"/>
        </w:rPr>
        <w:t>30.</w:t>
      </w:r>
      <w:r w:rsidRPr="00CD437A">
        <w:t xml:space="preserve"> </w:t>
      </w:r>
    </w:p>
  </w:footnote>
  <w:footnote w:id="147">
    <w:p w14:paraId="0DF5DB79" w14:textId="77777777" w:rsidR="00E6764B" w:rsidRPr="00CD437A" w:rsidRDefault="00E6764B" w:rsidP="00CD2B15">
      <w:pPr>
        <w:pStyle w:val="Textonotapie"/>
      </w:pPr>
      <w:r w:rsidRPr="00CD437A">
        <w:rPr>
          <w:rStyle w:val="Refdenotaalpie"/>
          <w:rFonts w:cs="Times"/>
        </w:rPr>
        <w:footnoteRef/>
      </w:r>
      <w:r w:rsidRPr="00CD437A">
        <w:t xml:space="preserve"> </w:t>
      </w:r>
      <w:r w:rsidRPr="00CD437A">
        <w:tab/>
        <w:t xml:space="preserve">This means that compliance </w:t>
      </w:r>
      <w:r>
        <w:t xml:space="preserve">with such decisions </w:t>
      </w:r>
      <w:r w:rsidRPr="00CD437A">
        <w:t xml:space="preserve">is mandatory, and that if they are not obeyed voluntarily, they may be enforced coercively. </w:t>
      </w:r>
      <w:r w:rsidRPr="00CD437A">
        <w:rPr>
          <w:i/>
        </w:rPr>
        <w:t xml:space="preserve">Cf. Case of </w:t>
      </w:r>
      <w:proofErr w:type="spellStart"/>
      <w:r w:rsidRPr="00CD437A">
        <w:rPr>
          <w:i/>
        </w:rPr>
        <w:t>Mejía</w:t>
      </w:r>
      <w:proofErr w:type="spellEnd"/>
      <w:r w:rsidRPr="00CD437A">
        <w:rPr>
          <w:i/>
        </w:rPr>
        <w:t xml:space="preserve"> </w:t>
      </w:r>
      <w:proofErr w:type="spellStart"/>
      <w:r w:rsidRPr="00CD437A">
        <w:rPr>
          <w:i/>
        </w:rPr>
        <w:t>Idrovo</w:t>
      </w:r>
      <w:proofErr w:type="spellEnd"/>
      <w:r w:rsidRPr="00CD437A">
        <w:rPr>
          <w:i/>
        </w:rPr>
        <w:t xml:space="preserve"> v. Ecuador, supra,</w:t>
      </w:r>
      <w:r w:rsidRPr="00CD437A">
        <w:t xml:space="preserve"> para. 106.</w:t>
      </w:r>
    </w:p>
  </w:footnote>
  <w:footnote w:id="148">
    <w:p w14:paraId="2BF1658F" w14:textId="77777777" w:rsidR="00E6764B" w:rsidRPr="00CD437A" w:rsidRDefault="00E6764B" w:rsidP="00CD2B15">
      <w:pPr>
        <w:pStyle w:val="Textonotapie"/>
        <w:rPr>
          <w:i/>
        </w:rPr>
      </w:pPr>
      <w:r w:rsidRPr="00CD437A">
        <w:rPr>
          <w:rStyle w:val="Refdenotaalpie"/>
          <w:rFonts w:cs="Times"/>
        </w:rPr>
        <w:footnoteRef/>
      </w:r>
      <w:r w:rsidRPr="00CD437A">
        <w:t xml:space="preserve"> </w:t>
      </w:r>
      <w:r w:rsidRPr="00CD437A">
        <w:tab/>
        <w:t xml:space="preserve">The European Court has established in the </w:t>
      </w:r>
      <w:r w:rsidRPr="00CD437A">
        <w:rPr>
          <w:i/>
        </w:rPr>
        <w:t>Case of</w:t>
      </w:r>
      <w:r w:rsidRPr="00CD437A">
        <w:t xml:space="preserve"> </w:t>
      </w:r>
      <w:proofErr w:type="spellStart"/>
      <w:r w:rsidRPr="00CD437A">
        <w:rPr>
          <w:i/>
        </w:rPr>
        <w:t>Inmobiliare</w:t>
      </w:r>
      <w:proofErr w:type="spellEnd"/>
      <w:r w:rsidRPr="00CD437A">
        <w:rPr>
          <w:i/>
        </w:rPr>
        <w:t xml:space="preserve"> </w:t>
      </w:r>
      <w:proofErr w:type="spellStart"/>
      <w:r w:rsidRPr="00CD437A">
        <w:rPr>
          <w:i/>
        </w:rPr>
        <w:t>Saffi</w:t>
      </w:r>
      <w:proofErr w:type="spellEnd"/>
      <w:r w:rsidRPr="00CD437A">
        <w:rPr>
          <w:i/>
        </w:rPr>
        <w:t xml:space="preserve"> v. Italy</w:t>
      </w:r>
      <w:r w:rsidRPr="00CD437A">
        <w:t xml:space="preserve">: “While it may be accepted that Contracting States may [...] intervene in proceedings for the enforcement of a judicial decision, the consequence of such intervention should not be that execution is prevented, invalidated or unduly delayed or, still less, that the substance of the decision is undermined.” (Translation of the Secretariat of the Court). </w:t>
      </w:r>
      <w:r w:rsidRPr="00CD437A">
        <w:rPr>
          <w:i/>
        </w:rPr>
        <w:t xml:space="preserve">Cf. </w:t>
      </w:r>
      <w:r w:rsidRPr="00CD437A">
        <w:rPr>
          <w:rFonts w:cs="TimesNewRomanPS-ItalicMT"/>
          <w:iCs/>
        </w:rPr>
        <w:t xml:space="preserve">ECHR, </w:t>
      </w:r>
      <w:r w:rsidRPr="00CD437A">
        <w:rPr>
          <w:i/>
        </w:rPr>
        <w:t xml:space="preserve">Case of </w:t>
      </w:r>
      <w:proofErr w:type="spellStart"/>
      <w:r w:rsidRPr="00CD437A">
        <w:rPr>
          <w:i/>
        </w:rPr>
        <w:t>Inmobiliare</w:t>
      </w:r>
      <w:proofErr w:type="spellEnd"/>
      <w:r w:rsidRPr="00CD437A">
        <w:rPr>
          <w:i/>
        </w:rPr>
        <w:t xml:space="preserve"> </w:t>
      </w:r>
      <w:proofErr w:type="spellStart"/>
      <w:r w:rsidRPr="00CD437A">
        <w:rPr>
          <w:i/>
        </w:rPr>
        <w:t>Saffi</w:t>
      </w:r>
      <w:proofErr w:type="spellEnd"/>
      <w:r w:rsidRPr="00CD437A">
        <w:rPr>
          <w:i/>
        </w:rPr>
        <w:t xml:space="preserve"> v. Italy, </w:t>
      </w:r>
      <w:r w:rsidRPr="00CD437A">
        <w:rPr>
          <w:iCs/>
        </w:rPr>
        <w:t xml:space="preserve">n° 22774/93, </w:t>
      </w:r>
      <w:r w:rsidRPr="00CD437A">
        <w:t>Judgment of 28.07.1999</w:t>
      </w:r>
      <w:r w:rsidRPr="00CD437A">
        <w:rPr>
          <w:i/>
        </w:rPr>
        <w:t xml:space="preserve">, </w:t>
      </w:r>
      <w:r w:rsidRPr="00CD437A">
        <w:t>para. 74.</w:t>
      </w:r>
      <w:r w:rsidRPr="00CD437A">
        <w:rPr>
          <w:i/>
        </w:rPr>
        <w:t xml:space="preserve"> Cf. Case of </w:t>
      </w:r>
      <w:proofErr w:type="spellStart"/>
      <w:r w:rsidRPr="00CD437A">
        <w:rPr>
          <w:i/>
        </w:rPr>
        <w:t>Mejía</w:t>
      </w:r>
      <w:proofErr w:type="spellEnd"/>
      <w:r w:rsidRPr="00CD437A">
        <w:rPr>
          <w:i/>
        </w:rPr>
        <w:t xml:space="preserve"> </w:t>
      </w:r>
      <w:proofErr w:type="spellStart"/>
      <w:r w:rsidRPr="00CD437A">
        <w:rPr>
          <w:i/>
        </w:rPr>
        <w:t>Idrovo</w:t>
      </w:r>
      <w:proofErr w:type="spellEnd"/>
      <w:r w:rsidRPr="00CD437A">
        <w:rPr>
          <w:i/>
        </w:rPr>
        <w:t xml:space="preserve"> v. Ecuador, supra,</w:t>
      </w:r>
      <w:r w:rsidRPr="00CD437A">
        <w:t xml:space="preserve"> para. 106.</w:t>
      </w:r>
    </w:p>
  </w:footnote>
  <w:footnote w:id="149">
    <w:p w14:paraId="66D1E60E"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The Court has also established that the State´s liability may also result from acts committed by private individuals which, in principle, are not attributable to the State. The effects of the duties </w:t>
      </w:r>
      <w:proofErr w:type="spellStart"/>
      <w:r w:rsidRPr="00CD437A">
        <w:rPr>
          <w:i/>
        </w:rPr>
        <w:t>erga</w:t>
      </w:r>
      <w:proofErr w:type="spellEnd"/>
      <w:r w:rsidRPr="00CD437A">
        <w:rPr>
          <w:i/>
        </w:rPr>
        <w:t xml:space="preserve"> </w:t>
      </w:r>
      <w:proofErr w:type="spellStart"/>
      <w:r w:rsidRPr="00CD437A">
        <w:rPr>
          <w:i/>
        </w:rPr>
        <w:t>omnes</w:t>
      </w:r>
      <w:proofErr w:type="spellEnd"/>
      <w:r w:rsidRPr="00CD437A">
        <w:t xml:space="preserve"> of the States to respect and guarantee protection norms and to ensure the effectiveness of rights go beyond the relationship between their agents and the individuals under their jurisdiction, since they are embodied in the positive duty of the State to adopt such measures as may be necessary to ensure the effective protection of human rights in relationships between individuals. The assumptions of the State’s liability for the violation of rights enshrined in the Convention may include both the acts and the failure to act attributable to State bodies or officials, as well as the failure of the State to prevent third parties from impairing the juridical rights protected by human rights. </w:t>
      </w:r>
      <w:r w:rsidRPr="00CD437A">
        <w:rPr>
          <w:i/>
        </w:rPr>
        <w:t xml:space="preserve">Cf. </w:t>
      </w:r>
      <w:r>
        <w:rPr>
          <w:i/>
        </w:rPr>
        <w:t>Mutatis mutandis</w:t>
      </w:r>
      <w:r w:rsidRPr="00CD437A">
        <w:rPr>
          <w:i/>
        </w:rPr>
        <w:t xml:space="preserve">, Ximenes Lopes v. Brazil. </w:t>
      </w:r>
      <w:r w:rsidRPr="00CD437A">
        <w:t xml:space="preserve">Judgment of July 4, 2006. Series C No. 149, paras. 85 and 86. </w:t>
      </w:r>
    </w:p>
  </w:footnote>
  <w:footnote w:id="150">
    <w:p w14:paraId="1D738F63"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Article 1 of Law No. 28115 entitled “Law that expands and specifies the scope of Law N°27719 “Law of recognition, declaration and qualification of pension rights legally acquired under Decree Law N°20530 with </w:t>
      </w:r>
      <w:r>
        <w:t xml:space="preserve">its </w:t>
      </w:r>
      <w:r w:rsidRPr="00CD437A">
        <w:t xml:space="preserve">amendments and supplementary regulations”, published in the Official Gazette </w:t>
      </w:r>
      <w:r w:rsidRPr="00CD437A">
        <w:rPr>
          <w:i/>
        </w:rPr>
        <w:t xml:space="preserve">El </w:t>
      </w:r>
      <w:proofErr w:type="spellStart"/>
      <w:r w:rsidRPr="00CD437A">
        <w:rPr>
          <w:i/>
        </w:rPr>
        <w:t>Peruano</w:t>
      </w:r>
      <w:proofErr w:type="spellEnd"/>
      <w:r w:rsidRPr="00CD437A">
        <w:t xml:space="preserve"> on December 6, 2003 (evidence file, folio 1694).</w:t>
      </w:r>
    </w:p>
  </w:footnote>
  <w:footnote w:id="151">
    <w:p w14:paraId="75509CCF" w14:textId="77777777" w:rsidR="00E6764B" w:rsidRPr="00CD437A" w:rsidRDefault="00E6764B" w:rsidP="00CD2B15">
      <w:pPr>
        <w:pStyle w:val="Textonotapie"/>
      </w:pPr>
      <w:r w:rsidRPr="00CD437A">
        <w:rPr>
          <w:rStyle w:val="Refdenotaalpie"/>
        </w:rPr>
        <w:footnoteRef/>
      </w:r>
      <w:r w:rsidRPr="00CD437A">
        <w:t xml:space="preserve"> </w:t>
      </w:r>
      <w:r w:rsidRPr="00CD437A">
        <w:tab/>
        <w:t>As of 1996, and pursuant to Legislative Decree No. 817, the Pension Standardization Office (ONP) was the State body responsible for defending the State’s interests in all judicial proceedings related to the application of pension rights (</w:t>
      </w:r>
      <w:r w:rsidRPr="00CD437A">
        <w:rPr>
          <w:i/>
        </w:rPr>
        <w:t>supra</w:t>
      </w:r>
      <w:r w:rsidRPr="00CD437A">
        <w:t xml:space="preserve"> para. 70).</w:t>
      </w:r>
    </w:p>
  </w:footnote>
  <w:footnote w:id="152">
    <w:p w14:paraId="309C94DB"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Affidavit rendered by Christian </w:t>
      </w:r>
      <w:proofErr w:type="spellStart"/>
      <w:r w:rsidRPr="00CD437A">
        <w:t>Courtis</w:t>
      </w:r>
      <w:proofErr w:type="spellEnd"/>
      <w:r w:rsidRPr="00CD437A">
        <w:t xml:space="preserve"> on August 30, 2018 (evidence file, affidavits, folio 1821).</w:t>
      </w:r>
    </w:p>
  </w:footnote>
  <w:footnote w:id="153">
    <w:p w14:paraId="02075F8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Answering brief of the State to the IACHR Merits Report N° 3/17 and observations to the pleadings and motions brief of the representatives of the alleged victim (merits file, folio 310).</w:t>
      </w:r>
    </w:p>
  </w:footnote>
  <w:footnote w:id="154">
    <w:p w14:paraId="6FE80924" w14:textId="77777777" w:rsidR="00E6764B" w:rsidRPr="00CD437A" w:rsidRDefault="00E6764B" w:rsidP="00CD2B15">
      <w:pPr>
        <w:pStyle w:val="Textonotapie"/>
      </w:pPr>
      <w:r w:rsidRPr="00CD437A">
        <w:rPr>
          <w:rStyle w:val="Refdenotaalpie"/>
        </w:rPr>
        <w:footnoteRef/>
      </w:r>
      <w:r w:rsidRPr="00CD437A">
        <w:t xml:space="preserve"> </w:t>
      </w:r>
      <w:r w:rsidRPr="00CD437A">
        <w:tab/>
        <w:t>Cf. Case of Acevedo Jaramillo et al. v. Peru, supra, para. 219.</w:t>
      </w:r>
    </w:p>
  </w:footnote>
  <w:footnote w:id="155">
    <w:p w14:paraId="33B3A125"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Report of the United Nations Secretary General on </w:t>
      </w:r>
      <w:proofErr w:type="gramStart"/>
      <w:r w:rsidRPr="00CD437A">
        <w:rPr>
          <w:i/>
        </w:rPr>
        <w:t>The</w:t>
      </w:r>
      <w:proofErr w:type="gramEnd"/>
      <w:r w:rsidRPr="00CD437A">
        <w:rPr>
          <w:i/>
        </w:rPr>
        <w:t xml:space="preserve"> question of the effective exercise, in all countries, of economic, social and cultural rights</w:t>
      </w:r>
      <w:r w:rsidRPr="00CD437A">
        <w:t>, Mr.</w:t>
      </w:r>
      <w:r w:rsidRPr="00CD437A">
        <w:rPr>
          <w:rFonts w:eastAsia="Calibri" w:cs="Arial"/>
          <w:color w:val="444444"/>
          <w:lang w:eastAsia="es-CR"/>
        </w:rPr>
        <w:t xml:space="preserve"> </w:t>
      </w:r>
      <w:r w:rsidRPr="00CD437A">
        <w:t xml:space="preserve">Ban Ki-moon. Doc. A/HRC/25/31, December 19, 2013, para. 35. </w:t>
      </w:r>
    </w:p>
  </w:footnote>
  <w:footnote w:id="156">
    <w:p w14:paraId="0D39C49D" w14:textId="77777777" w:rsidR="00E6764B" w:rsidRPr="00CD437A" w:rsidRDefault="00E6764B" w:rsidP="008E6A56">
      <w:pPr>
        <w:tabs>
          <w:tab w:val="left" w:pos="567"/>
        </w:tabs>
        <w:autoSpaceDE w:val="0"/>
        <w:autoSpaceDN w:val="0"/>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Article 4 of the Organic Law of the Judiciary (LOPJ) establishes that: “[e]very individual and authority is required to comply with and enforce judicial or administrative decisions issued by a competent judicial authority, in its own terms, without assessing its content or its merits, restricting its effects or interpreting its scope, under civil, criminal or administrative responsibility determined by law. No authority, [...] may revoke judicial resolutions with the authority of </w:t>
      </w:r>
      <w:r w:rsidRPr="00CD437A">
        <w:rPr>
          <w:rFonts w:ascii="Verdana" w:hAnsi="Verdana"/>
          <w:i/>
          <w:sz w:val="16"/>
          <w:szCs w:val="16"/>
          <w:lang w:val="en-US"/>
        </w:rPr>
        <w:t>res judicata</w:t>
      </w:r>
      <w:r w:rsidRPr="00CD437A">
        <w:rPr>
          <w:rFonts w:ascii="Verdana" w:hAnsi="Verdana"/>
          <w:sz w:val="16"/>
          <w:szCs w:val="16"/>
          <w:lang w:val="en-US"/>
        </w:rPr>
        <w:t>, modify their content, or delay their execution […]."</w:t>
      </w:r>
    </w:p>
  </w:footnote>
  <w:footnote w:id="157">
    <w:p w14:paraId="7C38690A" w14:textId="77777777" w:rsidR="00E6764B" w:rsidRPr="00CD437A" w:rsidRDefault="00E6764B" w:rsidP="008E6A56">
      <w:pPr>
        <w:tabs>
          <w:tab w:val="left" w:pos="567"/>
        </w:tabs>
        <w:autoSpaceDE w:val="0"/>
        <w:autoSpaceDN w:val="0"/>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The Peruvian Code of Constitutional Procedure, in Article 22, on the execution of judgments, states:</w:t>
      </w:r>
    </w:p>
    <w:p w14:paraId="1B2292B4"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A judgment ordering the realization of a benefit of giving, doing or not doing is immediately actionable. For enforcement purposes, and in accordance with the specific content of the ruling and the magnitude of the constitutional offense, the Judge may order fixed or accumulative fines and even order the dismissal of the person responsible.</w:t>
      </w:r>
    </w:p>
    <w:p w14:paraId="1862D6CA"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 xml:space="preserve">Any of these coercive measures should be included in the judgment as admonition; however, these may be modified </w:t>
      </w:r>
      <w:r w:rsidRPr="00DF1BDC">
        <w:rPr>
          <w:rFonts w:ascii="Verdana" w:hAnsi="Verdana"/>
          <w:i/>
          <w:sz w:val="16"/>
          <w:szCs w:val="16"/>
          <w:lang w:val="en-US"/>
        </w:rPr>
        <w:t>ex officio</w:t>
      </w:r>
      <w:r w:rsidRPr="00CD437A">
        <w:rPr>
          <w:rFonts w:ascii="Verdana" w:hAnsi="Verdana"/>
          <w:sz w:val="16"/>
          <w:szCs w:val="16"/>
          <w:lang w:val="en-US"/>
        </w:rPr>
        <w:t xml:space="preserve"> or at the request of a party during the execution phase.</w:t>
      </w:r>
    </w:p>
    <w:p w14:paraId="22D6BD3B"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The amount of the fines is determined at the Judge’s discretion, based on the Procedural Reference Unit and having regard also to the financial capacity of the defendant.</w:t>
      </w:r>
    </w:p>
    <w:p w14:paraId="23263C9A"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Payment shall be made effective with assistance from the police, a financial institution or the assistance of whomsoever the Judge deems pertinent.</w:t>
      </w:r>
    </w:p>
    <w:p w14:paraId="0CEFB451"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The Judge may decide that the accumulated fines of up to 100% for each calendar day, until the judicial order has been obeyed.</w:t>
      </w:r>
    </w:p>
    <w:p w14:paraId="62E54F21"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 xml:space="preserve">The amount collected from fines shall constitute the income of the Judiciary, unless the party complies with judicial order within three days of receiving the fine. </w:t>
      </w:r>
    </w:p>
    <w:p w14:paraId="12199EAD" w14:textId="77777777" w:rsidR="00E6764B" w:rsidRPr="00CD437A" w:rsidRDefault="00E6764B" w:rsidP="008E6A56">
      <w:pPr>
        <w:autoSpaceDE w:val="0"/>
        <w:autoSpaceDN w:val="0"/>
        <w:rPr>
          <w:rFonts w:ascii="Verdana" w:hAnsi="Verdana"/>
          <w:sz w:val="16"/>
          <w:szCs w:val="16"/>
          <w:lang w:val="en-US"/>
        </w:rPr>
      </w:pPr>
      <w:r w:rsidRPr="00CD437A">
        <w:rPr>
          <w:rFonts w:ascii="Verdana" w:hAnsi="Verdana"/>
          <w:sz w:val="16"/>
          <w:szCs w:val="16"/>
          <w:lang w:val="en-US"/>
        </w:rPr>
        <w:t>In this last case, the amount collected shall be returned in its entirety to its owner."</w:t>
      </w:r>
    </w:p>
  </w:footnote>
  <w:footnote w:id="158">
    <w:p w14:paraId="7BE905B8" w14:textId="77777777" w:rsidR="00E6764B" w:rsidRPr="00CD437A" w:rsidRDefault="00E6764B" w:rsidP="008E6A56">
      <w:pPr>
        <w:tabs>
          <w:tab w:val="left" w:pos="567"/>
        </w:tabs>
        <w:autoSpaceDE w:val="0"/>
        <w:autoSpaceDN w:val="0"/>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 xml:space="preserve">Article 53 of the Civil Procedure Code establishes the following: </w:t>
      </w:r>
      <w:r w:rsidRPr="00CD437A">
        <w:rPr>
          <w:rFonts w:ascii="Verdana" w:hAnsi="Verdana"/>
          <w:bCs/>
          <w:sz w:val="16"/>
          <w:szCs w:val="16"/>
          <w:lang w:val="en-US"/>
        </w:rPr>
        <w:t xml:space="preserve">"Article </w:t>
      </w:r>
      <w:r w:rsidRPr="00CD437A">
        <w:rPr>
          <w:rFonts w:ascii="Verdana" w:hAnsi="Verdana"/>
          <w:sz w:val="16"/>
          <w:szCs w:val="16"/>
          <w:lang w:val="en-US"/>
        </w:rPr>
        <w:t>53. - Coercive powers of the Judge. Pursuant to the objectives of Article 52, the Judge may:</w:t>
      </w:r>
    </w:p>
    <w:p w14:paraId="358D70DC" w14:textId="77777777" w:rsidR="00E6764B" w:rsidRPr="00CD437A" w:rsidRDefault="00E6764B" w:rsidP="00D17A65">
      <w:pPr>
        <w:pStyle w:val="Prrafodelista"/>
        <w:widowControl/>
        <w:numPr>
          <w:ilvl w:val="0"/>
          <w:numId w:val="7"/>
        </w:numPr>
        <w:autoSpaceDE w:val="0"/>
        <w:autoSpaceDN w:val="0"/>
        <w:ind w:left="0" w:firstLine="0"/>
        <w:textAlignment w:val="auto"/>
        <w:rPr>
          <w:rFonts w:ascii="Verdana" w:hAnsi="Verdana"/>
          <w:sz w:val="16"/>
          <w:szCs w:val="16"/>
          <w:lang w:val="en-US"/>
        </w:rPr>
      </w:pPr>
      <w:r w:rsidRPr="00CD437A">
        <w:rPr>
          <w:rFonts w:ascii="Verdana" w:hAnsi="Verdana"/>
          <w:sz w:val="16"/>
          <w:szCs w:val="16"/>
          <w:lang w:val="en-US"/>
        </w:rPr>
        <w:t>Impose a compulsory and progressive fine to ensure that the pa</w:t>
      </w:r>
      <w:r>
        <w:rPr>
          <w:rFonts w:ascii="Verdana" w:hAnsi="Verdana"/>
          <w:sz w:val="16"/>
          <w:szCs w:val="16"/>
          <w:lang w:val="en-US"/>
        </w:rPr>
        <w:t>rty or the individual concerned</w:t>
      </w:r>
      <w:r w:rsidRPr="00CD437A">
        <w:rPr>
          <w:rFonts w:ascii="Verdana" w:hAnsi="Verdana"/>
          <w:sz w:val="16"/>
          <w:szCs w:val="16"/>
          <w:lang w:val="en-US"/>
        </w:rPr>
        <w:t xml:space="preserve"> complies with its mandates according to the content of his ruling.</w:t>
      </w:r>
    </w:p>
    <w:p w14:paraId="0E2F7C12" w14:textId="77777777" w:rsidR="00E6764B" w:rsidRPr="00CD437A" w:rsidRDefault="00E6764B" w:rsidP="008E6A56">
      <w:pPr>
        <w:pStyle w:val="Prrafodelista"/>
        <w:autoSpaceDE w:val="0"/>
        <w:autoSpaceDN w:val="0"/>
        <w:ind w:left="0"/>
        <w:rPr>
          <w:rFonts w:ascii="Verdana" w:hAnsi="Verdana"/>
          <w:sz w:val="16"/>
          <w:szCs w:val="16"/>
          <w:lang w:val="en-US"/>
        </w:rPr>
      </w:pPr>
      <w:r w:rsidRPr="00CD437A">
        <w:rPr>
          <w:rFonts w:ascii="Verdana" w:hAnsi="Verdana"/>
          <w:sz w:val="16"/>
          <w:szCs w:val="16"/>
          <w:lang w:val="en-US"/>
        </w:rPr>
        <w:t>The fine is established at the discretion of the Judge within the limits set forth in this Code; the fine may be modified or revoked if he considers that the disobedience has been or is justified.</w:t>
      </w:r>
    </w:p>
    <w:p w14:paraId="4EB77157" w14:textId="77777777" w:rsidR="00E6764B" w:rsidRPr="00CD437A" w:rsidRDefault="00E6764B" w:rsidP="00D17A65">
      <w:pPr>
        <w:pStyle w:val="Prrafodelista"/>
        <w:widowControl/>
        <w:numPr>
          <w:ilvl w:val="0"/>
          <w:numId w:val="7"/>
        </w:numPr>
        <w:autoSpaceDE w:val="0"/>
        <w:autoSpaceDN w:val="0"/>
        <w:ind w:left="0" w:firstLine="0"/>
        <w:textAlignment w:val="auto"/>
        <w:rPr>
          <w:rFonts w:ascii="Verdana" w:hAnsi="Verdana"/>
          <w:sz w:val="16"/>
          <w:szCs w:val="16"/>
          <w:lang w:val="en-US"/>
        </w:rPr>
      </w:pPr>
      <w:r w:rsidRPr="00CD437A">
        <w:rPr>
          <w:rFonts w:ascii="Verdana" w:hAnsi="Verdana"/>
          <w:sz w:val="16"/>
          <w:szCs w:val="16"/>
          <w:lang w:val="en-US"/>
        </w:rPr>
        <w:t xml:space="preserve">Order the detention, for up to 24 hours, of any person who resists his mandate without justification, causing injury to a party or to the [... Judiciary. </w:t>
      </w:r>
    </w:p>
    <w:p w14:paraId="6E83F649" w14:textId="77777777" w:rsidR="00E6764B" w:rsidRPr="00CD437A" w:rsidRDefault="00E6764B" w:rsidP="008E6A56">
      <w:pPr>
        <w:pStyle w:val="Prrafodelista"/>
        <w:autoSpaceDE w:val="0"/>
        <w:autoSpaceDN w:val="0"/>
        <w:ind w:left="0"/>
        <w:rPr>
          <w:rFonts w:ascii="Verdana" w:hAnsi="Verdana"/>
          <w:sz w:val="16"/>
          <w:szCs w:val="16"/>
          <w:lang w:val="en-US"/>
        </w:rPr>
      </w:pPr>
      <w:r w:rsidRPr="00CD437A">
        <w:rPr>
          <w:rFonts w:ascii="Verdana" w:hAnsi="Verdana"/>
          <w:sz w:val="16"/>
          <w:szCs w:val="16"/>
          <w:lang w:val="en-US"/>
        </w:rPr>
        <w:t>Considering the importance and urgency of his mandate, the Judge will determine the successive, individual or joint application of the sanctions established in this Article.</w:t>
      </w:r>
    </w:p>
    <w:p w14:paraId="578C4CFF" w14:textId="77777777" w:rsidR="00E6764B" w:rsidRPr="00CD437A" w:rsidRDefault="00E6764B" w:rsidP="008E6A56">
      <w:pPr>
        <w:pStyle w:val="Prrafodelista"/>
        <w:autoSpaceDE w:val="0"/>
        <w:autoSpaceDN w:val="0"/>
        <w:ind w:left="0"/>
        <w:rPr>
          <w:rFonts w:ascii="Verdana" w:hAnsi="Verdana"/>
          <w:sz w:val="16"/>
          <w:szCs w:val="16"/>
          <w:lang w:val="en-US"/>
        </w:rPr>
      </w:pPr>
      <w:r w:rsidRPr="00CD437A">
        <w:rPr>
          <w:rFonts w:ascii="Verdana" w:hAnsi="Verdana"/>
          <w:sz w:val="16"/>
          <w:szCs w:val="16"/>
          <w:lang w:val="en-US"/>
        </w:rPr>
        <w:t>Sanctions shall be applied without detriment to compliance with the mandate."</w:t>
      </w:r>
    </w:p>
  </w:footnote>
  <w:footnote w:id="159">
    <w:p w14:paraId="3C72C3DB" w14:textId="77777777" w:rsidR="00E6764B" w:rsidRPr="00CD437A" w:rsidRDefault="00E6764B" w:rsidP="008E6A56">
      <w:pPr>
        <w:tabs>
          <w:tab w:val="left" w:pos="567"/>
        </w:tabs>
        <w:autoSpaceDE w:val="0"/>
        <w:autoSpaceDN w:val="0"/>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 xml:space="preserve">The Constitutional Court of Peru has indicated that the right to the effectiveness of the judgment: "[d]emands a particular type of action. And, if the right to the execution of judicial resolutions guarantees that the decisions issued in a judgment or judicial ruling are executed, it is clear that those who issue them or those who are responsible for executing them, have the obligation to adopt, according to the applicable laws and procedures –and regardless of whether or not the resolution is to be executed by a public entity -necessary and timely measures for its strict enforcement.” </w:t>
      </w:r>
      <w:r w:rsidRPr="00CD437A">
        <w:rPr>
          <w:rFonts w:ascii="Verdana" w:hAnsi="Verdana"/>
          <w:i/>
          <w:sz w:val="16"/>
          <w:szCs w:val="16"/>
          <w:lang w:val="en-US"/>
        </w:rPr>
        <w:t>Cf.</w:t>
      </w:r>
      <w:r w:rsidRPr="00CD437A">
        <w:rPr>
          <w:rFonts w:ascii="Verdana" w:hAnsi="Verdana"/>
          <w:sz w:val="16"/>
          <w:szCs w:val="16"/>
          <w:lang w:val="en-US"/>
        </w:rPr>
        <w:t xml:space="preserve"> Judgment of lTC in Exp. No.</w:t>
      </w:r>
      <w:r w:rsidRPr="00CD437A">
        <w:rPr>
          <w:rFonts w:ascii="Verdana" w:hAnsi="Verdana"/>
          <w:i/>
          <w:iCs/>
          <w:sz w:val="16"/>
          <w:szCs w:val="16"/>
          <w:lang w:val="en-US"/>
        </w:rPr>
        <w:t xml:space="preserve"> </w:t>
      </w:r>
      <w:r w:rsidRPr="00CD437A">
        <w:rPr>
          <w:rFonts w:ascii="Verdana" w:hAnsi="Verdana"/>
          <w:sz w:val="16"/>
          <w:szCs w:val="16"/>
          <w:lang w:val="en-US"/>
        </w:rPr>
        <w:t>015-2001-AI/TC, Exp. No. 016-2001-AI/TC, and Exp. No. 004-2002-AI/TC (Dossiers), Legal basis 12.</w:t>
      </w:r>
    </w:p>
  </w:footnote>
  <w:footnote w:id="160">
    <w:p w14:paraId="19D06DA5" w14:textId="77777777" w:rsidR="00E6764B" w:rsidRPr="00CD437A" w:rsidRDefault="00E6764B" w:rsidP="008E6A56">
      <w:pPr>
        <w:widowControl/>
        <w:tabs>
          <w:tab w:val="left" w:pos="567"/>
          <w:tab w:val="left" w:pos="720"/>
        </w:tabs>
        <w:adjustRightInd/>
        <w:textAlignment w:val="auto"/>
        <w:rPr>
          <w:rFonts w:ascii="Verdana" w:eastAsia="Times"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w:t>
      </w:r>
      <w:r w:rsidRPr="00CD437A">
        <w:rPr>
          <w:rFonts w:ascii="Verdana" w:eastAsia="Times" w:hAnsi="Verdana"/>
          <w:sz w:val="16"/>
          <w:szCs w:val="16"/>
          <w:lang w:val="en-US"/>
        </w:rPr>
        <w:t>Administrative Resolution N° 149-2012-P-PJ “Circular on guidelines for judgment execution proceedings and monetary payments issued against the State</w:t>
      </w:r>
      <w:r>
        <w:rPr>
          <w:rFonts w:ascii="Verdana" w:eastAsia="Times" w:hAnsi="Verdana"/>
          <w:sz w:val="16"/>
          <w:szCs w:val="16"/>
          <w:lang w:val="en-US"/>
        </w:rPr>
        <w:t>,”</w:t>
      </w:r>
      <w:r w:rsidRPr="00CD437A">
        <w:rPr>
          <w:rFonts w:ascii="Verdana" w:eastAsia="Times" w:hAnsi="Verdana"/>
          <w:sz w:val="16"/>
          <w:szCs w:val="16"/>
          <w:lang w:val="en-US"/>
        </w:rPr>
        <w:t xml:space="preserve"> issued by the Supreme Court of Justice </w:t>
      </w:r>
      <w:r>
        <w:rPr>
          <w:rFonts w:ascii="Verdana" w:eastAsia="Times" w:hAnsi="Verdana"/>
          <w:sz w:val="16"/>
          <w:szCs w:val="16"/>
          <w:lang w:val="en-US"/>
        </w:rPr>
        <w:t xml:space="preserve">on </w:t>
      </w:r>
      <w:r w:rsidRPr="00CD437A">
        <w:rPr>
          <w:rFonts w:ascii="Verdana" w:eastAsia="Times" w:hAnsi="Verdana"/>
          <w:sz w:val="16"/>
          <w:szCs w:val="16"/>
          <w:lang w:val="en-US"/>
        </w:rPr>
        <w:t xml:space="preserve">April 10, 2012; Administrative Resolution N° 128-2008-CE-PJ and Circular issued by the Executive Council of the Judiciary, on May 9, 2008 and March 2005, establishing criteria for “all the country’s judicial bodies </w:t>
      </w:r>
      <w:r>
        <w:rPr>
          <w:rFonts w:ascii="Verdana" w:eastAsia="Times" w:hAnsi="Verdana"/>
          <w:sz w:val="16"/>
          <w:szCs w:val="16"/>
          <w:lang w:val="en-US"/>
        </w:rPr>
        <w:t xml:space="preserve">to </w:t>
      </w:r>
      <w:r w:rsidRPr="00CD437A">
        <w:rPr>
          <w:rFonts w:ascii="Verdana" w:eastAsia="Times" w:hAnsi="Verdana"/>
          <w:sz w:val="16"/>
          <w:szCs w:val="16"/>
          <w:lang w:val="en-US"/>
        </w:rPr>
        <w:t>adopt appropriate measures for the execution, within a reasonable t</w:t>
      </w:r>
      <w:r>
        <w:rPr>
          <w:rFonts w:ascii="Verdana" w:eastAsia="Times" w:hAnsi="Verdana"/>
          <w:sz w:val="16"/>
          <w:szCs w:val="16"/>
          <w:lang w:val="en-US"/>
        </w:rPr>
        <w:t>ime</w:t>
      </w:r>
      <w:r w:rsidRPr="00CD437A">
        <w:rPr>
          <w:rFonts w:ascii="Verdana" w:eastAsia="Times" w:hAnsi="Verdana"/>
          <w:sz w:val="16"/>
          <w:szCs w:val="16"/>
          <w:lang w:val="en-US"/>
        </w:rPr>
        <w:t>, of condemnatory judgments issued against State entities” (</w:t>
      </w:r>
      <w:r w:rsidRPr="00CD437A">
        <w:rPr>
          <w:rStyle w:val="Textoennegrita"/>
          <w:rFonts w:ascii="Verdana" w:hAnsi="Verdana"/>
          <w:b w:val="0"/>
          <w:sz w:val="16"/>
          <w:szCs w:val="16"/>
          <w:shd w:val="clear" w:color="auto" w:fill="FFFFFF"/>
          <w:lang w:val="en-US"/>
        </w:rPr>
        <w:t>evidence file, folios 1702 to 1708).</w:t>
      </w:r>
    </w:p>
  </w:footnote>
  <w:footnote w:id="161">
    <w:p w14:paraId="6C0B188C"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Law No. 30137, “</w:t>
      </w:r>
      <w:r w:rsidRPr="00CD437A">
        <w:rPr>
          <w:i/>
        </w:rPr>
        <w:t>Law establishing criteria for the prioritization of payments related to judicial rulings</w:t>
      </w:r>
      <w:r w:rsidRPr="00CD437A">
        <w:t xml:space="preserve">”, published in the Official Gazette </w:t>
      </w:r>
      <w:r w:rsidRPr="00CD437A">
        <w:rPr>
          <w:i/>
        </w:rPr>
        <w:t xml:space="preserve">El </w:t>
      </w:r>
      <w:proofErr w:type="spellStart"/>
      <w:r w:rsidRPr="00CD437A">
        <w:rPr>
          <w:i/>
        </w:rPr>
        <w:t>Peruano</w:t>
      </w:r>
      <w:proofErr w:type="spellEnd"/>
      <w:r w:rsidRPr="00CD437A">
        <w:t>, on December 27, 2013 (</w:t>
      </w:r>
      <w:r w:rsidRPr="00CD437A">
        <w:rPr>
          <w:rStyle w:val="Textoennegrita"/>
          <w:b w:val="0"/>
          <w:shd w:val="clear" w:color="auto" w:fill="FFFFFF"/>
        </w:rPr>
        <w:t>evidence file, folios 1710 to 1711).</w:t>
      </w:r>
    </w:p>
  </w:footnote>
  <w:footnote w:id="162">
    <w:p w14:paraId="00B9A940" w14:textId="77777777" w:rsidR="00E6764B" w:rsidRPr="00CD437A" w:rsidRDefault="00E6764B" w:rsidP="008E6A56">
      <w:pPr>
        <w:tabs>
          <w:tab w:val="left" w:pos="567"/>
          <w:tab w:val="left" w:pos="720"/>
        </w:tabs>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Affidavit rendered by Christian Courtis on August 30, 2018 (evidence file, folio 1829).</w:t>
      </w:r>
    </w:p>
  </w:footnote>
  <w:footnote w:id="163">
    <w:p w14:paraId="6D9EAF6C" w14:textId="77777777" w:rsidR="00E6764B" w:rsidRPr="00CD437A" w:rsidRDefault="00E6764B" w:rsidP="008E6A56">
      <w:pPr>
        <w:widowControl/>
        <w:tabs>
          <w:tab w:val="left" w:pos="567"/>
          <w:tab w:val="left" w:pos="720"/>
        </w:tabs>
        <w:adjustRightInd/>
        <w:textAlignment w:val="auto"/>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Affidavit rendered by Christian Courtis on August 30, 2018 (evidence file, folio 1833). A</w:t>
      </w:r>
      <w:r>
        <w:rPr>
          <w:rFonts w:ascii="Verdana" w:hAnsi="Verdana"/>
          <w:sz w:val="16"/>
          <w:szCs w:val="16"/>
          <w:lang w:val="en-US"/>
        </w:rPr>
        <w:t>s</w:t>
      </w:r>
      <w:r w:rsidRPr="00CD437A">
        <w:rPr>
          <w:rFonts w:ascii="Verdana" w:hAnsi="Verdana"/>
          <w:sz w:val="16"/>
          <w:szCs w:val="16"/>
          <w:lang w:val="en-US"/>
        </w:rPr>
        <w:t xml:space="preserve"> this expert </w:t>
      </w:r>
      <w:r>
        <w:rPr>
          <w:rFonts w:ascii="Verdana" w:hAnsi="Verdana"/>
          <w:sz w:val="16"/>
          <w:szCs w:val="16"/>
          <w:lang w:val="en-US"/>
        </w:rPr>
        <w:t xml:space="preserve">witness </w:t>
      </w:r>
      <w:r w:rsidRPr="00CD437A">
        <w:rPr>
          <w:rFonts w:ascii="Verdana" w:hAnsi="Verdana"/>
          <w:sz w:val="16"/>
          <w:szCs w:val="16"/>
          <w:lang w:val="en-US"/>
        </w:rPr>
        <w:t xml:space="preserve">emphasized, Article 31 of the Inter-American Convention on Protecting the Human Rights of Older Persons, concerning the right of access to justice, </w:t>
      </w:r>
      <w:r>
        <w:rPr>
          <w:rFonts w:ascii="Verdana" w:hAnsi="Verdana"/>
          <w:sz w:val="16"/>
          <w:szCs w:val="16"/>
          <w:lang w:val="en-US"/>
        </w:rPr>
        <w:t>establishes that</w:t>
      </w:r>
      <w:r w:rsidRPr="00CD437A">
        <w:rPr>
          <w:rFonts w:ascii="Verdana" w:hAnsi="Verdana"/>
          <w:sz w:val="16"/>
          <w:szCs w:val="16"/>
          <w:lang w:val="en-US"/>
        </w:rPr>
        <w:t>: "</w:t>
      </w:r>
      <w:r w:rsidRPr="00CD437A">
        <w:rPr>
          <w:rFonts w:ascii="Verdana" w:hAnsi="Verdana" w:cs="Tahoma"/>
          <w:sz w:val="16"/>
          <w:szCs w:val="16"/>
          <w:shd w:val="clear" w:color="auto" w:fill="FFFFFF"/>
          <w:lang w:val="en-US"/>
        </w:rPr>
        <w:t>State Parties shall ensure due diligence and preferential treatment for older persons in processing, settlement of, and enforcement of decisions in administrative and legal proceedings</w:t>
      </w:r>
      <w:r w:rsidRPr="00CD437A">
        <w:rPr>
          <w:rFonts w:ascii="Verdana" w:hAnsi="Verdana"/>
          <w:sz w:val="16"/>
          <w:szCs w:val="16"/>
          <w:lang w:val="en-US"/>
        </w:rPr>
        <w:t>."</w:t>
      </w:r>
    </w:p>
  </w:footnote>
  <w:footnote w:id="164">
    <w:p w14:paraId="7BBCC4C2" w14:textId="77777777" w:rsidR="00E6764B" w:rsidRPr="00CD437A" w:rsidRDefault="00E6764B" w:rsidP="008E6A56">
      <w:pPr>
        <w:tabs>
          <w:tab w:val="left" w:pos="567"/>
        </w:tabs>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 Case of Hilaire, Constantine and Benjamin et al. v. Trinidad and Tobago. Merits, reparations and costs</w:t>
      </w:r>
      <w:r w:rsidRPr="00CD437A">
        <w:rPr>
          <w:rFonts w:ascii="Verdana" w:hAnsi="Verdana"/>
          <w:iCs/>
          <w:sz w:val="16"/>
          <w:szCs w:val="16"/>
          <w:lang w:val="en-US"/>
        </w:rPr>
        <w:t>. Judgment of June 21, 2002. Series C No. 94</w:t>
      </w:r>
      <w:r w:rsidRPr="00CD437A">
        <w:rPr>
          <w:rFonts w:ascii="Verdana" w:hAnsi="Verdana"/>
          <w:sz w:val="16"/>
          <w:szCs w:val="16"/>
          <w:lang w:val="en-US"/>
        </w:rPr>
        <w:t xml:space="preserve">, para. 145, and </w:t>
      </w:r>
      <w:r w:rsidRPr="00CD437A">
        <w:rPr>
          <w:rFonts w:ascii="Verdana" w:hAnsi="Verdana"/>
          <w:i/>
          <w:sz w:val="16"/>
          <w:szCs w:val="16"/>
          <w:lang w:val="en-US"/>
        </w:rPr>
        <w:t xml:space="preserve">Case of Acosta et al. v. Nicaragua, supra, </w:t>
      </w:r>
      <w:r w:rsidRPr="00CD437A">
        <w:rPr>
          <w:rFonts w:ascii="Verdana" w:hAnsi="Verdana"/>
          <w:sz w:val="16"/>
          <w:szCs w:val="16"/>
          <w:lang w:val="en-US"/>
        </w:rPr>
        <w:t>para. 177.</w:t>
      </w:r>
    </w:p>
  </w:footnote>
  <w:footnote w:id="165">
    <w:p w14:paraId="13D53BE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ECHR, Case of Hornsby v. Greece, </w:t>
      </w:r>
      <w:r w:rsidRPr="00CD437A">
        <w:t>Judgment of March 19, 1997, para. 40;</w:t>
      </w:r>
      <w:r w:rsidRPr="00CD437A">
        <w:rPr>
          <w:i/>
        </w:rPr>
        <w:t xml:space="preserve"> Case of Popov v. Moldova, </w:t>
      </w:r>
      <w:r w:rsidRPr="00CD437A">
        <w:t>Judgmen</w:t>
      </w:r>
      <w:r>
        <w:t xml:space="preserve">t of </w:t>
      </w:r>
      <w:r w:rsidRPr="00CD437A">
        <w:t xml:space="preserve">January </w:t>
      </w:r>
      <w:r>
        <w:t xml:space="preserve">18, </w:t>
      </w:r>
      <w:r w:rsidRPr="00CD437A">
        <w:t>2005, no. 74153/01, para. 40;</w:t>
      </w:r>
      <w:r>
        <w:rPr>
          <w:i/>
        </w:rPr>
        <w:t xml:space="preserve"> Case of </w:t>
      </w:r>
      <w:proofErr w:type="spellStart"/>
      <w:r>
        <w:rPr>
          <w:i/>
        </w:rPr>
        <w:t>Assanidze</w:t>
      </w:r>
      <w:proofErr w:type="spellEnd"/>
      <w:r>
        <w:rPr>
          <w:i/>
        </w:rPr>
        <w:t xml:space="preserve"> v. Georgia.</w:t>
      </w:r>
      <w:r w:rsidRPr="00CD437A">
        <w:rPr>
          <w:i/>
        </w:rPr>
        <w:t xml:space="preserve"> </w:t>
      </w:r>
      <w:r w:rsidRPr="00CD437A">
        <w:t>Judgment of April 8, 2004, no. 71503/01, para. 182;</w:t>
      </w:r>
      <w:r w:rsidRPr="00CD437A">
        <w:rPr>
          <w:i/>
        </w:rPr>
        <w:t xml:space="preserve"> Case of </w:t>
      </w:r>
      <w:proofErr w:type="spellStart"/>
      <w:r w:rsidRPr="00CD437A">
        <w:rPr>
          <w:i/>
        </w:rPr>
        <w:t>Jasiúniene</w:t>
      </w:r>
      <w:proofErr w:type="spellEnd"/>
      <w:r w:rsidRPr="00CD437A">
        <w:rPr>
          <w:i/>
        </w:rPr>
        <w:t xml:space="preserve"> v. Lithuania, </w:t>
      </w:r>
      <w:r w:rsidRPr="00CD437A">
        <w:t>Judgment of March 6, 2003, no. 41510/98, para. 27,</w:t>
      </w:r>
      <w:r w:rsidRPr="00CD437A">
        <w:rPr>
          <w:i/>
        </w:rPr>
        <w:t xml:space="preserve"> and Case of </w:t>
      </w:r>
      <w:proofErr w:type="spellStart"/>
      <w:r w:rsidRPr="00CD437A">
        <w:rPr>
          <w:i/>
        </w:rPr>
        <w:t>Burdov</w:t>
      </w:r>
      <w:proofErr w:type="spellEnd"/>
      <w:r w:rsidRPr="00CD437A">
        <w:rPr>
          <w:i/>
        </w:rPr>
        <w:t xml:space="preserve"> v. Russia, </w:t>
      </w:r>
      <w:r>
        <w:t xml:space="preserve">Judgment of </w:t>
      </w:r>
      <w:r w:rsidRPr="00CD437A">
        <w:t xml:space="preserve">May </w:t>
      </w:r>
      <w:r>
        <w:t xml:space="preserve">7, </w:t>
      </w:r>
      <w:r w:rsidRPr="00CD437A">
        <w:t>2002, no. 59498/00, para. 34.</w:t>
      </w:r>
    </w:p>
  </w:footnote>
  <w:footnote w:id="166">
    <w:p w14:paraId="76676594" w14:textId="77777777" w:rsidR="00E6764B" w:rsidRPr="00CD437A" w:rsidRDefault="00E6764B" w:rsidP="008E6A56">
      <w:pPr>
        <w:pStyle w:val="HTMLconformatoprevio"/>
        <w:shd w:val="clear" w:color="auto" w:fill="FFFFFF"/>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w:t>
      </w:r>
      <w:r>
        <w:rPr>
          <w:rFonts w:ascii="Verdana" w:hAnsi="Verdana"/>
          <w:i/>
          <w:color w:val="000000"/>
          <w:sz w:val="16"/>
          <w:szCs w:val="16"/>
          <w:lang w:val="en-US"/>
        </w:rPr>
        <w:t>ECHR, Case of Hornsby v. Greece.</w:t>
      </w:r>
      <w:r w:rsidRPr="00CD437A">
        <w:rPr>
          <w:rFonts w:ascii="Verdana" w:hAnsi="Verdana"/>
          <w:i/>
          <w:color w:val="000000"/>
          <w:sz w:val="16"/>
          <w:szCs w:val="16"/>
          <w:lang w:val="en-US"/>
        </w:rPr>
        <w:t xml:space="preserve"> </w:t>
      </w:r>
      <w:r w:rsidRPr="00CD437A">
        <w:rPr>
          <w:rFonts w:ascii="Verdana" w:hAnsi="Verdana"/>
          <w:color w:val="000000"/>
          <w:sz w:val="16"/>
          <w:szCs w:val="16"/>
          <w:lang w:val="en-US"/>
        </w:rPr>
        <w:t>Judgment of March 19, 1997, para. 40</w:t>
      </w:r>
      <w:r w:rsidRPr="00CD437A">
        <w:rPr>
          <w:rFonts w:ascii="Verdana" w:hAnsi="Verdana"/>
          <w:sz w:val="16"/>
          <w:szCs w:val="16"/>
          <w:lang w:val="en-US"/>
        </w:rPr>
        <w:t>.</w:t>
      </w:r>
    </w:p>
  </w:footnote>
  <w:footnote w:id="167">
    <w:p w14:paraId="77B0D11A"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Report of the United Nations Secretary General on </w:t>
      </w:r>
      <w:r w:rsidRPr="00CD437A">
        <w:rPr>
          <w:i/>
        </w:rPr>
        <w:t>the effective exercise, in all countries, of economic, social and cultural rights</w:t>
      </w:r>
      <w:r w:rsidRPr="00CD437A">
        <w:t>, Mr. Ban Ki-moon, a Doc. A/HRC/25/31, December 19, 2013, para. 35.</w:t>
      </w:r>
    </w:p>
  </w:footnote>
  <w:footnote w:id="168">
    <w:p w14:paraId="5552D9D7"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Anzualdo</w:t>
      </w:r>
      <w:proofErr w:type="spellEnd"/>
      <w:r w:rsidRPr="00CD437A">
        <w:t xml:space="preserve"> Castro v. Peru. Preliminary objection, merits, reparations and costs. Judgment of September 22, 2009. Series C No. 202, para. 156, and </w:t>
      </w:r>
      <w:r w:rsidRPr="00CD437A">
        <w:rPr>
          <w:bCs/>
          <w:shd w:val="clear" w:color="auto" w:fill="FFFFFF"/>
        </w:rPr>
        <w:t xml:space="preserve">Case of Women Victims of Sexual Torture in </w:t>
      </w:r>
      <w:proofErr w:type="spellStart"/>
      <w:r w:rsidRPr="00CD437A">
        <w:rPr>
          <w:bCs/>
          <w:shd w:val="clear" w:color="auto" w:fill="FFFFFF"/>
        </w:rPr>
        <w:t>Atenco</w:t>
      </w:r>
      <w:proofErr w:type="spellEnd"/>
      <w:r w:rsidRPr="00CD437A">
        <w:rPr>
          <w:bCs/>
          <w:shd w:val="clear" w:color="auto" w:fill="FFFFFF"/>
        </w:rPr>
        <w:t xml:space="preserve"> v. Mexico, supra, para. 306.</w:t>
      </w:r>
    </w:p>
  </w:footnote>
  <w:footnote w:id="169">
    <w:p w14:paraId="667BEFA2"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Genie </w:t>
      </w:r>
      <w:proofErr w:type="spellStart"/>
      <w:r w:rsidRPr="00CD437A">
        <w:t>Lacayo</w:t>
      </w:r>
      <w:proofErr w:type="spellEnd"/>
      <w:r w:rsidRPr="00CD437A">
        <w:t xml:space="preserve"> v. Nicaragua, supra, para. 78, and Case of Women Victims of Sexual Torture in </w:t>
      </w:r>
      <w:proofErr w:type="spellStart"/>
      <w:r w:rsidRPr="00CD437A">
        <w:t>Atenco</w:t>
      </w:r>
      <w:proofErr w:type="spellEnd"/>
      <w:r w:rsidRPr="00CD437A">
        <w:rPr>
          <w:bCs/>
        </w:rPr>
        <w:t xml:space="preserve"> v. Mexico</w:t>
      </w:r>
      <w:r w:rsidRPr="00CD437A">
        <w:t>, supra, para. 308.</w:t>
      </w:r>
    </w:p>
  </w:footnote>
  <w:footnote w:id="170">
    <w:p w14:paraId="3BA51496"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t xml:space="preserve">Cf. Case of </w:t>
      </w:r>
      <w:proofErr w:type="spellStart"/>
      <w:r w:rsidRPr="00CD437A">
        <w:t>Mejía</w:t>
      </w:r>
      <w:proofErr w:type="spellEnd"/>
      <w:r w:rsidRPr="00CD437A">
        <w:t xml:space="preserve"> </w:t>
      </w:r>
      <w:proofErr w:type="spellStart"/>
      <w:r w:rsidRPr="00CD437A">
        <w:t>Idrovo</w:t>
      </w:r>
      <w:proofErr w:type="spellEnd"/>
      <w:r w:rsidRPr="00CD437A">
        <w:t xml:space="preserve"> v. Ecuador, supra, para. 105, and </w:t>
      </w:r>
      <w:r w:rsidRPr="00CD437A">
        <w:rPr>
          <w:rStyle w:val="Textoennegrita"/>
          <w:b w:val="0"/>
          <w:i/>
          <w:color w:val="000000"/>
          <w:shd w:val="clear" w:color="auto" w:fill="FFFFFF"/>
        </w:rPr>
        <w:t>Case of the Garifuna Community of Punta Piedra and its Members v. Honduras, supra,</w:t>
      </w:r>
      <w:r w:rsidRPr="00CD437A">
        <w:rPr>
          <w:rStyle w:val="Textoennegrita"/>
          <w:b w:val="0"/>
          <w:color w:val="000000"/>
          <w:shd w:val="clear" w:color="auto" w:fill="FFFFFF"/>
        </w:rPr>
        <w:t xml:space="preserve"> para. 244.  </w:t>
      </w:r>
    </w:p>
  </w:footnote>
  <w:footnote w:id="171">
    <w:p w14:paraId="47138633" w14:textId="77777777" w:rsidR="00E6764B" w:rsidRPr="00CD437A" w:rsidRDefault="00E6764B" w:rsidP="00CD2B15">
      <w:pPr>
        <w:pStyle w:val="Textonotapie"/>
      </w:pPr>
      <w:r w:rsidRPr="00CD437A">
        <w:rPr>
          <w:rStyle w:val="Refdenotaalpie"/>
          <w:rFonts w:cs="Times"/>
        </w:rPr>
        <w:footnoteRef/>
      </w:r>
      <w:r w:rsidRPr="00CD437A">
        <w:t xml:space="preserve"> </w:t>
      </w:r>
      <w:r w:rsidRPr="00CD437A">
        <w:tab/>
        <w:t xml:space="preserve">Cf. Case of </w:t>
      </w:r>
      <w:proofErr w:type="spellStart"/>
      <w:r w:rsidRPr="00CD437A">
        <w:t>Mejía</w:t>
      </w:r>
      <w:proofErr w:type="spellEnd"/>
      <w:r w:rsidRPr="00CD437A">
        <w:t xml:space="preserve"> </w:t>
      </w:r>
      <w:proofErr w:type="spellStart"/>
      <w:r w:rsidRPr="00CD437A">
        <w:t>Idrovo</w:t>
      </w:r>
      <w:proofErr w:type="spellEnd"/>
      <w:r w:rsidRPr="00CD437A">
        <w:t xml:space="preserve"> v. Ecuador, supra, para. 106, and Case of Ramírez Escobar et al. v. Guatemala.</w:t>
      </w:r>
      <w:r w:rsidRPr="00CD437A">
        <w:rPr>
          <w:rFonts w:eastAsia="Calibri"/>
          <w:spacing w:val="-4"/>
          <w:lang w:eastAsia="en-US"/>
        </w:rPr>
        <w:t xml:space="preserve"> </w:t>
      </w:r>
      <w:r w:rsidRPr="00CD437A">
        <w:t>Merits, reparations and costs. Judgment of March 9, 2018. Series C No. 351, para. 250. Cf. Opinion No. 13 (2010) On the role of judges in the enforcement of judicial decisions, cit., Conclusions, H), supra.</w:t>
      </w:r>
    </w:p>
  </w:footnote>
  <w:footnote w:id="172">
    <w:p w14:paraId="531025D9"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Valle Jaramillo et al. v. Colombia. Merits, reparations and costs. Judgment of November 27, 2008. Series C No. 192, para.155, and </w:t>
      </w:r>
      <w:r w:rsidRPr="00CD437A">
        <w:rPr>
          <w:rFonts w:eastAsia="Calibri"/>
          <w:lang w:eastAsia="en-US"/>
        </w:rPr>
        <w:t xml:space="preserve">Case of Women Victims of Sexual Torture in </w:t>
      </w:r>
      <w:proofErr w:type="spellStart"/>
      <w:r w:rsidRPr="00CD437A">
        <w:rPr>
          <w:rFonts w:eastAsia="Calibri"/>
          <w:lang w:eastAsia="en-US"/>
        </w:rPr>
        <w:t>Atenco</w:t>
      </w:r>
      <w:proofErr w:type="spellEnd"/>
      <w:r w:rsidRPr="00CD437A">
        <w:rPr>
          <w:rFonts w:eastAsia="Calibri"/>
          <w:bCs/>
          <w:lang w:eastAsia="en-US"/>
        </w:rPr>
        <w:t xml:space="preserve"> v. Mexico, supra,</w:t>
      </w:r>
      <w:r w:rsidRPr="00CD437A">
        <w:t xml:space="preserve"> para.308.</w:t>
      </w:r>
    </w:p>
  </w:footnote>
  <w:footnote w:id="173">
    <w:p w14:paraId="2D88CF13"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Brief of the State containing helpful evidence</w:t>
      </w:r>
      <w:r>
        <w:t>,</w:t>
      </w:r>
      <w:r w:rsidRPr="00CD437A">
        <w:t xml:space="preserve"> December 11, 2018 (evidence file, folio 1833).</w:t>
      </w:r>
    </w:p>
  </w:footnote>
  <w:footnote w:id="174">
    <w:p w14:paraId="747CCC30"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Affidavit rendered by </w:t>
      </w:r>
      <w:proofErr w:type="spellStart"/>
      <w:r w:rsidRPr="00CD437A">
        <w:t>Vibeke</w:t>
      </w:r>
      <w:proofErr w:type="spellEnd"/>
      <w:r w:rsidRPr="00CD437A">
        <w:t xml:space="preserve"> Ann </w:t>
      </w:r>
      <w:proofErr w:type="spellStart"/>
      <w:r w:rsidRPr="00CD437A">
        <w:t>Muelle</w:t>
      </w:r>
      <w:proofErr w:type="spellEnd"/>
      <w:r w:rsidRPr="00CD437A">
        <w:t xml:space="preserve"> Jensen on August 22, 2018 (evidence file, folio 1840), and affidavit rendered by Jesús </w:t>
      </w:r>
      <w:proofErr w:type="spellStart"/>
      <w:r w:rsidRPr="00CD437A">
        <w:t>Aníbal</w:t>
      </w:r>
      <w:proofErr w:type="spellEnd"/>
      <w:r w:rsidRPr="00CD437A">
        <w:t xml:space="preserve"> Delgado Flores on August 22, 2018 (evidence file, folios 1841 to 1842).</w:t>
      </w:r>
    </w:p>
    <w:p w14:paraId="72B247CB" w14:textId="77777777" w:rsidR="00E6764B" w:rsidRPr="00CD437A" w:rsidRDefault="00E6764B" w:rsidP="00CD2B15">
      <w:pPr>
        <w:pStyle w:val="Textonotapie"/>
      </w:pPr>
    </w:p>
  </w:footnote>
  <w:footnote w:id="175">
    <w:p w14:paraId="3C79286A" w14:textId="77777777" w:rsidR="00E6764B" w:rsidRPr="00CD437A" w:rsidRDefault="00E6764B" w:rsidP="008E6A56">
      <w:pPr>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ab/>
      </w:r>
      <w:r w:rsidRPr="00CD437A">
        <w:rPr>
          <w:rFonts w:ascii="Verdana" w:hAnsi="Verdana"/>
          <w:i/>
          <w:sz w:val="16"/>
          <w:szCs w:val="16"/>
          <w:lang w:val="en-US"/>
        </w:rPr>
        <w:t>Cf. Case of Lagos del Campo v. Peru, supra,</w:t>
      </w:r>
      <w:r w:rsidRPr="00CD437A">
        <w:rPr>
          <w:rFonts w:ascii="Verdana" w:hAnsi="Verdana"/>
          <w:sz w:val="16"/>
          <w:szCs w:val="16"/>
          <w:lang w:val="en-US"/>
        </w:rPr>
        <w:t xml:space="preserve"> paras. 141–150 and 154.</w:t>
      </w:r>
    </w:p>
  </w:footnote>
  <w:footnote w:id="176">
    <w:p w14:paraId="0F10331E" w14:textId="77777777" w:rsidR="00E6764B" w:rsidRPr="00CD437A" w:rsidRDefault="00E6764B" w:rsidP="00CD2B15">
      <w:pPr>
        <w:pStyle w:val="Textonotapie"/>
      </w:pPr>
      <w:r w:rsidRPr="00CD437A">
        <w:rPr>
          <w:rStyle w:val="Refdenotaalpie"/>
        </w:rPr>
        <w:footnoteRef/>
      </w:r>
      <w:r w:rsidRPr="00CD437A">
        <w:tab/>
      </w:r>
      <w:r w:rsidRPr="00CD437A">
        <w:rPr>
          <w:i/>
        </w:rPr>
        <w:t>Cf.</w:t>
      </w:r>
      <w:r w:rsidRPr="00CD437A">
        <w:t xml:space="preserve"> </w:t>
      </w:r>
      <w:r w:rsidRPr="00CD437A">
        <w:rPr>
          <w:rStyle w:val="Textoennegrita"/>
          <w:b w:val="0"/>
          <w:color w:val="000000"/>
          <w:shd w:val="clear" w:color="auto" w:fill="FFFFFF"/>
        </w:rPr>
        <w:t xml:space="preserve">Environment and human rights (the State’s obligations in relation to the environment in the context of the protection and guarantee of the rights to life and to personal integrity- interpretation and scope of Articles 4(1) and 5(1), in relation to Articles 1(1) and 2 of the American Convention on Human Rights). </w:t>
      </w:r>
      <w:r w:rsidRPr="00CD437A">
        <w:rPr>
          <w:rStyle w:val="Textoennegrita"/>
          <w:b w:val="0"/>
          <w:i/>
          <w:color w:val="000000"/>
          <w:shd w:val="clear" w:color="auto" w:fill="FFFFFF"/>
        </w:rPr>
        <w:t>Advisory Opinion OC-23/17</w:t>
      </w:r>
      <w:r w:rsidRPr="00CD437A">
        <w:rPr>
          <w:rStyle w:val="Textoennegrita"/>
          <w:b w:val="0"/>
          <w:color w:val="000000"/>
          <w:shd w:val="clear" w:color="auto" w:fill="FFFFFF"/>
        </w:rPr>
        <w:t xml:space="preserve"> of November 15, 2017. Series A No. 23,</w:t>
      </w:r>
      <w:r w:rsidRPr="00CD437A">
        <w:rPr>
          <w:rStyle w:val="Textoennegrita"/>
          <w:color w:val="000000"/>
          <w:shd w:val="clear" w:color="auto" w:fill="FFFFFF"/>
        </w:rPr>
        <w:t xml:space="preserve"> </w:t>
      </w:r>
      <w:r w:rsidRPr="00CD437A">
        <w:t xml:space="preserve">para. 57; </w:t>
      </w:r>
      <w:r w:rsidRPr="00CD437A">
        <w:rPr>
          <w:i/>
        </w:rPr>
        <w:t xml:space="preserve">Case of </w:t>
      </w:r>
      <w:r>
        <w:rPr>
          <w:i/>
        </w:rPr>
        <w:t xml:space="preserve">Dismissed Employees of </w:t>
      </w:r>
      <w:proofErr w:type="spellStart"/>
      <w:r>
        <w:rPr>
          <w:i/>
        </w:rPr>
        <w:t>PetroPerú</w:t>
      </w:r>
      <w:proofErr w:type="spellEnd"/>
      <w:r w:rsidRPr="00CD437A">
        <w:rPr>
          <w:i/>
        </w:rPr>
        <w:t xml:space="preserve"> et al. v. Peru, supra,</w:t>
      </w:r>
      <w:r w:rsidRPr="00CD437A">
        <w:t xml:space="preserve"> para. 192; </w:t>
      </w:r>
      <w:r w:rsidRPr="00CD437A">
        <w:rPr>
          <w:i/>
        </w:rPr>
        <w:t>Case of San Miguel Sosa et al. v. Venezuela</w:t>
      </w:r>
      <w:r w:rsidRPr="00CD437A">
        <w:t xml:space="preserve">, </w:t>
      </w:r>
      <w:r w:rsidRPr="00CD437A">
        <w:rPr>
          <w:i/>
        </w:rPr>
        <w:t>supra</w:t>
      </w:r>
      <w:r w:rsidRPr="00CD437A">
        <w:t xml:space="preserve">, para. 220; </w:t>
      </w:r>
      <w:r w:rsidRPr="00CD437A">
        <w:rPr>
          <w:i/>
        </w:rPr>
        <w:t xml:space="preserve">Case of Poblete </w:t>
      </w:r>
      <w:proofErr w:type="spellStart"/>
      <w:r w:rsidRPr="00CD437A">
        <w:rPr>
          <w:i/>
        </w:rPr>
        <w:t>Vilches</w:t>
      </w:r>
      <w:proofErr w:type="spellEnd"/>
      <w:r w:rsidRPr="00CD437A">
        <w:rPr>
          <w:i/>
        </w:rPr>
        <w:t xml:space="preserve"> et al. v. Chile, supra,</w:t>
      </w:r>
      <w:r w:rsidRPr="00CD437A">
        <w:t xml:space="preserve"> para. 100, and </w:t>
      </w:r>
      <w:r w:rsidRPr="00CD437A">
        <w:rPr>
          <w:i/>
        </w:rPr>
        <w:t xml:space="preserve">Case of </w:t>
      </w:r>
      <w:proofErr w:type="spellStart"/>
      <w:r w:rsidRPr="00CD437A">
        <w:rPr>
          <w:i/>
        </w:rPr>
        <w:t>Cuscul</w:t>
      </w:r>
      <w:proofErr w:type="spellEnd"/>
      <w:r w:rsidRPr="00CD437A">
        <w:rPr>
          <w:i/>
        </w:rPr>
        <w:t xml:space="preserve"> et al. v. Guatemala</w:t>
      </w:r>
      <w:r w:rsidRPr="00CD437A">
        <w:t xml:space="preserve">, </w:t>
      </w:r>
      <w:r w:rsidRPr="00CD437A">
        <w:rPr>
          <w:i/>
        </w:rPr>
        <w:t>supra, para. 73.</w:t>
      </w:r>
    </w:p>
  </w:footnote>
  <w:footnote w:id="177">
    <w:p w14:paraId="7B85B9BF"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w:t>
      </w:r>
      <w:r w:rsidRPr="00CD437A">
        <w:rPr>
          <w:rStyle w:val="Textoennegrita"/>
          <w:b w:val="0"/>
          <w:i/>
          <w:color w:val="000000"/>
          <w:shd w:val="clear" w:color="auto" w:fill="FFFFFF"/>
        </w:rPr>
        <w:t xml:space="preserve">Case of Poblete </w:t>
      </w:r>
      <w:proofErr w:type="spellStart"/>
      <w:r w:rsidRPr="00CD437A">
        <w:rPr>
          <w:rStyle w:val="Textoennegrita"/>
          <w:b w:val="0"/>
          <w:i/>
          <w:color w:val="000000"/>
          <w:shd w:val="clear" w:color="auto" w:fill="FFFFFF"/>
        </w:rPr>
        <w:t>Vilches</w:t>
      </w:r>
      <w:proofErr w:type="spellEnd"/>
      <w:r w:rsidRPr="00CD437A">
        <w:rPr>
          <w:rStyle w:val="Textoennegrita"/>
          <w:b w:val="0"/>
          <w:i/>
          <w:color w:val="000000"/>
          <w:shd w:val="clear" w:color="auto" w:fill="FFFFFF"/>
        </w:rPr>
        <w:t xml:space="preserve"> et al. v. Chile, supra, </w:t>
      </w:r>
      <w:r w:rsidRPr="00CD437A">
        <w:rPr>
          <w:rStyle w:val="Textoennegrita"/>
          <w:b w:val="0"/>
          <w:color w:val="000000"/>
          <w:shd w:val="clear" w:color="auto" w:fill="FFFFFF"/>
        </w:rPr>
        <w:t>para. 103,</w:t>
      </w:r>
      <w:r w:rsidRPr="00CD437A">
        <w:rPr>
          <w:rStyle w:val="Textoennegrita"/>
          <w:color w:val="000000"/>
          <w:shd w:val="clear" w:color="auto" w:fill="FFFFFF"/>
        </w:rPr>
        <w:t xml:space="preserve"> </w:t>
      </w:r>
      <w:r w:rsidRPr="00CD437A">
        <w:rPr>
          <w:rStyle w:val="Textoennegrita"/>
          <w:b w:val="0"/>
          <w:color w:val="000000"/>
          <w:shd w:val="clear" w:color="auto" w:fill="FFFFFF"/>
        </w:rPr>
        <w:t xml:space="preserve">and </w:t>
      </w:r>
      <w:r w:rsidRPr="00CD437A">
        <w:t xml:space="preserve">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73.</w:t>
      </w:r>
    </w:p>
  </w:footnote>
  <w:footnote w:id="178">
    <w:p w14:paraId="5433C8E6"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Article 3(j) of the OAS Charter indicates that </w:t>
      </w:r>
      <w:r w:rsidRPr="00CD437A">
        <w:rPr>
          <w:rFonts w:cs="Tahoma"/>
          <w:color w:val="000000"/>
          <w:shd w:val="clear" w:color="auto" w:fill="FFFFFF"/>
        </w:rPr>
        <w:t>“[s]</w:t>
      </w:r>
      <w:proofErr w:type="spellStart"/>
      <w:r w:rsidRPr="00CD437A">
        <w:t>ocial</w:t>
      </w:r>
      <w:proofErr w:type="spellEnd"/>
      <w:r w:rsidRPr="00CD437A">
        <w:t xml:space="preserve"> justice and social security are </w:t>
      </w:r>
      <w:r>
        <w:t xml:space="preserve">the </w:t>
      </w:r>
      <w:r w:rsidRPr="00CD437A">
        <w:t>bases of lasting peace</w:t>
      </w:r>
      <w:r w:rsidRPr="00CD437A">
        <w:rPr>
          <w:rFonts w:eastAsia="Times" w:cs="Arial"/>
        </w:rPr>
        <w:t xml:space="preserve">.” </w:t>
      </w:r>
    </w:p>
  </w:footnote>
  <w:footnote w:id="179">
    <w:p w14:paraId="61AF0AC6" w14:textId="77777777" w:rsidR="00E6764B" w:rsidRPr="00CD437A" w:rsidRDefault="00E6764B" w:rsidP="008E6A56">
      <w:pPr>
        <w:pStyle w:val="style1"/>
        <w:shd w:val="clear" w:color="auto" w:fill="FFFFFF"/>
        <w:spacing w:before="0" w:beforeAutospacing="0" w:after="0" w:afterAutospacing="0"/>
        <w:jc w:val="both"/>
        <w:rPr>
          <w:rFonts w:ascii="Verdana" w:hAnsi="Verdana" w:cs="Tahoma"/>
          <w:color w:val="333333"/>
          <w:sz w:val="16"/>
          <w:szCs w:val="16"/>
        </w:rPr>
      </w:pPr>
      <w:r w:rsidRPr="00CD437A">
        <w:rPr>
          <w:rStyle w:val="Refdenotaalpie"/>
          <w:rFonts w:eastAsia="Batang"/>
          <w:sz w:val="16"/>
          <w:szCs w:val="16"/>
        </w:rPr>
        <w:footnoteRef/>
      </w:r>
      <w:r>
        <w:rPr>
          <w:rFonts w:ascii="Verdana" w:hAnsi="Verdana"/>
          <w:sz w:val="16"/>
          <w:szCs w:val="16"/>
        </w:rPr>
        <w:t xml:space="preserve"> </w:t>
      </w:r>
      <w:r>
        <w:rPr>
          <w:rFonts w:ascii="Verdana" w:hAnsi="Verdana"/>
          <w:sz w:val="16"/>
          <w:szCs w:val="16"/>
        </w:rPr>
        <w:tab/>
        <w:t>Article 45</w:t>
      </w:r>
      <w:r w:rsidRPr="00CD437A">
        <w:rPr>
          <w:rFonts w:ascii="Verdana" w:hAnsi="Verdana"/>
          <w:sz w:val="16"/>
          <w:szCs w:val="16"/>
        </w:rPr>
        <w:t xml:space="preserve"> of the OAS Charter establishes that “[t]he Member States, convinced that man can only achieve the full realization of his aspirations within a </w:t>
      </w:r>
      <w:r w:rsidRPr="00CD437A">
        <w:rPr>
          <w:rStyle w:val="highlight"/>
          <w:rFonts w:ascii="Verdana" w:hAnsi="Verdana"/>
          <w:sz w:val="16"/>
          <w:szCs w:val="16"/>
        </w:rPr>
        <w:t>just social</w:t>
      </w:r>
      <w:r w:rsidRPr="00CD437A">
        <w:rPr>
          <w:rFonts w:ascii="Verdana" w:hAnsi="Verdana"/>
          <w:sz w:val="16"/>
          <w:szCs w:val="16"/>
        </w:rPr>
        <w:t xml:space="preserve"> order, along with economic development and true peace, agree to dedicate every effort to the application of the following principles and mechanisms</w:t>
      </w:r>
      <w:r>
        <w:rPr>
          <w:rFonts w:ascii="Verdana" w:hAnsi="Verdana"/>
          <w:sz w:val="16"/>
          <w:szCs w:val="16"/>
        </w:rPr>
        <w:t>:</w:t>
      </w:r>
      <w:r>
        <w:rPr>
          <w:rFonts w:ascii="Verdana" w:hAnsi="Verdana" w:cs="Tahoma"/>
          <w:color w:val="000000"/>
          <w:sz w:val="16"/>
          <w:szCs w:val="16"/>
        </w:rPr>
        <w:t xml:space="preserve"> </w:t>
      </w:r>
      <w:r w:rsidRPr="00CD437A">
        <w:rPr>
          <w:rFonts w:ascii="Verdana" w:hAnsi="Verdana"/>
          <w:sz w:val="16"/>
          <w:szCs w:val="16"/>
        </w:rPr>
        <w:t>(b) [w]ork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r w:rsidRPr="00CD437A">
        <w:rPr>
          <w:rFonts w:ascii="Verdana" w:hAnsi="Verdana" w:cs="Tahoma"/>
          <w:color w:val="000000"/>
          <w:sz w:val="16"/>
          <w:szCs w:val="16"/>
        </w:rPr>
        <w:t xml:space="preserve">” </w:t>
      </w:r>
    </w:p>
  </w:footnote>
  <w:footnote w:id="180">
    <w:p w14:paraId="133D4B5D" w14:textId="77777777" w:rsidR="00E6764B" w:rsidRPr="00CD437A" w:rsidRDefault="00E6764B" w:rsidP="00CD2B15">
      <w:pPr>
        <w:pStyle w:val="Textonotapie"/>
      </w:pPr>
      <w:r w:rsidRPr="00CD437A">
        <w:rPr>
          <w:rStyle w:val="Refdenotaalpie"/>
        </w:rPr>
        <w:footnoteRef/>
      </w:r>
      <w:r w:rsidRPr="00CD437A">
        <w:t xml:space="preserve"> </w:t>
      </w:r>
      <w:r w:rsidRPr="00CD437A">
        <w:tab/>
        <w:t>Article 45(h) of the OAS Charter refers to: “</w:t>
      </w:r>
      <w:r w:rsidRPr="00CD437A">
        <w:rPr>
          <w:shd w:val="clear" w:color="auto" w:fill="FFFFFF"/>
        </w:rPr>
        <w:t>[d]</w:t>
      </w:r>
      <w:proofErr w:type="spellStart"/>
      <w:r w:rsidRPr="00CD437A">
        <w:rPr>
          <w:shd w:val="clear" w:color="auto" w:fill="FFFFFF"/>
        </w:rPr>
        <w:t>evelopment</w:t>
      </w:r>
      <w:proofErr w:type="spellEnd"/>
      <w:r w:rsidRPr="00CD437A">
        <w:rPr>
          <w:shd w:val="clear" w:color="auto" w:fill="FFFFFF"/>
        </w:rPr>
        <w:t xml:space="preserve"> of an efficient social security policy.</w:t>
      </w:r>
      <w:r w:rsidRPr="00CD437A">
        <w:t xml:space="preserve">” </w:t>
      </w:r>
    </w:p>
  </w:footnote>
  <w:footnote w:id="181">
    <w:p w14:paraId="3180E4CF" w14:textId="77777777" w:rsidR="00E6764B" w:rsidRPr="00CD437A" w:rsidRDefault="00E6764B" w:rsidP="00CD2B15">
      <w:pPr>
        <w:pStyle w:val="Textonotapie"/>
      </w:pPr>
      <w:r w:rsidRPr="00CD437A">
        <w:rPr>
          <w:rStyle w:val="Refdenotaalpie"/>
        </w:rPr>
        <w:footnoteRef/>
      </w:r>
      <w:r w:rsidRPr="00CD437A">
        <w:tab/>
        <w:t>Cf. Case of the "</w:t>
      </w:r>
      <w:proofErr w:type="spellStart"/>
      <w:r w:rsidRPr="00CD437A">
        <w:t>Mapiripán</w:t>
      </w:r>
      <w:proofErr w:type="spellEnd"/>
      <w:r w:rsidRPr="00CD437A">
        <w:t xml:space="preserve"> Massacre" v. Colombia. Judgment of September 15, 2005. Series C No. 134, para. 107, and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100.</w:t>
      </w:r>
    </w:p>
  </w:footnote>
  <w:footnote w:id="182">
    <w:p w14:paraId="38D6B19E" w14:textId="77777777" w:rsidR="00E6764B" w:rsidRPr="00CD437A" w:rsidRDefault="00E6764B" w:rsidP="00CD2B15">
      <w:pPr>
        <w:pStyle w:val="Textonotapie"/>
      </w:pPr>
      <w:r w:rsidRPr="00CD437A">
        <w:rPr>
          <w:rStyle w:val="Refdenotaalpie"/>
        </w:rPr>
        <w:footnoteRef/>
      </w:r>
      <w:r w:rsidRPr="00CD437A">
        <w:tab/>
        <w:t xml:space="preserve">Cf. Case of the Pacheco </w:t>
      </w:r>
      <w:proofErr w:type="spellStart"/>
      <w:r w:rsidRPr="00CD437A">
        <w:t>Tineo</w:t>
      </w:r>
      <w:proofErr w:type="spellEnd"/>
      <w:r w:rsidRPr="00CD437A">
        <w:t xml:space="preserve"> Family v. Bolivia. Preliminary objections, merits, reparations and costs. Judgment of November 25, 2013. Series C No. 272, para. 143, and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100.</w:t>
      </w:r>
    </w:p>
  </w:footnote>
  <w:footnote w:id="183">
    <w:p w14:paraId="1F68BAC4" w14:textId="77777777" w:rsidR="00E6764B" w:rsidRPr="00CD437A" w:rsidRDefault="00E6764B" w:rsidP="00CD2B15">
      <w:pPr>
        <w:pStyle w:val="Textonotapie"/>
      </w:pPr>
      <w:r w:rsidRPr="00CD437A">
        <w:rPr>
          <w:rStyle w:val="Refdenotaalpie"/>
        </w:rPr>
        <w:footnoteRef/>
      </w:r>
      <w:r w:rsidRPr="00CD437A">
        <w:tab/>
        <w:t xml:space="preserve">Cf. Case of Poblete </w:t>
      </w:r>
      <w:proofErr w:type="spellStart"/>
      <w:r w:rsidRPr="00CD437A">
        <w:t>Vilches</w:t>
      </w:r>
      <w:proofErr w:type="spellEnd"/>
      <w:r w:rsidRPr="00CD437A">
        <w:t xml:space="preserve"> et al. v. Chile, supra, para. 103; Case of Lagos del Campo v. Peru, supra, para. 145; Case of I.V. v. Bolivia. Preliminary objections, merits, reparations and costs. Judgment of November 30, 2016. Series C No. 329, para. 168; Case of the Pacheco </w:t>
      </w:r>
      <w:proofErr w:type="spellStart"/>
      <w:r w:rsidRPr="00CD437A">
        <w:t>Tineo</w:t>
      </w:r>
      <w:proofErr w:type="spellEnd"/>
      <w:r w:rsidRPr="00CD437A">
        <w:t xml:space="preserve"> Family v. Bolivia, para. 129; Case of Atala </w:t>
      </w:r>
      <w:proofErr w:type="spellStart"/>
      <w:r w:rsidRPr="00CD437A">
        <w:t>Riffo</w:t>
      </w:r>
      <w:proofErr w:type="spellEnd"/>
      <w:r w:rsidRPr="00CD437A">
        <w:t xml:space="preserve"> and Daughters v. Chile. Merits, reparations and costs. Judgment of February 24, 2012. Series C No. 239, para. 83; Case of Gelman v. Uruguay. Merits and reparations. Judgment of February 24, 2011. Series C No. 221, para. 78 and 121, and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100.</w:t>
      </w:r>
    </w:p>
  </w:footnote>
  <w:footnote w:id="184">
    <w:p w14:paraId="0FD1A5CE" w14:textId="77777777" w:rsidR="00E6764B" w:rsidRPr="00CD437A" w:rsidRDefault="00E6764B" w:rsidP="00CD2B15">
      <w:pPr>
        <w:pStyle w:val="Textonotapie"/>
      </w:pPr>
      <w:r w:rsidRPr="00CD437A">
        <w:rPr>
          <w:rStyle w:val="Refdenotaalpie"/>
        </w:rPr>
        <w:footnoteRef/>
      </w:r>
      <w:r w:rsidRPr="00CD437A">
        <w:tab/>
        <w:t xml:space="preserve">Cf. Case of the Pacheco </w:t>
      </w:r>
      <w:proofErr w:type="spellStart"/>
      <w:r w:rsidRPr="00CD437A">
        <w:t>Tineo</w:t>
      </w:r>
      <w:proofErr w:type="spellEnd"/>
      <w:r w:rsidRPr="00CD437A">
        <w:t xml:space="preserve"> Family v. Bolivia, supra, para. 143 and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101.</w:t>
      </w:r>
    </w:p>
  </w:footnote>
  <w:footnote w:id="185">
    <w:p w14:paraId="78D296F1" w14:textId="77777777" w:rsidR="00E6764B" w:rsidRPr="00CD437A" w:rsidRDefault="00E6764B" w:rsidP="00CD2B15">
      <w:pPr>
        <w:pStyle w:val="Textonotapie"/>
      </w:pPr>
      <w:r w:rsidRPr="00CD437A">
        <w:rPr>
          <w:rStyle w:val="Refdenotaalpie"/>
        </w:rPr>
        <w:footnoteRef/>
      </w:r>
      <w:r w:rsidRPr="00CD437A">
        <w:tab/>
        <w:t xml:space="preserve">Cf. Interpretation of the American Declaration on the Rights and Duties of Man </w:t>
      </w:r>
      <w:r w:rsidRPr="00CD437A">
        <w:rPr>
          <w:iCs/>
        </w:rPr>
        <w:t>within the Framework of Article 64 of the American Convention on Human Rights</w:t>
      </w:r>
      <w:r w:rsidRPr="00CD437A">
        <w:t>. Advisory Opinion OC-10/89 of</w:t>
      </w:r>
      <w:r>
        <w:t xml:space="preserve"> July 14, 1989. Series A No. 10,</w:t>
      </w:r>
      <w:r w:rsidRPr="00CD437A">
        <w:t xml:space="preserve"> para. 43, and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101.</w:t>
      </w:r>
    </w:p>
  </w:footnote>
  <w:footnote w:id="186">
    <w:p w14:paraId="41F583DA" w14:textId="77777777" w:rsidR="00E6764B" w:rsidRPr="00CD437A" w:rsidRDefault="00E6764B" w:rsidP="00CD2B15">
      <w:pPr>
        <w:pStyle w:val="Textonotapie"/>
        <w:rPr>
          <w:b/>
        </w:rPr>
      </w:pPr>
      <w:r w:rsidRPr="00CD437A">
        <w:rPr>
          <w:rStyle w:val="Refdenotaalpie"/>
        </w:rPr>
        <w:footnoteRef/>
      </w:r>
      <w:r w:rsidRPr="00CD437A">
        <w:tab/>
        <w:t xml:space="preserve">Cf. The Right to Information on Consular Assistance within the Framework of the Guarantees of </w:t>
      </w:r>
      <w:r>
        <w:t xml:space="preserve">the </w:t>
      </w:r>
      <w:r w:rsidRPr="00CD437A">
        <w:t xml:space="preserve">Due Process of Law. Advisory Opinion OC-16/99 of October 1, 1999. Series A No. 16, para. 114, and </w:t>
      </w:r>
      <w:proofErr w:type="gramStart"/>
      <w:r w:rsidRPr="00CD437A">
        <w:rPr>
          <w:rStyle w:val="Textoennegrita"/>
          <w:b w:val="0"/>
          <w:i/>
          <w:color w:val="000000"/>
          <w:shd w:val="clear" w:color="auto" w:fill="FFFFFF"/>
        </w:rPr>
        <w:t>The</w:t>
      </w:r>
      <w:proofErr w:type="gramEnd"/>
      <w:r w:rsidRPr="00CD437A">
        <w:rPr>
          <w:rStyle w:val="Textoennegrita"/>
          <w:b w:val="0"/>
          <w:i/>
          <w:color w:val="000000"/>
          <w:shd w:val="clear" w:color="auto" w:fill="FFFFFF"/>
        </w:rPr>
        <w:t xml:space="preserve"> institution of asylum, and its recognition as a human right under the Inter-American System of Protection (interpretation and scope of Articles 5, 22(7) and 22(8) in relation to Article 1(1) of the American Convention on Human Rights).</w:t>
      </w:r>
      <w:r w:rsidRPr="00CD437A">
        <w:rPr>
          <w:rStyle w:val="Textoennegrita"/>
          <w:b w:val="0"/>
          <w:color w:val="000000"/>
          <w:shd w:val="clear" w:color="auto" w:fill="FFFFFF"/>
        </w:rPr>
        <w:t xml:space="preserve"> </w:t>
      </w:r>
      <w:r w:rsidRPr="00CD437A">
        <w:rPr>
          <w:rStyle w:val="Textoennegrita"/>
          <w:b w:val="0"/>
          <w:i/>
          <w:color w:val="000000"/>
          <w:shd w:val="clear" w:color="auto" w:fill="FFFFFF"/>
        </w:rPr>
        <w:t>Advisory Opinion OC-25/18</w:t>
      </w:r>
      <w:r w:rsidRPr="00CD437A">
        <w:rPr>
          <w:rStyle w:val="Textoennegrita"/>
          <w:b w:val="0"/>
          <w:color w:val="000000"/>
          <w:shd w:val="clear" w:color="auto" w:fill="FFFFFF"/>
        </w:rPr>
        <w:t xml:space="preserve"> of May 30, 2018. Series A No. 25, para. 137.</w:t>
      </w:r>
    </w:p>
  </w:footnote>
  <w:footnote w:id="187">
    <w:p w14:paraId="02D0160B" w14:textId="77777777" w:rsidR="00E6764B" w:rsidRPr="00CD437A" w:rsidRDefault="00E6764B" w:rsidP="00CD2B15">
      <w:pPr>
        <w:pStyle w:val="Textonotapie"/>
      </w:pPr>
      <w:r w:rsidRPr="00CD437A">
        <w:rPr>
          <w:rStyle w:val="Refdenotaalpie"/>
        </w:rPr>
        <w:footnoteRef/>
      </w:r>
      <w:r>
        <w:t xml:space="preserve"> </w:t>
      </w:r>
      <w:r>
        <w:tab/>
        <w:t>Approved at</w:t>
      </w:r>
      <w:r w:rsidRPr="00CD437A">
        <w:t xml:space="preserve"> the Ninth Pan American Conference held in Bogotá, Colombia, 1948.</w:t>
      </w:r>
    </w:p>
  </w:footnote>
  <w:footnote w:id="188">
    <w:p w14:paraId="03EA614B"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Adopted in San Salvador, El Salvador, on November 17, 1988, confirmed at the Eighteenth Regular Session of the General Assembly. It entered into force on November 16, 1999. Peru signed it on November 17, 1988 and ratified it on May 17, 1995. Article 9 establishes that: “1) </w:t>
      </w:r>
      <w:r w:rsidRPr="00CD437A">
        <w:rPr>
          <w:rFonts w:cs="Tahoma"/>
          <w:color w:val="000000"/>
        </w:rPr>
        <w:t>Everyone shall have the right to social security protecting him from the consequences of old age and of disability which prevents him, physically or mentally, from securing the means for a dignified and decent existence. In the event of the death of a beneficiary, social security benefits shall be applied to his dependents</w:t>
      </w:r>
      <w:r w:rsidRPr="00CD437A">
        <w:t xml:space="preserve">. 2) </w:t>
      </w:r>
      <w:r w:rsidRPr="00CD437A">
        <w:rPr>
          <w:rFonts w:cs="Tahoma"/>
          <w:color w:val="000000"/>
        </w:rPr>
        <w:t>In the case of persons who are employed, the right to social security shall cover at least medical care and an allowance or retirement benefit in the case of work accidents or occupational disease and, in the case of women, paid maternity leave before and after childbirth</w:t>
      </w:r>
      <w:r w:rsidRPr="00CD437A">
        <w:t>.”</w:t>
      </w:r>
    </w:p>
  </w:footnote>
  <w:footnote w:id="189">
    <w:p w14:paraId="51A31DB0" w14:textId="77777777" w:rsidR="00E6764B" w:rsidRPr="00CD437A" w:rsidRDefault="00E6764B" w:rsidP="008E6A56">
      <w:pPr>
        <w:rPr>
          <w:rFonts w:ascii="Verdana" w:eastAsia="Times" w:hAnsi="Verdana" w:cs="Arial"/>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Adopted and proclaimed by the Resolution of General Assembly 217 A (iii) of December 10, 1948</w:t>
      </w:r>
      <w:r>
        <w:rPr>
          <w:rFonts w:ascii="Verdana" w:hAnsi="Verdana"/>
          <w:sz w:val="16"/>
          <w:szCs w:val="16"/>
          <w:lang w:val="en-US"/>
        </w:rPr>
        <w:t>,</w:t>
      </w:r>
      <w:r w:rsidRPr="00CD437A">
        <w:rPr>
          <w:rFonts w:ascii="Verdana" w:hAnsi="Verdana"/>
          <w:sz w:val="16"/>
          <w:szCs w:val="16"/>
          <w:lang w:val="en-US"/>
        </w:rPr>
        <w:t xml:space="preserve"> in Paris. Article 25 establishes that: “(</w:t>
      </w:r>
      <w:r w:rsidRPr="00CD437A">
        <w:rPr>
          <w:rFonts w:ascii="Verdana" w:hAnsi="Verdana"/>
          <w:sz w:val="16"/>
          <w:szCs w:val="16"/>
          <w:shd w:val="clear" w:color="auto" w:fill="FFFFFF"/>
          <w:lang w:val="en-US"/>
        </w:rPr>
        <w:t>1</w:t>
      </w:r>
      <w:r w:rsidRPr="00CD437A">
        <w:rPr>
          <w:rFonts w:ascii="Verdana" w:hAnsi="Verdana"/>
          <w:sz w:val="16"/>
          <w:szCs w:val="16"/>
          <w:lang w:val="en-US"/>
        </w:rPr>
        <w:t>)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(2) Motherhood and childhood are entitled to special care and assistance. All children, whether born in or out of wedlock, shall enjoy the same social protection.”</w:t>
      </w:r>
    </w:p>
  </w:footnote>
  <w:footnote w:id="190">
    <w:p w14:paraId="79B6D68C"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Adopted and opened for signature, ratification and accession by the General Assembly in Resolution 2200 A (XXI), of December 16, 1966. </w:t>
      </w:r>
      <w:r w:rsidRPr="00CD437A">
        <w:rPr>
          <w:bCs/>
        </w:rPr>
        <w:t xml:space="preserve">Entry into force: January 3, 1976. Ratified by Peru on April 28, 1978. In relation to Social Security, Article 10 establishes that: “The States Parties to the present Covenant recognize that: 2) </w:t>
      </w:r>
      <w:r w:rsidRPr="00CD437A">
        <w:rPr>
          <w:color w:val="000000"/>
          <w:shd w:val="clear" w:color="auto" w:fill="FFFFFF"/>
        </w:rPr>
        <w:t>Special protection should be accorded to mothers during a reasonable period before and after childbirth. During such period working mothers should be accorded paid leave or leave with adequate social security benefits</w:t>
      </w:r>
      <w:r w:rsidRPr="00CD437A">
        <w:rPr>
          <w:bCs/>
        </w:rPr>
        <w:t xml:space="preserve">. </w:t>
      </w:r>
    </w:p>
  </w:footnote>
  <w:footnote w:id="191">
    <w:p w14:paraId="76519FCF" w14:textId="77777777" w:rsidR="00E6764B" w:rsidRPr="00CD437A" w:rsidRDefault="00E6764B" w:rsidP="008E6A56">
      <w:pPr>
        <w:pStyle w:val="NormalWeb"/>
        <w:spacing w:before="0" w:beforeAutospacing="0" w:after="0" w:afterAutospacing="0"/>
        <w:jc w:val="both"/>
        <w:rPr>
          <w:rFonts w:ascii="Verdana" w:hAnsi="Verdana" w:cs="Arial"/>
          <w:color w:val="000000"/>
          <w:sz w:val="16"/>
          <w:szCs w:val="16"/>
          <w:lang w:val="en-US"/>
        </w:rPr>
      </w:pPr>
      <w:r w:rsidRPr="00CD437A">
        <w:rPr>
          <w:rStyle w:val="Refdenotaalpie"/>
          <w:rFonts w:eastAsia="Calibri"/>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 xml:space="preserve">Article 10 establishes: “Right to </w:t>
      </w:r>
      <w:r w:rsidRPr="00CD437A">
        <w:rPr>
          <w:rFonts w:ascii="Verdana" w:hAnsi="Verdana" w:cs="Arial"/>
          <w:bCs/>
          <w:color w:val="000000"/>
          <w:sz w:val="16"/>
          <w:szCs w:val="16"/>
          <w:lang w:val="en-US"/>
        </w:rPr>
        <w:t>Social Security. Article 10. -</w:t>
      </w:r>
      <w:r w:rsidRPr="00CD437A">
        <w:rPr>
          <w:rFonts w:ascii="Verdana" w:hAnsi="Verdana" w:cs="Arial"/>
          <w:b/>
          <w:bCs/>
          <w:color w:val="000000"/>
          <w:sz w:val="16"/>
          <w:szCs w:val="16"/>
          <w:lang w:val="en-US"/>
        </w:rPr>
        <w:t> </w:t>
      </w:r>
      <w:r w:rsidRPr="00CD437A">
        <w:rPr>
          <w:rFonts w:ascii="Verdana" w:hAnsi="Verdana" w:cs="Arial"/>
          <w:color w:val="000000"/>
          <w:sz w:val="16"/>
          <w:szCs w:val="16"/>
          <w:lang w:val="en-US"/>
        </w:rPr>
        <w:t xml:space="preserve">The State recognizes the universal and progressive right of every person to social security, for his protection from the contingencies specified by law and for the improvement of his quality of life. Article 11 establishes: “Free access to health benefits </w:t>
      </w:r>
      <w:r w:rsidRPr="00CD437A">
        <w:rPr>
          <w:rFonts w:ascii="Verdana" w:hAnsi="Verdana" w:cs="Arial"/>
          <w:bCs/>
          <w:color w:val="000000"/>
          <w:sz w:val="16"/>
          <w:szCs w:val="16"/>
          <w:lang w:val="en-US"/>
        </w:rPr>
        <w:t>and pensions. Article 11.-</w:t>
      </w:r>
      <w:r w:rsidRPr="00CD437A">
        <w:rPr>
          <w:rFonts w:ascii="Verdana" w:hAnsi="Verdana" w:cs="Arial"/>
          <w:color w:val="000000"/>
          <w:sz w:val="16"/>
          <w:szCs w:val="16"/>
          <w:lang w:val="en-US"/>
        </w:rPr>
        <w:t>The State guarantees free access to health benefits and pensions, through public, private or mixed entities. It also oversee</w:t>
      </w:r>
      <w:r>
        <w:rPr>
          <w:rFonts w:ascii="Verdana" w:hAnsi="Verdana" w:cs="Arial"/>
          <w:color w:val="000000"/>
          <w:sz w:val="16"/>
          <w:szCs w:val="16"/>
          <w:lang w:val="en-US"/>
        </w:rPr>
        <w:t>s</w:t>
      </w:r>
      <w:r w:rsidRPr="00CD437A">
        <w:rPr>
          <w:rFonts w:ascii="Verdana" w:hAnsi="Verdana" w:cs="Arial"/>
          <w:color w:val="000000"/>
          <w:sz w:val="16"/>
          <w:szCs w:val="16"/>
          <w:lang w:val="en-US"/>
        </w:rPr>
        <w:t xml:space="preserve"> their effective operation.</w:t>
      </w:r>
    </w:p>
    <w:p w14:paraId="346CB838" w14:textId="77777777" w:rsidR="00E6764B" w:rsidRPr="00CD437A" w:rsidRDefault="00E6764B" w:rsidP="008E6A56">
      <w:pPr>
        <w:pStyle w:val="NormalWeb"/>
        <w:spacing w:before="0" w:beforeAutospacing="0" w:after="0" w:afterAutospacing="0"/>
        <w:jc w:val="both"/>
        <w:rPr>
          <w:rFonts w:ascii="Verdana" w:hAnsi="Verdana" w:cs="Arial"/>
          <w:color w:val="000000"/>
          <w:sz w:val="16"/>
          <w:szCs w:val="16"/>
          <w:lang w:val="en-US"/>
        </w:rPr>
      </w:pPr>
      <w:r w:rsidRPr="00CD437A">
        <w:rPr>
          <w:rFonts w:ascii="Verdana" w:hAnsi="Verdana" w:cs="Arial"/>
          <w:color w:val="000000"/>
          <w:sz w:val="16"/>
          <w:szCs w:val="16"/>
          <w:lang w:val="en-US"/>
        </w:rPr>
        <w:t>The law establishes the National Government entity that administers the State pension regimes.</w:t>
      </w:r>
      <w:r w:rsidRPr="00CD437A">
        <w:rPr>
          <w:rFonts w:ascii="Verdana" w:hAnsi="Verdana" w:cs="Arial"/>
          <w:bCs/>
          <w:color w:val="000000"/>
          <w:sz w:val="16"/>
          <w:szCs w:val="16"/>
          <w:lang w:val="en-US"/>
        </w:rPr>
        <w:t>”</w:t>
      </w:r>
    </w:p>
  </w:footnote>
  <w:footnote w:id="192">
    <w:p w14:paraId="49E40519"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Working Group to Examine the National Reports envisioned in the Protocol of San Salvador “Progress indicators for measuring rights under the Protocol of San Salvador,” OEA/</w:t>
      </w:r>
      <w:proofErr w:type="spellStart"/>
      <w:r w:rsidRPr="00CD437A">
        <w:t>Ser.L</w:t>
      </w:r>
      <w:proofErr w:type="spellEnd"/>
      <w:r w:rsidRPr="00CD437A">
        <w:t>/XXV.2.1; GT/PSS/doc.2/11 rev.2, of December 16, 2011, para. 62. This document was based on the guidelines and criteria presented by the Inter-American Commission on Human Rights.</w:t>
      </w:r>
    </w:p>
  </w:footnote>
  <w:footnote w:id="193">
    <w:p w14:paraId="4BA4783B" w14:textId="77777777" w:rsidR="00E6764B" w:rsidRPr="00CD437A" w:rsidRDefault="00E6764B" w:rsidP="008E6A56">
      <w:pPr>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 xml:space="preserve">Article 11 of the United Nations Declaration on Social Progress and Development; Articles 11 and 13 of the United Nations Convention on the Elimination of All Forms of Discrimination against Women; Article 26(1) of the Convention on the Rights of the Child; Article 5 </w:t>
      </w:r>
      <w:r>
        <w:rPr>
          <w:rFonts w:ascii="Verdana" w:hAnsi="Verdana"/>
          <w:sz w:val="16"/>
          <w:szCs w:val="16"/>
          <w:lang w:val="en-US"/>
        </w:rPr>
        <w:t>(e)(</w:t>
      </w:r>
      <w:r w:rsidRPr="00CD437A">
        <w:rPr>
          <w:rFonts w:ascii="Verdana" w:hAnsi="Verdana"/>
          <w:sz w:val="16"/>
          <w:szCs w:val="16"/>
          <w:lang w:val="en-US"/>
        </w:rPr>
        <w:t xml:space="preserve"> 1), iv) of the International Convention on the Elimination of All Forms of Racial Discrimination; Articles 27 and 54 of the International Convention on the Protection of the Rights of All Migrant Workers and Members of their Families; Articles 12,13,14 of the European Social Charter. Includes articles of Conventions 102 and 128 </w:t>
      </w:r>
      <w:hyperlink r:id="rId4" w:history="1">
        <w:r w:rsidRPr="00CD437A">
          <w:rPr>
            <w:rStyle w:val="Hipervnculo"/>
            <w:sz w:val="16"/>
            <w:szCs w:val="16"/>
            <w:lang w:val="en-US"/>
          </w:rPr>
          <w:t>International Labour Organization</w:t>
        </w:r>
      </w:hyperlink>
      <w:r w:rsidRPr="00CD437A">
        <w:rPr>
          <w:rFonts w:ascii="Verdana" w:hAnsi="Verdana"/>
          <w:sz w:val="16"/>
          <w:szCs w:val="16"/>
          <w:lang w:val="en-US"/>
        </w:rPr>
        <w:t xml:space="preserve"> (Peru is not a party to the latter), and Recommendations 67, 167 and 202.</w:t>
      </w:r>
    </w:p>
  </w:footnote>
  <w:footnote w:id="194">
    <w:p w14:paraId="7FA55BB4"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Convention C 102 </w:t>
      </w:r>
      <w:hyperlink r:id="rId5" w:history="1">
        <w:r w:rsidRPr="00CD437A">
          <w:rPr>
            <w:rStyle w:val="Hipervnculo"/>
          </w:rPr>
          <w:t xml:space="preserve">International </w:t>
        </w:r>
        <w:proofErr w:type="spellStart"/>
        <w:r w:rsidRPr="00CD437A">
          <w:rPr>
            <w:rStyle w:val="Hipervnculo"/>
          </w:rPr>
          <w:t>Labour</w:t>
        </w:r>
        <w:proofErr w:type="spellEnd"/>
        <w:r w:rsidRPr="00CD437A">
          <w:rPr>
            <w:rStyle w:val="Hipervnculo"/>
          </w:rPr>
          <w:t xml:space="preserve"> Organization</w:t>
        </w:r>
      </w:hyperlink>
      <w:r w:rsidRPr="00CD437A">
        <w:t xml:space="preserve">, Convention C128 </w:t>
      </w:r>
      <w:hyperlink r:id="rId6" w:history="1">
        <w:r w:rsidRPr="00CD437A">
          <w:rPr>
            <w:rStyle w:val="Hipervnculo"/>
          </w:rPr>
          <w:t xml:space="preserve">International </w:t>
        </w:r>
        <w:proofErr w:type="spellStart"/>
        <w:r w:rsidRPr="00CD437A">
          <w:rPr>
            <w:rStyle w:val="Hipervnculo"/>
          </w:rPr>
          <w:t>Labour</w:t>
        </w:r>
        <w:proofErr w:type="spellEnd"/>
        <w:r w:rsidRPr="00CD437A">
          <w:rPr>
            <w:rStyle w:val="Hipervnculo"/>
          </w:rPr>
          <w:t xml:space="preserve"> Organization</w:t>
        </w:r>
      </w:hyperlink>
      <w:r w:rsidRPr="00CD437A">
        <w:t xml:space="preserve">, Recommendation 67, 167 and 202 </w:t>
      </w:r>
      <w:hyperlink r:id="rId7" w:history="1">
        <w:r w:rsidRPr="00CD437A">
          <w:rPr>
            <w:rStyle w:val="Hipervnculo"/>
          </w:rPr>
          <w:t xml:space="preserve">International </w:t>
        </w:r>
        <w:proofErr w:type="spellStart"/>
        <w:r w:rsidRPr="00CD437A">
          <w:rPr>
            <w:rStyle w:val="Hipervnculo"/>
          </w:rPr>
          <w:t>Labour</w:t>
        </w:r>
        <w:proofErr w:type="spellEnd"/>
        <w:r w:rsidRPr="00CD437A">
          <w:rPr>
            <w:rStyle w:val="Hipervnculo"/>
          </w:rPr>
          <w:t xml:space="preserve"> Organization</w:t>
        </w:r>
      </w:hyperlink>
      <w:r w:rsidRPr="00CD437A">
        <w:t>.</w:t>
      </w:r>
    </w:p>
  </w:footnote>
  <w:footnote w:id="195">
    <w:p w14:paraId="05BBF44B" w14:textId="77777777" w:rsidR="00E6764B" w:rsidRPr="00CD437A" w:rsidRDefault="00E6764B" w:rsidP="008E6A56">
      <w:pPr>
        <w:autoSpaceDE w:val="0"/>
        <w:autoSpaceDN w:val="0"/>
        <w:rPr>
          <w:rFonts w:ascii="Verdana" w:hAnsi="Verdana" w:cs="JansonTextLTStd-Roman"/>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t>ILO</w:t>
      </w:r>
      <w:r w:rsidRPr="00CD437A">
        <w:rPr>
          <w:rFonts w:ascii="Verdana" w:hAnsi="Verdana" w:cs="JansonTextLTStd-Roman"/>
          <w:sz w:val="16"/>
          <w:szCs w:val="16"/>
          <w:lang w:val="en-US"/>
        </w:rPr>
        <w:t xml:space="preserve">, </w:t>
      </w:r>
      <w:r w:rsidRPr="00CD437A">
        <w:rPr>
          <w:rFonts w:ascii="Verdana" w:hAnsi="Verdana" w:cs="JansonTextLTStd-Roman"/>
          <w:i/>
          <w:sz w:val="16"/>
          <w:szCs w:val="16"/>
          <w:lang w:val="en-US"/>
        </w:rPr>
        <w:t>“Social Security</w:t>
      </w:r>
      <w:r>
        <w:rPr>
          <w:rFonts w:ascii="Verdana" w:hAnsi="Verdana" w:cs="JansonTextLTStd-Roman"/>
          <w:i/>
          <w:sz w:val="16"/>
          <w:szCs w:val="16"/>
          <w:lang w:val="en-US"/>
        </w:rPr>
        <w:t xml:space="preserve"> F</w:t>
      </w:r>
      <w:r w:rsidRPr="00CD437A">
        <w:rPr>
          <w:rFonts w:ascii="Verdana" w:hAnsi="Verdana" w:cs="JansonTextLTStd-Roman"/>
          <w:i/>
          <w:sz w:val="16"/>
          <w:szCs w:val="16"/>
          <w:lang w:val="en-US"/>
        </w:rPr>
        <w:t>acts”</w:t>
      </w:r>
      <w:r w:rsidRPr="00CD437A">
        <w:rPr>
          <w:rFonts w:ascii="Verdana" w:hAnsi="Verdana" w:cs="JansonTextLTStd-Roman"/>
          <w:sz w:val="16"/>
          <w:szCs w:val="16"/>
          <w:lang w:val="en-US"/>
        </w:rPr>
        <w:t xml:space="preserve">, publication of the International Labour Office, Geneva, Switzerland, June 6,  2003, available at: </w:t>
      </w:r>
      <w:hyperlink r:id="rId8" w:history="1">
        <w:r w:rsidRPr="00CD437A">
          <w:rPr>
            <w:rStyle w:val="Hipervnculo"/>
            <w:rFonts w:cs="JansonTextLTStd-Roman"/>
            <w:sz w:val="16"/>
            <w:szCs w:val="16"/>
            <w:lang w:val="en-US"/>
          </w:rPr>
          <w:t>https://www.ilo.org/wcmsp5/groups/public/---dgreports/---dcomm/documents/publication/wcms_067592.pdf</w:t>
        </w:r>
      </w:hyperlink>
      <w:r w:rsidRPr="00CD437A">
        <w:rPr>
          <w:rFonts w:ascii="Verdana" w:hAnsi="Verdana" w:cs="JansonTextLTStd-Roman"/>
          <w:sz w:val="16"/>
          <w:szCs w:val="16"/>
          <w:lang w:val="en-US"/>
        </w:rPr>
        <w:t xml:space="preserve"> Also, the ILO’s Committee </w:t>
      </w:r>
      <w:r w:rsidRPr="00CD437A">
        <w:rPr>
          <w:rFonts w:ascii="Verdana" w:hAnsi="Verdana"/>
          <w:sz w:val="16"/>
          <w:szCs w:val="16"/>
          <w:lang w:val="en-US"/>
        </w:rPr>
        <w:t>of Experts concluded that the case law of various Constitutional Courts in Latin America establish the right to social security through seven fundamental concepts: “[1] the right to social security is a fundamental right; [2] the right to social security has the dual purpose</w:t>
      </w:r>
      <w:r w:rsidRPr="00CD437A">
        <w:rPr>
          <w:rFonts w:ascii="Verdana" w:hAnsi="Verdana"/>
          <w:sz w:val="16"/>
          <w:szCs w:val="16"/>
          <w:lang w:val="en-GB"/>
        </w:rPr>
        <w:t xml:space="preserve"> to protect</w:t>
      </w:r>
      <w:r w:rsidRPr="00CD437A">
        <w:rPr>
          <w:rFonts w:ascii="Verdana" w:hAnsi="Verdana"/>
          <w:sz w:val="16"/>
          <w:szCs w:val="16"/>
          <w:lang w:val="en-US"/>
        </w:rPr>
        <w:t xml:space="preserve"> individuals and improve their quality of life; [3] the right to social security permits the recognition of social security as an institutional guarantee; [4] the concept of social security refers to all means of institutional protection against the risks that threaten the ability and opportunity of people and their families to generate sufficient income to have a decent human existence; [5] social security has as its own responsibility the integral coverage of the negative consequences produced by social contingencies; [6] national social security institutions have the duty to calculate benefits correctly and to grant benefits in full, respecting the principle of legitimate expectations of a beneficiary, and [7] on the basis of the urgency of each case and social solidarity, individuals who are not covered by the social security system may be entitled to social security benefits.” </w:t>
      </w:r>
      <w:r w:rsidRPr="00CD437A">
        <w:rPr>
          <w:rFonts w:ascii="Verdana" w:hAnsi="Verdana"/>
          <w:i/>
          <w:sz w:val="16"/>
          <w:szCs w:val="16"/>
          <w:lang w:val="en-US"/>
        </w:rPr>
        <w:t>Cf.</w:t>
      </w:r>
      <w:r w:rsidRPr="00CD437A">
        <w:rPr>
          <w:rFonts w:ascii="Verdana" w:hAnsi="Verdana"/>
          <w:sz w:val="16"/>
          <w:szCs w:val="16"/>
          <w:lang w:val="en-US"/>
        </w:rPr>
        <w:t xml:space="preserve"> International Labour Conference, 100</w:t>
      </w:r>
      <w:r w:rsidRPr="00CD437A">
        <w:rPr>
          <w:rFonts w:ascii="Verdana" w:hAnsi="Verdana"/>
          <w:sz w:val="16"/>
          <w:szCs w:val="16"/>
          <w:vertAlign w:val="superscript"/>
          <w:lang w:val="en-US"/>
        </w:rPr>
        <w:t>th</w:t>
      </w:r>
      <w:r w:rsidRPr="00CD437A">
        <w:rPr>
          <w:rFonts w:ascii="Verdana" w:hAnsi="Verdana"/>
          <w:sz w:val="16"/>
          <w:szCs w:val="16"/>
          <w:lang w:val="en-US"/>
        </w:rPr>
        <w:t xml:space="preserve"> Session, 2011</w:t>
      </w:r>
      <w:r w:rsidRPr="00CD437A">
        <w:rPr>
          <w:rFonts w:ascii="Verdana" w:hAnsi="Verdana"/>
          <w:i/>
          <w:sz w:val="16"/>
          <w:szCs w:val="16"/>
          <w:lang w:val="en-US"/>
        </w:rPr>
        <w:t>, General Survey concerning social security instruments in light of the 2008 Declaration on Social Justice for a Fair Globalization,</w:t>
      </w:r>
      <w:r w:rsidRPr="00CD437A">
        <w:rPr>
          <w:rFonts w:ascii="Verdana" w:hAnsi="Verdana"/>
          <w:sz w:val="16"/>
          <w:szCs w:val="16"/>
          <w:lang w:val="en-US"/>
        </w:rPr>
        <w:t xml:space="preserve"> Report of the Committee of Experts on the Application of  Conventions and Recommendations (Articles 19, 22 and 35 of the Constitution), Report III (Part 1B), p. 131, para. 281.</w:t>
      </w:r>
    </w:p>
  </w:footnote>
  <w:footnote w:id="196">
    <w:p w14:paraId="169783F1"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w:t>
      </w:r>
      <w:r w:rsidRPr="00CD437A">
        <w:t xml:space="preserve">UN, Committee on Economic, Social and Cultural Rights, </w:t>
      </w:r>
      <w:r>
        <w:rPr>
          <w:i/>
        </w:rPr>
        <w:t>General Comment No. 19.</w:t>
      </w:r>
      <w:r w:rsidRPr="00CD437A">
        <w:rPr>
          <w:i/>
        </w:rPr>
        <w:t xml:space="preserve"> The </w:t>
      </w:r>
      <w:r w:rsidRPr="00CD437A">
        <w:rPr>
          <w:i/>
          <w:iCs/>
        </w:rPr>
        <w:t>right to social security (Article 9)</w:t>
      </w:r>
      <w:r w:rsidRPr="00CD437A">
        <w:t>, February 4, 2008, para. 2.</w:t>
      </w:r>
    </w:p>
  </w:footnote>
  <w:footnote w:id="197">
    <w:p w14:paraId="4DAD6BD9"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w:t>
      </w:r>
      <w:r w:rsidRPr="00CD437A">
        <w:t xml:space="preserve">UN, Committee on Economic, Social and Cultural Rights, </w:t>
      </w:r>
      <w:r w:rsidRPr="00CD437A">
        <w:rPr>
          <w:i/>
        </w:rPr>
        <w:t>General Comment No. 19</w:t>
      </w:r>
      <w:r>
        <w:t>.</w:t>
      </w:r>
      <w:r w:rsidRPr="00CD437A">
        <w:t xml:space="preserve"> </w:t>
      </w:r>
      <w:r w:rsidRPr="00CD437A">
        <w:rPr>
          <w:i/>
        </w:rPr>
        <w:t xml:space="preserve">The </w:t>
      </w:r>
      <w:r w:rsidRPr="00CD437A">
        <w:rPr>
          <w:i/>
          <w:iCs/>
        </w:rPr>
        <w:t>right to social security (Article 9)</w:t>
      </w:r>
      <w:r w:rsidRPr="00CD437A">
        <w:t>, February 4, 2008, paras. 9 to 28.</w:t>
      </w:r>
    </w:p>
  </w:footnote>
  <w:footnote w:id="198">
    <w:p w14:paraId="110F3F9F" w14:textId="77777777" w:rsidR="00E6764B" w:rsidRPr="00CD437A" w:rsidRDefault="00E6764B" w:rsidP="00CD2B15">
      <w:pPr>
        <w:pStyle w:val="Textonotapie"/>
      </w:pPr>
      <w:r w:rsidRPr="00CD437A">
        <w:rPr>
          <w:rStyle w:val="Refdenotaalpie"/>
          <w:rFonts w:eastAsia="Times New Roman"/>
        </w:rPr>
        <w:footnoteRef/>
      </w:r>
      <w:r w:rsidRPr="00CD437A">
        <w:t xml:space="preserve"> </w:t>
      </w:r>
      <w:r w:rsidRPr="00CD437A">
        <w:tab/>
      </w:r>
      <w:r w:rsidRPr="00CD437A">
        <w:rPr>
          <w:i/>
        </w:rPr>
        <w:t>General Comment Nº 14 (2000)</w:t>
      </w:r>
      <w:r>
        <w:rPr>
          <w:i/>
        </w:rPr>
        <w:t>.</w:t>
      </w:r>
      <w:r w:rsidRPr="00CD437A">
        <w:rPr>
          <w:i/>
        </w:rPr>
        <w:t xml:space="preserve"> The right to the highest attainable standard of health (Art. 12</w:t>
      </w:r>
      <w:r w:rsidRPr="00CD437A">
        <w:t>). Coverage must include any condition of morbidity, regardless of its causes, pregnancy and childbirth and its consequences, general medical care and hospitalization.</w:t>
      </w:r>
    </w:p>
  </w:footnote>
  <w:footnote w:id="199">
    <w:p w14:paraId="11087DCC" w14:textId="77777777" w:rsidR="00E6764B" w:rsidRPr="00CD437A" w:rsidRDefault="00E6764B" w:rsidP="00CD2B15">
      <w:pPr>
        <w:pStyle w:val="Textonotapie"/>
      </w:pPr>
      <w:r w:rsidRPr="00CD437A">
        <w:rPr>
          <w:rStyle w:val="Refdenotaalpie"/>
          <w:rFonts w:eastAsia="Times New Roman"/>
        </w:rPr>
        <w:footnoteRef/>
      </w:r>
      <w:r w:rsidRPr="00CD437A">
        <w:t xml:space="preserve"> </w:t>
      </w:r>
      <w:r w:rsidRPr="00CD437A">
        <w:tab/>
        <w:t xml:space="preserve">See paragraph 4 </w:t>
      </w:r>
      <w:r w:rsidRPr="00CD437A">
        <w:rPr>
          <w:i/>
        </w:rPr>
        <w:t>supra</w:t>
      </w:r>
      <w:r w:rsidRPr="00CD437A">
        <w:t xml:space="preserve"> and paragraphs 23 to 27 </w:t>
      </w:r>
      <w:r w:rsidRPr="00CD437A">
        <w:rPr>
          <w:i/>
        </w:rPr>
        <w:t>infra</w:t>
      </w:r>
      <w:r w:rsidRPr="00CD437A">
        <w:t>.</w:t>
      </w:r>
    </w:p>
  </w:footnote>
  <w:footnote w:id="200">
    <w:p w14:paraId="0DCEB615" w14:textId="77777777" w:rsidR="00E6764B" w:rsidRPr="00CD437A" w:rsidRDefault="00E6764B" w:rsidP="00CD2B15">
      <w:pPr>
        <w:pStyle w:val="Textonotapie"/>
      </w:pPr>
      <w:r w:rsidRPr="00CD437A">
        <w:rPr>
          <w:rStyle w:val="Refdenotaalpie"/>
          <w:rFonts w:eastAsia="Times New Roman"/>
        </w:rPr>
        <w:footnoteRef/>
      </w:r>
      <w:r w:rsidRPr="00CD437A">
        <w:t xml:space="preserve"> </w:t>
      </w:r>
      <w:r w:rsidRPr="00CD437A">
        <w:tab/>
        <w:t>See General Comment Nº 6 (1995) on the Economic, Social and Cultural Rights of Older Persons.</w:t>
      </w:r>
    </w:p>
  </w:footnote>
  <w:footnote w:id="201">
    <w:p w14:paraId="4E2BF53B" w14:textId="77777777" w:rsidR="00E6764B" w:rsidRPr="00CD437A" w:rsidRDefault="00E6764B" w:rsidP="00CD2B15">
      <w:pPr>
        <w:pStyle w:val="Textonotapie"/>
        <w:rPr>
          <w:iCs/>
        </w:rPr>
      </w:pPr>
      <w:r w:rsidRPr="00CD437A">
        <w:rPr>
          <w:rStyle w:val="Refdenotaalpie"/>
        </w:rPr>
        <w:footnoteRef/>
      </w:r>
      <w:r w:rsidRPr="00CD437A">
        <w:t xml:space="preserve"> </w:t>
      </w:r>
      <w:r w:rsidRPr="00CD437A">
        <w:tab/>
      </w:r>
      <w:r w:rsidRPr="00CD437A">
        <w:rPr>
          <w:i/>
        </w:rPr>
        <w:t>Cf. ILO</w:t>
      </w:r>
      <w:r w:rsidRPr="00CD437A">
        <w:t xml:space="preserve">, </w:t>
      </w:r>
      <w:r w:rsidRPr="00CD437A">
        <w:rPr>
          <w:i/>
        </w:rPr>
        <w:t>Recommendation No. 67</w:t>
      </w:r>
      <w:r w:rsidRPr="00CD437A">
        <w:t xml:space="preserve">, </w:t>
      </w:r>
      <w:r w:rsidRPr="00CD437A">
        <w:rPr>
          <w:i/>
        </w:rPr>
        <w:t>Income Security Recommendation</w:t>
      </w:r>
      <w:r w:rsidRPr="00CD437A">
        <w:t xml:space="preserve">, of May 12, 1944, adopted in Philadelphia, 26th Session CIT meeting, Guiding Principle 1, which establishes that: “1. </w:t>
      </w:r>
      <w:r w:rsidRPr="00CD437A">
        <w:rPr>
          <w:shd w:val="clear" w:color="auto" w:fill="FFFFFF"/>
        </w:rPr>
        <w:t>Income security schemes should relieve want and prevent destitution by restoring, up to a reasonable level, income which is lost by reason of inability to work (including old age) or to obtain remunerative work or by reason of the death of a breadwinner</w:t>
      </w:r>
      <w:r w:rsidRPr="00CD437A">
        <w:t xml:space="preserve">.” Also see </w:t>
      </w:r>
      <w:r w:rsidRPr="00CD437A">
        <w:rPr>
          <w:i/>
        </w:rPr>
        <w:t>Recommendation No. 202</w:t>
      </w:r>
      <w:r w:rsidRPr="00CD437A">
        <w:t xml:space="preserve">, </w:t>
      </w:r>
      <w:r w:rsidRPr="00CD437A">
        <w:rPr>
          <w:i/>
        </w:rPr>
        <w:t>Social Protection Floors Recommendation,</w:t>
      </w:r>
      <w:r w:rsidRPr="00CD437A">
        <w:t xml:space="preserve"> of June 14, 2012, adopted in Geneva, ILC 101</w:t>
      </w:r>
      <w:r w:rsidRPr="00CD437A">
        <w:rPr>
          <w:vertAlign w:val="superscript"/>
        </w:rPr>
        <w:t xml:space="preserve">st </w:t>
      </w:r>
      <w:r w:rsidRPr="00CD437A">
        <w:t xml:space="preserve">Session. Article 3, subparagraphs b) and c) establish that: “3. </w:t>
      </w:r>
      <w:r w:rsidRPr="00CD437A">
        <w:rPr>
          <w:shd w:val="clear" w:color="auto" w:fill="FFFFFF"/>
        </w:rPr>
        <w:t>Recognizing the overall and primary responsibility of the State in giving effect to this Recommendation, Members should apply the following principles</w:t>
      </w:r>
      <w:r w:rsidRPr="00CD437A">
        <w:rPr>
          <w:iCs/>
        </w:rPr>
        <w:t xml:space="preserve">: b) </w:t>
      </w:r>
      <w:r w:rsidRPr="00CD437A">
        <w:rPr>
          <w:shd w:val="clear" w:color="auto" w:fill="FFFFFF"/>
        </w:rPr>
        <w:t>entitlement to benefits prescribed by national law</w:t>
      </w:r>
      <w:r w:rsidRPr="00CD437A">
        <w:rPr>
          <w:iCs/>
        </w:rPr>
        <w:t xml:space="preserve">, and c) </w:t>
      </w:r>
      <w:r w:rsidRPr="00CD437A">
        <w:rPr>
          <w:shd w:val="clear" w:color="auto" w:fill="FFFFFF"/>
        </w:rPr>
        <w:t>adequacy and predictability of benefits</w:t>
      </w:r>
      <w:r w:rsidRPr="00CD437A">
        <w:rPr>
          <w:iCs/>
        </w:rPr>
        <w:t xml:space="preserve">.” Article 4 establishes that: “4. </w:t>
      </w:r>
      <w:r w:rsidRPr="00CD437A">
        <w:rPr>
          <w:shd w:val="clear" w:color="auto" w:fill="FFFFFF"/>
        </w:rPr>
        <w:t>Members should, in accordance with national circumstances, establish as quickly as possible and maintain their social protection floors comprising basic social security guarantees. The guarantees should ensure at a minimum that, over the life cycle, all in need have access to essential health care and to basic income security which together secure effective access to goods and services defined as necessary at the national level.</w:t>
      </w:r>
      <w:r w:rsidRPr="00CD437A">
        <w:rPr>
          <w:iCs/>
        </w:rPr>
        <w:t>” Article 5, subparagraphs a) and d) establish that: “</w:t>
      </w:r>
      <w:bookmarkStart w:id="108" w:name="AP5"/>
      <w:bookmarkEnd w:id="108"/>
      <w:r w:rsidRPr="00CD437A">
        <w:rPr>
          <w:iCs/>
        </w:rPr>
        <w:t xml:space="preserve">5. </w:t>
      </w:r>
      <w:r w:rsidRPr="00CD437A">
        <w:rPr>
          <w:shd w:val="clear" w:color="auto" w:fill="FFFFFF"/>
        </w:rPr>
        <w:t>The social protection floors referred to in Paragraph 4 should comprise at least the following basic social security guarantees</w:t>
      </w:r>
      <w:r w:rsidRPr="00CD437A">
        <w:rPr>
          <w:iCs/>
        </w:rPr>
        <w:t xml:space="preserve">: a) </w:t>
      </w:r>
      <w:r w:rsidRPr="00CD437A">
        <w:rPr>
          <w:shd w:val="clear" w:color="auto" w:fill="FFFFFF"/>
        </w:rPr>
        <w:t>access to a nationally defined set of goods and services, constituting essential health care, including maternity care, that meets the criteria of availability, accessibility, acceptability and quality</w:t>
      </w:r>
      <w:r w:rsidRPr="00CD437A">
        <w:rPr>
          <w:iCs/>
        </w:rPr>
        <w:t xml:space="preserve">, and d) </w:t>
      </w:r>
      <w:r w:rsidRPr="00CD437A">
        <w:rPr>
          <w:shd w:val="clear" w:color="auto" w:fill="FFFFFF"/>
        </w:rPr>
        <w:t>basic income security, at least at a nationally defined minimum level, for older persons</w:t>
      </w:r>
      <w:r w:rsidRPr="00CD437A">
        <w:rPr>
          <w:iCs/>
        </w:rPr>
        <w:t xml:space="preserve">.” Also, Article 8, subparagraphs b) and c) establish that: “8. </w:t>
      </w:r>
      <w:r w:rsidRPr="00CD437A">
        <w:rPr>
          <w:shd w:val="clear" w:color="auto" w:fill="FFFFFF"/>
        </w:rPr>
        <w:t>When defining the basic social security guarantees, Members should give due consideration to the following</w:t>
      </w:r>
      <w:r w:rsidRPr="00CD437A">
        <w:rPr>
          <w:iCs/>
        </w:rPr>
        <w:t xml:space="preserve">: b) </w:t>
      </w:r>
      <w:r w:rsidRPr="00CD437A">
        <w:rPr>
          <w:shd w:val="clear" w:color="auto" w:fill="FFFFFF"/>
        </w:rPr>
        <w:t xml:space="preserve">basic income security should allow </w:t>
      </w:r>
      <w:r>
        <w:rPr>
          <w:shd w:val="clear" w:color="auto" w:fill="FFFFFF"/>
        </w:rPr>
        <w:t xml:space="preserve">for </w:t>
      </w:r>
      <w:r w:rsidRPr="00CD437A">
        <w:rPr>
          <w:shd w:val="clear" w:color="auto" w:fill="FFFFFF"/>
        </w:rPr>
        <w:t>life in dignity. Nationally defined minimum levels of income may correspond to the monetary value of a set of necessary goods and services, national poverty lines, income thresholds for social assistance or other comparable thresholds established by national law or practice, and may take into account regional differences</w:t>
      </w:r>
      <w:r w:rsidRPr="00CD437A">
        <w:rPr>
          <w:iCs/>
        </w:rPr>
        <w:t xml:space="preserve">, and c) </w:t>
      </w:r>
      <w:r w:rsidRPr="00CD437A">
        <w:rPr>
          <w:shd w:val="clear" w:color="auto" w:fill="FFFFFF"/>
        </w:rPr>
        <w:t>the levels of basic social security guarantees should be regularly reviewed through a transparent procedure that is established by national laws, regulations or practice, as appropriate</w:t>
      </w:r>
      <w:r w:rsidRPr="00CD437A">
        <w:rPr>
          <w:iCs/>
        </w:rPr>
        <w:t>.”</w:t>
      </w:r>
    </w:p>
  </w:footnote>
  <w:footnote w:id="202">
    <w:p w14:paraId="076BBBB8" w14:textId="77777777" w:rsidR="00E6764B" w:rsidRPr="00CD437A" w:rsidRDefault="00E6764B" w:rsidP="00CD2B15">
      <w:pPr>
        <w:pStyle w:val="Textonotapie"/>
      </w:pPr>
      <w:r w:rsidRPr="00CD437A">
        <w:rPr>
          <w:rStyle w:val="Refdenotaalpie"/>
        </w:rPr>
        <w:footnoteRef/>
      </w:r>
      <w:r w:rsidRPr="00CD437A">
        <w:t xml:space="preserve"> </w:t>
      </w:r>
      <w:r w:rsidRPr="00CD437A">
        <w:tab/>
        <w:t>The Court also considers that an adequate level of benefits should provide a person with a decent standard of living that not only seeks to satisfy their purely biological needs, but also to ensure dignified living conditions. It is important to emphasize that, as a general rule, the retirement pensions of older adults constitute the only source of income for the pensioner and his family; therefore, an amount equivalent to an adequate level of income is of special importance for older persons. Colombia’s Constitutional Court has indicated that: “</w:t>
      </w:r>
      <w:r w:rsidRPr="00CD437A">
        <w:rPr>
          <w:bdr w:val="none" w:sz="0" w:space="0" w:color="auto" w:frame="1"/>
        </w:rPr>
        <w:t xml:space="preserve">(…) in different judgments – some of which have involved a large number of individuals - the Court, following well-settled case law, has indicated that the right to social security may considered a basic right when failure to pay pension allowances violates or threatens to violate fundamental rights, such as the rights to life or health. This occurs in cases in which the failure to pay a pension endangers the minimum subsistence of  retired persons, a very common situation among those who have reached old age, since they are no longer able to participate in the labor market and generally rely exclusively on their allowance for their subsistence.” Likewise, the </w:t>
      </w:r>
      <w:r w:rsidRPr="00CD437A">
        <w:t>Constitutional Court</w:t>
      </w:r>
      <w:r w:rsidRPr="00CD437A">
        <w:rPr>
          <w:bdr w:val="none" w:sz="0" w:space="0" w:color="auto" w:frame="1"/>
        </w:rPr>
        <w:t xml:space="preserve"> established that </w:t>
      </w:r>
      <w:r w:rsidRPr="00CD437A">
        <w:t xml:space="preserve">“To determine the effects on the right to minimum subsistence [that must be covered with the pensions of retirees] this body has defined it as ‘the </w:t>
      </w:r>
      <w:r w:rsidRPr="00CD437A">
        <w:rPr>
          <w:shd w:val="clear" w:color="auto" w:fill="FFFFFF"/>
        </w:rPr>
        <w:t>portion of income the purpose of which is to cover basic needs such as food, health care, education, recreation, public utility services, etc.’ Therefore, our case law has considered that the concept of minimum subsistence includes not only a quantitative component of simple subsistence, but also a quantitative element related to respect for human dignity as a founding principle of the constitutional order”.</w:t>
      </w:r>
      <w:r w:rsidRPr="00CD437A">
        <w:rPr>
          <w:i/>
          <w:shd w:val="clear" w:color="auto" w:fill="FFFFFF"/>
        </w:rPr>
        <w:t xml:space="preserve"> Cf. </w:t>
      </w:r>
      <w:r w:rsidRPr="00CD437A">
        <w:rPr>
          <w:shd w:val="clear" w:color="auto" w:fill="FFFFFF"/>
        </w:rPr>
        <w:t>Judgment T 236/2016 of May 13, 2016. Action of protection, paras. 4.1 and 4.4.</w:t>
      </w:r>
    </w:p>
  </w:footnote>
  <w:footnote w:id="203">
    <w:p w14:paraId="4B0D28CE" w14:textId="77777777" w:rsidR="00E6764B" w:rsidRPr="00CD437A" w:rsidRDefault="00E6764B" w:rsidP="00CD2B15">
      <w:pPr>
        <w:pStyle w:val="Textonotapie"/>
      </w:pPr>
      <w:r w:rsidRPr="00CD437A">
        <w:rPr>
          <w:rStyle w:val="Refdenotaalpie"/>
          <w:rFonts w:eastAsia="Times New Roman"/>
        </w:rPr>
        <w:footnoteRef/>
      </w:r>
      <w:r w:rsidRPr="00CD437A">
        <w:t xml:space="preserve"> </w:t>
      </w:r>
      <w:r w:rsidRPr="00CD437A">
        <w:tab/>
        <w:t>Articles 71 and 72 of the ILO Social Security (Minimum Standards) Convention Nº 102 (1952) contains similar requirements. Peru ratified that Convention on August 23, 1961.</w:t>
      </w:r>
    </w:p>
  </w:footnote>
  <w:footnote w:id="204">
    <w:p w14:paraId="52E3520F"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w:t>
      </w:r>
      <w:r w:rsidRPr="00CD437A">
        <w:t xml:space="preserve">UN, Committee on Economic, Social and Cultural Rights, </w:t>
      </w:r>
      <w:r>
        <w:rPr>
          <w:i/>
        </w:rPr>
        <w:t>General Comment No. 19.</w:t>
      </w:r>
      <w:r w:rsidRPr="00CD437A">
        <w:t xml:space="preserve"> The </w:t>
      </w:r>
      <w:r w:rsidRPr="00CD437A">
        <w:rPr>
          <w:i/>
          <w:iCs/>
        </w:rPr>
        <w:t>right to social security (Article 9)</w:t>
      </w:r>
      <w:r w:rsidRPr="00CD437A">
        <w:t>, February 4, 2008, para. 77. See also ILO, Convention No. 102, Social Security (Minimum Standards) Convention, June 28, 1952, adopted in Geneva, ILC 35</w:t>
      </w:r>
      <w:r w:rsidRPr="00CD437A">
        <w:rPr>
          <w:vertAlign w:val="superscript"/>
        </w:rPr>
        <w:t>th</w:t>
      </w:r>
      <w:r w:rsidRPr="00CD437A">
        <w:t xml:space="preserve"> Session, Article 70, subparagraph 1, which establishes that: “1. </w:t>
      </w:r>
      <w:r w:rsidRPr="00CD437A">
        <w:rPr>
          <w:shd w:val="clear" w:color="auto" w:fill="FFFFFF"/>
        </w:rPr>
        <w:t>Every claimant shall have a right of appeal in case of refusal of the benefit or complaint as to its quality or quantity</w:t>
      </w:r>
      <w:r w:rsidRPr="00CD437A">
        <w:t xml:space="preserve">.” See also, ILO, </w:t>
      </w:r>
      <w:r w:rsidRPr="00CD437A">
        <w:rPr>
          <w:i/>
        </w:rPr>
        <w:t>Recommendation No. 202, Social Protection Floors Recommendation</w:t>
      </w:r>
      <w:r w:rsidRPr="00CD437A">
        <w:t>, of June 14, 2012, adopted in Geneva, ILC 101</w:t>
      </w:r>
      <w:r w:rsidRPr="00CD437A">
        <w:rPr>
          <w:vertAlign w:val="superscript"/>
        </w:rPr>
        <w:t>st</w:t>
      </w:r>
      <w:r w:rsidRPr="00CD437A">
        <w:t xml:space="preserve"> Session. Article 7 establishes that: “</w:t>
      </w:r>
      <w:r w:rsidRPr="00CD437A">
        <w:rPr>
          <w:iCs/>
        </w:rPr>
        <w:t xml:space="preserve">7. </w:t>
      </w:r>
      <w:r w:rsidRPr="00CD437A">
        <w:rPr>
          <w:shd w:val="clear" w:color="auto" w:fill="FFFFFF"/>
        </w:rPr>
        <w:t>Basic social security guarantees should be established by law. National laws and regulations should specify the range, qualifying conditions and levels of the benefits giving effect to these guarantees. Impartial, transparent, effective, simple, rapid, accessible and inexpensive complaint and appeal procedures should also be specified. Access to complaint and appeal procedures should be free of charge to the applicant. Systems should be in place that enhance compliance with national legal frameworks</w:t>
      </w:r>
      <w:r w:rsidRPr="00CD437A">
        <w:rPr>
          <w:iCs/>
        </w:rPr>
        <w:t>.”</w:t>
      </w:r>
    </w:p>
  </w:footnote>
  <w:footnote w:id="205">
    <w:p w14:paraId="75CFE083" w14:textId="77777777" w:rsidR="00E6764B" w:rsidRPr="00CD437A" w:rsidRDefault="00E6764B" w:rsidP="008E6A56">
      <w:pPr>
        <w:tabs>
          <w:tab w:val="left" w:pos="630"/>
        </w:tabs>
        <w:snapToGrid w:val="0"/>
        <w:rPr>
          <w:rFonts w:ascii="Verdana" w:hAnsi="Verdana"/>
          <w:snapToGrid w:val="0"/>
          <w:sz w:val="16"/>
          <w:szCs w:val="16"/>
          <w:lang w:val="en-US"/>
        </w:rPr>
      </w:pPr>
      <w:r w:rsidRPr="00CD437A">
        <w:rPr>
          <w:rStyle w:val="Refdenotaalpie"/>
          <w:sz w:val="16"/>
          <w:szCs w:val="16"/>
          <w:lang w:val="en-US"/>
        </w:rPr>
        <w:footnoteRef/>
      </w:r>
      <w:r w:rsidRPr="00CD437A">
        <w:rPr>
          <w:rFonts w:ascii="Verdana" w:hAnsi="Verdana"/>
          <w:sz w:val="16"/>
          <w:szCs w:val="16"/>
          <w:lang w:val="en-US"/>
        </w:rPr>
        <w:tab/>
        <w:t xml:space="preserve">Paragraph </w:t>
      </w:r>
      <w:r w:rsidRPr="00CD437A">
        <w:rPr>
          <w:rFonts w:ascii="Verdana" w:hAnsi="Verdana"/>
          <w:snapToGrid w:val="0"/>
          <w:sz w:val="16"/>
          <w:szCs w:val="16"/>
          <w:lang w:val="en-US"/>
        </w:rPr>
        <w:t xml:space="preserve">48 of </w:t>
      </w:r>
      <w:r w:rsidRPr="00CD437A">
        <w:rPr>
          <w:rFonts w:ascii="Verdana" w:hAnsi="Verdana"/>
          <w:sz w:val="16"/>
          <w:szCs w:val="16"/>
          <w:lang w:val="en-US"/>
        </w:rPr>
        <w:t>General Comment No. 19 establishes that:</w:t>
      </w:r>
      <w:r w:rsidRPr="00CD437A">
        <w:rPr>
          <w:rFonts w:ascii="Verdana" w:hAnsi="Verdana"/>
          <w:snapToGrid w:val="0"/>
          <w:sz w:val="16"/>
          <w:szCs w:val="16"/>
          <w:lang w:val="en-US"/>
        </w:rPr>
        <w:t xml:space="preserve"> “[t]he obligation to </w:t>
      </w:r>
      <w:r w:rsidRPr="00CD437A">
        <w:rPr>
          <w:rFonts w:ascii="Verdana" w:hAnsi="Verdana"/>
          <w:sz w:val="16"/>
          <w:szCs w:val="16"/>
          <w:lang w:val="en-US"/>
        </w:rPr>
        <w:t>facilitate requires States parties to take positive measures to assist individuals and communities to enjoy the right to social security. The obligation includes, inter alia, according sufficient recognition of this right within the national political and legal systems, preferably by way of legislative implementation; adopting a national social security strategy and plan of action to realize this right</w:t>
      </w:r>
      <w:r w:rsidRPr="00CD437A">
        <w:rPr>
          <w:rFonts w:ascii="Verdana" w:hAnsi="Verdana"/>
          <w:snapToGrid w:val="0"/>
          <w:sz w:val="16"/>
          <w:szCs w:val="16"/>
          <w:lang w:val="en-US"/>
        </w:rPr>
        <w:t xml:space="preserve">; and </w:t>
      </w:r>
      <w:r w:rsidRPr="00CD437A">
        <w:rPr>
          <w:rFonts w:ascii="Verdana" w:hAnsi="Verdana"/>
          <w:sz w:val="16"/>
          <w:szCs w:val="16"/>
          <w:lang w:val="en-US"/>
        </w:rPr>
        <w:t>ensuring that the social security system will be adequate, accessible for everyone and will cover social risks and contingencies</w:t>
      </w:r>
      <w:r w:rsidRPr="00CD437A">
        <w:rPr>
          <w:rFonts w:ascii="Verdana" w:hAnsi="Verdana"/>
          <w:snapToGrid w:val="0"/>
          <w:sz w:val="16"/>
          <w:szCs w:val="16"/>
          <w:lang w:val="en-US"/>
        </w:rPr>
        <w:t>.”</w:t>
      </w:r>
    </w:p>
  </w:footnote>
  <w:footnote w:id="206">
    <w:p w14:paraId="42E50457"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w:t>
      </w:r>
      <w:r w:rsidRPr="00CD437A">
        <w:t xml:space="preserve">UN, Committee on Economic, Social and Cultural Rights, </w:t>
      </w:r>
      <w:r>
        <w:rPr>
          <w:i/>
        </w:rPr>
        <w:t>General Comment No. 19.</w:t>
      </w:r>
      <w:r w:rsidRPr="00CD437A">
        <w:t xml:space="preserve"> </w:t>
      </w:r>
      <w:r w:rsidRPr="00CD437A">
        <w:rPr>
          <w:i/>
        </w:rPr>
        <w:t>The</w:t>
      </w:r>
      <w:r w:rsidRPr="00CD437A">
        <w:rPr>
          <w:i/>
          <w:iCs/>
        </w:rPr>
        <w:t xml:space="preserve"> right to social security (Article 9)</w:t>
      </w:r>
      <w:r w:rsidRPr="00CD437A">
        <w:t>, February 4, 2008, para. 78.</w:t>
      </w:r>
    </w:p>
  </w:footnote>
  <w:footnote w:id="207">
    <w:p w14:paraId="66E45618" w14:textId="77777777" w:rsidR="00E6764B" w:rsidRPr="00CD437A" w:rsidRDefault="00E6764B" w:rsidP="00CD2B15">
      <w:pPr>
        <w:pStyle w:val="Textonotapie"/>
      </w:pPr>
      <w:r w:rsidRPr="00CD437A">
        <w:rPr>
          <w:rStyle w:val="Refdenotaalpie"/>
        </w:rPr>
        <w:footnoteRef/>
      </w:r>
      <w:r w:rsidRPr="00CD437A">
        <w:tab/>
        <w:t xml:space="preserve">Cf. </w:t>
      </w:r>
      <w:r>
        <w:t>Mutatis mutandis</w:t>
      </w:r>
      <w:r w:rsidRPr="00CD437A">
        <w:t xml:space="preserve">, Case of Poblete </w:t>
      </w:r>
      <w:proofErr w:type="spellStart"/>
      <w:r w:rsidRPr="00CD437A">
        <w:t>Vilches</w:t>
      </w:r>
      <w:proofErr w:type="spellEnd"/>
      <w:r w:rsidRPr="00CD437A">
        <w:t xml:space="preserve"> et al. v. Chile. Merits, reparations and costs. Judgment of March 8, 2018. Series C No. 349, para. 104 and Case of </w:t>
      </w:r>
      <w:proofErr w:type="spellStart"/>
      <w:r w:rsidRPr="00CD437A">
        <w:t>Cuscul</w:t>
      </w:r>
      <w:proofErr w:type="spellEnd"/>
      <w:r w:rsidRPr="00CD437A">
        <w:t xml:space="preserve"> </w:t>
      </w:r>
      <w:proofErr w:type="spellStart"/>
      <w:r w:rsidRPr="00CD437A">
        <w:t>Pivaral</w:t>
      </w:r>
      <w:proofErr w:type="spellEnd"/>
      <w:r w:rsidRPr="00CD437A">
        <w:t xml:space="preserve"> et al. v. Guatemala, supra, para. 98.</w:t>
      </w:r>
    </w:p>
  </w:footnote>
  <w:footnote w:id="208">
    <w:p w14:paraId="60C7C469" w14:textId="77777777" w:rsidR="00E6764B" w:rsidRPr="00CD437A" w:rsidRDefault="00E6764B" w:rsidP="00CD2B15">
      <w:pPr>
        <w:pStyle w:val="Textonotapie"/>
      </w:pPr>
      <w:r w:rsidRPr="00CD437A">
        <w:rPr>
          <w:rStyle w:val="Refdenotaalpie"/>
        </w:rPr>
        <w:footnoteRef/>
      </w:r>
      <w:r w:rsidRPr="00CD437A">
        <w:tab/>
      </w:r>
      <w:r w:rsidRPr="00CD437A">
        <w:rPr>
          <w:i/>
        </w:rPr>
        <w:t xml:space="preserve">Cf. </w:t>
      </w:r>
      <w:r w:rsidRPr="00CD437A">
        <w:t>UN,</w:t>
      </w:r>
      <w:r w:rsidRPr="00CD437A">
        <w:rPr>
          <w:i/>
        </w:rPr>
        <w:t xml:space="preserve"> </w:t>
      </w:r>
      <w:r w:rsidRPr="00CD437A">
        <w:t xml:space="preserve">Committee on Economic, Social and Cultural Rights, </w:t>
      </w:r>
      <w:r w:rsidRPr="00CD437A">
        <w:rPr>
          <w:i/>
        </w:rPr>
        <w:t xml:space="preserve">General Comment No. 3: </w:t>
      </w:r>
      <w:r w:rsidRPr="00CD437A">
        <w:rPr>
          <w:i/>
          <w:iCs/>
        </w:rPr>
        <w:t>The Nature of States Parties’ Obligations (Art. 2, Para. 1, of the Covenant</w:t>
      </w:r>
      <w:r w:rsidRPr="00CD437A">
        <w:t xml:space="preserve">), December 14, 1990, U.N. Doc. E/1991/23, para. 3, and Committee </w:t>
      </w:r>
      <w:proofErr w:type="gramStart"/>
      <w:r w:rsidRPr="00CD437A">
        <w:t>on  Economic</w:t>
      </w:r>
      <w:proofErr w:type="gramEnd"/>
      <w:r w:rsidRPr="00CD437A">
        <w:t xml:space="preserve">, Social and Cultural Rights, </w:t>
      </w:r>
      <w:r w:rsidRPr="00CD437A">
        <w:rPr>
          <w:i/>
        </w:rPr>
        <w:t>General Comment No. 19,</w:t>
      </w:r>
      <w:r w:rsidRPr="00CD437A">
        <w:t xml:space="preserve"> </w:t>
      </w:r>
      <w:r w:rsidRPr="00CD437A">
        <w:rPr>
          <w:i/>
        </w:rPr>
        <w:t xml:space="preserve">The </w:t>
      </w:r>
      <w:r w:rsidRPr="00CD437A">
        <w:rPr>
          <w:i/>
          <w:iCs/>
        </w:rPr>
        <w:t>right to social security (Article 9)</w:t>
      </w:r>
      <w:r w:rsidRPr="00CD437A">
        <w:t>, February 4, 2008, para. 40.</w:t>
      </w:r>
    </w:p>
  </w:footnote>
  <w:footnote w:id="209">
    <w:p w14:paraId="6AC6ED59" w14:textId="77777777" w:rsidR="00E6764B" w:rsidRPr="00CD437A" w:rsidRDefault="00E6764B" w:rsidP="00CD2B15">
      <w:pPr>
        <w:pStyle w:val="Textonotapie"/>
      </w:pPr>
      <w:r w:rsidRPr="00CD437A">
        <w:rPr>
          <w:rStyle w:val="Refdenotaalpie"/>
        </w:rPr>
        <w:footnoteRef/>
      </w:r>
      <w:r w:rsidRPr="00CD437A">
        <w:tab/>
      </w:r>
      <w:r w:rsidRPr="00CD437A">
        <w:rPr>
          <w:i/>
        </w:rPr>
        <w:t xml:space="preserve">Cf. </w:t>
      </w:r>
      <w:r w:rsidRPr="00CD437A">
        <w:t xml:space="preserve">UN, Committee on Economic, Social and Cultural Rights, </w:t>
      </w:r>
      <w:r w:rsidRPr="00CD437A">
        <w:rPr>
          <w:i/>
        </w:rPr>
        <w:t xml:space="preserve">General Comment No. 3: </w:t>
      </w:r>
      <w:r w:rsidRPr="00CD437A">
        <w:rPr>
          <w:i/>
          <w:iCs/>
        </w:rPr>
        <w:t>The Nature of States Parties’ Obligations (Art. 2, Para. 1, of the Covenant</w:t>
      </w:r>
      <w:r w:rsidRPr="00CD437A">
        <w:t>)</w:t>
      </w:r>
      <w:r w:rsidRPr="00CD437A">
        <w:rPr>
          <w:i/>
        </w:rPr>
        <w:t>,</w:t>
      </w:r>
      <w:r w:rsidRPr="00CD437A">
        <w:t xml:space="preserve"> December </w:t>
      </w:r>
      <w:r>
        <w:t xml:space="preserve">14, </w:t>
      </w:r>
      <w:r w:rsidRPr="00CD437A">
        <w:t>1990, U.N. Doc. E/19</w:t>
      </w:r>
      <w:r>
        <w:t xml:space="preserve">91/23, para. 9, and Committee </w:t>
      </w:r>
      <w:proofErr w:type="gramStart"/>
      <w:r>
        <w:t>on</w:t>
      </w:r>
      <w:r w:rsidRPr="00CD437A">
        <w:t xml:space="preserve">  Economic</w:t>
      </w:r>
      <w:proofErr w:type="gramEnd"/>
      <w:r w:rsidRPr="00CD437A">
        <w:t xml:space="preserve">, Social and Cultural Rights, </w:t>
      </w:r>
      <w:r w:rsidRPr="00CD437A">
        <w:rPr>
          <w:i/>
        </w:rPr>
        <w:t>General Comment No. 19</w:t>
      </w:r>
      <w:r w:rsidRPr="00CD437A">
        <w:t xml:space="preserve">, </w:t>
      </w:r>
      <w:r w:rsidRPr="00CD437A">
        <w:rPr>
          <w:i/>
        </w:rPr>
        <w:t>The</w:t>
      </w:r>
      <w:r w:rsidRPr="00CD437A">
        <w:t xml:space="preserve"> </w:t>
      </w:r>
      <w:r w:rsidRPr="00CD437A">
        <w:rPr>
          <w:i/>
          <w:iCs/>
        </w:rPr>
        <w:t>right to social security (Article 9)</w:t>
      </w:r>
      <w:r w:rsidRPr="00CD437A">
        <w:t>, February 4, 2008, paras. 40 and 41.</w:t>
      </w:r>
    </w:p>
  </w:footnote>
  <w:footnote w:id="210">
    <w:p w14:paraId="6C8C5D2D" w14:textId="77777777" w:rsidR="00E6764B" w:rsidRPr="00CD437A" w:rsidRDefault="00E6764B" w:rsidP="00CD2B15">
      <w:pPr>
        <w:pStyle w:val="Textonotapie"/>
      </w:pPr>
      <w:r w:rsidRPr="00CD437A">
        <w:rPr>
          <w:rStyle w:val="Refdenotaalpie"/>
        </w:rPr>
        <w:footnoteRef/>
      </w:r>
      <w:r w:rsidRPr="00CD437A">
        <w:tab/>
        <w:t>Article 26 of the Convention establishes: “</w:t>
      </w:r>
      <w:r w:rsidRPr="00CD437A">
        <w:rPr>
          <w:bCs/>
        </w:rPr>
        <w:t>Article 26. Progressive Development</w:t>
      </w:r>
      <w:r w:rsidRPr="00CD437A">
        <w:rPr>
          <w:b/>
          <w:bCs/>
        </w:rPr>
        <w:t>.</w:t>
      </w:r>
      <w:r w:rsidRPr="00CD437A">
        <w:t xml:space="preserve"> The States Parties </w:t>
      </w:r>
      <w:r w:rsidRPr="00CD437A">
        <w:rPr>
          <w:shd w:val="clear" w:color="auto" w:fill="FFFFFF"/>
        </w:rPr>
        <w:t>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CD437A">
        <w:t>, subject to available resources, by legislation or other appropriate means.”</w:t>
      </w:r>
    </w:p>
  </w:footnote>
  <w:footnote w:id="211">
    <w:p w14:paraId="5FDF6C46" w14:textId="77777777" w:rsidR="00E6764B" w:rsidRPr="00CD437A" w:rsidRDefault="00E6764B" w:rsidP="00CD2B15">
      <w:pPr>
        <w:pStyle w:val="Textonotapie"/>
      </w:pPr>
      <w:r w:rsidRPr="00CD437A">
        <w:rPr>
          <w:rStyle w:val="Refdenotaalpie"/>
          <w:color w:val="000000"/>
        </w:rPr>
        <w:footnoteRef/>
      </w:r>
      <w:r w:rsidRPr="00CD437A">
        <w:t xml:space="preserve"> </w:t>
      </w:r>
      <w:r w:rsidRPr="00CD437A">
        <w:tab/>
        <w:t xml:space="preserve">Cf. Case of Acevedo </w:t>
      </w:r>
      <w:proofErr w:type="spellStart"/>
      <w:r w:rsidRPr="00CD437A">
        <w:t>Buendía</w:t>
      </w:r>
      <w:proofErr w:type="spellEnd"/>
      <w:r w:rsidRPr="00CD437A">
        <w:t xml:space="preserve"> et al. (“Discharged and Retired Employees of the Comptroller’s Office”) v. Peru, supra, paras. 102, 103, and Case of Poblete </w:t>
      </w:r>
      <w:proofErr w:type="spellStart"/>
      <w:r w:rsidRPr="00CD437A">
        <w:t>Vilches</w:t>
      </w:r>
      <w:proofErr w:type="spellEnd"/>
      <w:r w:rsidRPr="00CD437A">
        <w:t xml:space="preserve"> et al. v. Chile. Merits, reparations and costs. Judgment of March 8, 2018. Series C No. 349, para. 104. See also: “Working Group to Examine the National Reports envisioned in the Protocol of San Salvador”. Initially, the Working Group prepared the document “Progress indicators for measuring rights under the Protocol of San Salvador,”</w:t>
      </w:r>
      <w:r w:rsidRPr="00CD437A">
        <w:rPr>
          <w:lang w:eastAsia="es-CR"/>
        </w:rPr>
        <w:t xml:space="preserve"> </w:t>
      </w:r>
      <w:r w:rsidRPr="00CD437A">
        <w:t>OEA/</w:t>
      </w:r>
      <w:proofErr w:type="spellStart"/>
      <w:r w:rsidRPr="00CD437A">
        <w:t>Ser.L</w:t>
      </w:r>
      <w:proofErr w:type="spellEnd"/>
      <w:r w:rsidRPr="00CD437A">
        <w:t xml:space="preserve">/XXV.2.1; GT/PSS/doc.2/11 rev.2, of December 16, 2011, based on the guidelines and criteria presented by the Inter-American Commission on Human Rights. Following consultations with the States and civil society, these were adopted by the Forty-second General Assembly held in Cochabamba, Bolivia in June 2012 (AG/RES. 2713 (XLII-O/12). On that occasion, the rights to social security, health and education were addressed. Subsequently, </w:t>
      </w:r>
      <w:r w:rsidRPr="00CD437A">
        <w:rPr>
          <w:lang w:eastAsia="es-CR"/>
        </w:rPr>
        <w:t xml:space="preserve">a second group of rights was addressed and the Working Group issued the </w:t>
      </w:r>
      <w:r w:rsidRPr="00CD437A">
        <w:t>“Progress indicators for measuring rights contemplated in the Protocol of San Salvador – second group of rights,” OEA/</w:t>
      </w:r>
      <w:proofErr w:type="spellStart"/>
      <w:r w:rsidRPr="00CD437A">
        <w:t>Ser.L</w:t>
      </w:r>
      <w:proofErr w:type="spellEnd"/>
      <w:r w:rsidRPr="00CD437A">
        <w:t>/XXV.2.1 GT/PSS/doc.9/13, adopted by the OAS General Assembly in Resolution AG/RES. 2823 (XLIV-O/14), at the second plenary session on June 4, 2014.</w:t>
      </w:r>
      <w:r w:rsidRPr="00CD437A">
        <w:rPr>
          <w:lang w:eastAsia="es-CR"/>
        </w:rPr>
        <w:t xml:space="preserve"> Finally, in 2015, the Working Group combined the two groups of rights and published the document “</w:t>
      </w:r>
      <w:r w:rsidRPr="00CD437A">
        <w:t>Progress indicators for measuring rights contemplated in the Protocol of San Salvador,” OEA/</w:t>
      </w:r>
      <w:proofErr w:type="spellStart"/>
      <w:r w:rsidRPr="00CD437A">
        <w:t>Ser.D</w:t>
      </w:r>
      <w:proofErr w:type="spellEnd"/>
      <w:r w:rsidRPr="00CD437A">
        <w:t xml:space="preserve">/XXVI.11 (2015). On that occasion, they addressed the right to work and trade union rights, the right to adequate food, a healthy environment, and the benefits of culture. Cf. UN, Committee on Economic, Social and Cultural Rights, </w:t>
      </w:r>
      <w:r>
        <w:t>General Comment No. 19.</w:t>
      </w:r>
      <w:r w:rsidRPr="00CD437A">
        <w:t xml:space="preserve"> </w:t>
      </w:r>
      <w:r w:rsidRPr="00CD437A">
        <w:rPr>
          <w:iCs/>
        </w:rPr>
        <w:t>The right to social security (Art. 9 of the Covenant)</w:t>
      </w:r>
      <w:r w:rsidRPr="00CD437A">
        <w:t>, February 4, 2008, para. 42.</w:t>
      </w:r>
    </w:p>
    <w:p w14:paraId="1949AD0C" w14:textId="77777777" w:rsidR="00E6764B" w:rsidRPr="00CD437A" w:rsidRDefault="00E6764B" w:rsidP="00CD2B15">
      <w:pPr>
        <w:pStyle w:val="Textonotapie"/>
      </w:pPr>
    </w:p>
  </w:footnote>
  <w:footnote w:id="212">
    <w:p w14:paraId="3A806340"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 xml:space="preserve">Cf. </w:t>
      </w:r>
      <w:r>
        <w:rPr>
          <w:i/>
        </w:rPr>
        <w:t>Mutatis mutandis</w:t>
      </w:r>
      <w:r w:rsidRPr="00CD437A">
        <w:t xml:space="preserve">, UN, Committee on Economic, Social and Cultural Rights (CESCR), </w:t>
      </w:r>
      <w:r w:rsidRPr="00CD437A">
        <w:rPr>
          <w:i/>
        </w:rPr>
        <w:t>General Comment No. 24</w:t>
      </w:r>
      <w:r w:rsidRPr="00CD437A">
        <w:t xml:space="preserve"> (2017), para. 21.</w:t>
      </w:r>
    </w:p>
  </w:footnote>
  <w:footnote w:id="213">
    <w:p w14:paraId="6A6C696F" w14:textId="77777777" w:rsidR="00E6764B" w:rsidRPr="00CD437A" w:rsidRDefault="00E6764B" w:rsidP="00CD2B15">
      <w:pPr>
        <w:pStyle w:val="Textonotapie"/>
      </w:pPr>
      <w:r w:rsidRPr="00CD437A">
        <w:rPr>
          <w:rStyle w:val="Refdenotaalpie"/>
        </w:rPr>
        <w:footnoteRef/>
      </w:r>
      <w:r w:rsidRPr="00CD437A">
        <w:t xml:space="preserve"> </w:t>
      </w:r>
      <w:r w:rsidRPr="00CD437A">
        <w:tab/>
        <w:t>U.N. CESCR, General Comment No. 18 (2005), para. 25.</w:t>
      </w:r>
    </w:p>
  </w:footnote>
  <w:footnote w:id="214">
    <w:p w14:paraId="5C15C9B3"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Affidavit rendered by Christian </w:t>
      </w:r>
      <w:proofErr w:type="spellStart"/>
      <w:r w:rsidRPr="00CD437A">
        <w:t>Courtis</w:t>
      </w:r>
      <w:proofErr w:type="spellEnd"/>
      <w:r w:rsidRPr="00CD437A">
        <w:t xml:space="preserve"> on August 30, 2018 (evidence file, folio 1823).</w:t>
      </w:r>
    </w:p>
  </w:footnote>
  <w:footnote w:id="215">
    <w:p w14:paraId="4AE7B3F7"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The inter-American system adopted the Inter-American Convention on Protecting the Human Rights of Older Persons on June 15, 2015, an instrument specifically for the protection of older persons, precisely due to the situation of vulnerability that they could face. This instrument has been in force since January 11, 2017. Article 2 of that instrument establishes that “For the purposes of this Convention the following definitions shall apply: </w:t>
      </w:r>
      <w:r w:rsidRPr="00CD437A">
        <w:rPr>
          <w:rFonts w:cs="Tahoma"/>
          <w:shd w:val="clear" w:color="auto" w:fill="FFFFFF"/>
        </w:rPr>
        <w:t>“Older person”: A person aged 60 or older, except where domestic legislation has determined a minimum age that is lesser or greater, provided that it is not over 65 years. This concept includes, among others, elderly persons.</w:t>
      </w:r>
      <w:r w:rsidRPr="00CD437A">
        <w:rPr>
          <w:rFonts w:cs="Tahoma"/>
          <w:color w:val="333333"/>
          <w:shd w:val="clear" w:color="auto" w:fill="FFFFFF"/>
        </w:rPr>
        <w:t xml:space="preserve"> </w:t>
      </w:r>
      <w:r w:rsidRPr="00CD437A">
        <w:t>The State of Peru has not ratified this agreement.</w:t>
      </w:r>
    </w:p>
  </w:footnote>
  <w:footnote w:id="216">
    <w:p w14:paraId="35EFDFB3"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UN, CESCR, </w:t>
      </w:r>
      <w:r w:rsidRPr="00CD437A">
        <w:rPr>
          <w:i/>
        </w:rPr>
        <w:t>General Comment No. 6,</w:t>
      </w:r>
      <w:r w:rsidRPr="00CD437A">
        <w:t xml:space="preserve"> (1995), para. 13.</w:t>
      </w:r>
    </w:p>
  </w:footnote>
  <w:footnote w:id="217">
    <w:p w14:paraId="4E65AF1E"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Velásquez</w:t>
      </w:r>
      <w:proofErr w:type="spellEnd"/>
      <w:r w:rsidRPr="00CD437A">
        <w:t xml:space="preserve"> Rodríguez v. Honduras. Merits, supra, para. 163, and Case of </w:t>
      </w:r>
      <w:proofErr w:type="spellStart"/>
      <w:r w:rsidRPr="00CD437A">
        <w:t>Vereda</w:t>
      </w:r>
      <w:proofErr w:type="spellEnd"/>
      <w:r w:rsidRPr="00CD437A">
        <w:t xml:space="preserve"> La Esperanza v. Colombia. Preliminary objection, merits, reparations and costs. Judgment of August 31, 2017. Series C No. 341, para.239.</w:t>
      </w:r>
      <w:r w:rsidRPr="00CD437A" w:rsidDel="00673BAC">
        <w:t xml:space="preserve"> </w:t>
      </w:r>
    </w:p>
  </w:footnote>
  <w:footnote w:id="218">
    <w:p w14:paraId="2DFBEA9D" w14:textId="77777777" w:rsidR="00E6764B" w:rsidRPr="00CD437A" w:rsidRDefault="00E6764B" w:rsidP="00CD2B15">
      <w:pPr>
        <w:pStyle w:val="Textonotapie"/>
      </w:pPr>
      <w:r w:rsidRPr="00CD437A">
        <w:rPr>
          <w:rStyle w:val="Refdenotaalpie"/>
        </w:rPr>
        <w:footnoteRef/>
      </w:r>
      <w:r w:rsidRPr="00CD437A">
        <w:t xml:space="preserve"> </w:t>
      </w:r>
      <w:r w:rsidRPr="00CD437A">
        <w:tab/>
        <w:t>Cf. Case of “Five Pensioners” v. Peru.</w:t>
      </w:r>
      <w:r w:rsidRPr="00CD437A">
        <w:rPr>
          <w:rFonts w:eastAsia="Calibri"/>
          <w:lang w:eastAsia="es-CR"/>
        </w:rPr>
        <w:t xml:space="preserve"> </w:t>
      </w:r>
      <w:r w:rsidRPr="00CD437A">
        <w:t xml:space="preserve">Merits, reparations and costs. Judgment of February 28, 2003. Series C No. 98, para. 173. Cf. Case of Acevedo Jaramillo et al. v. Peru, supra, para. 294. Cf. Case of </w:t>
      </w:r>
      <w:proofErr w:type="spellStart"/>
      <w:r w:rsidRPr="00CD437A">
        <w:t>Abrill</w:t>
      </w:r>
      <w:proofErr w:type="spellEnd"/>
      <w:r w:rsidRPr="00CD437A">
        <w:t xml:space="preserve"> </w:t>
      </w:r>
      <w:proofErr w:type="spellStart"/>
      <w:r w:rsidRPr="00CD437A">
        <w:t>Alosilla</w:t>
      </w:r>
      <w:proofErr w:type="spellEnd"/>
      <w:r w:rsidRPr="00CD437A">
        <w:t xml:space="preserve"> et al. v. Peru, supra, para. 82.</w:t>
      </w:r>
    </w:p>
  </w:footnote>
  <w:footnote w:id="219">
    <w:p w14:paraId="34646546"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Ivcher</w:t>
      </w:r>
      <w:proofErr w:type="spellEnd"/>
      <w:r w:rsidRPr="00CD437A">
        <w:t xml:space="preserve"> Bronstein v. Peru. Reparations and costs.</w:t>
      </w:r>
      <w:r w:rsidRPr="00CD437A">
        <w:rPr>
          <w:b/>
        </w:rPr>
        <w:t xml:space="preserve"> </w:t>
      </w:r>
      <w:r w:rsidRPr="00CD437A">
        <w:t xml:space="preserve">Judgment of February 6, 2001. Series C No. 74, paras. 120-122. Cf. Case of Salvador </w:t>
      </w:r>
      <w:proofErr w:type="spellStart"/>
      <w:r w:rsidRPr="00CD437A">
        <w:t>Chiriboga</w:t>
      </w:r>
      <w:proofErr w:type="spellEnd"/>
      <w:r w:rsidRPr="00CD437A">
        <w:t xml:space="preserve"> v. Ecuador. Preliminary objection and Merits. Judgment of May 6, 2008. Series C No. 179, para. 55. Cf. Case of Acevedo </w:t>
      </w:r>
      <w:proofErr w:type="spellStart"/>
      <w:r w:rsidRPr="00CD437A">
        <w:t>Buendía</w:t>
      </w:r>
      <w:proofErr w:type="spellEnd"/>
      <w:r w:rsidRPr="00CD437A">
        <w:t xml:space="preserve"> et al. (“Discharged and Retired Employees of the Comptroller’s Office) v. Peru. Preliminary objection, merits, reparations and costs. Judgment of July 1, 2009. Series C No.198, para.</w:t>
      </w:r>
      <w:r>
        <w:t xml:space="preserve"> </w:t>
      </w:r>
      <w:r w:rsidRPr="00CD437A">
        <w:t>84.</w:t>
      </w:r>
      <w:r>
        <w:t xml:space="preserve"> </w:t>
      </w:r>
      <w:r w:rsidRPr="00CD437A">
        <w:t xml:space="preserve">Cf. Case of </w:t>
      </w:r>
      <w:proofErr w:type="spellStart"/>
      <w:r w:rsidRPr="00CD437A">
        <w:t>Abrill</w:t>
      </w:r>
      <w:proofErr w:type="spellEnd"/>
      <w:r w:rsidRPr="00CD437A">
        <w:t xml:space="preserve"> </w:t>
      </w:r>
      <w:proofErr w:type="spellStart"/>
      <w:r w:rsidRPr="00CD437A">
        <w:t>Alosilla</w:t>
      </w:r>
      <w:proofErr w:type="spellEnd"/>
      <w:r w:rsidRPr="00CD437A">
        <w:t xml:space="preserve"> et al. v. Peru, supra, para. 82.</w:t>
      </w:r>
    </w:p>
  </w:footnote>
  <w:footnote w:id="220">
    <w:p w14:paraId="0A8DF8E9"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w:t>
      </w:r>
      <w:proofErr w:type="spellStart"/>
      <w:r w:rsidRPr="00CD437A">
        <w:t>Ivcher</w:t>
      </w:r>
      <w:proofErr w:type="spellEnd"/>
      <w:r w:rsidRPr="00CD437A">
        <w:t xml:space="preserve"> Bronstein v. Peru, supra, para. 122.</w:t>
      </w:r>
    </w:p>
  </w:footnote>
  <w:footnote w:id="221">
    <w:p w14:paraId="0392CB41" w14:textId="77777777" w:rsidR="00E6764B" w:rsidRPr="00CD437A" w:rsidRDefault="00E6764B" w:rsidP="00CD2B15">
      <w:pPr>
        <w:pStyle w:val="Textonotapie"/>
      </w:pPr>
      <w:r w:rsidRPr="00CD437A">
        <w:rPr>
          <w:rStyle w:val="Refdenotaalpie"/>
        </w:rPr>
        <w:footnoteRef/>
      </w:r>
      <w:r w:rsidRPr="00CD437A">
        <w:t xml:space="preserve"> </w:t>
      </w:r>
      <w:r w:rsidRPr="00CD437A">
        <w:tab/>
        <w:t>Cf. Case of “Five Pensioners” v. Peru, supra, para. 103.</w:t>
      </w:r>
    </w:p>
  </w:footnote>
  <w:footnote w:id="222">
    <w:p w14:paraId="318C3077" w14:textId="77777777" w:rsidR="00E6764B" w:rsidRPr="00CD437A" w:rsidRDefault="00E6764B" w:rsidP="00CD2B15">
      <w:pPr>
        <w:pStyle w:val="Textonotapie"/>
        <w:rPr>
          <w:b/>
        </w:rPr>
      </w:pPr>
      <w:r w:rsidRPr="00CD437A">
        <w:rPr>
          <w:rStyle w:val="Refdenotaalpie"/>
        </w:rPr>
        <w:footnoteRef/>
      </w:r>
      <w:r w:rsidRPr="00CD437A">
        <w:t xml:space="preserve"> </w:t>
      </w:r>
      <w:r w:rsidRPr="00CD437A">
        <w:tab/>
        <w:t xml:space="preserve">Cf. Case of Acevedo </w:t>
      </w:r>
      <w:proofErr w:type="spellStart"/>
      <w:r w:rsidRPr="00CD437A">
        <w:t>Buendía</w:t>
      </w:r>
      <w:proofErr w:type="spellEnd"/>
      <w:r w:rsidRPr="00CD437A">
        <w:t xml:space="preserve"> et al. (“Discharged and Retired Employees of the Comptroller’s Office) v. Peru, supra,</w:t>
      </w:r>
      <w:r w:rsidRPr="00CD437A">
        <w:rPr>
          <w:rStyle w:val="Textoennegrita"/>
          <w:b w:val="0"/>
          <w:shd w:val="clear" w:color="auto" w:fill="FFFFFF"/>
        </w:rPr>
        <w:t xml:space="preserve"> para. 85.</w:t>
      </w:r>
    </w:p>
  </w:footnote>
  <w:footnote w:id="223">
    <w:p w14:paraId="6A2C1361"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Affidavit rendered by Christian </w:t>
      </w:r>
      <w:proofErr w:type="spellStart"/>
      <w:r w:rsidRPr="00CD437A">
        <w:t>Courtis</w:t>
      </w:r>
      <w:proofErr w:type="spellEnd"/>
      <w:r w:rsidRPr="00CD437A">
        <w:t xml:space="preserve"> on August 30, 2018 (evidence file, folio 1833).</w:t>
      </w:r>
    </w:p>
  </w:footnote>
  <w:footnote w:id="224">
    <w:p w14:paraId="37F05B63"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Case of Acevedo </w:t>
      </w:r>
      <w:proofErr w:type="spellStart"/>
      <w:r w:rsidRPr="00CD437A">
        <w:t>Buendía</w:t>
      </w:r>
      <w:proofErr w:type="spellEnd"/>
      <w:r w:rsidRPr="00CD437A">
        <w:t xml:space="preserve"> et al. (“Discharged and Retired Employees of the Comptroller’s Office) supra, para. 89.</w:t>
      </w:r>
    </w:p>
  </w:footnote>
  <w:footnote w:id="225">
    <w:p w14:paraId="1AEEB511" w14:textId="77777777" w:rsidR="00E6764B" w:rsidRPr="00CD437A" w:rsidRDefault="00E6764B" w:rsidP="00CD2B15">
      <w:pPr>
        <w:pStyle w:val="Textonotapie"/>
      </w:pPr>
      <w:r w:rsidRPr="00CD437A">
        <w:rPr>
          <w:rStyle w:val="Refdenotaalpie"/>
          <w:rFonts w:eastAsia="Calibri"/>
        </w:rPr>
        <w:footnoteRef/>
      </w:r>
      <w:r w:rsidRPr="00CD437A">
        <w:t xml:space="preserve"> </w:t>
      </w:r>
      <w:r w:rsidRPr="00CD437A">
        <w:tab/>
        <w:t>Article 63(1) of the American Convention establishes that “[if]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p>
  </w:footnote>
  <w:footnote w:id="226">
    <w:p w14:paraId="52A50752" w14:textId="77777777" w:rsidR="00E6764B" w:rsidRPr="00CD437A" w:rsidRDefault="00E6764B" w:rsidP="008E6A56">
      <w:pPr>
        <w:tabs>
          <w:tab w:val="left" w:pos="567"/>
        </w:tabs>
        <w:rPr>
          <w:rFonts w:ascii="Verdana" w:eastAsia="Times New Roman" w:hAnsi="Verdana"/>
          <w:i/>
          <w:sz w:val="16"/>
          <w:szCs w:val="16"/>
          <w:lang w:val="en-US" w:eastAsia="es-PE"/>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eastAsia="Times New Roman" w:hAnsi="Verdana"/>
          <w:i/>
          <w:sz w:val="16"/>
          <w:szCs w:val="16"/>
          <w:lang w:val="en-US" w:eastAsia="es-PE"/>
        </w:rPr>
        <w:t xml:space="preserve">Cf. Case of Velásquez Rodríguez v. Honduras. Reparations and costs. </w:t>
      </w:r>
      <w:r w:rsidRPr="00CD437A">
        <w:rPr>
          <w:rFonts w:ascii="Verdana" w:eastAsia="Times New Roman" w:hAnsi="Verdana"/>
          <w:sz w:val="16"/>
          <w:szCs w:val="16"/>
          <w:lang w:val="en-US" w:eastAsia="es-PE"/>
        </w:rPr>
        <w:t xml:space="preserve">Judgment of July 21, 1989. Series C No. 7, para. 25, and </w:t>
      </w:r>
      <w:r w:rsidRPr="00CD437A">
        <w:rPr>
          <w:rFonts w:ascii="Verdana" w:eastAsia="Times New Roman" w:hAnsi="Verdana"/>
          <w:bCs/>
          <w:i/>
          <w:sz w:val="16"/>
          <w:szCs w:val="16"/>
          <w:lang w:val="en-US" w:eastAsia="es-PE"/>
        </w:rPr>
        <w:t>Case of Villaseñor Velarde et al. v. Guatemala</w:t>
      </w:r>
      <w:r w:rsidRPr="00CD437A">
        <w:rPr>
          <w:rFonts w:ascii="Verdana" w:eastAsia="Times New Roman" w:hAnsi="Verdana"/>
          <w:i/>
          <w:sz w:val="16"/>
          <w:szCs w:val="16"/>
          <w:lang w:val="en-US" w:eastAsia="es-PE"/>
        </w:rPr>
        <w:t xml:space="preserve">. </w:t>
      </w:r>
      <w:r w:rsidRPr="00CD437A">
        <w:rPr>
          <w:rFonts w:ascii="Verdana" w:eastAsia="Times New Roman" w:hAnsi="Verdana"/>
          <w:sz w:val="16"/>
          <w:szCs w:val="16"/>
          <w:lang w:val="en-US" w:eastAsia="es-PE"/>
        </w:rPr>
        <w:t>Merits, reparations and costs. Series C No. 374,</w:t>
      </w:r>
      <w:r w:rsidRPr="00CD437A">
        <w:rPr>
          <w:rFonts w:ascii="Verdana" w:eastAsia="Times New Roman" w:hAnsi="Verdana"/>
          <w:i/>
          <w:sz w:val="16"/>
          <w:szCs w:val="16"/>
          <w:lang w:val="en-US" w:eastAsia="es-PE"/>
        </w:rPr>
        <w:t xml:space="preserve"> </w:t>
      </w:r>
      <w:r w:rsidRPr="00CD437A">
        <w:rPr>
          <w:rFonts w:ascii="Verdana" w:eastAsia="Times New Roman" w:hAnsi="Verdana"/>
          <w:sz w:val="16"/>
          <w:szCs w:val="16"/>
          <w:lang w:val="en-US" w:eastAsia="es-PE"/>
        </w:rPr>
        <w:t>para. 147.</w:t>
      </w:r>
    </w:p>
  </w:footnote>
  <w:footnote w:id="227">
    <w:p w14:paraId="2016ACD5" w14:textId="77777777" w:rsidR="00E6764B" w:rsidRPr="00CD437A" w:rsidRDefault="00E6764B" w:rsidP="008E6A56">
      <w:pPr>
        <w:tabs>
          <w:tab w:val="left" w:pos="567"/>
        </w:tabs>
        <w:rPr>
          <w:rFonts w:ascii="Verdana" w:eastAsia="Times New Roman" w:hAnsi="Verdana"/>
          <w:i/>
          <w:sz w:val="16"/>
          <w:szCs w:val="16"/>
          <w:lang w:val="en-US" w:eastAsia="es-PE"/>
        </w:rPr>
      </w:pPr>
      <w:r w:rsidRPr="00CD437A">
        <w:rPr>
          <w:rStyle w:val="Refdenotaalpie"/>
          <w:rFonts w:eastAsia="MS Mincho"/>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eastAsia="Times New Roman" w:hAnsi="Verdana"/>
          <w:i/>
          <w:sz w:val="16"/>
          <w:szCs w:val="16"/>
          <w:lang w:val="en-US" w:eastAsia="es-PE"/>
        </w:rPr>
        <w:t>Cf. Case of Velásquez Rodríguez v. Honduras. Reparations and costs, supra</w:t>
      </w:r>
      <w:r w:rsidRPr="00CD437A">
        <w:rPr>
          <w:rFonts w:ascii="Verdana" w:eastAsia="Times New Roman" w:hAnsi="Verdana"/>
          <w:sz w:val="16"/>
          <w:szCs w:val="16"/>
          <w:lang w:val="en-US" w:eastAsia="es-PE"/>
        </w:rPr>
        <w:t xml:space="preserve">, paras. 25 and 26, and </w:t>
      </w:r>
      <w:r w:rsidRPr="00CD437A">
        <w:rPr>
          <w:rFonts w:ascii="Verdana" w:eastAsia="Times New Roman" w:hAnsi="Verdana"/>
          <w:i/>
          <w:sz w:val="16"/>
          <w:szCs w:val="16"/>
          <w:lang w:val="en-US" w:eastAsia="es-PE"/>
        </w:rPr>
        <w:t>Case of Órdenes Guerra Et al. v. Chile.</w:t>
      </w:r>
      <w:r w:rsidRPr="00CD437A">
        <w:rPr>
          <w:rFonts w:ascii="Verdana" w:eastAsia="MS Mincho" w:hAnsi="Verdana"/>
          <w:sz w:val="16"/>
          <w:szCs w:val="16"/>
          <w:lang w:val="en-US" w:eastAsia="en-US"/>
        </w:rPr>
        <w:t xml:space="preserve"> </w:t>
      </w:r>
      <w:r w:rsidRPr="00CD437A">
        <w:rPr>
          <w:rFonts w:ascii="Verdana" w:eastAsia="Times New Roman" w:hAnsi="Verdana"/>
          <w:sz w:val="16"/>
          <w:szCs w:val="16"/>
          <w:lang w:val="en-US" w:eastAsia="es-PE"/>
        </w:rPr>
        <w:t>Merits, reparations and costs. Series C No. 372, para. 78.</w:t>
      </w:r>
    </w:p>
  </w:footnote>
  <w:footnote w:id="228">
    <w:p w14:paraId="20F12B44" w14:textId="77777777" w:rsidR="00E6764B" w:rsidRPr="00CD437A" w:rsidRDefault="00E6764B" w:rsidP="008E6A56">
      <w:pPr>
        <w:tabs>
          <w:tab w:val="left" w:pos="567"/>
        </w:tabs>
        <w:rPr>
          <w:rFonts w:ascii="Verdana" w:hAnsi="Verdana" w:cs="Courier New"/>
          <w:bCs/>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bCs/>
          <w:i/>
          <w:sz w:val="16"/>
          <w:szCs w:val="16"/>
          <w:lang w:val="en-US"/>
        </w:rPr>
        <w:t xml:space="preserve"> Case of Cantoral Benavides v. Peru. </w:t>
      </w:r>
      <w:r w:rsidRPr="00CD437A">
        <w:rPr>
          <w:rFonts w:ascii="Verdana" w:hAnsi="Verdana"/>
          <w:i/>
          <w:sz w:val="16"/>
          <w:szCs w:val="16"/>
          <w:lang w:val="en-US"/>
        </w:rPr>
        <w:t>Reparations and costs</w:t>
      </w:r>
      <w:r w:rsidRPr="00CD437A">
        <w:rPr>
          <w:rFonts w:ascii="Verdana" w:hAnsi="Verdana"/>
          <w:sz w:val="16"/>
          <w:szCs w:val="16"/>
          <w:lang w:val="en-US"/>
        </w:rPr>
        <w:t xml:space="preserve">. Judgment of December 3, 2001. Series C No. 88, paras. 79 to 81, and </w:t>
      </w:r>
      <w:r w:rsidRPr="00CD437A">
        <w:rPr>
          <w:rFonts w:ascii="Verdana" w:eastAsia="Times New Roman" w:hAnsi="Verdana"/>
          <w:i/>
          <w:sz w:val="16"/>
          <w:szCs w:val="16"/>
          <w:lang w:val="en-US" w:eastAsia="es-PE"/>
        </w:rPr>
        <w:t>Case of Órdenes Guerra et al. v. Chile, supra,</w:t>
      </w:r>
      <w:r w:rsidRPr="00CD437A">
        <w:rPr>
          <w:rFonts w:ascii="Verdana" w:eastAsia="Times New Roman" w:hAnsi="Verdana"/>
          <w:sz w:val="16"/>
          <w:szCs w:val="16"/>
          <w:lang w:val="en-US" w:eastAsia="es-PE"/>
        </w:rPr>
        <w:t xml:space="preserve"> para. 105.</w:t>
      </w:r>
    </w:p>
  </w:footnote>
  <w:footnote w:id="229">
    <w:p w14:paraId="5F1598E8" w14:textId="77777777" w:rsidR="00E6764B" w:rsidRPr="00CD437A" w:rsidRDefault="00E6764B" w:rsidP="008E6A56">
      <w:pPr>
        <w:tabs>
          <w:tab w:val="left" w:pos="567"/>
        </w:tabs>
        <w:rPr>
          <w:rFonts w:ascii="Verdana" w:hAnsi="Verdana"/>
          <w:bCs/>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 xml:space="preserve">Cf. Case of Ticona Estrada v. Bolivia. Merits, reparations and costs. </w:t>
      </w:r>
      <w:r w:rsidRPr="00CD437A">
        <w:rPr>
          <w:rFonts w:ascii="Verdana" w:hAnsi="Verdana"/>
          <w:sz w:val="16"/>
          <w:szCs w:val="16"/>
          <w:lang w:val="en-US"/>
        </w:rPr>
        <w:t xml:space="preserve">Judgment of November 27, 2008. Series C No. 191, para. 110, and </w:t>
      </w:r>
      <w:r w:rsidRPr="00CD437A">
        <w:rPr>
          <w:rFonts w:ascii="Verdana" w:eastAsia="Times New Roman" w:hAnsi="Verdana"/>
          <w:i/>
          <w:sz w:val="16"/>
          <w:szCs w:val="16"/>
          <w:lang w:val="en-US" w:eastAsia="es-PE"/>
        </w:rPr>
        <w:t>Case of Órdenes Guerra et al. v. Chile, supra,</w:t>
      </w:r>
      <w:r w:rsidRPr="00CD437A">
        <w:rPr>
          <w:rFonts w:ascii="Verdana" w:eastAsia="Times New Roman" w:hAnsi="Verdana"/>
          <w:sz w:val="16"/>
          <w:szCs w:val="16"/>
          <w:lang w:val="en-US" w:eastAsia="es-PE"/>
        </w:rPr>
        <w:t xml:space="preserve"> para. 115</w:t>
      </w:r>
      <w:r w:rsidRPr="00CD437A">
        <w:rPr>
          <w:rFonts w:ascii="Verdana" w:eastAsia="Times New Roman" w:hAnsi="Verdana"/>
          <w:i/>
          <w:sz w:val="16"/>
          <w:szCs w:val="16"/>
          <w:lang w:val="en-US" w:eastAsia="es-PE"/>
        </w:rPr>
        <w:t>.</w:t>
      </w:r>
    </w:p>
  </w:footnote>
  <w:footnote w:id="230">
    <w:p w14:paraId="5A97E7E1" w14:textId="77777777" w:rsidR="00E6764B" w:rsidRPr="00CD437A" w:rsidRDefault="00E6764B" w:rsidP="00CD2B15">
      <w:pPr>
        <w:pStyle w:val="Textonotapie"/>
        <w:rPr>
          <w:rFonts w:eastAsia="Times New Roman"/>
          <w:lang w:eastAsia="es-PE"/>
        </w:rPr>
      </w:pPr>
      <w:r w:rsidRPr="00CD437A">
        <w:rPr>
          <w:rStyle w:val="Refdenotaalpie"/>
          <w:rFonts w:eastAsia="Calibri"/>
        </w:rPr>
        <w:footnoteRef/>
      </w:r>
      <w:r w:rsidRPr="00CD437A">
        <w:rPr>
          <w:rFonts w:cs="Verdana"/>
        </w:rPr>
        <w:tab/>
      </w:r>
      <w:r w:rsidRPr="00CD437A">
        <w:t xml:space="preserve">Cf. Case of </w:t>
      </w:r>
      <w:proofErr w:type="spellStart"/>
      <w:r w:rsidRPr="00CD437A">
        <w:t>Velásquez</w:t>
      </w:r>
      <w:proofErr w:type="spellEnd"/>
      <w:r w:rsidRPr="00CD437A">
        <w:t xml:space="preserve"> Rodríguez v. Honduras. Reparations and costs, supra, paras. 25 to 27, and </w:t>
      </w:r>
      <w:r w:rsidRPr="00CD437A">
        <w:rPr>
          <w:rFonts w:eastAsia="Times New Roman"/>
          <w:lang w:eastAsia="es-PE"/>
        </w:rPr>
        <w:t xml:space="preserve">Case of </w:t>
      </w:r>
      <w:proofErr w:type="spellStart"/>
      <w:r w:rsidRPr="00CD437A">
        <w:rPr>
          <w:rFonts w:eastAsia="Times New Roman"/>
          <w:lang w:eastAsia="es-PE"/>
        </w:rPr>
        <w:t>Villaseñor</w:t>
      </w:r>
      <w:proofErr w:type="spellEnd"/>
      <w:r w:rsidRPr="00CD437A">
        <w:rPr>
          <w:rFonts w:eastAsia="Times New Roman"/>
          <w:lang w:eastAsia="es-PE"/>
        </w:rPr>
        <w:t xml:space="preserve"> Velarde et al. v. Guatemala, supra, para. 148.</w:t>
      </w:r>
    </w:p>
  </w:footnote>
  <w:footnote w:id="231">
    <w:p w14:paraId="10A77649"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Including Law Nº 28449, Law </w:t>
      </w:r>
      <w:r>
        <w:t xml:space="preserve">on the </w:t>
      </w:r>
      <w:r w:rsidRPr="00CD437A">
        <w:t>New Rules of the Decree Law Nº 20530 Pension Regime (</w:t>
      </w:r>
      <w:r w:rsidRPr="00CD437A">
        <w:rPr>
          <w:i/>
        </w:rPr>
        <w:t>supra</w:t>
      </w:r>
      <w:r w:rsidRPr="00CD437A">
        <w:t xml:space="preserve"> para. 104).</w:t>
      </w:r>
    </w:p>
  </w:footnote>
  <w:footnote w:id="232">
    <w:p w14:paraId="0371964E"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Brief of the State </w:t>
      </w:r>
      <w:r>
        <w:t xml:space="preserve">containing </w:t>
      </w:r>
      <w:r w:rsidRPr="00CD437A">
        <w:t>helpful evidence of December 11, 2018 (merits file, folio 1001).</w:t>
      </w:r>
    </w:p>
  </w:footnote>
  <w:footnote w:id="233">
    <w:p w14:paraId="379FE243"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Brief of the State </w:t>
      </w:r>
      <w:r>
        <w:t>c</w:t>
      </w:r>
      <w:r w:rsidRPr="00CD437A">
        <w:t>on</w:t>
      </w:r>
      <w:r>
        <w:t>taining</w:t>
      </w:r>
      <w:r w:rsidRPr="00CD437A">
        <w:t xml:space="preserve"> helpful evidence of December 11, 2018 (merits file, folio 1000).</w:t>
      </w:r>
    </w:p>
  </w:footnote>
  <w:footnote w:id="234">
    <w:p w14:paraId="0BB7F976" w14:textId="77777777" w:rsidR="00E6764B" w:rsidRPr="00CD437A" w:rsidRDefault="00E6764B" w:rsidP="008E6A56">
      <w:pPr>
        <w:tabs>
          <w:tab w:val="left" w:pos="567"/>
        </w:tabs>
        <w:rPr>
          <w:rStyle w:val="Refdenotaalpie"/>
          <w:rFonts w:eastAsia="MS ????"/>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i/>
          <w:sz w:val="16"/>
          <w:szCs w:val="16"/>
          <w:lang w:val="en-US" w:eastAsia="x-none"/>
        </w:rPr>
        <w:t xml:space="preserve"> Case of Cantoral Benavides v. Peru, supra</w:t>
      </w:r>
      <w:r w:rsidRPr="00CD437A">
        <w:rPr>
          <w:rFonts w:ascii="Verdana" w:hAnsi="Verdana"/>
          <w:sz w:val="16"/>
          <w:szCs w:val="16"/>
          <w:lang w:val="en-US" w:eastAsia="x-none"/>
        </w:rPr>
        <w:t xml:space="preserve">, </w:t>
      </w:r>
      <w:r w:rsidRPr="00CD437A">
        <w:rPr>
          <w:rFonts w:ascii="Verdana" w:hAnsi="Verdana"/>
          <w:sz w:val="16"/>
          <w:szCs w:val="16"/>
          <w:lang w:val="en-US"/>
        </w:rPr>
        <w:t xml:space="preserve">para. 79, and </w:t>
      </w:r>
      <w:r w:rsidRPr="00CD437A">
        <w:rPr>
          <w:rFonts w:ascii="Verdana" w:hAnsi="Verdana"/>
          <w:i/>
          <w:sz w:val="16"/>
          <w:szCs w:val="16"/>
          <w:lang w:val="en-US"/>
        </w:rPr>
        <w:t>Case of Alvarado Espinoza et al. v. Mexico</w:t>
      </w:r>
      <w:r w:rsidRPr="00CD437A">
        <w:rPr>
          <w:rFonts w:ascii="Verdana" w:hAnsi="Verdana"/>
          <w:sz w:val="16"/>
          <w:szCs w:val="16"/>
          <w:lang w:val="en-US"/>
        </w:rPr>
        <w:t>.</w:t>
      </w:r>
      <w:r w:rsidRPr="00CD437A">
        <w:rPr>
          <w:rFonts w:ascii="Verdana" w:hAnsi="Verdana" w:cs="Verdana"/>
          <w:bCs/>
          <w:i/>
          <w:iCs/>
          <w:snapToGrid w:val="0"/>
          <w:sz w:val="16"/>
          <w:szCs w:val="16"/>
          <w:lang w:val="en-US" w:eastAsia="es-ES"/>
        </w:rPr>
        <w:t xml:space="preserve"> </w:t>
      </w:r>
      <w:r w:rsidRPr="00CD437A">
        <w:rPr>
          <w:rFonts w:ascii="Verdana" w:hAnsi="Verdana"/>
          <w:bCs/>
          <w:i/>
          <w:iCs/>
          <w:sz w:val="16"/>
          <w:szCs w:val="16"/>
          <w:lang w:val="en-US"/>
        </w:rPr>
        <w:t>Merits, reparations and costs</w:t>
      </w:r>
      <w:r w:rsidRPr="00CD437A">
        <w:rPr>
          <w:rFonts w:ascii="Verdana" w:hAnsi="Verdana"/>
          <w:sz w:val="16"/>
          <w:szCs w:val="16"/>
          <w:lang w:val="en-US"/>
        </w:rPr>
        <w:t xml:space="preserve"> </w:t>
      </w:r>
      <w:r w:rsidRPr="00CD437A">
        <w:rPr>
          <w:rFonts w:ascii="Verdana" w:eastAsia="MS ????" w:hAnsi="Verdana"/>
          <w:sz w:val="16"/>
          <w:szCs w:val="16"/>
          <w:lang w:val="en-US"/>
        </w:rPr>
        <w:t xml:space="preserve">Judgment of </w:t>
      </w:r>
      <w:r w:rsidRPr="00CD437A">
        <w:rPr>
          <w:rFonts w:ascii="Verdana" w:eastAsia="MS ????" w:hAnsi="Verdana"/>
          <w:bCs/>
          <w:sz w:val="16"/>
          <w:szCs w:val="16"/>
          <w:lang w:val="en-US"/>
        </w:rPr>
        <w:t>November 28, 2018. Series C No. 370, para.</w:t>
      </w:r>
      <w:r>
        <w:rPr>
          <w:rFonts w:ascii="Verdana" w:eastAsia="MS ????" w:hAnsi="Verdana"/>
          <w:bCs/>
          <w:sz w:val="16"/>
          <w:szCs w:val="16"/>
          <w:lang w:val="en-US"/>
        </w:rPr>
        <w:t xml:space="preserve"> </w:t>
      </w:r>
      <w:r w:rsidRPr="00CD437A">
        <w:rPr>
          <w:rFonts w:ascii="Verdana" w:eastAsia="MS ????" w:hAnsi="Verdana"/>
          <w:bCs/>
          <w:sz w:val="16"/>
          <w:szCs w:val="16"/>
          <w:lang w:val="en-US"/>
        </w:rPr>
        <w:t>313.</w:t>
      </w:r>
    </w:p>
  </w:footnote>
  <w:footnote w:id="235">
    <w:p w14:paraId="2BE9E488" w14:textId="77777777" w:rsidR="00E6764B" w:rsidRPr="00CD437A" w:rsidRDefault="00E6764B" w:rsidP="008E6A56">
      <w:pPr>
        <w:tabs>
          <w:tab w:val="left" w:pos="567"/>
        </w:tabs>
        <w:rPr>
          <w:rFonts w:ascii="Verdana" w:hAnsi="Verdana"/>
          <w:sz w:val="16"/>
          <w:szCs w:val="16"/>
          <w:lang w:val="en-US" w:eastAsia="es-ES"/>
        </w:rPr>
      </w:pPr>
      <w:r w:rsidRPr="00CD437A">
        <w:rPr>
          <w:rStyle w:val="Refdenotaalpie"/>
          <w:rFonts w:eastAsia="MS ????"/>
          <w:sz w:val="16"/>
          <w:szCs w:val="16"/>
          <w:lang w:val="en-US"/>
        </w:rPr>
        <w:footnoteRef/>
      </w:r>
      <w:r w:rsidRPr="00CD437A">
        <w:rPr>
          <w:rFonts w:ascii="Verdana" w:hAnsi="Verdana"/>
          <w:sz w:val="16"/>
          <w:szCs w:val="16"/>
          <w:lang w:val="en-US"/>
        </w:rPr>
        <w:tab/>
      </w:r>
      <w:r w:rsidRPr="00CD437A">
        <w:rPr>
          <w:rFonts w:ascii="Verdana" w:hAnsi="Verdana"/>
          <w:i/>
          <w:sz w:val="16"/>
          <w:szCs w:val="16"/>
          <w:lang w:val="en-US"/>
        </w:rPr>
        <w:t xml:space="preserve">Cf. </w:t>
      </w:r>
      <w:r w:rsidRPr="00CD437A">
        <w:rPr>
          <w:rFonts w:ascii="Verdana" w:hAnsi="Verdana"/>
          <w:bCs/>
          <w:i/>
          <w:sz w:val="16"/>
          <w:szCs w:val="16"/>
          <w:lang w:val="en-US"/>
        </w:rPr>
        <w:t xml:space="preserve">Case of Bámaca Velásquez v. Guatemala. </w:t>
      </w:r>
      <w:r w:rsidRPr="00CD437A">
        <w:rPr>
          <w:rFonts w:ascii="Verdana" w:hAnsi="Verdana"/>
          <w:i/>
          <w:sz w:val="16"/>
          <w:szCs w:val="16"/>
          <w:lang w:val="en-US"/>
        </w:rPr>
        <w:t>Reparations and costs</w:t>
      </w:r>
      <w:r w:rsidRPr="00CD437A">
        <w:rPr>
          <w:rFonts w:ascii="Verdana" w:hAnsi="Verdana"/>
          <w:sz w:val="16"/>
          <w:szCs w:val="16"/>
          <w:lang w:val="en-US"/>
        </w:rPr>
        <w:t xml:space="preserve">. Judgment of February 22, 2002. Series C No. 91, para. 43, and </w:t>
      </w:r>
      <w:r w:rsidRPr="00CD437A">
        <w:rPr>
          <w:rFonts w:ascii="Verdana" w:hAnsi="Verdana"/>
          <w:bCs/>
          <w:i/>
          <w:sz w:val="16"/>
          <w:szCs w:val="16"/>
          <w:lang w:val="en-US"/>
        </w:rPr>
        <w:t xml:space="preserve">Case of Women Victims of Sexual Torture in Atenco v. Mexico, supra, </w:t>
      </w:r>
      <w:r w:rsidRPr="00CD437A">
        <w:rPr>
          <w:rFonts w:ascii="Verdana" w:hAnsi="Verdana"/>
          <w:bCs/>
          <w:sz w:val="16"/>
          <w:szCs w:val="16"/>
          <w:lang w:val="en-US"/>
        </w:rPr>
        <w:t>para. 369.</w:t>
      </w:r>
    </w:p>
  </w:footnote>
  <w:footnote w:id="236">
    <w:p w14:paraId="46F105E1"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In their final written arguments, the representatives made it clear that, </w:t>
      </w:r>
      <w:r>
        <w:t xml:space="preserve">in relation to </w:t>
      </w:r>
      <w:r w:rsidRPr="00CD437A">
        <w:t>the State’s objection</w:t>
      </w:r>
      <w:r>
        <w:t xml:space="preserve"> in this regard, the victim is not </w:t>
      </w:r>
      <w:r w:rsidRPr="00CD437A">
        <w:t>claim</w:t>
      </w:r>
      <w:r>
        <w:t>ing</w:t>
      </w:r>
      <w:r w:rsidRPr="00CD437A">
        <w:t xml:space="preserve"> reimbursement for medical treatment </w:t>
      </w:r>
      <w:r>
        <w:t xml:space="preserve">received </w:t>
      </w:r>
      <w:r w:rsidRPr="00CD437A">
        <w:t xml:space="preserve">in the United States between 2001 and 2008, </w:t>
      </w:r>
      <w:r>
        <w:t xml:space="preserve">as </w:t>
      </w:r>
      <w:r w:rsidRPr="00CD437A">
        <w:t xml:space="preserve">this did not </w:t>
      </w:r>
      <w:r>
        <w:t xml:space="preserve">generate any costs for Mr. </w:t>
      </w:r>
      <w:proofErr w:type="spellStart"/>
      <w:r>
        <w:t>Muelle</w:t>
      </w:r>
      <w:proofErr w:type="spellEnd"/>
      <w:r>
        <w:t xml:space="preserve"> because it</w:t>
      </w:r>
      <w:r w:rsidRPr="00CD437A">
        <w:t xml:space="preserve"> was provided through the support of an NGO. Mr. </w:t>
      </w:r>
      <w:proofErr w:type="spellStart"/>
      <w:r w:rsidRPr="00CD437A">
        <w:t>Muelle</w:t>
      </w:r>
      <w:proofErr w:type="spellEnd"/>
      <w:r w:rsidRPr="00CD437A">
        <w:t xml:space="preserve"> Flores merely referred to that treatment in his petitions in order to justify his change of residence before the Court, and to </w:t>
      </w:r>
      <w:r>
        <w:t xml:space="preserve">emphasize the need for promptness in </w:t>
      </w:r>
      <w:r w:rsidRPr="00CD437A">
        <w:t xml:space="preserve">the inter-American proceeding given his disability. </w:t>
      </w:r>
      <w:r w:rsidRPr="00CD437A">
        <w:rPr>
          <w:i/>
        </w:rPr>
        <w:t xml:space="preserve">Cf. </w:t>
      </w:r>
      <w:r w:rsidRPr="00CD437A">
        <w:t>Brief of final arguments of the representatives (merits file, folio 704, footnote 169).</w:t>
      </w:r>
    </w:p>
  </w:footnote>
  <w:footnote w:id="237">
    <w:p w14:paraId="277B65BA" w14:textId="77777777" w:rsidR="00E6764B" w:rsidRPr="00CD437A" w:rsidRDefault="00E6764B" w:rsidP="00CD2B15">
      <w:pPr>
        <w:pStyle w:val="Textonotapie"/>
      </w:pPr>
      <w:r w:rsidRPr="00CD437A">
        <w:rPr>
          <w:rStyle w:val="Refdenotaalpie"/>
        </w:rPr>
        <w:footnoteRef/>
      </w:r>
      <w:r w:rsidRPr="00CD437A">
        <w:t xml:space="preserve"> </w:t>
      </w:r>
      <w:r w:rsidRPr="00CD437A">
        <w:tab/>
        <w:t>Cf. Case of the Serrano Cruz Sisters v. El Salvador. Merits, reparations and costs. Judgment of March 1, 2005. Series C No. 120, para. 152, and Case of V.R.P., V.P.C.</w:t>
      </w:r>
      <w:r w:rsidRPr="00CD437A">
        <w:rPr>
          <w:vertAlign w:val="superscript"/>
        </w:rPr>
        <w:t>*</w:t>
      </w:r>
      <w:r w:rsidRPr="00CD437A">
        <w:t xml:space="preserve"> et al. v. Nicaragua, supra,</w:t>
      </w:r>
      <w:r w:rsidRPr="00CD437A">
        <w:rPr>
          <w:bCs/>
          <w:iCs/>
        </w:rPr>
        <w:t xml:space="preserve"> para. 410. </w:t>
      </w:r>
    </w:p>
  </w:footnote>
  <w:footnote w:id="238">
    <w:p w14:paraId="43FA5402"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The </w:t>
      </w:r>
      <w:r w:rsidRPr="00CD437A">
        <w:rPr>
          <w:i/>
        </w:rPr>
        <w:t xml:space="preserve">Seguro Integral de </w:t>
      </w:r>
      <w:proofErr w:type="spellStart"/>
      <w:r w:rsidRPr="00CD437A">
        <w:rPr>
          <w:i/>
        </w:rPr>
        <w:t>Salud</w:t>
      </w:r>
      <w:proofErr w:type="spellEnd"/>
      <w:r w:rsidRPr="00CD437A">
        <w:t xml:space="preserve"> (SIS) or Comprehensive Health Insurance, is Peru’s universal public health care system, created to protect the health of Peruvians who do not have health insurance. It prioritizes vulnerable populations living in poverty and extreme poverty. </w:t>
      </w:r>
      <w:r w:rsidRPr="00CD437A">
        <w:rPr>
          <w:i/>
        </w:rPr>
        <w:t>Cf.</w:t>
      </w:r>
      <w:r w:rsidRPr="00CD437A">
        <w:t xml:space="preserve"> Ministry of Health Law Nº 27657, creati</w:t>
      </w:r>
      <w:r>
        <w:t xml:space="preserve">on of </w:t>
      </w:r>
      <w:r w:rsidRPr="00CD437A">
        <w:t xml:space="preserve">the </w:t>
      </w:r>
      <w:r w:rsidRPr="00CD437A">
        <w:rPr>
          <w:i/>
        </w:rPr>
        <w:t xml:space="preserve">Seguro Integral de </w:t>
      </w:r>
      <w:proofErr w:type="spellStart"/>
      <w:r w:rsidRPr="00CD437A">
        <w:rPr>
          <w:i/>
        </w:rPr>
        <w:t>Salud</w:t>
      </w:r>
      <w:proofErr w:type="spellEnd"/>
      <w:r w:rsidRPr="00CD437A">
        <w:rPr>
          <w:i/>
        </w:rPr>
        <w:t xml:space="preserve"> (SIS)</w:t>
      </w:r>
      <w:r w:rsidRPr="00CD437A">
        <w:t xml:space="preserve"> as a dec</w:t>
      </w:r>
      <w:r>
        <w:t>entralized public institution under</w:t>
      </w:r>
      <w:r w:rsidRPr="00CD437A">
        <w:t xml:space="preserve"> the Ministry </w:t>
      </w:r>
      <w:proofErr w:type="gramStart"/>
      <w:r w:rsidRPr="00CD437A">
        <w:t>of  Health</w:t>
      </w:r>
      <w:proofErr w:type="gramEnd"/>
      <w:r w:rsidRPr="00CD437A">
        <w:t>, and subsequently classified as a Public Executive Organization through Supreme Decree Nº 034-2008-PCM (merits file, folio 1001).</w:t>
      </w:r>
    </w:p>
  </w:footnote>
  <w:footnote w:id="239">
    <w:p w14:paraId="7575967B" w14:textId="77777777" w:rsidR="00E6764B" w:rsidRPr="00CD437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Physical health vouchers (evidence file, folios 1877 to 1888). </w:t>
      </w:r>
    </w:p>
  </w:footnote>
  <w:footnote w:id="240">
    <w:p w14:paraId="3B1AF102" w14:textId="77777777" w:rsidR="00E6764B" w:rsidRPr="00CD437A" w:rsidRDefault="00E6764B" w:rsidP="008E6A56">
      <w:pPr>
        <w:tabs>
          <w:tab w:val="left" w:pos="567"/>
        </w:tabs>
        <w:autoSpaceDE w:val="0"/>
        <w:autoSpaceDN w:val="0"/>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bCs/>
          <w:sz w:val="16"/>
          <w:szCs w:val="16"/>
          <w:lang w:val="en-US"/>
        </w:rPr>
        <w:t xml:space="preserve">Based on various </w:t>
      </w:r>
      <w:r>
        <w:rPr>
          <w:rFonts w:ascii="Verdana" w:hAnsi="Verdana"/>
          <w:bCs/>
          <w:sz w:val="16"/>
          <w:szCs w:val="16"/>
          <w:lang w:val="en-US"/>
        </w:rPr>
        <w:t>internal regulations</w:t>
      </w:r>
      <w:r w:rsidRPr="00CD437A">
        <w:rPr>
          <w:rFonts w:ascii="Verdana" w:hAnsi="Verdana"/>
          <w:bCs/>
          <w:sz w:val="16"/>
          <w:szCs w:val="16"/>
          <w:lang w:val="en-US"/>
        </w:rPr>
        <w:t>, a</w:t>
      </w:r>
      <w:r>
        <w:rPr>
          <w:rFonts w:ascii="Verdana" w:hAnsi="Verdana"/>
          <w:bCs/>
          <w:sz w:val="16"/>
          <w:szCs w:val="16"/>
          <w:lang w:val="en-US"/>
        </w:rPr>
        <w:t xml:space="preserve">nd on </w:t>
      </w:r>
      <w:r w:rsidRPr="00CD437A">
        <w:rPr>
          <w:rFonts w:ascii="Verdana" w:hAnsi="Verdana"/>
          <w:bCs/>
          <w:sz w:val="16"/>
          <w:szCs w:val="16"/>
          <w:lang w:val="en-US"/>
        </w:rPr>
        <w:t>the domestic case law of Peru, it is not feasible to equalize the pens</w:t>
      </w:r>
      <w:r>
        <w:rPr>
          <w:rFonts w:ascii="Verdana" w:hAnsi="Verdana"/>
          <w:bCs/>
          <w:sz w:val="16"/>
          <w:szCs w:val="16"/>
          <w:lang w:val="en-US"/>
        </w:rPr>
        <w:t>ions of public sector retirees with</w:t>
      </w:r>
      <w:r w:rsidRPr="00CD437A">
        <w:rPr>
          <w:rFonts w:ascii="Verdana" w:hAnsi="Verdana"/>
          <w:bCs/>
          <w:sz w:val="16"/>
          <w:szCs w:val="16"/>
          <w:lang w:val="en-US"/>
        </w:rPr>
        <w:t xml:space="preserve"> the remuneration of private sector workers. In this regard, the adjustment of pensions cannot be made with reference to active workers subject to the private sector labor regime, but rather with active workers subject to the public sector labor regime. </w:t>
      </w:r>
      <w:r w:rsidRPr="00CD437A">
        <w:rPr>
          <w:rFonts w:ascii="Verdana" w:hAnsi="Verdana"/>
          <w:i/>
          <w:sz w:val="16"/>
          <w:szCs w:val="16"/>
          <w:lang w:val="en-US"/>
        </w:rPr>
        <w:t>Cf.</w:t>
      </w:r>
      <w:r w:rsidRPr="00CD437A">
        <w:rPr>
          <w:rFonts w:ascii="Verdana" w:hAnsi="Verdana"/>
          <w:sz w:val="16"/>
          <w:szCs w:val="16"/>
          <w:lang w:val="en-US"/>
        </w:rPr>
        <w:t xml:space="preserve"> Affidavit rendered by César José Gonzáles Hunt on August 24, 2018 (evidence file, folios 1856 to 1863). The expert witness emphasized that “paragraphs 15 and 16 of the Judgment of the Constitutional Court in File No. 189-2002-AA/TC (Case of Carlos Maldonado Duarte, dated June 18, 2003) established the following as a binding precedent: “15. The </w:t>
      </w:r>
      <w:r w:rsidRPr="00CD437A">
        <w:rPr>
          <w:rFonts w:ascii="Verdana" w:hAnsi="Verdana"/>
          <w:iCs/>
          <w:sz w:val="16"/>
          <w:szCs w:val="16"/>
          <w:lang w:val="en-US"/>
        </w:rPr>
        <w:t>adjustment to which a pensioner who enjoys an equalized pension is entitled must be made with reference to an active official or employee of the Public Administration, of the level and rank held by the pensioner at the time of his retirement […]”;</w:t>
      </w:r>
      <w:r w:rsidRPr="00CD437A">
        <w:rPr>
          <w:rFonts w:ascii="Verdana" w:hAnsi="Verdana"/>
          <w:sz w:val="16"/>
          <w:szCs w:val="16"/>
          <w:lang w:val="en-US"/>
        </w:rPr>
        <w:t xml:space="preserve"> 16. The </w:t>
      </w:r>
      <w:r w:rsidRPr="00CD437A">
        <w:rPr>
          <w:rFonts w:ascii="Verdana" w:hAnsi="Verdana"/>
          <w:iCs/>
          <w:sz w:val="16"/>
          <w:szCs w:val="16"/>
          <w:lang w:val="en-US"/>
        </w:rPr>
        <w:t xml:space="preserve">plaintiff’s claim of a pension equalized with the salary received by an active worker of </w:t>
      </w:r>
      <w:r w:rsidRPr="00CD437A">
        <w:rPr>
          <w:rFonts w:ascii="Verdana" w:hAnsi="Verdana"/>
          <w:bCs/>
          <w:sz w:val="16"/>
          <w:szCs w:val="16"/>
          <w:lang w:val="en-US"/>
        </w:rPr>
        <w:t>the private sector labor regime</w:t>
      </w:r>
      <w:r w:rsidRPr="00CD437A">
        <w:rPr>
          <w:rFonts w:ascii="Verdana" w:hAnsi="Verdana"/>
          <w:iCs/>
          <w:sz w:val="16"/>
          <w:szCs w:val="16"/>
          <w:lang w:val="en-US"/>
        </w:rPr>
        <w:t xml:space="preserve"> “[…] is inadmissible […].”</w:t>
      </w:r>
      <w:r w:rsidRPr="00CD437A">
        <w:rPr>
          <w:rFonts w:ascii="Verdana" w:hAnsi="Verdana"/>
          <w:sz w:val="16"/>
          <w:szCs w:val="16"/>
          <w:lang w:val="en-US"/>
        </w:rPr>
        <w:t xml:space="preserve"> The expert witness emphasized that this principle has been ratified by the Constitutional Court, becoming a </w:t>
      </w:r>
      <w:r>
        <w:rPr>
          <w:rFonts w:ascii="Verdana" w:hAnsi="Verdana"/>
          <w:sz w:val="16"/>
          <w:szCs w:val="16"/>
          <w:lang w:val="en-US"/>
        </w:rPr>
        <w:t xml:space="preserve">binding </w:t>
      </w:r>
      <w:r w:rsidRPr="00CD437A">
        <w:rPr>
          <w:rFonts w:ascii="Verdana" w:hAnsi="Verdana"/>
          <w:sz w:val="16"/>
          <w:szCs w:val="16"/>
          <w:lang w:val="en-US"/>
        </w:rPr>
        <w:t xml:space="preserve">rule for </w:t>
      </w:r>
      <w:r>
        <w:rPr>
          <w:rFonts w:ascii="Verdana" w:hAnsi="Verdana"/>
          <w:sz w:val="16"/>
          <w:szCs w:val="16"/>
          <w:lang w:val="en-US"/>
        </w:rPr>
        <w:t xml:space="preserve">the purposes of </w:t>
      </w:r>
      <w:r w:rsidRPr="00CD437A">
        <w:rPr>
          <w:rFonts w:ascii="Verdana" w:hAnsi="Verdana"/>
          <w:sz w:val="16"/>
          <w:szCs w:val="16"/>
          <w:lang w:val="en-US"/>
        </w:rPr>
        <w:t xml:space="preserve">application and interpretation. Subsequently, Law No. 28047 (Law to Update the Percentage of Contributions paid to the Pension Fund of National Public Sector Workers and to Regulate the Equalization of Pensions </w:t>
      </w:r>
      <w:r>
        <w:rPr>
          <w:rFonts w:ascii="Verdana" w:hAnsi="Verdana"/>
          <w:sz w:val="16"/>
          <w:szCs w:val="16"/>
          <w:lang w:val="en-US"/>
        </w:rPr>
        <w:t xml:space="preserve">governed by </w:t>
      </w:r>
      <w:r w:rsidRPr="00CD437A">
        <w:rPr>
          <w:rFonts w:ascii="Verdana" w:hAnsi="Verdana"/>
          <w:sz w:val="16"/>
          <w:szCs w:val="16"/>
          <w:lang w:val="en-US"/>
        </w:rPr>
        <w:t>Decree Law No. 20530) published on July 31, 2003, established in Article 3 entitled “</w:t>
      </w:r>
      <w:r w:rsidRPr="00CD437A">
        <w:rPr>
          <w:rFonts w:ascii="Verdana" w:hAnsi="Verdana"/>
          <w:iCs/>
          <w:sz w:val="16"/>
          <w:szCs w:val="16"/>
          <w:lang w:val="en-US"/>
        </w:rPr>
        <w:t>Determination of the amount of the pensions of discharged and retired workers subject to the system under Decree Law Nº</w:t>
      </w:r>
      <w:r w:rsidRPr="00CD437A">
        <w:rPr>
          <w:rFonts w:ascii="Verdana" w:hAnsi="Verdana"/>
          <w:sz w:val="16"/>
          <w:szCs w:val="16"/>
          <w:lang w:val="en-US"/>
        </w:rPr>
        <w:t xml:space="preserve"> </w:t>
      </w:r>
      <w:r w:rsidRPr="00CD437A">
        <w:rPr>
          <w:rFonts w:ascii="Verdana" w:hAnsi="Verdana"/>
          <w:iCs/>
          <w:sz w:val="16"/>
          <w:szCs w:val="16"/>
          <w:lang w:val="en-US"/>
        </w:rPr>
        <w:t>20530” that:“[…]the equalization of pensions of discharged and retired workers subject to Decree Law Nº 20530, of th</w:t>
      </w:r>
      <w:r>
        <w:rPr>
          <w:rFonts w:ascii="Verdana" w:hAnsi="Verdana"/>
          <w:iCs/>
          <w:sz w:val="16"/>
          <w:szCs w:val="16"/>
          <w:lang w:val="en-US"/>
        </w:rPr>
        <w:t>os</w:t>
      </w:r>
      <w:r w:rsidRPr="00CD437A">
        <w:rPr>
          <w:rFonts w:ascii="Verdana" w:hAnsi="Verdana"/>
          <w:iCs/>
          <w:sz w:val="16"/>
          <w:szCs w:val="16"/>
          <w:lang w:val="en-US"/>
        </w:rPr>
        <w:t>e entities that have, or have had, different labor regimes, shall be determine</w:t>
      </w:r>
      <w:r>
        <w:rPr>
          <w:rFonts w:ascii="Verdana" w:hAnsi="Verdana"/>
          <w:iCs/>
          <w:sz w:val="16"/>
          <w:szCs w:val="16"/>
          <w:lang w:val="en-US"/>
        </w:rPr>
        <w:t>d</w:t>
      </w:r>
      <w:r w:rsidRPr="00CD437A">
        <w:rPr>
          <w:rFonts w:ascii="Verdana" w:hAnsi="Verdana"/>
          <w:iCs/>
          <w:sz w:val="16"/>
          <w:szCs w:val="16"/>
          <w:lang w:val="en-US"/>
        </w:rPr>
        <w:t xml:space="preserve"> with reference </w:t>
      </w:r>
      <w:r>
        <w:rPr>
          <w:rFonts w:ascii="Verdana" w:hAnsi="Verdana"/>
          <w:iCs/>
          <w:sz w:val="16"/>
          <w:szCs w:val="16"/>
          <w:lang w:val="en-US"/>
        </w:rPr>
        <w:t xml:space="preserve">to </w:t>
      </w:r>
      <w:r w:rsidRPr="00CD437A">
        <w:rPr>
          <w:rFonts w:ascii="Verdana" w:hAnsi="Verdana"/>
          <w:iCs/>
          <w:sz w:val="16"/>
          <w:szCs w:val="16"/>
          <w:lang w:val="en-US"/>
        </w:rPr>
        <w:t xml:space="preserve">the wages earned by workers of the pensioner’s institution of origin, under the Unified Remuneration System contemplated in Legislative Decree No. 276. For those purposes, non-pensionable </w:t>
      </w:r>
      <w:r>
        <w:rPr>
          <w:rFonts w:ascii="Verdana" w:hAnsi="Verdana"/>
          <w:iCs/>
          <w:sz w:val="16"/>
          <w:szCs w:val="16"/>
          <w:lang w:val="en-US"/>
        </w:rPr>
        <w:t>benefits</w:t>
      </w:r>
      <w:r w:rsidRPr="00CD437A">
        <w:rPr>
          <w:rFonts w:ascii="Verdana" w:hAnsi="Verdana"/>
          <w:iCs/>
          <w:sz w:val="16"/>
          <w:szCs w:val="16"/>
          <w:lang w:val="en-US"/>
        </w:rPr>
        <w:t xml:space="preserve"> will not be taken into account. In no case will such pensions be adjusted taking as reference the payments of workers of such entities </w:t>
      </w:r>
      <w:r>
        <w:rPr>
          <w:rFonts w:ascii="Verdana" w:hAnsi="Verdana"/>
          <w:iCs/>
          <w:sz w:val="16"/>
          <w:szCs w:val="16"/>
          <w:lang w:val="en-US"/>
        </w:rPr>
        <w:t xml:space="preserve">that </w:t>
      </w:r>
      <w:r w:rsidRPr="00CD437A">
        <w:rPr>
          <w:rFonts w:ascii="Verdana" w:hAnsi="Verdana"/>
          <w:iCs/>
          <w:sz w:val="16"/>
          <w:szCs w:val="16"/>
          <w:lang w:val="en-US"/>
        </w:rPr>
        <w:t>are subject to the private sector labor regime.</w:t>
      </w:r>
    </w:p>
    <w:p w14:paraId="139CAB2D" w14:textId="77777777" w:rsidR="00E6764B" w:rsidRPr="00CD437A" w:rsidRDefault="00E6764B" w:rsidP="008E6A56">
      <w:pPr>
        <w:autoSpaceDE w:val="0"/>
        <w:autoSpaceDN w:val="0"/>
        <w:rPr>
          <w:rFonts w:ascii="Verdana" w:hAnsi="Verdana"/>
          <w:iCs/>
          <w:sz w:val="16"/>
          <w:szCs w:val="16"/>
          <w:lang w:val="en-US"/>
        </w:rPr>
      </w:pPr>
      <w:r>
        <w:rPr>
          <w:rFonts w:ascii="Verdana" w:hAnsi="Verdana"/>
          <w:iCs/>
          <w:sz w:val="16"/>
          <w:szCs w:val="16"/>
          <w:lang w:val="en-US"/>
        </w:rPr>
        <w:t xml:space="preserve">Furthermore, </w:t>
      </w:r>
      <w:r w:rsidRPr="00CD437A">
        <w:rPr>
          <w:rFonts w:ascii="Verdana" w:hAnsi="Verdana"/>
          <w:iCs/>
          <w:sz w:val="16"/>
          <w:szCs w:val="16"/>
          <w:lang w:val="en-US"/>
        </w:rPr>
        <w:t xml:space="preserve">no person </w:t>
      </w:r>
      <w:r>
        <w:rPr>
          <w:rFonts w:ascii="Verdana" w:hAnsi="Verdana"/>
          <w:iCs/>
          <w:sz w:val="16"/>
          <w:szCs w:val="16"/>
          <w:lang w:val="en-US"/>
        </w:rPr>
        <w:t xml:space="preserve">shall </w:t>
      </w:r>
      <w:r w:rsidRPr="00CD437A">
        <w:rPr>
          <w:rFonts w:ascii="Verdana" w:hAnsi="Verdana"/>
          <w:iCs/>
          <w:sz w:val="16"/>
          <w:szCs w:val="16"/>
          <w:lang w:val="en-US"/>
        </w:rPr>
        <w:t xml:space="preserve">be entitled to receive an equalized pension higher than the amount of the salary received by an active worker of the same position and rank." </w:t>
      </w:r>
    </w:p>
    <w:p w14:paraId="7C5FA1D4" w14:textId="77777777" w:rsidR="00E6764B" w:rsidRPr="00CD437A" w:rsidRDefault="00E6764B" w:rsidP="00CD2B15">
      <w:pPr>
        <w:pStyle w:val="Textonotapie"/>
      </w:pPr>
      <w:r w:rsidRPr="00CD437A">
        <w:t xml:space="preserve">According to the expert witness, “The article in question was framed within the current case law of the Constitutional Court set forth in </w:t>
      </w:r>
      <w:r>
        <w:t xml:space="preserve">paragraphs </w:t>
      </w:r>
      <w:r w:rsidRPr="00CD437A">
        <w:t xml:space="preserve">15 and 16 (cited previously) of the </w:t>
      </w:r>
      <w:r w:rsidRPr="00CD437A">
        <w:rPr>
          <w:i/>
        </w:rPr>
        <w:t>amparo</w:t>
      </w:r>
      <w:r w:rsidRPr="00CD437A">
        <w:t xml:space="preserve"> judgment in the case of Carlos Maldonado Duarte.”</w:t>
      </w:r>
    </w:p>
  </w:footnote>
  <w:footnote w:id="241">
    <w:p w14:paraId="7BD042F7" w14:textId="77777777" w:rsidR="00E6764B" w:rsidRPr="00CD437A" w:rsidRDefault="00E6764B" w:rsidP="00CD2B15">
      <w:pPr>
        <w:pStyle w:val="Textonotapie"/>
      </w:pPr>
      <w:r w:rsidRPr="00CD437A">
        <w:rPr>
          <w:rStyle w:val="Refdenotaalpie"/>
          <w:rFonts w:eastAsia="Calibri"/>
        </w:rPr>
        <w:footnoteRef/>
      </w:r>
      <w:r w:rsidRPr="00CD437A">
        <w:t xml:space="preserve"> </w:t>
      </w:r>
      <w:r w:rsidRPr="00CD437A">
        <w:tab/>
        <w:t>Cf. Case of the “Street Childr</w:t>
      </w:r>
      <w:r>
        <w:t>en” (</w:t>
      </w:r>
      <w:proofErr w:type="spellStart"/>
      <w:r>
        <w:t>Villagrán</w:t>
      </w:r>
      <w:proofErr w:type="spellEnd"/>
      <w:r>
        <w:t xml:space="preserve"> Morales et al.) v</w:t>
      </w:r>
      <w:r w:rsidRPr="00CD437A">
        <w:t xml:space="preserve">. Guatemala. Reparations and costs. Judgment of May 26, 2001. Series C No. 77, para. 84, and </w:t>
      </w:r>
      <w:r w:rsidRPr="00CD437A">
        <w:rPr>
          <w:bCs/>
        </w:rPr>
        <w:t xml:space="preserve">Case of Women Victims of Sexual Torture in </w:t>
      </w:r>
      <w:proofErr w:type="spellStart"/>
      <w:r w:rsidRPr="00CD437A">
        <w:rPr>
          <w:bCs/>
        </w:rPr>
        <w:t>Atenco</w:t>
      </w:r>
      <w:proofErr w:type="spellEnd"/>
      <w:r w:rsidRPr="00CD437A">
        <w:rPr>
          <w:bCs/>
        </w:rPr>
        <w:t xml:space="preserve"> v. Mexico, supra, para.375. </w:t>
      </w:r>
    </w:p>
  </w:footnote>
  <w:footnote w:id="242">
    <w:p w14:paraId="7FA5EECB" w14:textId="77777777" w:rsidR="00E6764B" w:rsidRPr="00CD437A" w:rsidRDefault="00E6764B" w:rsidP="00CD2B15">
      <w:pPr>
        <w:pStyle w:val="Textonotapie"/>
      </w:pPr>
      <w:r w:rsidRPr="00CD437A">
        <w:rPr>
          <w:rStyle w:val="Refdenotaalpie"/>
          <w:sz w:val="16"/>
        </w:rPr>
        <w:footnoteRef/>
      </w:r>
      <w:r w:rsidRPr="00CD437A">
        <w:t xml:space="preserve"> </w:t>
      </w:r>
      <w:r w:rsidRPr="00CD437A">
        <w:tab/>
      </w:r>
      <w:r w:rsidRPr="00CD437A">
        <w:rPr>
          <w:i/>
        </w:rPr>
        <w:t>Cf.</w:t>
      </w:r>
      <w:r w:rsidRPr="00CD437A">
        <w:t xml:space="preserve"> Sworn statement by </w:t>
      </w:r>
      <w:proofErr w:type="spellStart"/>
      <w:r w:rsidRPr="00CD437A">
        <w:t>Vibeke</w:t>
      </w:r>
      <w:proofErr w:type="spellEnd"/>
      <w:r w:rsidRPr="00CD437A">
        <w:t xml:space="preserve"> Ann </w:t>
      </w:r>
      <w:proofErr w:type="spellStart"/>
      <w:r w:rsidRPr="00CD437A">
        <w:t>Muelle</w:t>
      </w:r>
      <w:proofErr w:type="spellEnd"/>
      <w:r w:rsidRPr="00CD437A">
        <w:t xml:space="preserve"> Jensen. (evidence file, folios 1840 and 1841).</w:t>
      </w:r>
    </w:p>
  </w:footnote>
  <w:footnote w:id="243">
    <w:p w14:paraId="1BC6E5B3" w14:textId="77777777" w:rsidR="00E6764B" w:rsidRPr="00CD437A" w:rsidRDefault="00E6764B" w:rsidP="00CD2B15">
      <w:pPr>
        <w:pStyle w:val="Textonotapie"/>
      </w:pPr>
      <w:r w:rsidRPr="00CD437A">
        <w:rPr>
          <w:rStyle w:val="Refdenotaalpie"/>
          <w:sz w:val="16"/>
        </w:rPr>
        <w:footnoteRef/>
      </w:r>
      <w:r w:rsidRPr="00CD437A">
        <w:t xml:space="preserve"> </w:t>
      </w:r>
      <w:r w:rsidRPr="00CD437A">
        <w:tab/>
      </w:r>
      <w:r w:rsidRPr="00CD437A">
        <w:rPr>
          <w:i/>
        </w:rPr>
        <w:t>Cf.</w:t>
      </w:r>
      <w:r w:rsidRPr="00CD437A">
        <w:t xml:space="preserve"> Sworn statement of Jes</w:t>
      </w:r>
      <w:r>
        <w:t xml:space="preserve">ús </w:t>
      </w:r>
      <w:proofErr w:type="spellStart"/>
      <w:r>
        <w:t>Aníbal</w:t>
      </w:r>
      <w:proofErr w:type="spellEnd"/>
      <w:r>
        <w:t xml:space="preserve"> Delgado Flores. (</w:t>
      </w:r>
      <w:r w:rsidRPr="00CD437A">
        <w:t>evidence</w:t>
      </w:r>
      <w:r>
        <w:t xml:space="preserve"> file</w:t>
      </w:r>
      <w:r w:rsidRPr="00CD437A">
        <w:t>, folios 1841 and 1842)</w:t>
      </w:r>
    </w:p>
  </w:footnote>
  <w:footnote w:id="244">
    <w:p w14:paraId="3866B28F" w14:textId="77777777" w:rsidR="00E6764B" w:rsidRPr="00CD437A" w:rsidRDefault="00E6764B" w:rsidP="008E6A56">
      <w:pPr>
        <w:tabs>
          <w:tab w:val="left" w:pos="567"/>
        </w:tabs>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w:t>
      </w:r>
      <w:r w:rsidRPr="00CD437A">
        <w:rPr>
          <w:rFonts w:ascii="Verdana" w:hAnsi="Verdana"/>
          <w:sz w:val="16"/>
          <w:szCs w:val="16"/>
          <w:lang w:val="en-US"/>
        </w:rPr>
        <w:t xml:space="preserve"> </w:t>
      </w:r>
      <w:r w:rsidRPr="00CD437A">
        <w:rPr>
          <w:rFonts w:ascii="Verdana" w:hAnsi="Verdana"/>
          <w:bCs/>
          <w:i/>
          <w:sz w:val="16"/>
          <w:szCs w:val="16"/>
          <w:lang w:val="en-US" w:bidi="en-US"/>
        </w:rPr>
        <w:t xml:space="preserve">Case of Neira Alegría et al. v. Peru. </w:t>
      </w:r>
      <w:r w:rsidRPr="00CD437A">
        <w:rPr>
          <w:rFonts w:ascii="Verdana" w:hAnsi="Verdana"/>
          <w:i/>
          <w:sz w:val="16"/>
          <w:szCs w:val="16"/>
          <w:lang w:val="en-US" w:bidi="en-US"/>
        </w:rPr>
        <w:t xml:space="preserve">Reparations and costs. </w:t>
      </w:r>
      <w:r w:rsidRPr="00CD437A">
        <w:rPr>
          <w:rFonts w:ascii="Verdana" w:hAnsi="Verdana"/>
          <w:sz w:val="16"/>
          <w:szCs w:val="16"/>
          <w:lang w:val="en-US" w:bidi="en-US"/>
        </w:rPr>
        <w:t>Judgment of September 19, 1996. Series C No. 29, para. 56;</w:t>
      </w:r>
      <w:r w:rsidRPr="00CD437A">
        <w:rPr>
          <w:rFonts w:ascii="Verdana" w:hAnsi="Verdana"/>
          <w:i/>
          <w:sz w:val="16"/>
          <w:szCs w:val="16"/>
          <w:lang w:val="en-US" w:bidi="en-US"/>
        </w:rPr>
        <w:t xml:space="preserve"> </w:t>
      </w:r>
      <w:r w:rsidRPr="00CD437A">
        <w:rPr>
          <w:rFonts w:ascii="Verdana" w:hAnsi="Verdana"/>
          <w:i/>
          <w:sz w:val="16"/>
          <w:szCs w:val="16"/>
          <w:lang w:val="en-US"/>
        </w:rPr>
        <w:t xml:space="preserve">Case of Kawas Fernández, supra </w:t>
      </w:r>
      <w:r w:rsidRPr="00CD437A">
        <w:rPr>
          <w:rFonts w:ascii="Verdana" w:hAnsi="Verdana"/>
          <w:sz w:val="16"/>
          <w:szCs w:val="16"/>
          <w:lang w:val="en-US"/>
        </w:rPr>
        <w:t>note 13,</w:t>
      </w:r>
      <w:r w:rsidRPr="00CD437A">
        <w:rPr>
          <w:rFonts w:ascii="Verdana" w:hAnsi="Verdana"/>
          <w:i/>
          <w:sz w:val="16"/>
          <w:szCs w:val="16"/>
          <w:lang w:val="en-US"/>
        </w:rPr>
        <w:t xml:space="preserve"> </w:t>
      </w:r>
      <w:r w:rsidRPr="00CD437A">
        <w:rPr>
          <w:rFonts w:ascii="Verdana" w:hAnsi="Verdana"/>
          <w:sz w:val="16"/>
          <w:szCs w:val="16"/>
          <w:lang w:val="en-US"/>
        </w:rPr>
        <w:t xml:space="preserve">para. 184, and </w:t>
      </w:r>
      <w:r w:rsidRPr="00CD437A">
        <w:rPr>
          <w:rFonts w:ascii="Verdana" w:hAnsi="Verdana"/>
          <w:i/>
          <w:sz w:val="16"/>
          <w:szCs w:val="16"/>
          <w:lang w:val="en-US"/>
        </w:rPr>
        <w:t xml:space="preserve">Case of Perozo et al., supra </w:t>
      </w:r>
      <w:r w:rsidRPr="00CD437A">
        <w:rPr>
          <w:rFonts w:ascii="Verdana" w:hAnsi="Verdana"/>
          <w:sz w:val="16"/>
          <w:szCs w:val="16"/>
          <w:lang w:val="en-US"/>
        </w:rPr>
        <w:t>note 13, para. 413.</w:t>
      </w:r>
    </w:p>
  </w:footnote>
  <w:footnote w:id="245">
    <w:p w14:paraId="56DCEA12" w14:textId="77777777" w:rsidR="00E6764B" w:rsidRPr="00CD437A" w:rsidRDefault="00E6764B" w:rsidP="00CD2B15">
      <w:pPr>
        <w:pStyle w:val="Textonotapie"/>
      </w:pPr>
      <w:r w:rsidRPr="00CD437A">
        <w:rPr>
          <w:rStyle w:val="Refdenotaalpie"/>
        </w:rPr>
        <w:footnoteRef/>
      </w:r>
      <w:r w:rsidRPr="00CD437A">
        <w:tab/>
        <w:t xml:space="preserve">Cf. Case of Acevedo </w:t>
      </w:r>
      <w:proofErr w:type="spellStart"/>
      <w:r w:rsidRPr="00CD437A">
        <w:t>Buendía</w:t>
      </w:r>
      <w:proofErr w:type="spellEnd"/>
      <w:r w:rsidRPr="00CD437A">
        <w:t xml:space="preserve"> et al. (“Discharged and Retired Employees of the Comptroller’s Office”) v. Peru, supra, para. 133 and Case of </w:t>
      </w:r>
      <w:proofErr w:type="spellStart"/>
      <w:r w:rsidRPr="00CD437A">
        <w:t>Usón</w:t>
      </w:r>
      <w:proofErr w:type="spellEnd"/>
      <w:r w:rsidRPr="00CD437A">
        <w:t xml:space="preserve"> Ramírez v. Venezuela. </w:t>
      </w:r>
      <w:r w:rsidRPr="00CD437A">
        <w:rPr>
          <w:bCs/>
        </w:rPr>
        <w:t>Preliminary objection, merits, reparations and costs. Judgment of November 20, 2009. Series C No. 207, para. 207.</w:t>
      </w:r>
    </w:p>
  </w:footnote>
  <w:footnote w:id="246">
    <w:p w14:paraId="740C915F" w14:textId="77777777" w:rsidR="00E6764B" w:rsidRPr="00CD437A" w:rsidRDefault="00E6764B" w:rsidP="00CD2B15">
      <w:pPr>
        <w:pStyle w:val="Textonotapie"/>
      </w:pPr>
      <w:r w:rsidRPr="00CD437A">
        <w:rPr>
          <w:rStyle w:val="Refdenotaalpie"/>
        </w:rPr>
        <w:footnoteRef/>
      </w:r>
      <w:r w:rsidRPr="00CD437A">
        <w:t xml:space="preserve"> </w:t>
      </w:r>
      <w:r w:rsidRPr="00CD437A">
        <w:tab/>
        <w:t xml:space="preserve">Cf. </w:t>
      </w:r>
      <w:r w:rsidRPr="00CD437A">
        <w:rPr>
          <w:shd w:val="clear" w:color="auto" w:fill="FFFFFF"/>
        </w:rPr>
        <w:t xml:space="preserve">Case of Garrido and </w:t>
      </w:r>
      <w:proofErr w:type="spellStart"/>
      <w:r w:rsidRPr="00CD437A">
        <w:rPr>
          <w:shd w:val="clear" w:color="auto" w:fill="FFFFFF"/>
        </w:rPr>
        <w:t>Baigorria</w:t>
      </w:r>
      <w:proofErr w:type="spellEnd"/>
      <w:r w:rsidRPr="00CD437A">
        <w:rPr>
          <w:shd w:val="clear" w:color="auto" w:fill="FFFFFF"/>
        </w:rPr>
        <w:t xml:space="preserve"> v. Argentina. Reparations and costs. Judgment of August 27, 1998. Series C No. 39, para. 79, and </w:t>
      </w:r>
      <w:r w:rsidRPr="00CD437A">
        <w:t xml:space="preserve">Case of </w:t>
      </w:r>
      <w:proofErr w:type="spellStart"/>
      <w:r w:rsidRPr="00CD437A">
        <w:t>Órdenes</w:t>
      </w:r>
      <w:proofErr w:type="spellEnd"/>
      <w:r w:rsidRPr="00CD437A">
        <w:t xml:space="preserve"> Guerra et al. v. Chile, supra, para. 139.</w:t>
      </w:r>
    </w:p>
    <w:p w14:paraId="2131EBBD" w14:textId="77777777" w:rsidR="00E6764B" w:rsidRPr="00CD437A" w:rsidRDefault="00E6764B" w:rsidP="00CD2B15">
      <w:pPr>
        <w:pStyle w:val="Textonotapie"/>
      </w:pPr>
    </w:p>
  </w:footnote>
  <w:footnote w:id="247">
    <w:p w14:paraId="132D7FD0" w14:textId="77777777" w:rsidR="00E6764B" w:rsidRPr="00CD437A" w:rsidRDefault="00E6764B" w:rsidP="00CD2B15">
      <w:pPr>
        <w:pStyle w:val="Textonotapie"/>
      </w:pPr>
      <w:r w:rsidRPr="00CD437A">
        <w:rPr>
          <w:rStyle w:val="Refdenotaalpie"/>
          <w:rFonts w:eastAsia="Calibri"/>
        </w:rPr>
        <w:footnoteRef/>
      </w:r>
      <w:r w:rsidRPr="00CD437A">
        <w:t xml:space="preserve"> </w:t>
      </w:r>
      <w:r w:rsidRPr="00CD437A">
        <w:tab/>
        <w:t xml:space="preserve">Cf. </w:t>
      </w:r>
      <w:r w:rsidRPr="00CD437A">
        <w:rPr>
          <w:shd w:val="clear" w:color="auto" w:fill="FFFFFF"/>
        </w:rPr>
        <w:t xml:space="preserve">Case of Garrido and </w:t>
      </w:r>
      <w:proofErr w:type="spellStart"/>
      <w:r w:rsidRPr="00CD437A">
        <w:rPr>
          <w:shd w:val="clear" w:color="auto" w:fill="FFFFFF"/>
        </w:rPr>
        <w:t>Baigorria</w:t>
      </w:r>
      <w:proofErr w:type="spellEnd"/>
      <w:r w:rsidRPr="00CD437A">
        <w:rPr>
          <w:shd w:val="clear" w:color="auto" w:fill="FFFFFF"/>
        </w:rPr>
        <w:t xml:space="preserve"> v. Argentina, </w:t>
      </w:r>
      <w:r w:rsidRPr="00CD437A">
        <w:rPr>
          <w:bCs/>
          <w:shd w:val="clear" w:color="auto" w:fill="FFFFFF"/>
        </w:rPr>
        <w:t>Reparations and costs</w:t>
      </w:r>
      <w:r w:rsidRPr="00CD437A">
        <w:rPr>
          <w:shd w:val="clear" w:color="auto" w:fill="FFFFFF"/>
        </w:rPr>
        <w:t xml:space="preserve"> supra,</w:t>
      </w:r>
      <w:r w:rsidRPr="00CD437A">
        <w:t xml:space="preserve"> para. 82, and Case of </w:t>
      </w:r>
      <w:proofErr w:type="spellStart"/>
      <w:r w:rsidRPr="00CD437A">
        <w:t>Órdenes</w:t>
      </w:r>
      <w:proofErr w:type="spellEnd"/>
      <w:r w:rsidRPr="00CD437A">
        <w:t xml:space="preserve"> Guerra et al. v. Chile</w:t>
      </w:r>
      <w:r w:rsidRPr="00CD437A">
        <w:rPr>
          <w:shd w:val="clear" w:color="auto" w:fill="FFFFFF"/>
        </w:rPr>
        <w:t>, supra, para. 95.</w:t>
      </w:r>
    </w:p>
  </w:footnote>
  <w:footnote w:id="248">
    <w:p w14:paraId="538D1359" w14:textId="77777777" w:rsidR="00E6764B" w:rsidRPr="00CD437A" w:rsidRDefault="00E6764B" w:rsidP="00CD2B15">
      <w:pPr>
        <w:pStyle w:val="Textonotapie"/>
      </w:pPr>
      <w:r w:rsidRPr="00CD437A">
        <w:rPr>
          <w:rStyle w:val="Refdenotaalpie"/>
          <w:rFonts w:eastAsia="Calibri"/>
        </w:rPr>
        <w:footnoteRef/>
      </w:r>
      <w:r w:rsidRPr="00CD437A">
        <w:tab/>
        <w:t xml:space="preserve">Cf. </w:t>
      </w:r>
      <w:r w:rsidRPr="00CD437A">
        <w:rPr>
          <w:rFonts w:eastAsia="Calibri"/>
          <w:bCs/>
          <w:shd w:val="clear" w:color="auto" w:fill="FFFFFF"/>
        </w:rPr>
        <w:t xml:space="preserve">Case of Garrido and </w:t>
      </w:r>
      <w:proofErr w:type="spellStart"/>
      <w:r w:rsidRPr="00CD437A">
        <w:rPr>
          <w:rFonts w:eastAsia="Calibri"/>
          <w:bCs/>
          <w:shd w:val="clear" w:color="auto" w:fill="FFFFFF"/>
        </w:rPr>
        <w:t>Baigorria</w:t>
      </w:r>
      <w:proofErr w:type="spellEnd"/>
      <w:r w:rsidRPr="00CD437A">
        <w:rPr>
          <w:rFonts w:eastAsia="Calibri"/>
          <w:bCs/>
          <w:shd w:val="clear" w:color="auto" w:fill="FFFFFF"/>
        </w:rPr>
        <w:t xml:space="preserve"> v. Argentina. Reparations and costs, supra</w:t>
      </w:r>
      <w:r w:rsidRPr="00CD437A">
        <w:t xml:space="preserve">, paras. 79 and 82, and </w:t>
      </w:r>
      <w:r>
        <w:t xml:space="preserve">Case of </w:t>
      </w:r>
      <w:proofErr w:type="spellStart"/>
      <w:r>
        <w:t>Órdenes</w:t>
      </w:r>
      <w:proofErr w:type="spellEnd"/>
      <w:r>
        <w:t xml:space="preserve"> </w:t>
      </w:r>
      <w:r w:rsidRPr="00CD437A">
        <w:t>Guerra et al. v. Chile, supra, para. 139.</w:t>
      </w:r>
    </w:p>
  </w:footnote>
  <w:footnote w:id="249">
    <w:p w14:paraId="662C0D6E" w14:textId="77777777" w:rsidR="00E6764B" w:rsidRPr="00CD437A" w:rsidRDefault="00E6764B" w:rsidP="008E6A56">
      <w:pPr>
        <w:tabs>
          <w:tab w:val="left" w:pos="567"/>
        </w:tabs>
        <w:rPr>
          <w:rFonts w:ascii="Verdana" w:hAnsi="Verdana"/>
          <w:sz w:val="16"/>
          <w:szCs w:val="16"/>
          <w:lang w:val="en-US"/>
        </w:rPr>
      </w:pPr>
      <w:r w:rsidRPr="00CD437A">
        <w:rPr>
          <w:rStyle w:val="Refdenotaalpie"/>
          <w:sz w:val="16"/>
          <w:szCs w:val="16"/>
          <w:lang w:val="en-US"/>
        </w:rPr>
        <w:footnoteRef/>
      </w:r>
      <w:r w:rsidRPr="00CD437A">
        <w:rPr>
          <w:rFonts w:ascii="Verdana" w:hAnsi="Verdana"/>
          <w:sz w:val="16"/>
          <w:szCs w:val="16"/>
          <w:lang w:val="en-US"/>
        </w:rPr>
        <w:t xml:space="preserve"> </w:t>
      </w:r>
      <w:r w:rsidRPr="00CD437A">
        <w:rPr>
          <w:rFonts w:ascii="Verdana" w:hAnsi="Verdana"/>
          <w:sz w:val="16"/>
          <w:szCs w:val="16"/>
          <w:lang w:val="en-US"/>
        </w:rPr>
        <w:tab/>
      </w:r>
      <w:r w:rsidRPr="00CD437A">
        <w:rPr>
          <w:rFonts w:ascii="Verdana" w:hAnsi="Verdana"/>
          <w:i/>
          <w:sz w:val="16"/>
          <w:szCs w:val="16"/>
          <w:lang w:val="en-US"/>
        </w:rPr>
        <w:t>Cf. Case of Chaparro Álvarez and Lapo Íñiguez v. Ecuador, supra</w:t>
      </w:r>
      <w:r w:rsidRPr="00CD437A">
        <w:rPr>
          <w:rFonts w:ascii="Verdana" w:hAnsi="Verdana"/>
          <w:sz w:val="16"/>
          <w:szCs w:val="16"/>
          <w:lang w:val="en-US"/>
        </w:rPr>
        <w:t xml:space="preserve">, para. 277, and </w:t>
      </w:r>
      <w:r w:rsidRPr="00CD437A">
        <w:rPr>
          <w:rFonts w:ascii="Verdana" w:hAnsi="Verdana"/>
          <w:i/>
          <w:sz w:val="16"/>
          <w:szCs w:val="16"/>
          <w:lang w:val="en-US"/>
        </w:rPr>
        <w:t>Case of Women Victims of Sexual Torture in Atenco v. Mexico, supra,</w:t>
      </w:r>
      <w:r w:rsidRPr="00CD437A">
        <w:rPr>
          <w:rFonts w:ascii="Verdana" w:hAnsi="Verdana"/>
          <w:sz w:val="16"/>
          <w:szCs w:val="16"/>
          <w:lang w:val="en-US"/>
        </w:rPr>
        <w:t xml:space="preserve"> para. 379.</w:t>
      </w:r>
    </w:p>
  </w:footnote>
  <w:footnote w:id="250">
    <w:p w14:paraId="430C1578" w14:textId="77777777" w:rsidR="00E6764B" w:rsidRPr="00CD437A" w:rsidRDefault="00E6764B" w:rsidP="00CD2B15">
      <w:pPr>
        <w:pStyle w:val="Textonotapie"/>
      </w:pPr>
      <w:r w:rsidRPr="00CD437A">
        <w:rPr>
          <w:rStyle w:val="Refdenotaalpie"/>
          <w:rFonts w:eastAsia="Calibri"/>
        </w:rPr>
        <w:footnoteRef/>
      </w:r>
      <w:r w:rsidRPr="00CD437A">
        <w:t xml:space="preserve"> </w:t>
      </w:r>
      <w:r w:rsidRPr="00CD437A">
        <w:tab/>
        <w:t xml:space="preserve">Cf. Case of the </w:t>
      </w:r>
      <w:proofErr w:type="spellStart"/>
      <w:r w:rsidRPr="00CD437A">
        <w:t>Xákmok</w:t>
      </w:r>
      <w:proofErr w:type="spellEnd"/>
      <w:r w:rsidRPr="00CD437A">
        <w:t xml:space="preserve"> </w:t>
      </w:r>
      <w:proofErr w:type="spellStart"/>
      <w:r w:rsidRPr="00CD437A">
        <w:t>Kásek</w:t>
      </w:r>
      <w:proofErr w:type="spellEnd"/>
      <w:r w:rsidRPr="00CD437A">
        <w:t xml:space="preserve"> Indigenous Community v. Paraguay. Merits, reparations and costs. Judgment of August 24, 2010. Series C No. 214, para. 331, and Case of Women Victims of Sexual Torture in </w:t>
      </w:r>
      <w:proofErr w:type="spellStart"/>
      <w:r w:rsidRPr="00CD437A">
        <w:t>Atenco</w:t>
      </w:r>
      <w:proofErr w:type="spellEnd"/>
      <w:r w:rsidRPr="00CD437A">
        <w:t xml:space="preserve"> v. Mexico, supra, para. 379.</w:t>
      </w:r>
    </w:p>
  </w:footnote>
  <w:footnote w:id="251">
    <w:p w14:paraId="41A074A2" w14:textId="77777777" w:rsidR="00E6764B" w:rsidRPr="0019683A" w:rsidRDefault="00E6764B" w:rsidP="00CD2B15">
      <w:pPr>
        <w:pStyle w:val="Textonotapie"/>
      </w:pPr>
      <w:r w:rsidRPr="00CD437A">
        <w:rPr>
          <w:rStyle w:val="Refdenotaalpie"/>
        </w:rPr>
        <w:footnoteRef/>
      </w:r>
      <w:r w:rsidRPr="00CD437A">
        <w:t xml:space="preserve"> </w:t>
      </w:r>
      <w:r w:rsidRPr="00CD437A">
        <w:tab/>
      </w:r>
      <w:r w:rsidRPr="00CD437A">
        <w:rPr>
          <w:i/>
        </w:rPr>
        <w:t>Cf.</w:t>
      </w:r>
      <w:r w:rsidRPr="00CD437A">
        <w:t xml:space="preserve"> Order of the President of the Inter-American Court of Human Rights of July 27, 2018 (merits file, folios 496-502). Available at: </w:t>
      </w:r>
      <w:hyperlink r:id="rId9" w:history="1">
        <w:r w:rsidRPr="00CD437A">
          <w:rPr>
            <w:rStyle w:val="Hipervnculo"/>
          </w:rPr>
          <w:t>http://www.corteidh.or.cr/docs/asuntos/muelle_27_07_18.pdf</w:t>
        </w:r>
      </w:hyperlink>
    </w:p>
  </w:footnote>
  <w:footnote w:id="252">
    <w:p w14:paraId="782FEE9C" w14:textId="77777777" w:rsidR="00E6764B" w:rsidRPr="0056383C" w:rsidRDefault="00E6764B" w:rsidP="00CD2B15">
      <w:pPr>
        <w:pStyle w:val="Textonotapie"/>
        <w:rPr>
          <w:bCs/>
          <w:color w:val="000000"/>
          <w:shd w:val="clear" w:color="auto" w:fill="FFFFFF"/>
        </w:rPr>
      </w:pPr>
      <w:r w:rsidRPr="0056383C">
        <w:rPr>
          <w:rStyle w:val="Refdenotaalpie"/>
        </w:rPr>
        <w:footnoteRef/>
      </w:r>
      <w:r w:rsidRPr="0056383C">
        <w:t xml:space="preserve"> </w:t>
      </w:r>
      <w:r w:rsidRPr="0056383C">
        <w:tab/>
        <w:t xml:space="preserve">Cf. Case of </w:t>
      </w:r>
      <w:proofErr w:type="spellStart"/>
      <w:r w:rsidRPr="0056383C">
        <w:t>Muelle</w:t>
      </w:r>
      <w:proofErr w:type="spellEnd"/>
      <w:r w:rsidRPr="0056383C">
        <w:t xml:space="preserve"> Flores v. Peru. Preliminary objections, merits, reparations and costs. Judgment of March 6, 2019. Series C No. 375. </w:t>
      </w:r>
    </w:p>
  </w:footnote>
  <w:footnote w:id="253">
    <w:p w14:paraId="61E1E063" w14:textId="77777777" w:rsidR="00E6764B" w:rsidRPr="0056383C" w:rsidRDefault="00E6764B" w:rsidP="00CD2B15">
      <w:pPr>
        <w:pStyle w:val="Textonotapie"/>
        <w:rPr>
          <w:bCs/>
          <w:color w:val="000000"/>
          <w:shd w:val="clear" w:color="auto" w:fill="FFFFFF"/>
        </w:rPr>
      </w:pPr>
      <w:r w:rsidRPr="0056383C">
        <w:rPr>
          <w:rStyle w:val="Refdenotaalpie"/>
        </w:rPr>
        <w:footnoteRef/>
      </w:r>
      <w:r w:rsidRPr="0056383C">
        <w:t xml:space="preserve"> </w:t>
      </w:r>
      <w:r w:rsidRPr="0056383C">
        <w:tab/>
        <w:t xml:space="preserve">Cf. </w:t>
      </w:r>
      <w:r w:rsidRPr="00CD2B15">
        <w:rPr>
          <w:rStyle w:val="Textoennegrita"/>
          <w:b w:val="0"/>
          <w:bCs w:val="0"/>
          <w:i/>
          <w:shd w:val="clear" w:color="auto" w:fill="FFFFFF"/>
        </w:rPr>
        <w:t xml:space="preserve">Case of Acevedo </w:t>
      </w:r>
      <w:proofErr w:type="spellStart"/>
      <w:r w:rsidRPr="00CD2B15">
        <w:rPr>
          <w:rStyle w:val="Textoennegrita"/>
          <w:b w:val="0"/>
          <w:bCs w:val="0"/>
          <w:i/>
          <w:shd w:val="clear" w:color="auto" w:fill="FFFFFF"/>
        </w:rPr>
        <w:t>Buendía</w:t>
      </w:r>
      <w:proofErr w:type="spellEnd"/>
      <w:r w:rsidRPr="00CD2B15">
        <w:rPr>
          <w:rStyle w:val="Textoennegrita"/>
          <w:b w:val="0"/>
          <w:bCs w:val="0"/>
          <w:i/>
          <w:shd w:val="clear" w:color="auto" w:fill="FFFFFF"/>
        </w:rPr>
        <w:t xml:space="preserve"> et al. (“Discharged and Retired Employees of the Comptroller’s Office”) v. Peru. Preliminary objection, merits, reparations and costs.</w:t>
      </w:r>
      <w:r w:rsidRPr="00CD2B15">
        <w:rPr>
          <w:rStyle w:val="Textoennegrita"/>
          <w:b w:val="0"/>
          <w:bCs w:val="0"/>
          <w:shd w:val="clear" w:color="auto" w:fill="FFFFFF"/>
        </w:rPr>
        <w:t xml:space="preserve"> Judgment of July 1, 2009. Series C No. 198, paras. 12 to 19;</w:t>
      </w:r>
      <w:r w:rsidRPr="0056383C">
        <w:t xml:space="preserve"> Case of Lagos del Campo v. Peru. Preliminary objections, merits, reparations and costs. Judgment of August 31, 2017. Series C No. 340, paras. 142 and 145</w:t>
      </w:r>
      <w:r w:rsidRPr="00CD2B15">
        <w:t>;</w:t>
      </w:r>
      <w:r w:rsidRPr="00CD2B15">
        <w:rPr>
          <w:rStyle w:val="Textoennegrita"/>
          <w:i/>
          <w:color w:val="000000"/>
          <w:shd w:val="clear" w:color="auto" w:fill="FFFFFF"/>
        </w:rPr>
        <w:t xml:space="preserve"> </w:t>
      </w:r>
      <w:r w:rsidRPr="00CD2B15">
        <w:rPr>
          <w:rStyle w:val="Textoennegrita"/>
          <w:b w:val="0"/>
          <w:bCs w:val="0"/>
          <w:i/>
          <w:color w:val="000000"/>
          <w:shd w:val="clear" w:color="auto" w:fill="FFFFFF"/>
        </w:rPr>
        <w:t>Advisory Opinion OC-23/17</w:t>
      </w:r>
      <w:r w:rsidRPr="00CD2B15">
        <w:rPr>
          <w:rStyle w:val="Textoennegrita"/>
          <w:b w:val="0"/>
          <w:bCs w:val="0"/>
          <w:color w:val="000000"/>
          <w:shd w:val="clear" w:color="auto" w:fill="FFFFFF"/>
        </w:rPr>
        <w:t xml:space="preserve"> on </w:t>
      </w:r>
      <w:r w:rsidRPr="00CD2B15">
        <w:rPr>
          <w:rStyle w:val="Textoennegrita"/>
          <w:b w:val="0"/>
          <w:bCs w:val="0"/>
          <w:i/>
          <w:color w:val="000000"/>
          <w:shd w:val="clear" w:color="auto" w:fill="FFFFFF"/>
        </w:rPr>
        <w:t>The Environment and Human Rights (State obligations with regard to the environment in the context of the protection and guarantee of the rights to life and to personal integrity – interpretation and scope of Articles 4(1) and 5(1), in relation to Articles 1(1) and 2 of the American Convention on Human Rights)</w:t>
      </w:r>
      <w:r w:rsidRPr="00CD2B15">
        <w:rPr>
          <w:rStyle w:val="Textoennegrita"/>
          <w:b w:val="0"/>
          <w:bCs w:val="0"/>
          <w:color w:val="000000"/>
          <w:shd w:val="clear" w:color="auto" w:fill="FFFFFF"/>
        </w:rPr>
        <w:t>. November 15, 2017, Series A No. 23</w:t>
      </w:r>
      <w:r w:rsidRPr="0056383C">
        <w:rPr>
          <w:rStyle w:val="Textoennegrita"/>
          <w:color w:val="000000"/>
          <w:shd w:val="clear" w:color="auto" w:fill="FFFFFF"/>
        </w:rPr>
        <w:t xml:space="preserve">, </w:t>
      </w:r>
      <w:r w:rsidRPr="0056383C">
        <w:t xml:space="preserve">para. 57; Case of the Dismissed Employees of </w:t>
      </w:r>
      <w:proofErr w:type="spellStart"/>
      <w:r w:rsidRPr="0056383C">
        <w:t>Petroperú</w:t>
      </w:r>
      <w:proofErr w:type="spellEnd"/>
      <w:r w:rsidRPr="0056383C">
        <w:t xml:space="preserve"> et al. v. Peru. Preliminary objections, merits, reparations and costs. Judgment of November 23, 2017. Series C No. 344, para. 192; Case of San Miguel Sosa et al. v. Venezuela. Merits, reparations and costs. Judgment of February 8, 2018. Series C No. 348, para. 220; Case of Poblete </w:t>
      </w:r>
      <w:proofErr w:type="spellStart"/>
      <w:r w:rsidRPr="0056383C">
        <w:t>Vilches</w:t>
      </w:r>
      <w:proofErr w:type="spellEnd"/>
      <w:r w:rsidRPr="0056383C">
        <w:t xml:space="preserve"> et al. v. Chile. Merits, reparations and costs. Judgment of March 8, 2018. Series C No. 349, para. 100;</w:t>
      </w:r>
      <w:r w:rsidRPr="0056383C">
        <w:rPr>
          <w:rStyle w:val="Textoennegrita"/>
          <w:shd w:val="clear" w:color="auto" w:fill="FFFFFF"/>
        </w:rPr>
        <w:t xml:space="preserve"> </w:t>
      </w:r>
      <w:r w:rsidRPr="00CD2B15">
        <w:rPr>
          <w:rStyle w:val="Textoennegrita"/>
          <w:b w:val="0"/>
          <w:bCs w:val="0"/>
          <w:i/>
          <w:color w:val="000000"/>
          <w:shd w:val="clear" w:color="auto" w:fill="FFFFFF"/>
        </w:rPr>
        <w:t xml:space="preserve">Case of </w:t>
      </w:r>
      <w:proofErr w:type="spellStart"/>
      <w:r w:rsidRPr="00CD2B15">
        <w:rPr>
          <w:rStyle w:val="Textoennegrita"/>
          <w:b w:val="0"/>
          <w:bCs w:val="0"/>
          <w:i/>
          <w:color w:val="000000"/>
          <w:shd w:val="clear" w:color="auto" w:fill="FFFFFF"/>
        </w:rPr>
        <w:t>Cuscul</w:t>
      </w:r>
      <w:proofErr w:type="spellEnd"/>
      <w:r w:rsidRPr="00CD2B15">
        <w:rPr>
          <w:rStyle w:val="Textoennegrita"/>
          <w:b w:val="0"/>
          <w:bCs w:val="0"/>
          <w:i/>
          <w:color w:val="000000"/>
          <w:shd w:val="clear" w:color="auto" w:fill="FFFFFF"/>
        </w:rPr>
        <w:t xml:space="preserve"> </w:t>
      </w:r>
      <w:proofErr w:type="spellStart"/>
      <w:r w:rsidRPr="00CD2B15">
        <w:rPr>
          <w:rStyle w:val="Textoennegrita"/>
          <w:b w:val="0"/>
          <w:bCs w:val="0"/>
          <w:i/>
          <w:color w:val="000000"/>
          <w:shd w:val="clear" w:color="auto" w:fill="FFFFFF"/>
        </w:rPr>
        <w:t>Pivaral</w:t>
      </w:r>
      <w:proofErr w:type="spellEnd"/>
      <w:r w:rsidRPr="00CD2B15">
        <w:rPr>
          <w:rStyle w:val="Textoennegrita"/>
          <w:b w:val="0"/>
          <w:bCs w:val="0"/>
          <w:i/>
          <w:color w:val="000000"/>
          <w:shd w:val="clear" w:color="auto" w:fill="FFFFFF"/>
        </w:rPr>
        <w:t xml:space="preserve"> et al. v. Guatemala. Preliminary objection, merits, reparations and costs.</w:t>
      </w:r>
      <w:r w:rsidRPr="00CD2B15">
        <w:rPr>
          <w:rStyle w:val="Textoennegrita"/>
          <w:b w:val="0"/>
          <w:bCs w:val="0"/>
          <w:color w:val="000000"/>
          <w:shd w:val="clear" w:color="auto" w:fill="FFFFFF"/>
        </w:rPr>
        <w:t xml:space="preserve"> Judgment of August 23, 2018. Series C No. 359</w:t>
      </w:r>
      <w:r w:rsidRPr="0056383C">
        <w:t xml:space="preserve">, paras. 75 to 97; and Case of </w:t>
      </w:r>
      <w:proofErr w:type="spellStart"/>
      <w:r w:rsidRPr="0056383C">
        <w:t>Muelle</w:t>
      </w:r>
      <w:proofErr w:type="spellEnd"/>
      <w:r w:rsidRPr="0056383C">
        <w:t xml:space="preserve"> Flores v. Peru. Preliminary objections, merits, reparations and costs. Judgment of March 6, 2019. Series C No. 375, paras. 33 to 37. </w:t>
      </w:r>
    </w:p>
  </w:footnote>
  <w:footnote w:id="254">
    <w:p w14:paraId="316A30C6" w14:textId="77777777" w:rsidR="00E6764B" w:rsidRPr="0056383C" w:rsidRDefault="00E6764B" w:rsidP="00CD2B15">
      <w:pPr>
        <w:pStyle w:val="Textonotapie"/>
      </w:pPr>
      <w:r w:rsidRPr="0056383C">
        <w:rPr>
          <w:rStyle w:val="Refdenotaalpie"/>
        </w:rPr>
        <w:footnoteRef/>
      </w:r>
      <w:r w:rsidRPr="0056383C">
        <w:t xml:space="preserve"> </w:t>
      </w:r>
      <w:r w:rsidRPr="0056383C">
        <w:tab/>
        <w:t xml:space="preserve">“Oscar </w:t>
      </w:r>
      <w:proofErr w:type="spellStart"/>
      <w:r w:rsidRPr="0056383C">
        <w:t>Muelle</w:t>
      </w:r>
      <w:proofErr w:type="spellEnd"/>
      <w:r w:rsidRPr="0056383C">
        <w:t xml:space="preserve"> Flores is 82 years of age and suffers from a severe hearing disability as a result of the total loss of hearing in one of his ears 15 years ago and a decrease in hearing in the other ear. Also, in May 2018, Mr. </w:t>
      </w:r>
      <w:proofErr w:type="spellStart"/>
      <w:r w:rsidRPr="0056383C">
        <w:t>Muelle</w:t>
      </w:r>
      <w:proofErr w:type="spellEnd"/>
      <w:r w:rsidRPr="0056383C">
        <w:t xml:space="preserve"> Flores was diagnosed with “senile dementia (Alzheimer's type)” and, in July 2018, suffered a femoral fracture and underwent a hip replacement operation.” </w:t>
      </w:r>
      <w:r w:rsidRPr="0056383C">
        <w:rPr>
          <w:i/>
        </w:rPr>
        <w:t xml:space="preserve">Case of </w:t>
      </w:r>
      <w:proofErr w:type="spellStart"/>
      <w:r w:rsidRPr="0056383C">
        <w:rPr>
          <w:i/>
        </w:rPr>
        <w:t>Muelle</w:t>
      </w:r>
      <w:proofErr w:type="spellEnd"/>
      <w:r w:rsidRPr="0056383C">
        <w:rPr>
          <w:i/>
        </w:rPr>
        <w:t xml:space="preserve"> Flores v. Peru. Preliminary objections, merits, reparations and costs. </w:t>
      </w:r>
      <w:r w:rsidRPr="0056383C">
        <w:t>Judgment of March 6, 2019. Series C No. 375, para. 52.</w:t>
      </w:r>
    </w:p>
  </w:footnote>
  <w:footnote w:id="255">
    <w:p w14:paraId="51DDEA9B" w14:textId="77777777" w:rsidR="00E6764B" w:rsidRPr="00835718" w:rsidRDefault="00E6764B" w:rsidP="00CD2B15">
      <w:pPr>
        <w:pStyle w:val="Prrafodelista"/>
        <w:spacing w:after="120"/>
        <w:ind w:left="0"/>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t xml:space="preserve">See Articles 3(j), 45(b) and (h), and 46 of the OAS Charter. </w:t>
      </w:r>
      <w:r w:rsidRPr="00835718">
        <w:rPr>
          <w:rFonts w:ascii="Verdana" w:eastAsia="Times" w:hAnsi="Verdana" w:cs="Arial"/>
          <w:sz w:val="16"/>
          <w:szCs w:val="16"/>
          <w:lang w:val="en-US"/>
        </w:rPr>
        <w:t>Article 3(j) indicates that “[s]</w:t>
      </w:r>
      <w:proofErr w:type="spellStart"/>
      <w:r w:rsidRPr="00835718">
        <w:rPr>
          <w:rFonts w:ascii="Verdana" w:hAnsi="Verdana"/>
          <w:sz w:val="16"/>
          <w:szCs w:val="16"/>
          <w:lang w:val="en-US"/>
        </w:rPr>
        <w:t>ocial</w:t>
      </w:r>
      <w:proofErr w:type="spellEnd"/>
      <w:r w:rsidRPr="00835718">
        <w:rPr>
          <w:rFonts w:ascii="Verdana" w:hAnsi="Verdana"/>
          <w:sz w:val="16"/>
          <w:szCs w:val="16"/>
          <w:lang w:val="en-US"/>
        </w:rPr>
        <w:t xml:space="preserve"> justice and social security are bases of lasting peace</w:t>
      </w:r>
      <w:r w:rsidRPr="00835718">
        <w:rPr>
          <w:rFonts w:ascii="Verdana" w:eastAsia="Times" w:hAnsi="Verdana" w:cs="Arial"/>
          <w:sz w:val="16"/>
          <w:szCs w:val="16"/>
          <w:lang w:val="en-US"/>
        </w:rPr>
        <w:t xml:space="preserve">.” </w:t>
      </w:r>
      <w:r w:rsidRPr="00835718">
        <w:rPr>
          <w:rFonts w:ascii="Verdana" w:hAnsi="Verdana"/>
          <w:sz w:val="16"/>
          <w:szCs w:val="16"/>
          <w:lang w:val="en-US"/>
        </w:rPr>
        <w:t>Article 45(b) establishes that: “(b) [w]</w:t>
      </w:r>
      <w:proofErr w:type="spellStart"/>
      <w:r w:rsidRPr="00835718">
        <w:rPr>
          <w:rFonts w:ascii="Verdana" w:hAnsi="Verdana"/>
          <w:sz w:val="16"/>
          <w:szCs w:val="16"/>
          <w:lang w:val="en-US"/>
        </w:rPr>
        <w:t>ork</w:t>
      </w:r>
      <w:proofErr w:type="spellEnd"/>
      <w:r w:rsidRPr="00835718">
        <w:rPr>
          <w:rFonts w:ascii="Verdana" w:hAnsi="Verdana"/>
          <w:sz w:val="16"/>
          <w:szCs w:val="16"/>
          <w:lang w:val="en-US"/>
        </w:rPr>
        <w:t xml:space="preserve">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r w:rsidRPr="00835718">
        <w:rPr>
          <w:rFonts w:ascii="Verdana" w:hAnsi="Verdana" w:cs="Tahoma"/>
          <w:color w:val="000000"/>
          <w:sz w:val="16"/>
          <w:szCs w:val="16"/>
          <w:lang w:val="en-US"/>
        </w:rPr>
        <w:t>” In addition, Article</w:t>
      </w:r>
      <w:r w:rsidRPr="00835718">
        <w:rPr>
          <w:rFonts w:ascii="Verdana" w:hAnsi="Verdana"/>
          <w:sz w:val="16"/>
          <w:szCs w:val="16"/>
          <w:lang w:val="en-US"/>
        </w:rPr>
        <w:t xml:space="preserve"> 45 establishes that “[t]he Member States, convinced that man can only achieve the full realization of his aspirations within a </w:t>
      </w:r>
      <w:r w:rsidRPr="00835718">
        <w:rPr>
          <w:rStyle w:val="highlight"/>
          <w:rFonts w:ascii="Verdana" w:hAnsi="Verdana"/>
          <w:sz w:val="16"/>
          <w:szCs w:val="16"/>
          <w:lang w:val="en-US"/>
        </w:rPr>
        <w:t>just social</w:t>
      </w:r>
      <w:r w:rsidRPr="00835718">
        <w:rPr>
          <w:rFonts w:ascii="Verdana" w:hAnsi="Verdana"/>
          <w:sz w:val="16"/>
          <w:szCs w:val="16"/>
          <w:lang w:val="en-US"/>
        </w:rPr>
        <w:t xml:space="preserve"> order, along with economic development and true peace, agree to dedicate every effort to the application of the following principles and mechanisms: (h) [d]</w:t>
      </w:r>
      <w:proofErr w:type="spellStart"/>
      <w:r w:rsidRPr="00835718">
        <w:rPr>
          <w:rFonts w:ascii="Verdana" w:hAnsi="Verdana"/>
          <w:sz w:val="16"/>
          <w:szCs w:val="16"/>
          <w:lang w:val="en-US"/>
        </w:rPr>
        <w:t>evelopment</w:t>
      </w:r>
      <w:proofErr w:type="spellEnd"/>
      <w:r w:rsidRPr="00835718">
        <w:rPr>
          <w:rFonts w:ascii="Verdana" w:hAnsi="Verdana"/>
          <w:sz w:val="16"/>
          <w:szCs w:val="16"/>
          <w:lang w:val="en-US"/>
        </w:rPr>
        <w:t xml:space="preserve"> of an efficient social security policy.” Meanwhile, Article 46 recognizes that </w:t>
      </w:r>
      <w:r w:rsidRPr="00835718">
        <w:rPr>
          <w:rFonts w:ascii="Verdana" w:hAnsi="Verdana" w:cs="Tahoma"/>
          <w:color w:val="000000"/>
          <w:sz w:val="16"/>
          <w:szCs w:val="16"/>
          <w:lang w:val="en-US"/>
        </w:rPr>
        <w:t>“</w:t>
      </w:r>
      <w:r w:rsidRPr="00835718">
        <w:rPr>
          <w:rFonts w:ascii="Verdana" w:hAnsi="Verdana"/>
          <w:sz w:val="16"/>
          <w:szCs w:val="16"/>
          <w:lang w:val="en-US"/>
        </w:rPr>
        <w:t>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w:t>
      </w:r>
      <w:r w:rsidRPr="00835718">
        <w:rPr>
          <w:rFonts w:ascii="Verdana" w:hAnsi="Verdana" w:cs="Tahoma"/>
          <w:color w:val="000000"/>
          <w:sz w:val="16"/>
          <w:szCs w:val="16"/>
          <w:lang w:val="en-US"/>
        </w:rPr>
        <w:t xml:space="preserve"> achieve this goal.” </w:t>
      </w:r>
      <w:r w:rsidRPr="00835718">
        <w:rPr>
          <w:rFonts w:ascii="Verdana" w:hAnsi="Verdana" w:cs="Tahoma"/>
          <w:i/>
          <w:color w:val="000000"/>
          <w:sz w:val="16"/>
          <w:szCs w:val="16"/>
          <w:lang w:val="en-US"/>
        </w:rPr>
        <w:t>Cf.</w:t>
      </w:r>
      <w:r w:rsidRPr="00835718">
        <w:rPr>
          <w:rFonts w:ascii="Verdana" w:hAnsi="Verdana" w:cs="Tahoma"/>
          <w:color w:val="000000"/>
          <w:sz w:val="16"/>
          <w:szCs w:val="16"/>
          <w:lang w:val="en-US"/>
        </w:rPr>
        <w:t xml:space="preserve"> </w:t>
      </w:r>
      <w:r w:rsidRPr="00835718">
        <w:rPr>
          <w:rFonts w:ascii="Verdana" w:hAnsi="Verdana"/>
          <w:i/>
          <w:sz w:val="16"/>
          <w:szCs w:val="16"/>
          <w:lang w:val="en-US"/>
        </w:rPr>
        <w:t xml:space="preserve">Case of </w:t>
      </w:r>
      <w:proofErr w:type="spellStart"/>
      <w:r w:rsidRPr="00835718">
        <w:rPr>
          <w:rFonts w:ascii="Verdana" w:hAnsi="Verdana"/>
          <w:i/>
          <w:sz w:val="16"/>
          <w:szCs w:val="16"/>
          <w:lang w:val="en-US"/>
        </w:rPr>
        <w:t>Muelle</w:t>
      </w:r>
      <w:proofErr w:type="spellEnd"/>
      <w:r w:rsidRPr="00835718">
        <w:rPr>
          <w:rFonts w:ascii="Verdana" w:hAnsi="Verdana"/>
          <w:i/>
          <w:sz w:val="16"/>
          <w:szCs w:val="16"/>
          <w:lang w:val="en-US"/>
        </w:rPr>
        <w:t xml:space="preserve"> Flores v. Peru. Preliminary objections, merits, reparations and costs. </w:t>
      </w:r>
      <w:r w:rsidRPr="00835718">
        <w:rPr>
          <w:rFonts w:ascii="Verdana" w:hAnsi="Verdana"/>
          <w:sz w:val="16"/>
          <w:szCs w:val="16"/>
          <w:lang w:val="en-US"/>
        </w:rPr>
        <w:t>Judgment of March 6, 2019. Series C No. 375, paras. 172 and 173.</w:t>
      </w:r>
    </w:p>
    <w:p w14:paraId="497E0B82" w14:textId="77777777" w:rsidR="00E6764B" w:rsidRPr="00835718" w:rsidRDefault="00E6764B" w:rsidP="00CD2B15">
      <w:pPr>
        <w:pStyle w:val="Prrafodelista"/>
        <w:spacing w:after="120"/>
        <w:ind w:left="0"/>
        <w:rPr>
          <w:rFonts w:ascii="Verdana" w:hAnsi="Verdana" w:cs="Tahoma"/>
          <w:color w:val="000000"/>
          <w:sz w:val="16"/>
          <w:szCs w:val="16"/>
          <w:lang w:val="en-US"/>
        </w:rPr>
      </w:pPr>
    </w:p>
  </w:footnote>
  <w:footnote w:id="256">
    <w:p w14:paraId="038C53D8" w14:textId="77777777" w:rsidR="00E6764B" w:rsidRPr="00835718" w:rsidRDefault="00E6764B" w:rsidP="00CD2B15">
      <w:pPr>
        <w:pStyle w:val="Prrafodelista"/>
        <w:spacing w:after="120"/>
        <w:ind w:left="0"/>
        <w:rPr>
          <w:rFonts w:ascii="Verdana" w:hAnsi="Verdana"/>
          <w:b/>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r>
      <w:r w:rsidRPr="00835718">
        <w:rPr>
          <w:rFonts w:ascii="Verdana" w:hAnsi="Verdana"/>
          <w:i/>
          <w:sz w:val="16"/>
          <w:szCs w:val="16"/>
          <w:lang w:val="en-US"/>
        </w:rPr>
        <w:t xml:space="preserve">Cf. Case of </w:t>
      </w:r>
      <w:proofErr w:type="spellStart"/>
      <w:r w:rsidRPr="00835718">
        <w:rPr>
          <w:rFonts w:ascii="Verdana" w:hAnsi="Verdana"/>
          <w:i/>
          <w:sz w:val="16"/>
          <w:szCs w:val="16"/>
          <w:lang w:val="en-US"/>
        </w:rPr>
        <w:t>Muelle</w:t>
      </w:r>
      <w:proofErr w:type="spellEnd"/>
      <w:r w:rsidRPr="00835718">
        <w:rPr>
          <w:rFonts w:ascii="Verdana" w:hAnsi="Verdana"/>
          <w:i/>
          <w:sz w:val="16"/>
          <w:szCs w:val="16"/>
          <w:lang w:val="en-US"/>
        </w:rPr>
        <w:t xml:space="preserve"> Flores v. Peru. Preliminary objections, merits, reparations and costs. </w:t>
      </w:r>
      <w:r w:rsidRPr="00835718">
        <w:rPr>
          <w:rFonts w:ascii="Verdana" w:hAnsi="Verdana"/>
          <w:sz w:val="16"/>
          <w:szCs w:val="16"/>
          <w:lang w:val="en-US"/>
        </w:rPr>
        <w:t>Judgment of March 6, 2019. Series C No. 375, para. 173.</w:t>
      </w:r>
    </w:p>
  </w:footnote>
  <w:footnote w:id="257">
    <w:p w14:paraId="3979423C" w14:textId="77777777" w:rsidR="00E6764B" w:rsidRPr="00835718" w:rsidRDefault="00E6764B" w:rsidP="00CD2B15">
      <w:pPr>
        <w:pStyle w:val="Textonotapie"/>
      </w:pPr>
      <w:r w:rsidRPr="00835718">
        <w:rPr>
          <w:rStyle w:val="Refdenotaalpie"/>
          <w:sz w:val="16"/>
        </w:rPr>
        <w:footnoteRef/>
      </w:r>
      <w:r w:rsidRPr="00835718">
        <w:tab/>
        <w:t xml:space="preserve">Cf. Interpretation of the American Declaration of the Rights and Duties of Man within the Framework of Article 64 of the American Convention on Human Rights. Advisory Opinion OC-10/89 of July 14, 1989. Series A No. 10, para. 43, and Case of </w:t>
      </w:r>
      <w:proofErr w:type="spellStart"/>
      <w:r w:rsidRPr="00835718">
        <w:t>Cuscul</w:t>
      </w:r>
      <w:proofErr w:type="spellEnd"/>
      <w:r w:rsidRPr="00835718">
        <w:t xml:space="preserve"> </w:t>
      </w:r>
      <w:proofErr w:type="spellStart"/>
      <w:r w:rsidRPr="00835718">
        <w:t>Pivaral</w:t>
      </w:r>
      <w:proofErr w:type="spellEnd"/>
      <w:r w:rsidRPr="00835718">
        <w:t xml:space="preserve"> et al. v. Guatemala. </w:t>
      </w:r>
      <w:r w:rsidRPr="00835718">
        <w:rPr>
          <w:rStyle w:val="Textoennegrita"/>
          <w:b w:val="0"/>
          <w:bCs w:val="0"/>
          <w:i/>
          <w:color w:val="000000"/>
          <w:shd w:val="clear" w:color="auto" w:fill="FFFFFF"/>
        </w:rPr>
        <w:t>Preliminary objection, merits, reparations and costs.</w:t>
      </w:r>
      <w:r w:rsidRPr="00835718">
        <w:rPr>
          <w:rStyle w:val="Textoennegrita"/>
          <w:b w:val="0"/>
          <w:bCs w:val="0"/>
          <w:color w:val="000000"/>
          <w:shd w:val="clear" w:color="auto" w:fill="FFFFFF"/>
        </w:rPr>
        <w:t xml:space="preserve"> Judgment of August 23, 2018. Series C No. 359</w:t>
      </w:r>
      <w:r w:rsidRPr="00835718">
        <w:rPr>
          <w:b/>
          <w:bCs/>
        </w:rPr>
        <w:t>,</w:t>
      </w:r>
      <w:r w:rsidRPr="00835718">
        <w:t xml:space="preserve"> para. 101.</w:t>
      </w:r>
    </w:p>
  </w:footnote>
  <w:footnote w:id="258">
    <w:p w14:paraId="7BEEDD8C" w14:textId="77777777" w:rsidR="00E6764B" w:rsidRPr="0056383C"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179.</w:t>
      </w:r>
      <w:r w:rsidRPr="0056383C">
        <w:t xml:space="preserve"> </w:t>
      </w:r>
    </w:p>
  </w:footnote>
  <w:footnote w:id="259">
    <w:p w14:paraId="15B63754"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paras. 181, 183 and 184.</w:t>
      </w:r>
    </w:p>
  </w:footnote>
  <w:footnote w:id="260">
    <w:p w14:paraId="0A75418C"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182. </w:t>
      </w:r>
    </w:p>
  </w:footnote>
  <w:footnote w:id="261">
    <w:p w14:paraId="4F605BE5" w14:textId="77777777" w:rsidR="00E6764B" w:rsidRPr="00835718" w:rsidRDefault="00E6764B" w:rsidP="00CD2B15">
      <w:pPr>
        <w:pStyle w:val="Textonotapie"/>
      </w:pPr>
      <w:r w:rsidRPr="00835718">
        <w:rPr>
          <w:rStyle w:val="Refdenotaalpie"/>
          <w:sz w:val="16"/>
        </w:rPr>
        <w:footnoteRef/>
      </w:r>
      <w:r w:rsidRPr="00835718">
        <w:tab/>
        <w:t xml:space="preserve">Cf. Case of the Pacheco </w:t>
      </w:r>
      <w:proofErr w:type="spellStart"/>
      <w:r w:rsidRPr="00835718">
        <w:t>Tineo</w:t>
      </w:r>
      <w:proofErr w:type="spellEnd"/>
      <w:r w:rsidRPr="00835718">
        <w:t xml:space="preserve"> Family v. Bolivia, supra, para. 143, and Case of </w:t>
      </w:r>
      <w:proofErr w:type="spellStart"/>
      <w:r w:rsidRPr="00835718">
        <w:t>Cuscul</w:t>
      </w:r>
      <w:proofErr w:type="spellEnd"/>
      <w:r w:rsidRPr="00835718">
        <w:t xml:space="preserve"> </w:t>
      </w:r>
      <w:proofErr w:type="spellStart"/>
      <w:r w:rsidRPr="00835718">
        <w:t>Pivaral</w:t>
      </w:r>
      <w:proofErr w:type="spellEnd"/>
      <w:r w:rsidRPr="00835718">
        <w:t xml:space="preserve"> et al. v. Guatemala, supra, para. 101.</w:t>
      </w:r>
    </w:p>
  </w:footnote>
  <w:footnote w:id="262">
    <w:p w14:paraId="3EB23755" w14:textId="77777777" w:rsidR="00E6764B" w:rsidRPr="00835718" w:rsidRDefault="00E6764B" w:rsidP="00CD2B15">
      <w:pPr>
        <w:pStyle w:val="Textonotapie"/>
      </w:pPr>
      <w:r w:rsidRPr="00835718">
        <w:rPr>
          <w:rStyle w:val="Refdenotaalpie"/>
          <w:sz w:val="16"/>
        </w:rPr>
        <w:footnoteRef/>
      </w:r>
      <w:r w:rsidRPr="00835718">
        <w:tab/>
        <w:t xml:space="preserve">Article 29 of the American Convention (which establishes the </w:t>
      </w:r>
      <w:r w:rsidRPr="00835718">
        <w:rPr>
          <w:i/>
        </w:rPr>
        <w:t xml:space="preserve">pro personae </w:t>
      </w:r>
      <w:r w:rsidRPr="00835718">
        <w:rPr>
          <w:iCs/>
        </w:rPr>
        <w:t>principle</w:t>
      </w:r>
      <w:r w:rsidRPr="00835718">
        <w:t xml:space="preserve">), explicitly refers to the general rules of international law for its interpretation and application. </w:t>
      </w:r>
      <w:r w:rsidRPr="00835718">
        <w:rPr>
          <w:i/>
        </w:rPr>
        <w:t>Cf.</w:t>
      </w:r>
      <w:r w:rsidRPr="00835718">
        <w:t xml:space="preserve"> </w:t>
      </w:r>
      <w:r w:rsidRPr="00835718">
        <w:rPr>
          <w:i/>
        </w:rPr>
        <w:t xml:space="preserve">Case of </w:t>
      </w:r>
      <w:proofErr w:type="spellStart"/>
      <w:r w:rsidRPr="00835718">
        <w:rPr>
          <w:i/>
        </w:rPr>
        <w:t>Muelle</w:t>
      </w:r>
      <w:proofErr w:type="spellEnd"/>
      <w:r w:rsidRPr="00835718">
        <w:rPr>
          <w:i/>
        </w:rPr>
        <w:t xml:space="preserve"> Flores v. Peru. Preliminary objections, merits, reparations and costs. </w:t>
      </w:r>
      <w:r w:rsidRPr="00835718">
        <w:t xml:space="preserve">Judgment of March 6, 2019. Series C No. 375, para. 174; </w:t>
      </w:r>
      <w:r w:rsidRPr="00835718">
        <w:rPr>
          <w:i/>
        </w:rPr>
        <w:t xml:space="preserve">Case of the Pacheco </w:t>
      </w:r>
      <w:proofErr w:type="spellStart"/>
      <w:r w:rsidRPr="00835718">
        <w:rPr>
          <w:i/>
        </w:rPr>
        <w:t>Tineo</w:t>
      </w:r>
      <w:proofErr w:type="spellEnd"/>
      <w:r w:rsidRPr="00835718">
        <w:rPr>
          <w:i/>
        </w:rPr>
        <w:t xml:space="preserve"> family v. Bolivia. Preliminary objections, merits, reparations and costs</w:t>
      </w:r>
      <w:r w:rsidRPr="00835718">
        <w:t xml:space="preserve">. Judgment of November 25, 2013. Series C No. 272, para. 143, and </w:t>
      </w:r>
      <w:r w:rsidRPr="00835718">
        <w:rPr>
          <w:i/>
        </w:rPr>
        <w:t xml:space="preserve">Case of </w:t>
      </w:r>
      <w:proofErr w:type="spellStart"/>
      <w:r w:rsidRPr="00835718">
        <w:rPr>
          <w:i/>
        </w:rPr>
        <w:t>Cuscul</w:t>
      </w:r>
      <w:proofErr w:type="spellEnd"/>
      <w:r w:rsidRPr="00835718">
        <w:rPr>
          <w:i/>
        </w:rPr>
        <w:t xml:space="preserve"> </w:t>
      </w:r>
      <w:proofErr w:type="spellStart"/>
      <w:r w:rsidRPr="00835718">
        <w:rPr>
          <w:i/>
        </w:rPr>
        <w:t>Pivaral</w:t>
      </w:r>
      <w:proofErr w:type="spellEnd"/>
      <w:r w:rsidRPr="00835718">
        <w:rPr>
          <w:i/>
        </w:rPr>
        <w:t xml:space="preserve"> et al. v. Guatemala. </w:t>
      </w:r>
      <w:r w:rsidRPr="00835718">
        <w:rPr>
          <w:rStyle w:val="Textoennegrita"/>
          <w:b w:val="0"/>
          <w:bCs w:val="0"/>
          <w:i/>
          <w:color w:val="000000"/>
          <w:shd w:val="clear" w:color="auto" w:fill="FFFFFF"/>
        </w:rPr>
        <w:t>Preliminary objection, merits, reparations and costs.</w:t>
      </w:r>
      <w:r w:rsidRPr="00835718">
        <w:rPr>
          <w:rStyle w:val="Textoennegrita"/>
          <w:b w:val="0"/>
          <w:bCs w:val="0"/>
          <w:color w:val="000000"/>
          <w:shd w:val="clear" w:color="auto" w:fill="FFFFFF"/>
        </w:rPr>
        <w:t xml:space="preserve"> Judgment of August 23, 2018. Series C No. 359</w:t>
      </w:r>
      <w:r w:rsidRPr="00835718">
        <w:t>, para. 100.</w:t>
      </w:r>
    </w:p>
  </w:footnote>
  <w:footnote w:id="263">
    <w:p w14:paraId="56019B3C" w14:textId="77777777" w:rsidR="00E6764B" w:rsidRPr="00835718" w:rsidRDefault="00E6764B" w:rsidP="00CD2B15">
      <w:pPr>
        <w:pStyle w:val="Textonotapie"/>
      </w:pPr>
      <w:r w:rsidRPr="00835718">
        <w:rPr>
          <w:rStyle w:val="Refdenotaalpie"/>
          <w:sz w:val="16"/>
        </w:rPr>
        <w:footnoteRef/>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175. </w:t>
      </w:r>
    </w:p>
  </w:footnote>
  <w:footnote w:id="264">
    <w:p w14:paraId="16AD2118" w14:textId="77777777" w:rsidR="00E6764B" w:rsidRPr="00835718" w:rsidRDefault="00E6764B" w:rsidP="00CD2B15">
      <w:pPr>
        <w:pStyle w:val="Textonotapie"/>
      </w:pPr>
      <w:r w:rsidRPr="00835718">
        <w:rPr>
          <w:rStyle w:val="Refdenotaalpie"/>
          <w:sz w:val="16"/>
        </w:rPr>
        <w:footnoteRef/>
      </w:r>
      <w:r w:rsidRPr="00835718">
        <w:tab/>
        <w:t xml:space="preserve">Cf. Case of Poblete </w:t>
      </w:r>
      <w:proofErr w:type="spellStart"/>
      <w:r w:rsidRPr="00835718">
        <w:t>Vilches</w:t>
      </w:r>
      <w:proofErr w:type="spellEnd"/>
      <w:r w:rsidRPr="00835718">
        <w:t xml:space="preserve"> et al. v. Chile, supra, para. </w:t>
      </w:r>
      <w:r w:rsidRPr="00835718">
        <w:rPr>
          <w:lang w:val="es-CR"/>
        </w:rPr>
        <w:t xml:space="preserve">103; Case </w:t>
      </w:r>
      <w:proofErr w:type="spellStart"/>
      <w:r w:rsidRPr="00835718">
        <w:rPr>
          <w:lang w:val="es-CR"/>
        </w:rPr>
        <w:t>of</w:t>
      </w:r>
      <w:proofErr w:type="spellEnd"/>
      <w:r w:rsidRPr="00835718">
        <w:rPr>
          <w:lang w:val="es-CR"/>
        </w:rPr>
        <w:t xml:space="preserve"> Lagos del Campo v. </w:t>
      </w:r>
      <w:proofErr w:type="spellStart"/>
      <w:r w:rsidRPr="00835718">
        <w:rPr>
          <w:lang w:val="es-CR"/>
        </w:rPr>
        <w:t>Peru</w:t>
      </w:r>
      <w:proofErr w:type="spellEnd"/>
      <w:r w:rsidRPr="00835718">
        <w:rPr>
          <w:lang w:val="es-CR"/>
        </w:rPr>
        <w:t xml:space="preserve">, supra, para. </w:t>
      </w:r>
      <w:r w:rsidRPr="00835718">
        <w:t xml:space="preserve">145; Case of I.V. v. Bolivia. Preliminary objections, merits, reparations and costs. Judgment of November 30, 2016. Series C No. 329, para. 168; Case of the Pacheco </w:t>
      </w:r>
      <w:proofErr w:type="spellStart"/>
      <w:r w:rsidRPr="00835718">
        <w:t>Tineo</w:t>
      </w:r>
      <w:proofErr w:type="spellEnd"/>
      <w:r w:rsidRPr="00835718">
        <w:t xml:space="preserve"> family v. Bolivia, para. 129; Case of Atala </w:t>
      </w:r>
      <w:proofErr w:type="spellStart"/>
      <w:r w:rsidRPr="00835718">
        <w:t>Riffo</w:t>
      </w:r>
      <w:proofErr w:type="spellEnd"/>
      <w:r w:rsidRPr="00835718">
        <w:t xml:space="preserve"> and daughters v. Chile. Merits, reparations and costs. Judgment of February 24, 2012. Series C No. 239, para. 83; Case of Gelman v. Uruguay. Merits and reparations. Judgment of February 24, 2011. Series C No. 221, para. 78 and 121, and Case of </w:t>
      </w:r>
      <w:proofErr w:type="spellStart"/>
      <w:r w:rsidRPr="00835718">
        <w:t>Cuscul</w:t>
      </w:r>
      <w:proofErr w:type="spellEnd"/>
      <w:r w:rsidRPr="00835718">
        <w:t xml:space="preserve"> </w:t>
      </w:r>
      <w:proofErr w:type="spellStart"/>
      <w:r w:rsidRPr="00835718">
        <w:t>Pivaral</w:t>
      </w:r>
      <w:proofErr w:type="spellEnd"/>
      <w:r w:rsidRPr="00835718">
        <w:t xml:space="preserve"> et al. v. Guatemala, supra, para. 100.</w:t>
      </w:r>
    </w:p>
  </w:footnote>
  <w:footnote w:id="265">
    <w:p w14:paraId="0ADB5676" w14:textId="77777777" w:rsidR="00E6764B" w:rsidRPr="00835718" w:rsidRDefault="00E6764B" w:rsidP="00CD2B15">
      <w:pPr>
        <w:pStyle w:val="Textonotapie"/>
      </w:pPr>
      <w:r w:rsidRPr="00835718">
        <w:rPr>
          <w:rStyle w:val="Refdenotaalpie"/>
          <w:sz w:val="16"/>
        </w:rPr>
        <w:footnoteRef/>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174.</w:t>
      </w:r>
    </w:p>
  </w:footnote>
  <w:footnote w:id="266">
    <w:p w14:paraId="1B909DF3" w14:textId="77777777" w:rsidR="00E6764B" w:rsidRPr="00835718" w:rsidRDefault="00E6764B" w:rsidP="00CD2B15">
      <w:pPr>
        <w:pStyle w:val="Textonotapie"/>
      </w:pPr>
      <w:r w:rsidRPr="00835718">
        <w:rPr>
          <w:rStyle w:val="Refdenotaalpie"/>
          <w:sz w:val="16"/>
        </w:rPr>
        <w:footnoteRef/>
      </w:r>
      <w:r w:rsidRPr="00835718">
        <w:tab/>
        <w:t xml:space="preserve">Cf. Case of Poblete </w:t>
      </w:r>
      <w:proofErr w:type="spellStart"/>
      <w:r w:rsidRPr="00835718">
        <w:t>Vilches</w:t>
      </w:r>
      <w:proofErr w:type="spellEnd"/>
      <w:r w:rsidRPr="00835718">
        <w:t xml:space="preserve"> et al. v. Chile. Merits, reparations and costs. Judgment of March 8, 2018. Series C No. 349, para. 104, and Case of </w:t>
      </w:r>
      <w:proofErr w:type="spellStart"/>
      <w:r w:rsidRPr="00835718">
        <w:t>Cuscul</w:t>
      </w:r>
      <w:proofErr w:type="spellEnd"/>
      <w:r w:rsidRPr="00835718">
        <w:t xml:space="preserve"> </w:t>
      </w:r>
      <w:proofErr w:type="spellStart"/>
      <w:r w:rsidRPr="00835718">
        <w:t>Pivaral</w:t>
      </w:r>
      <w:proofErr w:type="spellEnd"/>
      <w:r w:rsidRPr="00835718">
        <w:t xml:space="preserve"> et al. v. Guatemala. </w:t>
      </w:r>
      <w:r w:rsidRPr="00835718">
        <w:rPr>
          <w:rStyle w:val="Textoennegrita"/>
          <w:b w:val="0"/>
          <w:bCs w:val="0"/>
          <w:i/>
          <w:color w:val="000000"/>
          <w:shd w:val="clear" w:color="auto" w:fill="FFFFFF"/>
        </w:rPr>
        <w:t>Preliminary objection, merits, reparations and costs.</w:t>
      </w:r>
      <w:r w:rsidRPr="00835718">
        <w:rPr>
          <w:rStyle w:val="Textoennegrita"/>
          <w:b w:val="0"/>
          <w:bCs w:val="0"/>
          <w:color w:val="000000"/>
          <w:shd w:val="clear" w:color="auto" w:fill="FFFFFF"/>
        </w:rPr>
        <w:t xml:space="preserve"> Judgment of August 23, 2018. Series C No. 359</w:t>
      </w:r>
      <w:r w:rsidRPr="00835718">
        <w:t>, para. 98.</w:t>
      </w:r>
    </w:p>
  </w:footnote>
  <w:footnote w:id="267">
    <w:p w14:paraId="160825C8" w14:textId="77777777" w:rsidR="00E6764B" w:rsidRPr="00835718" w:rsidRDefault="00E6764B" w:rsidP="00CD2B15">
      <w:pPr>
        <w:pStyle w:val="Textonotapie"/>
      </w:pPr>
      <w:r w:rsidRPr="00835718">
        <w:rPr>
          <w:rStyle w:val="Refdenotaalpie"/>
          <w:sz w:val="16"/>
        </w:rPr>
        <w:footnoteRef/>
      </w:r>
      <w:r w:rsidRPr="00835718">
        <w:tab/>
      </w:r>
      <w:r w:rsidRPr="00835718">
        <w:rPr>
          <w:i/>
        </w:rPr>
        <w:t xml:space="preserve">Cf. </w:t>
      </w:r>
      <w:r w:rsidRPr="00835718">
        <w:t xml:space="preserve">UN, Committee on Economic, Social and Cultural Rights, </w:t>
      </w:r>
      <w:r w:rsidRPr="00835718">
        <w:rPr>
          <w:i/>
        </w:rPr>
        <w:t xml:space="preserve">General Comment No. 3: </w:t>
      </w:r>
      <w:r w:rsidRPr="00835718">
        <w:rPr>
          <w:i/>
          <w:iCs/>
        </w:rPr>
        <w:t>The Nature of States Parties’ Obligations (Art. 2, Para. 1, of the Covenant</w:t>
      </w:r>
      <w:r w:rsidRPr="00835718">
        <w:t xml:space="preserve">), December 14, 1990, UN Doc. E/1991/23, para. 3, and Committee on Economic, Social and Cultural Rights, </w:t>
      </w:r>
      <w:r w:rsidRPr="00835718">
        <w:rPr>
          <w:i/>
        </w:rPr>
        <w:t>General Comment No. 19:</w:t>
      </w:r>
      <w:r w:rsidRPr="00835718">
        <w:t xml:space="preserve"> </w:t>
      </w:r>
      <w:r w:rsidRPr="00835718">
        <w:rPr>
          <w:i/>
          <w:iCs/>
        </w:rPr>
        <w:t>The right to social security (Art. 9 of the Covenant)</w:t>
      </w:r>
      <w:r w:rsidRPr="00835718">
        <w:t>, February 4, 2008, para. 40.</w:t>
      </w:r>
    </w:p>
  </w:footnote>
  <w:footnote w:id="268">
    <w:p w14:paraId="519E2D77" w14:textId="77777777" w:rsidR="00E6764B" w:rsidRPr="00835718" w:rsidRDefault="00E6764B" w:rsidP="00CD2B15">
      <w:pPr>
        <w:pStyle w:val="Textonotapie"/>
      </w:pPr>
      <w:r w:rsidRPr="00835718">
        <w:rPr>
          <w:rStyle w:val="Refdenotaalpie"/>
          <w:sz w:val="16"/>
        </w:rPr>
        <w:footnoteRef/>
      </w:r>
      <w:r w:rsidRPr="00835718">
        <w:tab/>
      </w:r>
      <w:r w:rsidRPr="00835718">
        <w:rPr>
          <w:i/>
        </w:rPr>
        <w:t xml:space="preserve">Cf. </w:t>
      </w:r>
      <w:r w:rsidRPr="00835718">
        <w:t xml:space="preserve">UN, Committee on Economic, Social and Cultural Rights, </w:t>
      </w:r>
      <w:r w:rsidRPr="00835718">
        <w:rPr>
          <w:i/>
        </w:rPr>
        <w:t xml:space="preserve">General Comment No. 3: </w:t>
      </w:r>
      <w:r w:rsidRPr="00835718">
        <w:rPr>
          <w:i/>
          <w:iCs/>
        </w:rPr>
        <w:t>The Nature of States Parties’ Obligations (Art. 2, Para. 1, of the Covenant</w:t>
      </w:r>
      <w:r w:rsidRPr="00835718">
        <w:t xml:space="preserve">), December 14, 1990, UN Doc. E/1991/23, para. 9, and Committee on Economic, Social and Cultural Rights, </w:t>
      </w:r>
      <w:r w:rsidRPr="00835718">
        <w:rPr>
          <w:i/>
        </w:rPr>
        <w:t>General Comment No. 19</w:t>
      </w:r>
      <w:r w:rsidRPr="00835718">
        <w:t xml:space="preserve">, </w:t>
      </w:r>
      <w:r w:rsidRPr="00835718">
        <w:rPr>
          <w:i/>
          <w:iCs/>
        </w:rPr>
        <w:t>The right to social security (Article 9)</w:t>
      </w:r>
      <w:r w:rsidRPr="00835718">
        <w:t>, February 4, 2008, paras. 40 and 41.</w:t>
      </w:r>
    </w:p>
  </w:footnote>
  <w:footnote w:id="269">
    <w:p w14:paraId="3C4316D5" w14:textId="77777777" w:rsidR="00E6764B" w:rsidRPr="00835718" w:rsidRDefault="00E6764B" w:rsidP="00CD2B15">
      <w:pPr>
        <w:pStyle w:val="Textonotapie"/>
      </w:pPr>
      <w:r w:rsidRPr="00835718">
        <w:rPr>
          <w:rStyle w:val="Refdenotaalpie"/>
          <w:sz w:val="16"/>
        </w:rPr>
        <w:footnoteRef/>
      </w:r>
      <w:r w:rsidRPr="00835718">
        <w:tab/>
        <w:t>Article 26 of the Convention establishes: “</w:t>
      </w:r>
      <w:r w:rsidRPr="00835718">
        <w:rPr>
          <w:bCs/>
        </w:rPr>
        <w:t>Article 26. Progressive Development</w:t>
      </w:r>
      <w:r w:rsidRPr="00835718">
        <w:rPr>
          <w:b/>
          <w:bCs/>
        </w:rPr>
        <w:t>.</w:t>
      </w:r>
      <w:r w:rsidRPr="00835718">
        <w:t> The States Parties undertake to adopt measures, both internally and through international cooperation, especially those of an economic and technical nature, with a view to achieving progressively, subject to available resources, by legislation or other appropriate means, the full realization of the rights implicit in the economic, social, educational, scientific, and cultural standards set forth in the Charter of the Organization of American States as amended by the Protocol of Buenos Aires.”</w:t>
      </w:r>
    </w:p>
  </w:footnote>
  <w:footnote w:id="270">
    <w:p w14:paraId="74CFB2BB" w14:textId="77777777" w:rsidR="00E6764B" w:rsidRPr="00835718" w:rsidRDefault="00E6764B" w:rsidP="00CD2B15">
      <w:pPr>
        <w:pStyle w:val="Textonotapie"/>
      </w:pPr>
      <w:r w:rsidRPr="00835718">
        <w:rPr>
          <w:rStyle w:val="Refdenotaalpie"/>
          <w:color w:val="000000"/>
          <w:sz w:val="16"/>
        </w:rPr>
        <w:footnoteRef/>
      </w:r>
      <w:r w:rsidRPr="00835718">
        <w:t xml:space="preserve"> </w:t>
      </w:r>
      <w:r w:rsidRPr="00835718">
        <w:tab/>
        <w:t xml:space="preserve">Cf. Case of Acevedo </w:t>
      </w:r>
      <w:proofErr w:type="spellStart"/>
      <w:r w:rsidRPr="00835718">
        <w:t>Buendía</w:t>
      </w:r>
      <w:proofErr w:type="spellEnd"/>
      <w:r w:rsidRPr="00835718">
        <w:t xml:space="preserve"> et al. (“Discharged and Retired Employees of the Comptroller’s Office”) v. Peru. </w:t>
      </w:r>
      <w:r w:rsidRPr="00835718">
        <w:rPr>
          <w:rStyle w:val="Textoennegrita"/>
          <w:b w:val="0"/>
          <w:bCs w:val="0"/>
          <w:i/>
          <w:shd w:val="clear" w:color="auto" w:fill="FFFFFF"/>
        </w:rPr>
        <w:t>Preliminary objection, merits, reparations and costs.</w:t>
      </w:r>
      <w:r w:rsidRPr="00835718">
        <w:rPr>
          <w:rStyle w:val="Textoennegrita"/>
          <w:b w:val="0"/>
          <w:bCs w:val="0"/>
          <w:shd w:val="clear" w:color="auto" w:fill="FFFFFF"/>
        </w:rPr>
        <w:t xml:space="preserve"> Judgment of July 1, 2009. Series C No. 198</w:t>
      </w:r>
      <w:r w:rsidRPr="00835718">
        <w:t xml:space="preserve">, paras. 102 and 103; and Case of Poblete </w:t>
      </w:r>
      <w:proofErr w:type="spellStart"/>
      <w:r w:rsidRPr="00835718">
        <w:t>Vilches</w:t>
      </w:r>
      <w:proofErr w:type="spellEnd"/>
      <w:r w:rsidRPr="00835718">
        <w:t xml:space="preserve"> et al. v. Chile. Merits, reparations and costs. Judgment of March 8, 2018. Series C No. 349, para. 104. See also: “Working Group to Examine the National Reports envisioned in the Protocol of San Salvador.” Initially, the Working Group prepared the document “Progress indicators for measuring rights under the Protocol of San Salvador,”</w:t>
      </w:r>
      <w:r w:rsidRPr="00835718">
        <w:rPr>
          <w:lang w:eastAsia="es-CR"/>
        </w:rPr>
        <w:t xml:space="preserve"> </w:t>
      </w:r>
      <w:r w:rsidRPr="00835718">
        <w:t>OEA/</w:t>
      </w:r>
      <w:proofErr w:type="spellStart"/>
      <w:r w:rsidRPr="00835718">
        <w:t>Ser.L</w:t>
      </w:r>
      <w:proofErr w:type="spellEnd"/>
      <w:r w:rsidRPr="00835718">
        <w:t xml:space="preserve">/XXV.2.1; GT/PSS/doc.2/11 rev.2, of December 16, 2011, based on the guidelines and criteria presented by the Inter-American Commission on Human Rights.  Following consultations with the States and civil society, these were adopted by the Forty-second General Assembly held in Cochabamba, Bolivia in June 2012 (AG/RES. 2713 (XLII-O/12). On that occasion, the rights to social security, health and education were addressed. Subsequently, </w:t>
      </w:r>
      <w:r w:rsidRPr="00835718">
        <w:rPr>
          <w:lang w:eastAsia="es-CR"/>
        </w:rPr>
        <w:t xml:space="preserve">a second group of rights was addressed and the Working Group issued the </w:t>
      </w:r>
      <w:r w:rsidRPr="00835718">
        <w:t>“Progress indicators for measuring rights contemplated in the Protocol of San Salvador – second group of rights,”</w:t>
      </w:r>
      <w:r w:rsidRPr="00835718">
        <w:rPr>
          <w:lang w:eastAsia="es-CR"/>
        </w:rPr>
        <w:t xml:space="preserve"> </w:t>
      </w:r>
      <w:r w:rsidRPr="00835718">
        <w:t>OEA/</w:t>
      </w:r>
      <w:proofErr w:type="spellStart"/>
      <w:r w:rsidRPr="00835718">
        <w:t>Ser.L</w:t>
      </w:r>
      <w:proofErr w:type="spellEnd"/>
      <w:r w:rsidRPr="00835718">
        <w:t>/XXV.2.1 GT/PSS/doc.9/13, adopted by the OAS General Assembly in Resolution AG/RES. 2823 (XLIV-O/14), at the second plenary session on June 4, 2014.</w:t>
      </w:r>
      <w:r w:rsidRPr="00835718">
        <w:rPr>
          <w:lang w:eastAsia="es-CR"/>
        </w:rPr>
        <w:t xml:space="preserve"> Finally, in 2015, the Working Group combined the two groups of rights and published the document “</w:t>
      </w:r>
      <w:r w:rsidRPr="00835718">
        <w:t>Progress indicators for measuring rights contemplated in the Protocol of San Salvador,” OEA/</w:t>
      </w:r>
      <w:proofErr w:type="spellStart"/>
      <w:r w:rsidRPr="00835718">
        <w:t>Ser.D</w:t>
      </w:r>
      <w:proofErr w:type="spellEnd"/>
      <w:r w:rsidRPr="00835718">
        <w:t xml:space="preserve">/XXVI.11 (2015). On that occasions, they addressed the right to work and trade union rights, the right to adequate food, a healthy environment, and the benefits of culture. Cf. UN, Committee on Economic, Social and Cultural Rights, General Comment No. 19, </w:t>
      </w:r>
      <w:r w:rsidRPr="00835718">
        <w:rPr>
          <w:iCs/>
        </w:rPr>
        <w:t>The right to social security (Art. 9 of the Covenant)</w:t>
      </w:r>
      <w:r w:rsidRPr="00835718">
        <w:t>, February 4, 2008, para. 42.</w:t>
      </w:r>
    </w:p>
  </w:footnote>
  <w:footnote w:id="271">
    <w:p w14:paraId="5F08A977" w14:textId="77777777" w:rsidR="00E6764B" w:rsidRPr="00835718" w:rsidRDefault="00E6764B" w:rsidP="00CD2B15">
      <w:pPr>
        <w:pStyle w:val="Textonotapie"/>
      </w:pPr>
      <w:r w:rsidRPr="00835718">
        <w:rPr>
          <w:rStyle w:val="Refdenotaalpie"/>
          <w:sz w:val="16"/>
        </w:rPr>
        <w:footnoteRef/>
      </w:r>
      <w:r w:rsidRPr="00835718">
        <w:t xml:space="preserve"> </w:t>
      </w:r>
      <w:r w:rsidRPr="00835718">
        <w:tab/>
      </w:r>
      <w:r w:rsidRPr="00835718">
        <w:rPr>
          <w:rStyle w:val="Textoennegrita"/>
          <w:color w:val="000000"/>
          <w:shd w:val="clear" w:color="auto" w:fill="FFFFFF"/>
        </w:rPr>
        <w:t xml:space="preserve"> </w:t>
      </w:r>
      <w:r w:rsidRPr="00835718">
        <w:t xml:space="preserve">Cf. Case of </w:t>
      </w:r>
      <w:proofErr w:type="spellStart"/>
      <w:r w:rsidRPr="00835718">
        <w:t>Muelle</w:t>
      </w:r>
      <w:proofErr w:type="spellEnd"/>
      <w:r w:rsidRPr="00835718">
        <w:t xml:space="preserve"> Flores v. Peru. Preliminary objections, merits, reparations and costs. Judgment of March 6, 2019. Series C No. 375, paras. 190, 191 and 202. </w:t>
      </w:r>
    </w:p>
  </w:footnote>
  <w:footnote w:id="272">
    <w:p w14:paraId="6A5A2C0B"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Mr. </w:t>
      </w:r>
      <w:proofErr w:type="spellStart"/>
      <w:r w:rsidRPr="00835718">
        <w:t>Muelle</w:t>
      </w:r>
      <w:proofErr w:type="spellEnd"/>
      <w:r w:rsidRPr="00835718">
        <w:t xml:space="preserve"> Flores acquired his right to a pension under a State-administered contribution regime; in other words, he acquired the right to receive a pension having made contributions for several years. The legitimacy of his incorporation into this regime was confirmed by the domestic courts.</w:t>
      </w:r>
    </w:p>
  </w:footnote>
  <w:footnote w:id="273">
    <w:p w14:paraId="20589ED4" w14:textId="77777777" w:rsidR="00E6764B" w:rsidRPr="0056383C"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207.</w:t>
      </w:r>
      <w:r w:rsidRPr="0056383C">
        <w:t xml:space="preserve"> </w:t>
      </w:r>
    </w:p>
  </w:footnote>
  <w:footnote w:id="274">
    <w:p w14:paraId="02D1F606"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w:t>
      </w:r>
      <w:r w:rsidRPr="0056383C">
        <w:t xml:space="preserve"> </w:t>
      </w:r>
      <w:r w:rsidRPr="00835718">
        <w:t>2019. Series C No. 375, paras. 204 to 206.</w:t>
      </w:r>
    </w:p>
  </w:footnote>
  <w:footnote w:id="275">
    <w:p w14:paraId="4BD7F0D6"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204. </w:t>
      </w:r>
    </w:p>
  </w:footnote>
  <w:footnote w:id="276">
    <w:p w14:paraId="363F257A"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 207</w:t>
      </w:r>
    </w:p>
  </w:footnote>
  <w:footnote w:id="277">
    <w:p w14:paraId="2F8D7ABC" w14:textId="77777777" w:rsidR="00E6764B" w:rsidRPr="00835718" w:rsidRDefault="00E6764B" w:rsidP="00CD2B15">
      <w:pPr>
        <w:spacing w:after="120"/>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t>Adopted and proclaimed by Assembly General Resolution 217 A (III) on December 10, 1948, in Paris. Article 25 establishes that: “(</w:t>
      </w:r>
      <w:r w:rsidRPr="00835718">
        <w:rPr>
          <w:rFonts w:ascii="Verdana" w:hAnsi="Verdana"/>
          <w:sz w:val="16"/>
          <w:szCs w:val="16"/>
          <w:shd w:val="clear" w:color="auto" w:fill="FFFFFF"/>
          <w:lang w:val="en-US"/>
        </w:rPr>
        <w:t>1</w:t>
      </w:r>
      <w:r w:rsidRPr="00835718">
        <w:rPr>
          <w:rFonts w:ascii="Verdana" w:hAnsi="Verdana"/>
          <w:sz w:val="16"/>
          <w:szCs w:val="16"/>
          <w:lang w:val="en-US"/>
        </w:rPr>
        <w:t>)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(2) Motherhood and childhood are entitled to special care and assistance. All children, whether born in or out of wedlock, shall enjoy the same social protection.</w:t>
      </w:r>
      <w:r w:rsidRPr="00835718">
        <w:rPr>
          <w:rFonts w:ascii="Verdana" w:hAnsi="Verdana"/>
          <w:sz w:val="16"/>
          <w:szCs w:val="16"/>
          <w:shd w:val="clear" w:color="auto" w:fill="FFFFFF"/>
          <w:lang w:val="en-US"/>
        </w:rPr>
        <w:t>”</w:t>
      </w:r>
    </w:p>
  </w:footnote>
  <w:footnote w:id="278">
    <w:p w14:paraId="61AA47BA" w14:textId="77777777" w:rsidR="00E6764B" w:rsidRPr="0056383C" w:rsidRDefault="00E6764B" w:rsidP="00CD2B15">
      <w:pPr>
        <w:pStyle w:val="Textonotapie"/>
      </w:pPr>
      <w:r w:rsidRPr="00835718">
        <w:rPr>
          <w:rStyle w:val="Refdenotaalpie"/>
          <w:sz w:val="16"/>
        </w:rPr>
        <w:footnoteRef/>
      </w:r>
      <w:r w:rsidRPr="00835718">
        <w:t xml:space="preserve"> </w:t>
      </w:r>
      <w:r w:rsidRPr="00835718">
        <w:tab/>
        <w:t>The Inter-American Court has reflected the content developed by the CESCR in General Comment No. 19 in the instant case.</w:t>
      </w:r>
    </w:p>
  </w:footnote>
  <w:footnote w:id="279">
    <w:p w14:paraId="5C8E84B5"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UN, Committee on Economic, Social and Cultural Rights, General Comment No. 19, </w:t>
      </w:r>
      <w:r w:rsidRPr="00835718">
        <w:rPr>
          <w:iCs/>
        </w:rPr>
        <w:t>The right to social security (Article 9)</w:t>
      </w:r>
      <w:r w:rsidRPr="00835718">
        <w:t xml:space="preserve">, Adopted on November 23, 2007, para. 2 and Case of </w:t>
      </w:r>
      <w:proofErr w:type="spellStart"/>
      <w:r w:rsidRPr="00835718">
        <w:t>Muelle</w:t>
      </w:r>
      <w:proofErr w:type="spellEnd"/>
      <w:r w:rsidRPr="00835718">
        <w:t xml:space="preserve"> Flores v. Peru. Preliminary objections, merits, reparations and costs. Judgment of March 6, 2019. Series C No. 375, para. 186</w:t>
      </w:r>
    </w:p>
  </w:footnote>
  <w:footnote w:id="280">
    <w:p w14:paraId="6286014C"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Cf. Case of </w:t>
      </w:r>
      <w:proofErr w:type="spellStart"/>
      <w:r w:rsidRPr="00835718">
        <w:t>Muelle</w:t>
      </w:r>
      <w:proofErr w:type="spellEnd"/>
      <w:r w:rsidRPr="00835718">
        <w:t xml:space="preserve"> Flores v. Peru. Preliminary objections, merits, reparations and costs. Judgment of March 6, 2019. Series C No. 375, paras. 178 to 193. </w:t>
      </w:r>
    </w:p>
  </w:footnote>
  <w:footnote w:id="281">
    <w:p w14:paraId="49ECAFE1" w14:textId="77777777" w:rsidR="00E6764B" w:rsidRPr="00835718" w:rsidRDefault="00E6764B" w:rsidP="00CD2B15">
      <w:pPr>
        <w:pStyle w:val="Textonotapie"/>
      </w:pPr>
      <w:r w:rsidRPr="00835718">
        <w:rPr>
          <w:rStyle w:val="Refdenotaalpie"/>
          <w:sz w:val="16"/>
        </w:rPr>
        <w:footnoteRef/>
      </w:r>
      <w:r w:rsidRPr="00835718">
        <w:t xml:space="preserve"> </w:t>
      </w:r>
      <w:r w:rsidRPr="00835718">
        <w:tab/>
      </w:r>
      <w:r w:rsidRPr="00835718">
        <w:rPr>
          <w:i/>
        </w:rPr>
        <w:t>Trujillo Calero v. Ecuador</w:t>
      </w:r>
      <w:r w:rsidRPr="00835718">
        <w:t xml:space="preserve">, Communication 10/2015, E/C.12/63/D/10/2015, March 26, 2018, para. 11.1. Similarly, see: UN, Committee on Economic, Social and Cultural Rights, General Comment No. 19, </w:t>
      </w:r>
      <w:r w:rsidRPr="00835718">
        <w:rPr>
          <w:i/>
          <w:iCs/>
        </w:rPr>
        <w:t>The right to social security (Article 9)</w:t>
      </w:r>
      <w:r w:rsidRPr="00835718">
        <w:t xml:space="preserve">, February 4, 2008, paras. 1 to 3; and </w:t>
      </w:r>
      <w:r w:rsidRPr="00835718">
        <w:rPr>
          <w:i/>
        </w:rPr>
        <w:t xml:space="preserve">López Rodríguez v. </w:t>
      </w:r>
      <w:r w:rsidRPr="00835718">
        <w:rPr>
          <w:i/>
          <w:iCs/>
        </w:rPr>
        <w:t>Spain</w:t>
      </w:r>
      <w:r w:rsidRPr="00835718">
        <w:t xml:space="preserve">, Communication 1/2013, E/C.12/57/D/1/2013, April 20, 2016, paras. 10.1 and 10.2. </w:t>
      </w:r>
    </w:p>
  </w:footnote>
  <w:footnote w:id="282">
    <w:p w14:paraId="18241A77" w14:textId="77777777" w:rsidR="00E6764B" w:rsidRPr="00835718" w:rsidRDefault="00E6764B" w:rsidP="00CD2B15">
      <w:pPr>
        <w:pStyle w:val="Textonotapie"/>
      </w:pPr>
      <w:r w:rsidRPr="00835718">
        <w:rPr>
          <w:rStyle w:val="Refdenotaalpie"/>
          <w:sz w:val="16"/>
        </w:rPr>
        <w:footnoteRef/>
      </w:r>
      <w:r w:rsidRPr="00835718">
        <w:tab/>
      </w:r>
      <w:r w:rsidRPr="00835718">
        <w:rPr>
          <w:i/>
        </w:rPr>
        <w:t>Cf.</w:t>
      </w:r>
      <w:r w:rsidRPr="00835718">
        <w:t xml:space="preserve"> UN, Committee on Economic, Social and Cultural Rights, General Comment No. 6 (1995) </w:t>
      </w:r>
      <w:r w:rsidRPr="00835718">
        <w:rPr>
          <w:i/>
        </w:rPr>
        <w:t xml:space="preserve">The Economic, Social and Cultural Rights of Older Persons </w:t>
      </w:r>
      <w:r w:rsidRPr="00835718">
        <w:t xml:space="preserve">para. 10, and </w:t>
      </w:r>
      <w:r w:rsidRPr="00835718">
        <w:rPr>
          <w:i/>
        </w:rPr>
        <w:t xml:space="preserve">Cf. </w:t>
      </w:r>
      <w:r w:rsidRPr="00835718">
        <w:t xml:space="preserve">UN, Committee on Economic, Social and Cultural Rights, General Comment No. 19, </w:t>
      </w:r>
      <w:r w:rsidRPr="00835718">
        <w:rPr>
          <w:i/>
          <w:iCs/>
        </w:rPr>
        <w:t>The right to social security (Article 9)</w:t>
      </w:r>
      <w:r w:rsidRPr="00835718">
        <w:t xml:space="preserve">, February 4, 2008, para. 10. </w:t>
      </w:r>
    </w:p>
  </w:footnote>
  <w:footnote w:id="283">
    <w:p w14:paraId="3C1804E6" w14:textId="77777777" w:rsidR="00E6764B" w:rsidRPr="00835718" w:rsidRDefault="00E6764B" w:rsidP="00CD2B15">
      <w:pPr>
        <w:pStyle w:val="Textonotapie"/>
      </w:pPr>
      <w:r w:rsidRPr="00835718">
        <w:rPr>
          <w:rStyle w:val="Refdenotaalpie"/>
          <w:rFonts w:cs="Arial"/>
          <w:sz w:val="16"/>
        </w:rPr>
        <w:footnoteRef/>
      </w:r>
      <w:r w:rsidRPr="00835718">
        <w:t xml:space="preserve"> </w:t>
      </w:r>
      <w:r w:rsidRPr="00835718">
        <w:tab/>
        <w:t xml:space="preserve">Cf. </w:t>
      </w:r>
      <w:proofErr w:type="spellStart"/>
      <w:r w:rsidRPr="00835718">
        <w:t>Alemahu</w:t>
      </w:r>
      <w:proofErr w:type="spellEnd"/>
      <w:r w:rsidRPr="00835718">
        <w:t xml:space="preserve"> </w:t>
      </w:r>
      <w:proofErr w:type="spellStart"/>
      <w:r w:rsidRPr="00835718">
        <w:t>Yeshanew</w:t>
      </w:r>
      <w:proofErr w:type="spellEnd"/>
      <w:r w:rsidRPr="00835718">
        <w:t xml:space="preserve">, </w:t>
      </w:r>
      <w:proofErr w:type="spellStart"/>
      <w:r w:rsidRPr="00835718">
        <w:t>Sisay</w:t>
      </w:r>
      <w:proofErr w:type="spellEnd"/>
      <w:r w:rsidRPr="00835718">
        <w:t xml:space="preserve">, The Justiciability of Economics, Social and Cultural Rights in the African Regional Human Rights System, </w:t>
      </w:r>
      <w:proofErr w:type="spellStart"/>
      <w:r w:rsidRPr="00835718">
        <w:t>Intersentia</w:t>
      </w:r>
      <w:proofErr w:type="spellEnd"/>
      <w:r w:rsidRPr="00835718">
        <w:t xml:space="preserve">, Cambridge, 2013, p. 241. </w:t>
      </w:r>
    </w:p>
  </w:footnote>
  <w:footnote w:id="284">
    <w:p w14:paraId="0080B1D7"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Protocol to the African Charter on Human and Peoples’ Rights on the Rights of Older Persons in Africa, adopted on July 31, 2016, in Addis Ababa, Ethiopia. </w:t>
      </w:r>
    </w:p>
  </w:footnote>
  <w:footnote w:id="285">
    <w:p w14:paraId="6433471E" w14:textId="77777777" w:rsidR="00E6764B" w:rsidRPr="00835718" w:rsidRDefault="00E6764B" w:rsidP="00CD2B15">
      <w:pPr>
        <w:pStyle w:val="Textonotapie"/>
      </w:pPr>
      <w:r w:rsidRPr="00835718">
        <w:rPr>
          <w:rStyle w:val="Refdenotaalpie"/>
          <w:sz w:val="16"/>
        </w:rPr>
        <w:footnoteRef/>
      </w:r>
      <w:r w:rsidRPr="00835718">
        <w:t xml:space="preserve"> </w:t>
      </w:r>
      <w:r w:rsidRPr="00835718">
        <w:tab/>
      </w:r>
      <w:r w:rsidRPr="00835718">
        <w:rPr>
          <w:i/>
        </w:rPr>
        <w:t>Cf.</w:t>
      </w:r>
      <w:r w:rsidRPr="00835718">
        <w:t xml:space="preserve"> </w:t>
      </w:r>
      <w:proofErr w:type="spellStart"/>
      <w:r w:rsidRPr="00835718">
        <w:rPr>
          <w:shd w:val="clear" w:color="auto" w:fill="FFFFFF"/>
        </w:rPr>
        <w:t>Santolaya</w:t>
      </w:r>
      <w:proofErr w:type="spellEnd"/>
      <w:r w:rsidRPr="00835718">
        <w:rPr>
          <w:shd w:val="clear" w:color="auto" w:fill="FFFFFF"/>
        </w:rPr>
        <w:t xml:space="preserve"> </w:t>
      </w:r>
      <w:proofErr w:type="spellStart"/>
      <w:r w:rsidRPr="00835718">
        <w:rPr>
          <w:shd w:val="clear" w:color="auto" w:fill="FFFFFF"/>
        </w:rPr>
        <w:t>Machetti</w:t>
      </w:r>
      <w:proofErr w:type="spellEnd"/>
      <w:r w:rsidRPr="00835718">
        <w:rPr>
          <w:shd w:val="clear" w:color="auto" w:fill="FFFFFF"/>
        </w:rPr>
        <w:t xml:space="preserve">, Pablo and Díaz Ricci, Sergio M., “Los Derechos </w:t>
      </w:r>
      <w:proofErr w:type="spellStart"/>
      <w:r w:rsidRPr="00835718">
        <w:rPr>
          <w:shd w:val="clear" w:color="auto" w:fill="FFFFFF"/>
        </w:rPr>
        <w:t>Económicos</w:t>
      </w:r>
      <w:proofErr w:type="spellEnd"/>
      <w:r w:rsidRPr="00835718">
        <w:rPr>
          <w:shd w:val="clear" w:color="auto" w:fill="FFFFFF"/>
        </w:rPr>
        <w:t xml:space="preserve">, </w:t>
      </w:r>
      <w:proofErr w:type="spellStart"/>
      <w:r w:rsidRPr="00835718">
        <w:rPr>
          <w:shd w:val="clear" w:color="auto" w:fill="FFFFFF"/>
        </w:rPr>
        <w:t>Sociales</w:t>
      </w:r>
      <w:proofErr w:type="spellEnd"/>
      <w:r w:rsidRPr="00835718">
        <w:rPr>
          <w:shd w:val="clear" w:color="auto" w:fill="FFFFFF"/>
        </w:rPr>
        <w:t xml:space="preserve"> y </w:t>
      </w:r>
      <w:proofErr w:type="spellStart"/>
      <w:r w:rsidRPr="00835718">
        <w:rPr>
          <w:shd w:val="clear" w:color="auto" w:fill="FFFFFF"/>
        </w:rPr>
        <w:t>Culturales</w:t>
      </w:r>
      <w:proofErr w:type="spellEnd"/>
      <w:r w:rsidRPr="00835718">
        <w:rPr>
          <w:shd w:val="clear" w:color="auto" w:fill="FFFFFF"/>
        </w:rPr>
        <w:t xml:space="preserve"> y la </w:t>
      </w:r>
      <w:proofErr w:type="spellStart"/>
      <w:r w:rsidRPr="00835718">
        <w:rPr>
          <w:shd w:val="clear" w:color="auto" w:fill="FFFFFF"/>
        </w:rPr>
        <w:t>protección</w:t>
      </w:r>
      <w:proofErr w:type="spellEnd"/>
      <w:r w:rsidRPr="00835718">
        <w:rPr>
          <w:shd w:val="clear" w:color="auto" w:fill="FFFFFF"/>
        </w:rPr>
        <w:t xml:space="preserve"> de </w:t>
      </w:r>
      <w:proofErr w:type="spellStart"/>
      <w:r w:rsidRPr="00835718">
        <w:rPr>
          <w:shd w:val="clear" w:color="auto" w:fill="FFFFFF"/>
        </w:rPr>
        <w:t>grupos</w:t>
      </w:r>
      <w:proofErr w:type="spellEnd"/>
      <w:r w:rsidRPr="00835718">
        <w:rPr>
          <w:shd w:val="clear" w:color="auto" w:fill="FFFFFF"/>
        </w:rPr>
        <w:t xml:space="preserve"> </w:t>
      </w:r>
      <w:proofErr w:type="spellStart"/>
      <w:r w:rsidRPr="00835718">
        <w:rPr>
          <w:shd w:val="clear" w:color="auto" w:fill="FFFFFF"/>
        </w:rPr>
        <w:t>vulnerables</w:t>
      </w:r>
      <w:proofErr w:type="spellEnd"/>
      <w:r w:rsidRPr="00835718">
        <w:rPr>
          <w:shd w:val="clear" w:color="auto" w:fill="FFFFFF"/>
        </w:rPr>
        <w:t xml:space="preserve">”, in </w:t>
      </w:r>
      <w:proofErr w:type="spellStart"/>
      <w:r w:rsidRPr="00835718">
        <w:rPr>
          <w:shd w:val="clear" w:color="auto" w:fill="FFFFFF"/>
        </w:rPr>
        <w:t>Canosa</w:t>
      </w:r>
      <w:proofErr w:type="spellEnd"/>
      <w:r w:rsidRPr="00835718">
        <w:rPr>
          <w:shd w:val="clear" w:color="auto" w:fill="FFFFFF"/>
        </w:rPr>
        <w:t xml:space="preserve"> </w:t>
      </w:r>
      <w:proofErr w:type="spellStart"/>
      <w:r w:rsidRPr="00835718">
        <w:rPr>
          <w:shd w:val="clear" w:color="auto" w:fill="FFFFFF"/>
        </w:rPr>
        <w:t>Usera</w:t>
      </w:r>
      <w:proofErr w:type="spellEnd"/>
      <w:r w:rsidRPr="00835718">
        <w:rPr>
          <w:shd w:val="clear" w:color="auto" w:fill="FFFFFF"/>
        </w:rPr>
        <w:t xml:space="preserve">, Raúl, Fernández Sánchez, Pablo Antonio, García Roca, Javier and </w:t>
      </w:r>
      <w:proofErr w:type="spellStart"/>
      <w:r w:rsidRPr="00835718">
        <w:rPr>
          <w:shd w:val="clear" w:color="auto" w:fill="FFFFFF"/>
        </w:rPr>
        <w:t>Santolaya</w:t>
      </w:r>
      <w:proofErr w:type="spellEnd"/>
      <w:r w:rsidRPr="00835718">
        <w:rPr>
          <w:shd w:val="clear" w:color="auto" w:fill="FFFFFF"/>
        </w:rPr>
        <w:t xml:space="preserve"> </w:t>
      </w:r>
      <w:proofErr w:type="spellStart"/>
      <w:r w:rsidRPr="00835718">
        <w:rPr>
          <w:shd w:val="clear" w:color="auto" w:fill="FFFFFF"/>
        </w:rPr>
        <w:t>Machetti</w:t>
      </w:r>
      <w:proofErr w:type="spellEnd"/>
      <w:r w:rsidRPr="00835718">
        <w:rPr>
          <w:shd w:val="clear" w:color="auto" w:fill="FFFFFF"/>
        </w:rPr>
        <w:t>, Pablo (</w:t>
      </w:r>
      <w:proofErr w:type="spellStart"/>
      <w:r w:rsidRPr="00835718">
        <w:rPr>
          <w:shd w:val="clear" w:color="auto" w:fill="FFFFFF"/>
        </w:rPr>
        <w:t>Coords</w:t>
      </w:r>
      <w:proofErr w:type="spellEnd"/>
      <w:r w:rsidRPr="00835718">
        <w:rPr>
          <w:shd w:val="clear" w:color="auto" w:fill="FFFFFF"/>
        </w:rPr>
        <w:t>.), </w:t>
      </w:r>
      <w:r w:rsidRPr="00835718">
        <w:rPr>
          <w:i/>
          <w:iCs/>
          <w:shd w:val="clear" w:color="auto" w:fill="FFFFFF"/>
        </w:rPr>
        <w:t xml:space="preserve">El </w:t>
      </w:r>
      <w:proofErr w:type="spellStart"/>
      <w:r w:rsidRPr="00835718">
        <w:rPr>
          <w:i/>
          <w:iCs/>
          <w:shd w:val="clear" w:color="auto" w:fill="FFFFFF"/>
        </w:rPr>
        <w:t>Diálogo</w:t>
      </w:r>
      <w:proofErr w:type="spellEnd"/>
      <w:r w:rsidRPr="00835718">
        <w:rPr>
          <w:i/>
          <w:iCs/>
          <w:shd w:val="clear" w:color="auto" w:fill="FFFFFF"/>
        </w:rPr>
        <w:t xml:space="preserve"> entre los </w:t>
      </w:r>
      <w:proofErr w:type="spellStart"/>
      <w:r w:rsidRPr="00835718">
        <w:rPr>
          <w:i/>
          <w:iCs/>
          <w:shd w:val="clear" w:color="auto" w:fill="FFFFFF"/>
        </w:rPr>
        <w:t>Sistemas</w:t>
      </w:r>
      <w:proofErr w:type="spellEnd"/>
      <w:r w:rsidRPr="00835718">
        <w:rPr>
          <w:i/>
          <w:iCs/>
          <w:shd w:val="clear" w:color="auto" w:fill="FFFFFF"/>
        </w:rPr>
        <w:t xml:space="preserve"> </w:t>
      </w:r>
      <w:proofErr w:type="spellStart"/>
      <w:r w:rsidRPr="00835718">
        <w:rPr>
          <w:i/>
          <w:iCs/>
          <w:shd w:val="clear" w:color="auto" w:fill="FFFFFF"/>
        </w:rPr>
        <w:t>Europeo</w:t>
      </w:r>
      <w:proofErr w:type="spellEnd"/>
      <w:r w:rsidRPr="00835718">
        <w:rPr>
          <w:i/>
          <w:iCs/>
          <w:shd w:val="clear" w:color="auto" w:fill="FFFFFF"/>
        </w:rPr>
        <w:t xml:space="preserve"> y Americano de Derechos Humanos, </w:t>
      </w:r>
      <w:r w:rsidRPr="00835718">
        <w:rPr>
          <w:shd w:val="clear" w:color="auto" w:fill="FFFFFF"/>
        </w:rPr>
        <w:t xml:space="preserve">Lima, ECB </w:t>
      </w:r>
      <w:proofErr w:type="spellStart"/>
      <w:r w:rsidRPr="00835718">
        <w:rPr>
          <w:shd w:val="clear" w:color="auto" w:fill="FFFFFF"/>
        </w:rPr>
        <w:t>Ediciones</w:t>
      </w:r>
      <w:proofErr w:type="spellEnd"/>
      <w:r w:rsidRPr="00835718">
        <w:rPr>
          <w:shd w:val="clear" w:color="auto" w:fill="FFFFFF"/>
        </w:rPr>
        <w:t xml:space="preserve"> S. A. C., 2015, p. 303.</w:t>
      </w:r>
      <w:r w:rsidRPr="00835718">
        <w:t xml:space="preserve"> </w:t>
      </w:r>
    </w:p>
  </w:footnote>
  <w:footnote w:id="286">
    <w:p w14:paraId="1E3C24B7"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 </w:t>
      </w:r>
    </w:p>
  </w:footnote>
  <w:footnote w:id="287">
    <w:p w14:paraId="0459451E" w14:textId="77777777" w:rsidR="00E6764B" w:rsidRPr="00835718" w:rsidRDefault="00E6764B" w:rsidP="00CD2B15">
      <w:pPr>
        <w:pStyle w:val="Textonotapie"/>
      </w:pPr>
      <w:r w:rsidRPr="00835718">
        <w:rPr>
          <w:rStyle w:val="Refdenotaalpie"/>
          <w:rFonts w:cs="Arial"/>
          <w:sz w:val="16"/>
        </w:rPr>
        <w:footnoteRef/>
      </w:r>
      <w:r w:rsidRPr="00835718">
        <w:rPr>
          <w:vertAlign w:val="superscript"/>
        </w:rPr>
        <w:t xml:space="preserve"> </w:t>
      </w:r>
      <w:r w:rsidRPr="00835718">
        <w:tab/>
      </w:r>
      <w:r w:rsidRPr="00835718">
        <w:rPr>
          <w:i/>
        </w:rPr>
        <w:t xml:space="preserve">Cf. Case of </w:t>
      </w:r>
      <w:proofErr w:type="spellStart"/>
      <w:r w:rsidRPr="00835718">
        <w:rPr>
          <w:i/>
        </w:rPr>
        <w:t>Stec</w:t>
      </w:r>
      <w:proofErr w:type="spellEnd"/>
      <w:r w:rsidRPr="00835718">
        <w:rPr>
          <w:i/>
        </w:rPr>
        <w:t xml:space="preserve"> and Others v. The United Kingdom,</w:t>
      </w:r>
      <w:r w:rsidRPr="00835718">
        <w:t xml:space="preserve"> Application No. </w:t>
      </w:r>
      <w:r w:rsidRPr="00835718">
        <w:rPr>
          <w:rFonts w:eastAsia="MS Mincho"/>
          <w:color w:val="313131"/>
          <w:lang w:eastAsia="ja-JP"/>
        </w:rPr>
        <w:t xml:space="preserve">65731/01 65900/01, </w:t>
      </w:r>
      <w:r w:rsidRPr="00835718">
        <w:t xml:space="preserve">Judgment of April 12, 2006; </w:t>
      </w:r>
      <w:r w:rsidRPr="00835718">
        <w:rPr>
          <w:i/>
        </w:rPr>
        <w:t>Case of Wessels-</w:t>
      </w:r>
      <w:proofErr w:type="spellStart"/>
      <w:r w:rsidRPr="00835718">
        <w:rPr>
          <w:i/>
        </w:rPr>
        <w:t>Bergervoet</w:t>
      </w:r>
      <w:proofErr w:type="spellEnd"/>
      <w:r w:rsidRPr="00835718">
        <w:rPr>
          <w:i/>
        </w:rPr>
        <w:t xml:space="preserve"> v. The Netherlands</w:t>
      </w:r>
      <w:r w:rsidRPr="00835718">
        <w:t xml:space="preserve">, Application No. </w:t>
      </w:r>
      <w:r w:rsidRPr="00835718">
        <w:rPr>
          <w:rFonts w:eastAsia="MS Mincho"/>
          <w:color w:val="313131"/>
          <w:lang w:eastAsia="ja-JP"/>
        </w:rPr>
        <w:t>34462/97</w:t>
      </w:r>
      <w:r w:rsidRPr="00835718">
        <w:t xml:space="preserve">, Judgment of November 12, 2002, and </w:t>
      </w:r>
      <w:r w:rsidRPr="00835718">
        <w:rPr>
          <w:i/>
        </w:rPr>
        <w:t xml:space="preserve">Case of </w:t>
      </w:r>
      <w:proofErr w:type="spellStart"/>
      <w:r w:rsidRPr="00835718">
        <w:rPr>
          <w:rStyle w:val="A2"/>
          <w:rFonts w:cs="Arial"/>
          <w:i/>
          <w:iCs/>
          <w:sz w:val="16"/>
          <w:szCs w:val="16"/>
        </w:rPr>
        <w:t>Andrejeva</w:t>
      </w:r>
      <w:proofErr w:type="spellEnd"/>
      <w:r w:rsidRPr="00835718">
        <w:rPr>
          <w:rStyle w:val="A2"/>
          <w:rFonts w:cs="Arial"/>
          <w:i/>
          <w:iCs/>
          <w:sz w:val="16"/>
          <w:szCs w:val="16"/>
        </w:rPr>
        <w:t xml:space="preserve"> v. Latvia</w:t>
      </w:r>
      <w:r w:rsidRPr="00835718">
        <w:rPr>
          <w:rStyle w:val="A2"/>
          <w:rFonts w:cs="Arial"/>
          <w:iCs/>
          <w:sz w:val="16"/>
          <w:szCs w:val="16"/>
        </w:rPr>
        <w:t xml:space="preserve">, Application No. </w:t>
      </w:r>
      <w:r w:rsidRPr="00835718">
        <w:rPr>
          <w:rFonts w:eastAsia="MS Mincho"/>
          <w:color w:val="313131"/>
          <w:lang w:eastAsia="ja-JP"/>
        </w:rPr>
        <w:t>55707/00</w:t>
      </w:r>
      <w:r w:rsidRPr="00835718">
        <w:rPr>
          <w:rStyle w:val="A2"/>
          <w:rFonts w:cs="Arial"/>
          <w:iCs/>
          <w:sz w:val="16"/>
          <w:szCs w:val="16"/>
        </w:rPr>
        <w:t xml:space="preserve">, Judgment of February 18, 2009. </w:t>
      </w:r>
    </w:p>
  </w:footnote>
  <w:footnote w:id="288">
    <w:p w14:paraId="6FBD520F" w14:textId="77777777" w:rsidR="00E6764B" w:rsidRPr="00835718" w:rsidRDefault="00E6764B" w:rsidP="00CD2B15">
      <w:pPr>
        <w:tabs>
          <w:tab w:val="left" w:pos="720"/>
        </w:tabs>
        <w:spacing w:after="120"/>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b/>
          <w:sz w:val="16"/>
          <w:szCs w:val="16"/>
          <w:lang w:val="en-US"/>
        </w:rPr>
        <w:tab/>
      </w:r>
      <w:r w:rsidRPr="00835718">
        <w:rPr>
          <w:rFonts w:ascii="Verdana" w:hAnsi="Verdana"/>
          <w:i/>
          <w:sz w:val="16"/>
          <w:szCs w:val="16"/>
          <w:lang w:val="en-US"/>
        </w:rPr>
        <w:t>Cf.</w:t>
      </w:r>
      <w:r w:rsidRPr="00835718">
        <w:rPr>
          <w:rFonts w:ascii="Verdana" w:hAnsi="Verdana"/>
          <w:sz w:val="16"/>
          <w:szCs w:val="16"/>
          <w:lang w:val="en-US"/>
        </w:rPr>
        <w:t xml:space="preserve"> Affidavit rendered by Christian </w:t>
      </w:r>
      <w:proofErr w:type="spellStart"/>
      <w:r w:rsidRPr="00835718">
        <w:rPr>
          <w:rFonts w:ascii="Verdana" w:hAnsi="Verdana"/>
          <w:sz w:val="16"/>
          <w:szCs w:val="16"/>
          <w:lang w:val="en-US"/>
        </w:rPr>
        <w:t>Courtis</w:t>
      </w:r>
      <w:proofErr w:type="spellEnd"/>
      <w:r w:rsidRPr="00835718">
        <w:rPr>
          <w:rFonts w:ascii="Verdana" w:hAnsi="Verdana"/>
          <w:sz w:val="16"/>
          <w:szCs w:val="16"/>
          <w:lang w:val="en-US"/>
        </w:rPr>
        <w:t xml:space="preserve"> on August 30, 2018, citing case law of the European Court of Human Rights, namely: cases of </w:t>
      </w:r>
      <w:proofErr w:type="spellStart"/>
      <w:r w:rsidRPr="00835718">
        <w:rPr>
          <w:rFonts w:ascii="Verdana" w:hAnsi="Verdana"/>
          <w:i/>
          <w:sz w:val="16"/>
          <w:szCs w:val="16"/>
          <w:lang w:val="en-US"/>
        </w:rPr>
        <w:t>Konig</w:t>
      </w:r>
      <w:proofErr w:type="spellEnd"/>
      <w:r w:rsidRPr="00835718">
        <w:rPr>
          <w:rFonts w:ascii="Verdana" w:hAnsi="Verdana"/>
          <w:i/>
          <w:sz w:val="16"/>
          <w:szCs w:val="16"/>
          <w:lang w:val="en-US"/>
        </w:rPr>
        <w:t xml:space="preserve"> v. Germany</w:t>
      </w:r>
      <w:r w:rsidRPr="00835718">
        <w:rPr>
          <w:rFonts w:ascii="Verdana" w:hAnsi="Verdana"/>
          <w:sz w:val="16"/>
          <w:szCs w:val="16"/>
          <w:lang w:val="en-US"/>
        </w:rPr>
        <w:t xml:space="preserve">, June 28, 1978, para. 111; </w:t>
      </w:r>
      <w:r w:rsidRPr="00835718">
        <w:rPr>
          <w:rFonts w:ascii="Verdana" w:hAnsi="Verdana"/>
          <w:i/>
          <w:sz w:val="16"/>
          <w:szCs w:val="16"/>
          <w:lang w:val="en-US"/>
        </w:rPr>
        <w:t>Buchholz v. Germany</w:t>
      </w:r>
      <w:r w:rsidRPr="00835718">
        <w:rPr>
          <w:rFonts w:ascii="Verdana" w:hAnsi="Verdana"/>
          <w:sz w:val="16"/>
          <w:szCs w:val="16"/>
          <w:lang w:val="en-US"/>
        </w:rPr>
        <w:t xml:space="preserve">, May 6, 1981, para. 52; </w:t>
      </w:r>
      <w:proofErr w:type="spellStart"/>
      <w:r w:rsidRPr="00835718">
        <w:rPr>
          <w:rFonts w:ascii="Verdana" w:hAnsi="Verdana"/>
          <w:i/>
          <w:sz w:val="16"/>
          <w:szCs w:val="16"/>
          <w:lang w:val="en-US"/>
        </w:rPr>
        <w:t>Obermeier</w:t>
      </w:r>
      <w:proofErr w:type="spellEnd"/>
      <w:r w:rsidRPr="00835718">
        <w:rPr>
          <w:rFonts w:ascii="Verdana" w:hAnsi="Verdana"/>
          <w:i/>
          <w:sz w:val="16"/>
          <w:szCs w:val="16"/>
          <w:lang w:val="en-US"/>
        </w:rPr>
        <w:t xml:space="preserve"> v. Austria</w:t>
      </w:r>
      <w:r w:rsidRPr="00835718">
        <w:rPr>
          <w:rFonts w:ascii="Verdana" w:hAnsi="Verdana"/>
          <w:sz w:val="16"/>
          <w:szCs w:val="16"/>
          <w:lang w:val="en-US"/>
        </w:rPr>
        <w:t xml:space="preserve">, June 28, 1990, para. 72; </w:t>
      </w:r>
      <w:proofErr w:type="spellStart"/>
      <w:r w:rsidRPr="00835718">
        <w:rPr>
          <w:rFonts w:ascii="Verdana" w:hAnsi="Verdana"/>
          <w:i/>
          <w:iCs/>
          <w:sz w:val="16"/>
          <w:szCs w:val="16"/>
          <w:lang w:val="en-US"/>
        </w:rPr>
        <w:t>Vacatura</w:t>
      </w:r>
      <w:proofErr w:type="spellEnd"/>
      <w:r w:rsidRPr="00835718">
        <w:rPr>
          <w:rFonts w:ascii="Verdana" w:hAnsi="Verdana"/>
          <w:i/>
          <w:iCs/>
          <w:sz w:val="16"/>
          <w:szCs w:val="16"/>
          <w:lang w:val="en-US"/>
        </w:rPr>
        <w:t xml:space="preserve"> v. Italy</w:t>
      </w:r>
      <w:r w:rsidRPr="00835718">
        <w:rPr>
          <w:rFonts w:ascii="Verdana" w:hAnsi="Verdana"/>
          <w:sz w:val="16"/>
          <w:szCs w:val="16"/>
          <w:lang w:val="en-US"/>
        </w:rPr>
        <w:t xml:space="preserve">, May 24, 1991, para. 17; </w:t>
      </w:r>
      <w:proofErr w:type="spellStart"/>
      <w:r w:rsidRPr="00835718">
        <w:rPr>
          <w:rFonts w:ascii="Verdana" w:hAnsi="Verdana"/>
          <w:i/>
          <w:sz w:val="16"/>
          <w:szCs w:val="16"/>
          <w:lang w:val="en-US"/>
        </w:rPr>
        <w:t>Borgese</w:t>
      </w:r>
      <w:proofErr w:type="spellEnd"/>
      <w:r w:rsidRPr="00835718">
        <w:rPr>
          <w:rFonts w:ascii="Verdana" w:hAnsi="Verdana"/>
          <w:i/>
          <w:sz w:val="16"/>
          <w:szCs w:val="16"/>
          <w:lang w:val="en-US"/>
        </w:rPr>
        <w:t xml:space="preserve"> v. Italy</w:t>
      </w:r>
      <w:r w:rsidRPr="00835718">
        <w:rPr>
          <w:rFonts w:ascii="Verdana" w:hAnsi="Verdana"/>
          <w:sz w:val="16"/>
          <w:szCs w:val="16"/>
          <w:lang w:val="en-US"/>
        </w:rPr>
        <w:t xml:space="preserve">, January 24, 1992, para. 18; </w:t>
      </w:r>
      <w:proofErr w:type="spellStart"/>
      <w:r w:rsidRPr="00835718">
        <w:rPr>
          <w:rFonts w:ascii="Verdana" w:hAnsi="Verdana"/>
          <w:i/>
          <w:sz w:val="16"/>
          <w:szCs w:val="16"/>
          <w:lang w:val="en-US"/>
        </w:rPr>
        <w:t>Ruotolo</w:t>
      </w:r>
      <w:proofErr w:type="spellEnd"/>
      <w:r w:rsidRPr="00835718">
        <w:rPr>
          <w:rFonts w:ascii="Verdana" w:hAnsi="Verdana"/>
          <w:i/>
          <w:sz w:val="16"/>
          <w:szCs w:val="16"/>
          <w:lang w:val="en-US"/>
        </w:rPr>
        <w:t xml:space="preserve"> v. Italy</w:t>
      </w:r>
      <w:r w:rsidRPr="00835718">
        <w:rPr>
          <w:rFonts w:ascii="Verdana" w:hAnsi="Verdana"/>
          <w:sz w:val="16"/>
          <w:szCs w:val="16"/>
          <w:lang w:val="en-US"/>
        </w:rPr>
        <w:t xml:space="preserve">, February 27, 1992, para. 17; </w:t>
      </w:r>
      <w:proofErr w:type="spellStart"/>
      <w:r w:rsidRPr="00835718">
        <w:rPr>
          <w:rFonts w:ascii="Verdana" w:hAnsi="Verdana"/>
          <w:i/>
          <w:sz w:val="16"/>
          <w:szCs w:val="16"/>
          <w:lang w:val="en-US"/>
        </w:rPr>
        <w:t>Doustaly</w:t>
      </w:r>
      <w:proofErr w:type="spellEnd"/>
      <w:r w:rsidRPr="00835718">
        <w:rPr>
          <w:rFonts w:ascii="Verdana" w:hAnsi="Verdana"/>
          <w:i/>
          <w:sz w:val="16"/>
          <w:szCs w:val="16"/>
          <w:lang w:val="en-US"/>
        </w:rPr>
        <w:t xml:space="preserve"> v. France</w:t>
      </w:r>
      <w:r w:rsidRPr="00835718">
        <w:rPr>
          <w:rFonts w:ascii="Verdana" w:hAnsi="Verdana"/>
          <w:sz w:val="16"/>
          <w:szCs w:val="16"/>
          <w:lang w:val="en-US"/>
        </w:rPr>
        <w:t xml:space="preserve">, April 23, 1998, para. 48; </w:t>
      </w:r>
      <w:proofErr w:type="spellStart"/>
      <w:r w:rsidRPr="00835718">
        <w:rPr>
          <w:rFonts w:ascii="Verdana" w:hAnsi="Verdana"/>
          <w:i/>
          <w:sz w:val="16"/>
          <w:szCs w:val="16"/>
          <w:lang w:val="en-US"/>
        </w:rPr>
        <w:t>Thlimmenos</w:t>
      </w:r>
      <w:proofErr w:type="spellEnd"/>
      <w:r w:rsidRPr="00835718">
        <w:rPr>
          <w:rFonts w:ascii="Verdana" w:hAnsi="Verdana"/>
          <w:i/>
          <w:sz w:val="16"/>
          <w:szCs w:val="16"/>
          <w:lang w:val="en-US"/>
        </w:rPr>
        <w:t xml:space="preserve"> v. Greece</w:t>
      </w:r>
      <w:r w:rsidRPr="00835718">
        <w:rPr>
          <w:rFonts w:ascii="Verdana" w:hAnsi="Verdana"/>
          <w:sz w:val="16"/>
          <w:szCs w:val="16"/>
          <w:lang w:val="en-US"/>
        </w:rPr>
        <w:t xml:space="preserve">, April 6, 2000, paras. 60 and 62; </w:t>
      </w:r>
      <w:proofErr w:type="spellStart"/>
      <w:r w:rsidRPr="00835718">
        <w:rPr>
          <w:rFonts w:ascii="Verdana" w:hAnsi="Verdana"/>
          <w:i/>
          <w:sz w:val="16"/>
          <w:szCs w:val="16"/>
          <w:lang w:val="en-US"/>
        </w:rPr>
        <w:t>Frydlender</w:t>
      </w:r>
      <w:proofErr w:type="spellEnd"/>
      <w:r w:rsidRPr="00835718">
        <w:rPr>
          <w:rFonts w:ascii="Verdana" w:hAnsi="Verdana"/>
          <w:i/>
          <w:sz w:val="16"/>
          <w:szCs w:val="16"/>
          <w:lang w:val="en-US"/>
        </w:rPr>
        <w:t xml:space="preserve"> v. France</w:t>
      </w:r>
      <w:r w:rsidRPr="00835718">
        <w:rPr>
          <w:rFonts w:ascii="Verdana" w:hAnsi="Verdana"/>
          <w:sz w:val="16"/>
          <w:szCs w:val="16"/>
          <w:lang w:val="en-US"/>
        </w:rPr>
        <w:t xml:space="preserve">, June 27, 2000, para. 45; </w:t>
      </w:r>
      <w:r w:rsidRPr="00835718">
        <w:rPr>
          <w:rFonts w:ascii="Verdana" w:hAnsi="Verdana"/>
          <w:i/>
          <w:sz w:val="16"/>
          <w:szCs w:val="16"/>
          <w:lang w:val="en-US"/>
        </w:rPr>
        <w:t>Garcia v. France</w:t>
      </w:r>
      <w:r w:rsidRPr="00835718">
        <w:rPr>
          <w:rFonts w:ascii="Verdana" w:hAnsi="Verdana"/>
          <w:sz w:val="16"/>
          <w:szCs w:val="16"/>
          <w:lang w:val="en-US"/>
        </w:rPr>
        <w:t xml:space="preserve">, September 26, 2000, para. 14; </w:t>
      </w:r>
      <w:r w:rsidRPr="00835718">
        <w:rPr>
          <w:rFonts w:ascii="Verdana" w:hAnsi="Verdana"/>
          <w:i/>
          <w:sz w:val="16"/>
          <w:szCs w:val="16"/>
          <w:lang w:val="en-US"/>
        </w:rPr>
        <w:t>Julien v. France</w:t>
      </w:r>
      <w:r w:rsidRPr="00835718">
        <w:rPr>
          <w:rFonts w:ascii="Verdana" w:hAnsi="Verdana"/>
          <w:sz w:val="16"/>
          <w:szCs w:val="16"/>
          <w:lang w:val="en-US"/>
        </w:rPr>
        <w:t xml:space="preserve">, April 8, 2003, para. 31, and </w:t>
      </w:r>
      <w:proofErr w:type="spellStart"/>
      <w:r w:rsidRPr="00835718">
        <w:rPr>
          <w:rFonts w:ascii="Verdana" w:hAnsi="Verdana"/>
          <w:i/>
          <w:sz w:val="16"/>
          <w:szCs w:val="16"/>
          <w:lang w:val="en-US"/>
        </w:rPr>
        <w:t>Sartory</w:t>
      </w:r>
      <w:proofErr w:type="spellEnd"/>
      <w:r w:rsidRPr="00835718">
        <w:rPr>
          <w:rFonts w:ascii="Verdana" w:hAnsi="Verdana"/>
          <w:i/>
          <w:sz w:val="16"/>
          <w:szCs w:val="16"/>
          <w:lang w:val="en-US"/>
        </w:rPr>
        <w:t xml:space="preserve"> v. France</w:t>
      </w:r>
      <w:r w:rsidRPr="00835718">
        <w:rPr>
          <w:rFonts w:ascii="Verdana" w:hAnsi="Verdana"/>
          <w:sz w:val="16"/>
          <w:szCs w:val="16"/>
          <w:lang w:val="en-US"/>
        </w:rPr>
        <w:t>, September 24, 2009, para. 34.</w:t>
      </w:r>
    </w:p>
  </w:footnote>
  <w:footnote w:id="289">
    <w:p w14:paraId="4D01F233"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ECSR, </w:t>
      </w:r>
      <w:r w:rsidRPr="00835718">
        <w:rPr>
          <w:i/>
        </w:rPr>
        <w:t>Cf.</w:t>
      </w:r>
      <w:r w:rsidRPr="00835718">
        <w:t xml:space="preserve"> </w:t>
      </w:r>
      <w:hyperlink r:id="rId10" w:anchor="{%22tabview%22:[%22document%22],%22ESCDcIdentifier%22:[%22cc-88-2012-dmerits-en%22]}" w:history="1">
        <w:r w:rsidRPr="00835718">
          <w:rPr>
            <w:rStyle w:val="Hipervnculo"/>
            <w:rFonts w:cs="Arial"/>
            <w:bCs/>
            <w:i/>
            <w:color w:val="000000"/>
            <w:shd w:val="clear" w:color="auto" w:fill="FFFFFF"/>
          </w:rPr>
          <w:t>Finnish Society of Social Rights v. Finland</w:t>
        </w:r>
        <w:r w:rsidRPr="00835718">
          <w:rPr>
            <w:rStyle w:val="Hipervnculo"/>
            <w:rFonts w:cs="Arial"/>
            <w:bCs/>
            <w:color w:val="000000"/>
            <w:shd w:val="clear" w:color="auto" w:fill="FFFFFF"/>
          </w:rPr>
          <w:t>, Decision on the Merits, Complaint No. 88/2012</w:t>
        </w:r>
      </w:hyperlink>
      <w:r w:rsidRPr="00835718">
        <w:t xml:space="preserve">, Decision of September 9, 2014, paras. 57 and 59 and </w:t>
      </w:r>
      <w:hyperlink r:id="rId11" w:anchor="{%22tabview%22:[%22document%22],%22ESCDcIdentifier%22:[%22cc-113-2014-dmerits-en%22]}" w:history="1">
        <w:proofErr w:type="spellStart"/>
        <w:r w:rsidRPr="00835718">
          <w:rPr>
            <w:rStyle w:val="Hipervnculo"/>
            <w:rFonts w:cs="Arial"/>
            <w:bCs/>
            <w:i/>
            <w:color w:val="000000"/>
            <w:shd w:val="clear" w:color="auto" w:fill="FFFFFF"/>
          </w:rPr>
          <w:t>Unione</w:t>
        </w:r>
        <w:proofErr w:type="spellEnd"/>
        <w:r w:rsidRPr="00835718">
          <w:rPr>
            <w:rStyle w:val="Hipervnculo"/>
            <w:rFonts w:cs="Arial"/>
            <w:bCs/>
            <w:i/>
            <w:color w:val="000000"/>
            <w:shd w:val="clear" w:color="auto" w:fill="FFFFFF"/>
          </w:rPr>
          <w:t xml:space="preserve"> </w:t>
        </w:r>
        <w:proofErr w:type="spellStart"/>
        <w:r w:rsidRPr="00835718">
          <w:rPr>
            <w:rStyle w:val="Hipervnculo"/>
            <w:rFonts w:cs="Arial"/>
            <w:bCs/>
            <w:i/>
            <w:color w:val="000000"/>
            <w:shd w:val="clear" w:color="auto" w:fill="FFFFFF"/>
          </w:rPr>
          <w:t>Italiana</w:t>
        </w:r>
        <w:proofErr w:type="spellEnd"/>
        <w:r w:rsidRPr="00835718">
          <w:rPr>
            <w:rStyle w:val="Hipervnculo"/>
            <w:rFonts w:cs="Arial"/>
            <w:bCs/>
            <w:i/>
            <w:color w:val="000000"/>
            <w:shd w:val="clear" w:color="auto" w:fill="FFFFFF"/>
          </w:rPr>
          <w:t xml:space="preserve"> del </w:t>
        </w:r>
        <w:proofErr w:type="spellStart"/>
        <w:r w:rsidRPr="00835718">
          <w:rPr>
            <w:rStyle w:val="Hipervnculo"/>
            <w:rFonts w:cs="Arial"/>
            <w:bCs/>
            <w:i/>
            <w:color w:val="000000"/>
            <w:shd w:val="clear" w:color="auto" w:fill="FFFFFF"/>
          </w:rPr>
          <w:t>Lavoro</w:t>
        </w:r>
        <w:proofErr w:type="spellEnd"/>
        <w:r w:rsidRPr="00835718">
          <w:rPr>
            <w:rStyle w:val="Hipervnculo"/>
            <w:rFonts w:cs="Arial"/>
            <w:bCs/>
            <w:i/>
            <w:color w:val="000000"/>
            <w:shd w:val="clear" w:color="auto" w:fill="FFFFFF"/>
          </w:rPr>
          <w:t xml:space="preserve"> U.I.L. </w:t>
        </w:r>
        <w:proofErr w:type="spellStart"/>
        <w:r w:rsidRPr="00835718">
          <w:rPr>
            <w:rStyle w:val="Hipervnculo"/>
            <w:rFonts w:cs="Arial"/>
            <w:bCs/>
            <w:i/>
            <w:color w:val="000000"/>
            <w:shd w:val="clear" w:color="auto" w:fill="FFFFFF"/>
          </w:rPr>
          <w:t>Scuola</w:t>
        </w:r>
        <w:proofErr w:type="spellEnd"/>
        <w:r w:rsidRPr="00835718">
          <w:rPr>
            <w:rStyle w:val="Hipervnculo"/>
            <w:rFonts w:cs="Arial"/>
            <w:bCs/>
            <w:i/>
            <w:color w:val="000000"/>
            <w:shd w:val="clear" w:color="auto" w:fill="FFFFFF"/>
          </w:rPr>
          <w:t>-Sicilia v. Italy</w:t>
        </w:r>
        <w:r w:rsidRPr="00835718">
          <w:rPr>
            <w:rStyle w:val="Hipervnculo"/>
            <w:rFonts w:cs="Arial"/>
            <w:bCs/>
            <w:color w:val="000000"/>
            <w:shd w:val="clear" w:color="auto" w:fill="FFFFFF"/>
          </w:rPr>
          <w:t>, Complaint No. 13/2014</w:t>
        </w:r>
      </w:hyperlink>
      <w:r w:rsidRPr="00835718">
        <w:t xml:space="preserve">, Decision on the merits, Decision of January 24, 201, para. 52. </w:t>
      </w:r>
    </w:p>
  </w:footnote>
  <w:footnote w:id="290">
    <w:p w14:paraId="5EB565F8" w14:textId="65D9C3AD" w:rsidR="00E6764B" w:rsidRDefault="00E6764B" w:rsidP="00CD2B15">
      <w:pPr>
        <w:pStyle w:val="NormalWeb"/>
        <w:spacing w:before="0" w:beforeAutospacing="0" w:after="120" w:afterAutospacing="0"/>
        <w:ind w:firstLine="14"/>
        <w:jc w:val="both"/>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t>“</w:t>
      </w:r>
      <w:r w:rsidRPr="00835718">
        <w:rPr>
          <w:rStyle w:val="normal10"/>
          <w:rFonts w:ascii="Verdana" w:eastAsia="Calibri" w:hAnsi="Verdana"/>
          <w:sz w:val="16"/>
          <w:szCs w:val="16"/>
          <w:lang w:val="en-US"/>
        </w:rPr>
        <w:t>With a view to ensuring the effective exercise of the right to social security, the Contracting Parties undertake:</w:t>
      </w:r>
      <w:r w:rsidRPr="00835718">
        <w:rPr>
          <w:rFonts w:ascii="Verdana" w:hAnsi="Verdana"/>
          <w:sz w:val="16"/>
          <w:szCs w:val="16"/>
          <w:lang w:val="en-US"/>
        </w:rPr>
        <w:t xml:space="preserve"> (1) </w:t>
      </w:r>
      <w:r w:rsidRPr="00835718">
        <w:rPr>
          <w:rStyle w:val="normal10"/>
          <w:rFonts w:ascii="Verdana" w:eastAsia="Calibri" w:hAnsi="Verdana"/>
          <w:sz w:val="16"/>
          <w:szCs w:val="16"/>
          <w:lang w:val="en-US"/>
        </w:rPr>
        <w:t>to establish or maintain a system of social security;</w:t>
      </w:r>
      <w:r w:rsidRPr="00835718">
        <w:rPr>
          <w:rFonts w:ascii="Verdana" w:hAnsi="Verdana"/>
          <w:sz w:val="16"/>
          <w:szCs w:val="16"/>
          <w:lang w:val="en-US"/>
        </w:rPr>
        <w:t xml:space="preserve"> (</w:t>
      </w:r>
      <w:r w:rsidRPr="00835718">
        <w:rPr>
          <w:rFonts w:ascii="Verdana" w:hAnsi="Verdana" w:cs="Arial"/>
          <w:sz w:val="16"/>
          <w:szCs w:val="16"/>
          <w:lang w:val="en-US"/>
        </w:rPr>
        <w:t xml:space="preserve">2) </w:t>
      </w:r>
      <w:r w:rsidRPr="00835718">
        <w:rPr>
          <w:rStyle w:val="normal10"/>
          <w:rFonts w:ascii="Verdana" w:eastAsia="Calibri" w:hAnsi="Verdana"/>
          <w:sz w:val="16"/>
          <w:szCs w:val="16"/>
          <w:lang w:val="en-US"/>
        </w:rPr>
        <w:t xml:space="preserve">to maintain the social security system at a satisfactory level at least equal to that required for ratification of International </w:t>
      </w:r>
      <w:proofErr w:type="spellStart"/>
      <w:r w:rsidRPr="00835718">
        <w:rPr>
          <w:rStyle w:val="normal10"/>
          <w:rFonts w:ascii="Verdana" w:eastAsia="Calibri" w:hAnsi="Verdana"/>
          <w:sz w:val="16"/>
          <w:szCs w:val="16"/>
          <w:lang w:val="en-US"/>
        </w:rPr>
        <w:t>Labour</w:t>
      </w:r>
      <w:proofErr w:type="spellEnd"/>
      <w:r w:rsidRPr="00835718">
        <w:rPr>
          <w:rStyle w:val="normal10"/>
          <w:rFonts w:ascii="Verdana" w:eastAsia="Calibri" w:hAnsi="Verdana"/>
          <w:sz w:val="16"/>
          <w:szCs w:val="16"/>
          <w:lang w:val="en-US"/>
        </w:rPr>
        <w:t xml:space="preserve"> Convention (No. 102) Concerning Minimum Standards of Social Security;</w:t>
      </w:r>
      <w:r w:rsidRPr="00835718">
        <w:rPr>
          <w:rFonts w:ascii="Verdana" w:hAnsi="Verdana"/>
          <w:sz w:val="16"/>
          <w:szCs w:val="16"/>
          <w:lang w:val="en-US"/>
        </w:rPr>
        <w:t xml:space="preserve"> (</w:t>
      </w:r>
      <w:r w:rsidRPr="00835718">
        <w:rPr>
          <w:rFonts w:ascii="Verdana" w:hAnsi="Verdana" w:cs="Arial"/>
          <w:sz w:val="16"/>
          <w:szCs w:val="16"/>
          <w:lang w:val="en-US"/>
        </w:rPr>
        <w:t xml:space="preserve">3) </w:t>
      </w:r>
      <w:r w:rsidRPr="00835718">
        <w:rPr>
          <w:rStyle w:val="normal10"/>
          <w:rFonts w:ascii="Verdana" w:eastAsia="Calibri" w:hAnsi="Verdana"/>
          <w:sz w:val="16"/>
          <w:szCs w:val="16"/>
          <w:lang w:val="en-US"/>
        </w:rPr>
        <w:t>to endeavor to raise progressively the system of social security to a higher level;</w:t>
      </w:r>
      <w:r w:rsidRPr="00835718">
        <w:rPr>
          <w:rFonts w:ascii="Verdana" w:hAnsi="Verdana"/>
          <w:sz w:val="16"/>
          <w:szCs w:val="16"/>
          <w:lang w:val="en-US"/>
        </w:rPr>
        <w:t xml:space="preserve"> </w:t>
      </w:r>
      <w:r w:rsidRPr="00835718">
        <w:rPr>
          <w:rFonts w:ascii="Verdana" w:hAnsi="Verdana" w:cs="Arial"/>
          <w:sz w:val="16"/>
          <w:szCs w:val="16"/>
          <w:lang w:val="en-US"/>
        </w:rPr>
        <w:t xml:space="preserve">(4) </w:t>
      </w:r>
      <w:r w:rsidRPr="00835718">
        <w:rPr>
          <w:rStyle w:val="normal10"/>
          <w:rFonts w:ascii="Verdana" w:eastAsia="Calibri" w:hAnsi="Verdana"/>
          <w:sz w:val="16"/>
          <w:szCs w:val="16"/>
          <w:lang w:val="en-US"/>
        </w:rPr>
        <w:t>to take steps, through the conclusion of appropriate bilateral and multilateral agreements, or by other means, and subject to the conditions laid down in such agreements, in order to ensure:</w:t>
      </w:r>
      <w:r w:rsidRPr="00835718">
        <w:rPr>
          <w:rFonts w:ascii="Verdana" w:hAnsi="Verdana"/>
          <w:sz w:val="16"/>
          <w:szCs w:val="16"/>
          <w:lang w:val="en-US"/>
        </w:rPr>
        <w:t xml:space="preserve"> (</w:t>
      </w:r>
      <w:r w:rsidRPr="00835718">
        <w:rPr>
          <w:rFonts w:ascii="Verdana" w:hAnsi="Verdana" w:cs="Arial"/>
          <w:sz w:val="16"/>
          <w:szCs w:val="16"/>
          <w:lang w:val="en-US"/>
        </w:rPr>
        <w:t xml:space="preserve">a) </w:t>
      </w:r>
      <w:r w:rsidRPr="00835718">
        <w:rPr>
          <w:rStyle w:val="normal10"/>
          <w:rFonts w:ascii="Verdana" w:eastAsia="Calibri" w:hAnsi="Verdana"/>
          <w:sz w:val="16"/>
          <w:szCs w:val="16"/>
          <w:lang w:val="en-US"/>
        </w:rPr>
        <w:t>equal treatment with their own nationals of the nationals of other Contracting Parties in respect of social security rights, including the retention of benefits arising out of social security legislation, whatever movements the persons protected may undertake between the territories of the Contracting Parties;</w:t>
      </w:r>
      <w:r w:rsidRPr="00835718">
        <w:rPr>
          <w:rFonts w:ascii="Verdana" w:hAnsi="Verdana"/>
          <w:sz w:val="16"/>
          <w:szCs w:val="16"/>
          <w:lang w:val="en-US"/>
        </w:rPr>
        <w:t xml:space="preserve"> (</w:t>
      </w:r>
      <w:r w:rsidRPr="00835718">
        <w:rPr>
          <w:rFonts w:ascii="Verdana" w:hAnsi="Verdana" w:cs="Arial"/>
          <w:sz w:val="16"/>
          <w:szCs w:val="16"/>
          <w:lang w:val="en-US"/>
        </w:rPr>
        <w:t xml:space="preserve">b) </w:t>
      </w:r>
      <w:r w:rsidRPr="00835718">
        <w:rPr>
          <w:rStyle w:val="normal10"/>
          <w:rFonts w:ascii="Verdana" w:eastAsia="Calibri" w:hAnsi="Verdana"/>
          <w:sz w:val="16"/>
          <w:szCs w:val="16"/>
          <w:lang w:val="en-US"/>
        </w:rPr>
        <w:t>the granting, maintenance and resumption of social security rights by such means as the accumulation of insurance or employment periods completed under the legislation of each of the Contracting Parties.”</w:t>
      </w:r>
      <w:r w:rsidRPr="00835718">
        <w:rPr>
          <w:rFonts w:ascii="Verdana" w:hAnsi="Verdana"/>
          <w:sz w:val="16"/>
          <w:szCs w:val="16"/>
          <w:lang w:val="en-US"/>
        </w:rPr>
        <w:t xml:space="preserve"> </w:t>
      </w:r>
    </w:p>
    <w:p w14:paraId="6E34AF5E" w14:textId="76389C16" w:rsidR="00E6764B" w:rsidRDefault="00E6764B" w:rsidP="00CD2B15">
      <w:pPr>
        <w:pStyle w:val="NormalWeb"/>
        <w:spacing w:before="0" w:beforeAutospacing="0" w:after="120" w:afterAutospacing="0"/>
        <w:ind w:firstLine="14"/>
        <w:jc w:val="both"/>
        <w:rPr>
          <w:rFonts w:ascii="Verdana" w:hAnsi="Verdana"/>
          <w:sz w:val="16"/>
          <w:szCs w:val="16"/>
          <w:lang w:val="en-US"/>
        </w:rPr>
      </w:pPr>
    </w:p>
    <w:p w14:paraId="74C8EA68" w14:textId="77777777" w:rsidR="00E6764B" w:rsidRPr="00835718" w:rsidRDefault="00E6764B" w:rsidP="00CD2B15">
      <w:pPr>
        <w:pStyle w:val="NormalWeb"/>
        <w:spacing w:before="0" w:beforeAutospacing="0" w:after="120" w:afterAutospacing="0"/>
        <w:ind w:firstLine="14"/>
        <w:jc w:val="both"/>
        <w:rPr>
          <w:rFonts w:ascii="Verdana" w:hAnsi="Verdana"/>
          <w:sz w:val="16"/>
          <w:szCs w:val="16"/>
          <w:lang w:val="en-US"/>
        </w:rPr>
      </w:pPr>
    </w:p>
  </w:footnote>
  <w:footnote w:id="291">
    <w:p w14:paraId="7015B3F5" w14:textId="77777777" w:rsidR="00E6764B" w:rsidRPr="00835718" w:rsidRDefault="00E6764B" w:rsidP="00CD2B15">
      <w:pPr>
        <w:pStyle w:val="Textonotapie"/>
      </w:pPr>
      <w:r w:rsidRPr="00835718">
        <w:rPr>
          <w:rStyle w:val="Refdenotaalpie"/>
          <w:sz w:val="16"/>
        </w:rPr>
        <w:footnoteRef/>
      </w:r>
      <w:r w:rsidRPr="00835718">
        <w:t xml:space="preserve"> </w:t>
      </w:r>
      <w:r w:rsidRPr="00835718">
        <w:tab/>
        <w:t xml:space="preserve">ECSR, </w:t>
      </w:r>
      <w:r w:rsidRPr="00835718">
        <w:rPr>
          <w:i/>
        </w:rPr>
        <w:t>Cf.</w:t>
      </w:r>
      <w:r w:rsidRPr="00835718">
        <w:t xml:space="preserve"> </w:t>
      </w:r>
      <w:hyperlink r:id="rId12" w:anchor="{%22tabview%22:[%22document%22],%22ESCDcIdentifier%22:[%22cc-88-2012-dmerits-en%22]}" w:history="1">
        <w:r w:rsidRPr="00835718">
          <w:rPr>
            <w:rStyle w:val="Hipervnculo"/>
            <w:rFonts w:cs="Arial"/>
            <w:bCs/>
            <w:i/>
            <w:color w:val="000000"/>
            <w:shd w:val="clear" w:color="auto" w:fill="FFFFFF"/>
          </w:rPr>
          <w:t>Finnish Society of Social Rights v. Finland</w:t>
        </w:r>
        <w:r w:rsidRPr="00835718">
          <w:rPr>
            <w:rStyle w:val="Hipervnculo"/>
            <w:rFonts w:cs="Arial"/>
            <w:bCs/>
            <w:color w:val="000000"/>
            <w:shd w:val="clear" w:color="auto" w:fill="FFFFFF"/>
          </w:rPr>
          <w:t>, Decision on the Merits, Complaint No. 88/2012</w:t>
        </w:r>
      </w:hyperlink>
      <w:r w:rsidRPr="00835718">
        <w:t xml:space="preserve">, Decision of September 9, 2014, paras. 57 and 59 and </w:t>
      </w:r>
      <w:hyperlink r:id="rId13" w:anchor="{%22tabview%22:[%22document%22],%22ESCDcIdentifier%22:[%22cc-113-2014-dmerits-en%22]}" w:history="1">
        <w:proofErr w:type="spellStart"/>
        <w:r w:rsidRPr="00835718">
          <w:rPr>
            <w:rStyle w:val="Hipervnculo"/>
            <w:rFonts w:cs="Arial"/>
            <w:bCs/>
            <w:i/>
            <w:color w:val="000000"/>
            <w:shd w:val="clear" w:color="auto" w:fill="FFFFFF"/>
          </w:rPr>
          <w:t>Unione</w:t>
        </w:r>
        <w:proofErr w:type="spellEnd"/>
        <w:r w:rsidRPr="00835718">
          <w:rPr>
            <w:rStyle w:val="Hipervnculo"/>
            <w:rFonts w:cs="Arial"/>
            <w:bCs/>
            <w:i/>
            <w:color w:val="000000"/>
            <w:shd w:val="clear" w:color="auto" w:fill="FFFFFF"/>
          </w:rPr>
          <w:t xml:space="preserve"> </w:t>
        </w:r>
        <w:proofErr w:type="spellStart"/>
        <w:r w:rsidRPr="00835718">
          <w:rPr>
            <w:rStyle w:val="Hipervnculo"/>
            <w:rFonts w:cs="Arial"/>
            <w:bCs/>
            <w:i/>
            <w:color w:val="000000"/>
            <w:shd w:val="clear" w:color="auto" w:fill="FFFFFF"/>
          </w:rPr>
          <w:t>Italiana</w:t>
        </w:r>
        <w:proofErr w:type="spellEnd"/>
        <w:r w:rsidRPr="00835718">
          <w:rPr>
            <w:rStyle w:val="Hipervnculo"/>
            <w:rFonts w:cs="Arial"/>
            <w:bCs/>
            <w:i/>
            <w:color w:val="000000"/>
            <w:shd w:val="clear" w:color="auto" w:fill="FFFFFF"/>
          </w:rPr>
          <w:t xml:space="preserve"> del </w:t>
        </w:r>
        <w:proofErr w:type="spellStart"/>
        <w:r w:rsidRPr="00835718">
          <w:rPr>
            <w:rStyle w:val="Hipervnculo"/>
            <w:rFonts w:cs="Arial"/>
            <w:bCs/>
            <w:i/>
            <w:color w:val="000000"/>
            <w:shd w:val="clear" w:color="auto" w:fill="FFFFFF"/>
          </w:rPr>
          <w:t>Lavoro</w:t>
        </w:r>
        <w:proofErr w:type="spellEnd"/>
        <w:r w:rsidRPr="00835718">
          <w:rPr>
            <w:rStyle w:val="Hipervnculo"/>
            <w:rFonts w:cs="Arial"/>
            <w:bCs/>
            <w:i/>
            <w:color w:val="000000"/>
            <w:shd w:val="clear" w:color="auto" w:fill="FFFFFF"/>
          </w:rPr>
          <w:t xml:space="preserve"> U.I.L. </w:t>
        </w:r>
        <w:proofErr w:type="spellStart"/>
        <w:r w:rsidRPr="00835718">
          <w:rPr>
            <w:rStyle w:val="Hipervnculo"/>
            <w:rFonts w:cs="Arial"/>
            <w:bCs/>
            <w:i/>
            <w:color w:val="000000"/>
            <w:shd w:val="clear" w:color="auto" w:fill="FFFFFF"/>
          </w:rPr>
          <w:t>Scuola</w:t>
        </w:r>
        <w:proofErr w:type="spellEnd"/>
        <w:r w:rsidRPr="00835718">
          <w:rPr>
            <w:rStyle w:val="Hipervnculo"/>
            <w:rFonts w:cs="Arial"/>
            <w:bCs/>
            <w:i/>
            <w:color w:val="000000"/>
            <w:shd w:val="clear" w:color="auto" w:fill="FFFFFF"/>
          </w:rPr>
          <w:t>-Sicilia v. Italy</w:t>
        </w:r>
        <w:r w:rsidRPr="00835718">
          <w:rPr>
            <w:rStyle w:val="Hipervnculo"/>
            <w:rFonts w:cs="Arial"/>
            <w:bCs/>
            <w:color w:val="000000"/>
            <w:shd w:val="clear" w:color="auto" w:fill="FFFFFF"/>
          </w:rPr>
          <w:t>, Complaint No. 13/2014</w:t>
        </w:r>
      </w:hyperlink>
      <w:r w:rsidRPr="00835718">
        <w:t>, Decision on the merits, Decision of January 24, 201, para. 52</w:t>
      </w:r>
    </w:p>
  </w:footnote>
  <w:footnote w:id="292">
    <w:p w14:paraId="0BA5A82E" w14:textId="77777777" w:rsidR="00E6764B" w:rsidRPr="00835718" w:rsidRDefault="00E6764B" w:rsidP="00CD2B15">
      <w:pPr>
        <w:pStyle w:val="NormalWeb"/>
        <w:spacing w:before="0" w:beforeAutospacing="0" w:after="120" w:afterAutospacing="0"/>
        <w:jc w:val="both"/>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t>“</w:t>
      </w:r>
      <w:r w:rsidRPr="00835718">
        <w:rPr>
          <w:rStyle w:val="normal10"/>
          <w:rFonts w:ascii="Verdana" w:eastAsia="Calibri" w:hAnsi="Verdana"/>
          <w:sz w:val="16"/>
          <w:szCs w:val="16"/>
          <w:lang w:val="en-US"/>
        </w:rPr>
        <w:t>With a view to ensuring the effective exercise of the right of employed women to protection, the Contracting Parties undertake:</w:t>
      </w:r>
      <w:r w:rsidRPr="00835718">
        <w:rPr>
          <w:rFonts w:ascii="Verdana" w:hAnsi="Verdana"/>
          <w:sz w:val="16"/>
          <w:szCs w:val="16"/>
          <w:lang w:val="en-US"/>
        </w:rPr>
        <w:t xml:space="preserve"> (</w:t>
      </w:r>
      <w:r w:rsidRPr="00835718">
        <w:rPr>
          <w:rFonts w:ascii="Verdana" w:hAnsi="Verdana" w:cs="Arial"/>
          <w:sz w:val="16"/>
          <w:szCs w:val="16"/>
          <w:lang w:val="en-US"/>
        </w:rPr>
        <w:t xml:space="preserve">1) </w:t>
      </w:r>
      <w:r w:rsidRPr="00835718">
        <w:rPr>
          <w:rStyle w:val="normal10"/>
          <w:rFonts w:ascii="Verdana" w:eastAsia="Calibri" w:hAnsi="Verdana"/>
          <w:sz w:val="16"/>
          <w:szCs w:val="16"/>
          <w:lang w:val="en-US"/>
        </w:rPr>
        <w:t>to provide either by paid leave, by adequate social security benefits or by benefits from public funds for women to take leave before and after childbirth up to a total of at least 12 weeks;</w:t>
      </w:r>
      <w:r w:rsidRPr="00835718">
        <w:rPr>
          <w:rFonts w:ascii="Verdana" w:hAnsi="Verdana"/>
          <w:sz w:val="16"/>
          <w:szCs w:val="16"/>
          <w:lang w:val="en-US"/>
        </w:rPr>
        <w:t xml:space="preserve"> (</w:t>
      </w:r>
      <w:r w:rsidRPr="00835718">
        <w:rPr>
          <w:rFonts w:ascii="Verdana" w:hAnsi="Verdana" w:cs="Arial"/>
          <w:sz w:val="16"/>
          <w:szCs w:val="16"/>
          <w:lang w:val="en-US"/>
        </w:rPr>
        <w:t xml:space="preserve">2) </w:t>
      </w:r>
      <w:r w:rsidRPr="00835718">
        <w:rPr>
          <w:rStyle w:val="normal10"/>
          <w:rFonts w:ascii="Verdana" w:eastAsia="Calibri" w:hAnsi="Verdana"/>
          <w:sz w:val="16"/>
          <w:szCs w:val="16"/>
          <w:lang w:val="en-US"/>
        </w:rPr>
        <w:t>to consider it as unlawful for an employer to give a woman notice of dismissal during her absence on maternity leave or to give her notice of dismissal at such a time that the notice would expire during such absence;</w:t>
      </w:r>
      <w:r w:rsidRPr="00835718">
        <w:rPr>
          <w:rFonts w:ascii="Verdana" w:hAnsi="Verdana"/>
          <w:sz w:val="16"/>
          <w:szCs w:val="16"/>
          <w:lang w:val="en-US"/>
        </w:rPr>
        <w:t xml:space="preserve"> (</w:t>
      </w:r>
      <w:r w:rsidRPr="00835718">
        <w:rPr>
          <w:rFonts w:ascii="Verdana" w:hAnsi="Verdana" w:cs="Arial"/>
          <w:sz w:val="16"/>
          <w:szCs w:val="16"/>
          <w:lang w:val="en-US"/>
        </w:rPr>
        <w:t xml:space="preserve">3) </w:t>
      </w:r>
      <w:r w:rsidRPr="00835718">
        <w:rPr>
          <w:rStyle w:val="normal10"/>
          <w:rFonts w:ascii="Verdana" w:eastAsia="Calibri" w:hAnsi="Verdana"/>
          <w:sz w:val="16"/>
          <w:szCs w:val="16"/>
          <w:lang w:val="en-US"/>
        </w:rPr>
        <w:t>to provide that mothers who are nursing their infants shall be entitled to sufficient time off for this purpose</w:t>
      </w:r>
      <w:r w:rsidRPr="00835718">
        <w:rPr>
          <w:rStyle w:val="normal10"/>
          <w:rFonts w:ascii="Verdana" w:eastAsiaTheme="majorEastAsia" w:hAnsi="Verdana"/>
          <w:sz w:val="16"/>
          <w:szCs w:val="16"/>
          <w:lang w:val="en-US"/>
        </w:rPr>
        <w:t>:</w:t>
      </w:r>
      <w:r w:rsidRPr="00835718">
        <w:rPr>
          <w:rFonts w:ascii="Verdana" w:hAnsi="Verdana"/>
          <w:sz w:val="16"/>
          <w:szCs w:val="16"/>
          <w:lang w:val="en-US"/>
        </w:rPr>
        <w:t xml:space="preserve"> (a) </w:t>
      </w:r>
      <w:r w:rsidRPr="00835718">
        <w:rPr>
          <w:rStyle w:val="normal10"/>
          <w:rFonts w:ascii="Verdana" w:eastAsia="Calibri" w:hAnsi="Verdana"/>
          <w:sz w:val="16"/>
          <w:szCs w:val="16"/>
          <w:lang w:val="en-US"/>
        </w:rPr>
        <w:t>to regulate the employment of women workers on night work in industrial employment;</w:t>
      </w:r>
      <w:r w:rsidRPr="00835718">
        <w:rPr>
          <w:rFonts w:ascii="Verdana" w:hAnsi="Verdana"/>
          <w:sz w:val="16"/>
          <w:szCs w:val="16"/>
          <w:lang w:val="en-US"/>
        </w:rPr>
        <w:t xml:space="preserve"> (</w:t>
      </w:r>
      <w:r w:rsidRPr="00835718">
        <w:rPr>
          <w:rFonts w:ascii="Verdana" w:hAnsi="Verdana" w:cs="Arial"/>
          <w:sz w:val="16"/>
          <w:szCs w:val="16"/>
          <w:lang w:val="en-US"/>
        </w:rPr>
        <w:t xml:space="preserve">b) </w:t>
      </w:r>
      <w:r w:rsidRPr="00835718">
        <w:rPr>
          <w:rStyle w:val="normal10"/>
          <w:rFonts w:ascii="Verdana" w:eastAsia="Calibri" w:hAnsi="Verdana"/>
          <w:sz w:val="16"/>
          <w:szCs w:val="16"/>
          <w:lang w:val="en-US"/>
        </w:rPr>
        <w:t>to prohibit the employment of women workers in underground mining, and, as appropriate, in all other work which is unsuitable for them by reason of its dangerous, unhealthy, or arduous nature.</w:t>
      </w:r>
      <w:r w:rsidRPr="00835718">
        <w:rPr>
          <w:rFonts w:ascii="Verdana" w:hAnsi="Verdana"/>
          <w:sz w:val="16"/>
          <w:szCs w:val="16"/>
          <w:lang w:val="en-US"/>
        </w:rPr>
        <w:t xml:space="preserve">” </w:t>
      </w:r>
    </w:p>
  </w:footnote>
  <w:footnote w:id="293">
    <w:p w14:paraId="6D31AF05" w14:textId="77777777" w:rsidR="00E6764B" w:rsidRPr="00835718" w:rsidRDefault="00E6764B" w:rsidP="00CD2B15">
      <w:pPr>
        <w:pStyle w:val="NormalWeb"/>
        <w:spacing w:before="0" w:beforeAutospacing="0" w:after="120" w:afterAutospacing="0"/>
        <w:jc w:val="both"/>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t>“</w:t>
      </w:r>
      <w:r w:rsidRPr="00835718">
        <w:rPr>
          <w:rStyle w:val="normal10"/>
          <w:rFonts w:ascii="Verdana" w:eastAsia="Calibri" w:hAnsi="Verdana"/>
          <w:sz w:val="16"/>
          <w:szCs w:val="16"/>
          <w:lang w:val="en-US"/>
        </w:rPr>
        <w:t>With a view to ensuring the effective exercise of the right to social and medical assistance, the Contracting Parties undertake:</w:t>
      </w:r>
      <w:r w:rsidRPr="00835718">
        <w:rPr>
          <w:rFonts w:ascii="Verdana" w:hAnsi="Verdana"/>
          <w:sz w:val="16"/>
          <w:szCs w:val="16"/>
          <w:lang w:val="en-US"/>
        </w:rPr>
        <w:t xml:space="preserve"> (</w:t>
      </w:r>
      <w:r w:rsidRPr="00835718">
        <w:rPr>
          <w:rFonts w:ascii="Verdana" w:hAnsi="Verdana" w:cs="Arial"/>
          <w:sz w:val="16"/>
          <w:szCs w:val="16"/>
          <w:lang w:val="en-US"/>
        </w:rPr>
        <w:t xml:space="preserve">1) </w:t>
      </w:r>
      <w:r w:rsidRPr="00835718">
        <w:rPr>
          <w:rStyle w:val="normal10"/>
          <w:rFonts w:ascii="Verdana" w:eastAsia="Calibri" w:hAnsi="Verdana"/>
          <w:sz w:val="16"/>
          <w:szCs w:val="16"/>
          <w:lang w:val="en-US"/>
        </w:rPr>
        <w:t>to ensure that any person who is without adequate resources and who is unable to secure such resources either by his own efforts or from other sources, in particular by benefits under a social security scheme, be granted adequate assistance, and, in case of sickness, the care necessitated by his condition;</w:t>
      </w:r>
      <w:r w:rsidRPr="00835718">
        <w:rPr>
          <w:rFonts w:ascii="Verdana" w:hAnsi="Verdana"/>
          <w:sz w:val="16"/>
          <w:szCs w:val="16"/>
          <w:lang w:val="en-US"/>
        </w:rPr>
        <w:t xml:space="preserve"> (</w:t>
      </w:r>
      <w:r w:rsidRPr="00835718">
        <w:rPr>
          <w:rFonts w:ascii="Verdana" w:hAnsi="Verdana" w:cs="Arial"/>
          <w:sz w:val="16"/>
          <w:szCs w:val="16"/>
          <w:lang w:val="en-US"/>
        </w:rPr>
        <w:t xml:space="preserve">2) </w:t>
      </w:r>
      <w:r w:rsidRPr="00835718">
        <w:rPr>
          <w:rStyle w:val="normal10"/>
          <w:rFonts w:ascii="Verdana" w:eastAsia="Calibri" w:hAnsi="Verdana"/>
          <w:sz w:val="16"/>
          <w:szCs w:val="16"/>
          <w:lang w:val="en-US"/>
        </w:rPr>
        <w:t>to ensure that persons receiving such assistance shall not, for that reason, suffer from a diminution of their political or social rights;</w:t>
      </w:r>
      <w:r w:rsidRPr="00835718">
        <w:rPr>
          <w:rFonts w:ascii="Verdana" w:hAnsi="Verdana"/>
          <w:sz w:val="16"/>
          <w:szCs w:val="16"/>
          <w:lang w:val="en-US"/>
        </w:rPr>
        <w:t xml:space="preserve"> (</w:t>
      </w:r>
      <w:r w:rsidRPr="00835718">
        <w:rPr>
          <w:rFonts w:ascii="Verdana" w:hAnsi="Verdana" w:cs="Arial"/>
          <w:sz w:val="16"/>
          <w:szCs w:val="16"/>
          <w:lang w:val="en-US"/>
        </w:rPr>
        <w:t xml:space="preserve">3) </w:t>
      </w:r>
      <w:r w:rsidRPr="00835718">
        <w:rPr>
          <w:rStyle w:val="normal10"/>
          <w:rFonts w:ascii="Verdana" w:eastAsia="Calibri" w:hAnsi="Verdana"/>
          <w:sz w:val="16"/>
          <w:szCs w:val="16"/>
          <w:lang w:val="en-US"/>
        </w:rPr>
        <w:t>to provide that everyone may receive by appropriate public or private services such advice and personal help as may be required to prevent, to remove, or to alleviate personal or family want;</w:t>
      </w:r>
      <w:r w:rsidRPr="00835718">
        <w:rPr>
          <w:rFonts w:ascii="Verdana" w:hAnsi="Verdana"/>
          <w:sz w:val="16"/>
          <w:szCs w:val="16"/>
          <w:lang w:val="en-US"/>
        </w:rPr>
        <w:t xml:space="preserve"> (</w:t>
      </w:r>
      <w:r w:rsidRPr="00835718">
        <w:rPr>
          <w:rFonts w:ascii="Verdana" w:hAnsi="Verdana" w:cs="Arial"/>
          <w:sz w:val="16"/>
          <w:szCs w:val="16"/>
          <w:lang w:val="en-US"/>
        </w:rPr>
        <w:t xml:space="preserve">4) </w:t>
      </w:r>
      <w:r w:rsidRPr="00835718">
        <w:rPr>
          <w:rStyle w:val="normal10"/>
          <w:rFonts w:ascii="Verdana" w:eastAsia="Calibri" w:hAnsi="Verdana"/>
          <w:sz w:val="16"/>
          <w:szCs w:val="16"/>
          <w:lang w:val="en-US"/>
        </w:rPr>
        <w:t>to apply the provisions referred to in paragraphs 1, 2 and 3 of this article on an equal footing with their nationals to nationals of other Contracting Parties lawfully within their territories, in accordance with their obligations under the European Convention on Social and Medical Assistance, signed at Paris on 11th December 1953.”</w:t>
      </w:r>
      <w:r w:rsidRPr="00835718">
        <w:rPr>
          <w:rFonts w:ascii="Verdana" w:hAnsi="Verdana"/>
          <w:sz w:val="16"/>
          <w:szCs w:val="16"/>
          <w:lang w:val="en-US"/>
        </w:rPr>
        <w:t xml:space="preserve"> </w:t>
      </w:r>
    </w:p>
  </w:footnote>
  <w:footnote w:id="294">
    <w:p w14:paraId="26144981" w14:textId="77777777" w:rsidR="00E6764B" w:rsidRPr="00835718" w:rsidRDefault="00E6764B" w:rsidP="00CD2B15">
      <w:pPr>
        <w:pStyle w:val="NormalWeb"/>
        <w:spacing w:before="0" w:beforeAutospacing="0" w:after="120" w:afterAutospacing="0"/>
        <w:jc w:val="both"/>
        <w:rPr>
          <w:rFonts w:ascii="Verdana" w:hAnsi="Verdana"/>
          <w:sz w:val="16"/>
          <w:szCs w:val="16"/>
          <w:lang w:val="en-US"/>
        </w:rPr>
      </w:pPr>
      <w:r w:rsidRPr="00835718">
        <w:rPr>
          <w:rStyle w:val="Refdenotaalpie"/>
          <w:sz w:val="16"/>
          <w:szCs w:val="16"/>
          <w:lang w:val="en-US"/>
        </w:rPr>
        <w:footnoteRef/>
      </w:r>
      <w:r w:rsidRPr="00835718">
        <w:rPr>
          <w:rFonts w:ascii="Verdana" w:hAnsi="Verdana"/>
          <w:sz w:val="16"/>
          <w:szCs w:val="16"/>
          <w:lang w:val="en-US"/>
        </w:rPr>
        <w:t xml:space="preserve"> </w:t>
      </w:r>
      <w:r w:rsidRPr="00835718">
        <w:rPr>
          <w:rFonts w:ascii="Verdana" w:hAnsi="Verdana"/>
          <w:sz w:val="16"/>
          <w:szCs w:val="16"/>
          <w:lang w:val="en-US"/>
        </w:rPr>
        <w:tab/>
        <w:t>Recommendation CM/Rec (2014) of the Committee of Ministers to member States on the promotion of human rights of older persons. Adopted by the Committee of Ministers on February 19, 2014, at the 1192</w:t>
      </w:r>
      <w:r w:rsidRPr="00835718">
        <w:rPr>
          <w:rFonts w:ascii="Verdana" w:hAnsi="Verdana"/>
          <w:sz w:val="16"/>
          <w:szCs w:val="16"/>
          <w:vertAlign w:val="superscript"/>
          <w:lang w:val="en-US"/>
        </w:rPr>
        <w:t>nd</w:t>
      </w:r>
      <w:r w:rsidRPr="00835718">
        <w:rPr>
          <w:rFonts w:ascii="Verdana" w:hAnsi="Verdana"/>
          <w:sz w:val="16"/>
          <w:szCs w:val="16"/>
          <w:lang w:val="en-US"/>
        </w:rPr>
        <w:t xml:space="preserve"> meeting of the Ministers’ Deputies. According to the first point of the appendix: “1. The purpose of the present recommendation is to promote, protect and ensure the full and equal enjoyment of all human rights and fundamental freedoms by all older persons, and to promote respect for their inherent dignity.</w:t>
      </w:r>
    </w:p>
  </w:footnote>
  <w:footnote w:id="295">
    <w:p w14:paraId="7354A8E9" w14:textId="77777777" w:rsidR="00E6764B" w:rsidRPr="00835718" w:rsidRDefault="00E6764B" w:rsidP="00CD2B15">
      <w:pPr>
        <w:pStyle w:val="Textonotapie"/>
        <w:rPr>
          <w:sz w:val="14"/>
          <w:szCs w:val="14"/>
        </w:rPr>
      </w:pPr>
      <w:r w:rsidRPr="00835718">
        <w:rPr>
          <w:rStyle w:val="Refdenotaalpie"/>
          <w:rFonts w:cs="Arial"/>
          <w:sz w:val="16"/>
        </w:rPr>
        <w:footnoteRef/>
      </w:r>
      <w:r w:rsidRPr="00835718">
        <w:t xml:space="preserve"> </w:t>
      </w:r>
      <w:r w:rsidRPr="00835718">
        <w:tab/>
        <w:t>Case of the "Five Pensioners" v. Peru. Merits, reparations and costs. Judgment of February 28, 2003. Series C No. 98, para. 94.</w:t>
      </w:r>
      <w:r w:rsidRPr="0056383C">
        <w:t xml:space="preserve"> </w:t>
      </w:r>
    </w:p>
  </w:footnote>
  <w:footnote w:id="296">
    <w:p w14:paraId="11E0E4B0" w14:textId="77777777" w:rsidR="00E6764B" w:rsidRPr="00D17A65" w:rsidRDefault="00E6764B" w:rsidP="00CD2B15">
      <w:pPr>
        <w:pStyle w:val="Textonotapie"/>
      </w:pPr>
      <w:r w:rsidRPr="00D17A65">
        <w:rPr>
          <w:rStyle w:val="Refdenotaalpie"/>
          <w:rFonts w:cs="Arial"/>
          <w:sz w:val="16"/>
        </w:rPr>
        <w:footnoteRef/>
      </w:r>
      <w:r w:rsidRPr="00D17A65">
        <w:t xml:space="preserve"> </w:t>
      </w:r>
      <w:r w:rsidRPr="00D17A65">
        <w:tab/>
        <w:t>Case of the "Five Pensioners" v. Peru. Merits, reparations and costs. Judgment of February 28, 2003. Series C No. 98, para. 95.</w:t>
      </w:r>
    </w:p>
  </w:footnote>
  <w:footnote w:id="297">
    <w:p w14:paraId="7BB1F918" w14:textId="77777777" w:rsidR="00E6764B" w:rsidRPr="00D17A65" w:rsidRDefault="00E6764B" w:rsidP="00CD2B15">
      <w:pPr>
        <w:pStyle w:val="Textonotapie"/>
      </w:pPr>
      <w:r w:rsidRPr="00D17A65">
        <w:rPr>
          <w:rStyle w:val="Refdenotaalpie"/>
          <w:rFonts w:cs="Arial"/>
          <w:sz w:val="16"/>
        </w:rPr>
        <w:footnoteRef/>
      </w:r>
      <w:r w:rsidRPr="00D17A65">
        <w:t xml:space="preserve"> </w:t>
      </w:r>
      <w:r w:rsidRPr="00D17A65">
        <w:tab/>
      </w:r>
      <w:r w:rsidRPr="00D17A65">
        <w:rPr>
          <w:i/>
        </w:rPr>
        <w:t>Case of the "Five Pensioners" v. Peru. Merits, reparations and costs.</w:t>
      </w:r>
      <w:r w:rsidRPr="00D17A65">
        <w:t xml:space="preserve"> Judgment of February 28, 2003. Series C No. 98, paras. 102 and 103.</w:t>
      </w:r>
    </w:p>
  </w:footnote>
  <w:footnote w:id="298">
    <w:p w14:paraId="75AE00A8" w14:textId="77777777" w:rsidR="00E6764B" w:rsidRPr="00D17A65" w:rsidRDefault="00E6764B" w:rsidP="00CD2B15">
      <w:pPr>
        <w:pStyle w:val="Prrafodelista"/>
        <w:tabs>
          <w:tab w:val="left" w:pos="0"/>
          <w:tab w:val="left" w:pos="567"/>
          <w:tab w:val="left" w:pos="709"/>
          <w:tab w:val="left" w:pos="9356"/>
        </w:tabs>
        <w:spacing w:after="120"/>
        <w:ind w:left="0" w:right="6"/>
        <w:rPr>
          <w:rFonts w:ascii="Verdana" w:eastAsiaTheme="minorEastAsia" w:hAnsi="Verdana" w:cs="Arial"/>
          <w:sz w:val="16"/>
          <w:szCs w:val="16"/>
          <w:lang w:val="en-US"/>
        </w:rPr>
      </w:pPr>
      <w:r w:rsidRPr="00D17A65">
        <w:rPr>
          <w:rStyle w:val="Refdenotaalpie"/>
          <w:rFonts w:cs="Arial"/>
          <w:sz w:val="16"/>
          <w:szCs w:val="16"/>
          <w:lang w:val="en-US"/>
        </w:rPr>
        <w:footnoteRef/>
      </w:r>
      <w:r w:rsidRPr="00D17A65">
        <w:rPr>
          <w:rFonts w:ascii="Verdana" w:hAnsi="Verdana" w:cs="Arial"/>
          <w:sz w:val="16"/>
          <w:szCs w:val="16"/>
          <w:lang w:val="en-US"/>
        </w:rPr>
        <w:t xml:space="preserve"> </w:t>
      </w:r>
      <w:r w:rsidRPr="00D17A65">
        <w:rPr>
          <w:rFonts w:ascii="Verdana" w:hAnsi="Verdana" w:cs="Arial"/>
          <w:sz w:val="16"/>
          <w:szCs w:val="16"/>
          <w:lang w:val="en-US"/>
        </w:rPr>
        <w:tab/>
      </w:r>
      <w:r w:rsidRPr="00D17A65">
        <w:rPr>
          <w:rFonts w:ascii="Verdana" w:hAnsi="Verdana" w:cs="Arial"/>
          <w:sz w:val="16"/>
          <w:szCs w:val="16"/>
          <w:lang w:val="en-US"/>
        </w:rPr>
        <w:tab/>
      </w:r>
      <w:r w:rsidRPr="00D17A65">
        <w:rPr>
          <w:rFonts w:ascii="Verdana" w:hAnsi="Verdana" w:cs="Arial"/>
          <w:bCs/>
          <w:i/>
          <w:sz w:val="16"/>
          <w:szCs w:val="16"/>
          <w:lang w:val="en-US"/>
        </w:rPr>
        <w:t>Case of the "Five Pensioners" v. Peru. Merits, reparations and costs.</w:t>
      </w:r>
      <w:r w:rsidRPr="00D17A65">
        <w:rPr>
          <w:rFonts w:ascii="Verdana" w:hAnsi="Verdana" w:cs="Arial"/>
          <w:bCs/>
          <w:sz w:val="16"/>
          <w:szCs w:val="16"/>
          <w:lang w:val="en-US"/>
        </w:rPr>
        <w:t xml:space="preserve"> Judgment of February 28, 2003. Series C No. 98, para. 116.</w:t>
      </w:r>
      <w:r w:rsidRPr="00D17A65">
        <w:rPr>
          <w:rFonts w:ascii="Verdana" w:eastAsiaTheme="minorEastAsia" w:hAnsi="Verdana" w:cs="Arial"/>
          <w:sz w:val="16"/>
          <w:szCs w:val="16"/>
          <w:lang w:val="en-US"/>
        </w:rPr>
        <w:t xml:space="preserve"> In other words, the Inter-American Court determined that, in order to restrict the right to an equalized pension it was necessary to: (a) </w:t>
      </w:r>
      <w:r w:rsidRPr="00D17A65">
        <w:rPr>
          <w:rFonts w:ascii="Verdana" w:hAnsi="Verdana" w:cs="Arial"/>
          <w:sz w:val="16"/>
          <w:szCs w:val="16"/>
          <w:lang w:val="en-US"/>
        </w:rPr>
        <w:t>execute an administrative procedure with full respect for the appropriate guarantees, and (b) in any event, given precedence to the decisions of the courts of justice over the administrative decisions. In the case of all five victims,</w:t>
      </w:r>
      <w:r w:rsidRPr="00D17A65">
        <w:rPr>
          <w:rFonts w:ascii="Verdana" w:eastAsiaTheme="minorEastAsia" w:hAnsi="Verdana" w:cs="Arial"/>
          <w:sz w:val="16"/>
          <w:szCs w:val="16"/>
          <w:lang w:val="en-US"/>
        </w:rPr>
        <w:t xml:space="preserve"> the Inter-American Court considered that neither of these two conditions had been met. </w:t>
      </w:r>
      <w:r w:rsidRPr="00D17A65">
        <w:rPr>
          <w:rFonts w:ascii="Verdana" w:hAnsi="Verdana" w:cs="Arial"/>
          <w:bCs/>
          <w:i/>
          <w:sz w:val="16"/>
          <w:szCs w:val="16"/>
          <w:lang w:val="en-US"/>
        </w:rPr>
        <w:t>Case of the "Five Pensioners" v. Peru. Merits, reparations and costs.</w:t>
      </w:r>
      <w:r w:rsidRPr="00D17A65">
        <w:rPr>
          <w:rFonts w:ascii="Verdana" w:hAnsi="Verdana" w:cs="Arial"/>
          <w:bCs/>
          <w:sz w:val="16"/>
          <w:szCs w:val="16"/>
          <w:lang w:val="en-US"/>
        </w:rPr>
        <w:t xml:space="preserve"> Judgment of February 28, 2003. Series C No. 98, paras. 117 and 118. </w:t>
      </w:r>
    </w:p>
  </w:footnote>
  <w:footnote w:id="299">
    <w:p w14:paraId="2F5C1F73" w14:textId="77777777" w:rsidR="00E6764B" w:rsidRPr="00D17A65" w:rsidRDefault="00E6764B" w:rsidP="00CD2B15">
      <w:pPr>
        <w:pStyle w:val="Textonotapie"/>
      </w:pPr>
      <w:r w:rsidRPr="00D17A65">
        <w:rPr>
          <w:rStyle w:val="Refdenotaalpie"/>
          <w:rFonts w:cs="Arial"/>
          <w:sz w:val="16"/>
        </w:rPr>
        <w:footnoteRef/>
      </w:r>
      <w:r w:rsidRPr="00D17A65">
        <w:t xml:space="preserve"> </w:t>
      </w:r>
      <w:r w:rsidRPr="00D17A65">
        <w:tab/>
      </w:r>
      <w:r w:rsidRPr="00D17A65">
        <w:rPr>
          <w:i/>
        </w:rPr>
        <w:t>Case of the "Five Pensioners" v. Peru. Merits, reparations and costs.</w:t>
      </w:r>
      <w:r w:rsidRPr="00D17A65">
        <w:t xml:space="preserve"> Judgment of February 28, 2003. Series C No. 98, paras. 138 and 141.</w:t>
      </w:r>
      <w:r w:rsidRPr="00D17A65">
        <w:rPr>
          <w:b/>
        </w:rPr>
        <w:t xml:space="preserve"> </w:t>
      </w:r>
    </w:p>
  </w:footnote>
  <w:footnote w:id="300">
    <w:p w14:paraId="7C2F4056" w14:textId="77777777" w:rsidR="00E6764B" w:rsidRPr="00D17A65" w:rsidRDefault="00E6764B" w:rsidP="00CD2B15">
      <w:pPr>
        <w:spacing w:after="120"/>
        <w:rPr>
          <w:rFonts w:ascii="Verdana" w:hAnsi="Verdana"/>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r>
      <w:r w:rsidRPr="00D17A65">
        <w:rPr>
          <w:rFonts w:ascii="Verdana" w:hAnsi="Verdana" w:cs="Arial"/>
          <w:color w:val="000000"/>
          <w:sz w:val="16"/>
          <w:szCs w:val="16"/>
          <w:lang w:val="en-US"/>
        </w:rPr>
        <w:t xml:space="preserve">Regarding the violation of Article 25 of the Pact of San José, the Court indicated that </w:t>
      </w:r>
      <w:r w:rsidRPr="00D17A65">
        <w:rPr>
          <w:rFonts w:ascii="Verdana" w:hAnsi="Verdana" w:cs="Arial"/>
          <w:sz w:val="16"/>
          <w:szCs w:val="16"/>
          <w:lang w:val="en-US"/>
        </w:rPr>
        <w:t xml:space="preserve">“72. In this sense, under the terms of Article 25 of the Convention, it is possible to identify two specific responsibilities of the State. The first is that the States have the responsibility to enact and ensure due application of effective remedies before the competent authorities that protect all persons subject to their jurisdiction from acts that violate their fundamental rights or that lead to the determination of the rights and obligations of the latter. The second is that States must guarantee effective mechanisms to execute the respective decisions and final judgments delivered by these competent authorities so that rights that are declared or recognized are protected effectively. And this is because a judgment that is </w:t>
      </w:r>
      <w:r w:rsidRPr="00D17A65">
        <w:rPr>
          <w:rFonts w:ascii="Verdana" w:hAnsi="Verdana" w:cs="Arial"/>
          <w:i/>
          <w:iCs/>
          <w:sz w:val="16"/>
          <w:szCs w:val="16"/>
          <w:lang w:val="en-US"/>
        </w:rPr>
        <w:t>res judicata</w:t>
      </w:r>
      <w:r w:rsidRPr="00D17A65">
        <w:rPr>
          <w:rFonts w:ascii="Verdana" w:hAnsi="Verdana" w:cs="Arial"/>
          <w:sz w:val="16"/>
          <w:szCs w:val="16"/>
          <w:lang w:val="en-US"/>
        </w:rPr>
        <w:t xml:space="preserve"> grants certainty regarding the right or dispute in question in the specific case and, therefore, one of its effects is its binding nature. The contrary would imply the denial of the right involved.” </w:t>
      </w:r>
      <w:r w:rsidRPr="00D17A65">
        <w:rPr>
          <w:rFonts w:ascii="Verdana" w:hAnsi="Verdana" w:cs="Arial"/>
          <w:bCs/>
          <w:i/>
          <w:sz w:val="16"/>
          <w:szCs w:val="16"/>
          <w:lang w:val="en-US"/>
        </w:rPr>
        <w:t xml:space="preserve">Case of Acevedo </w:t>
      </w:r>
      <w:proofErr w:type="spellStart"/>
      <w:r w:rsidRPr="00D17A65">
        <w:rPr>
          <w:rFonts w:ascii="Verdana" w:hAnsi="Verdana" w:cs="Arial"/>
          <w:bCs/>
          <w:i/>
          <w:sz w:val="16"/>
          <w:szCs w:val="16"/>
          <w:lang w:val="en-US"/>
        </w:rPr>
        <w:t>Buendía</w:t>
      </w:r>
      <w:proofErr w:type="spellEnd"/>
      <w:r w:rsidRPr="00D17A65">
        <w:rPr>
          <w:rFonts w:ascii="Verdana" w:hAnsi="Verdana" w:cs="Arial"/>
          <w:bCs/>
          <w:i/>
          <w:sz w:val="16"/>
          <w:szCs w:val="16"/>
          <w:lang w:val="en-US"/>
        </w:rPr>
        <w:t xml:space="preserve"> et al. (“Discharged and Retired Employees of the Comptroller’s Office”) v. Peru. Preliminary objection, merits, reparations and costs</w:t>
      </w:r>
      <w:r w:rsidRPr="00D17A65">
        <w:rPr>
          <w:rFonts w:ascii="Verdana" w:hAnsi="Verdana" w:cs="Arial"/>
          <w:bCs/>
          <w:sz w:val="16"/>
          <w:szCs w:val="16"/>
          <w:lang w:val="en-US"/>
        </w:rPr>
        <w:t xml:space="preserve">. Judgment of July 1, 2009. Series C No. 198, para. 72. </w:t>
      </w:r>
    </w:p>
  </w:footnote>
  <w:footnote w:id="301">
    <w:p w14:paraId="66381EE7" w14:textId="77777777" w:rsidR="00E6764B" w:rsidRDefault="00E6764B" w:rsidP="00CD2B15">
      <w:pPr>
        <w:spacing w:after="120"/>
        <w:rPr>
          <w:rFonts w:ascii="Verdana" w:hAnsi="Verdana" w:cs="Arial"/>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r>
      <w:r w:rsidRPr="00D17A65">
        <w:rPr>
          <w:rFonts w:ascii="Verdana" w:hAnsi="Verdana" w:cs="Arial"/>
          <w:color w:val="000000"/>
          <w:sz w:val="16"/>
          <w:szCs w:val="16"/>
          <w:lang w:val="en-US"/>
        </w:rPr>
        <w:t xml:space="preserve">With regard to the violation of Article 21 of the Pact of San José, the Court stipulated that: </w:t>
      </w:r>
      <w:r w:rsidRPr="00D17A65">
        <w:rPr>
          <w:rFonts w:ascii="Verdana" w:hAnsi="Verdana" w:cs="Arial"/>
          <w:i/>
          <w:sz w:val="16"/>
          <w:szCs w:val="16"/>
          <w:lang w:val="en-US"/>
        </w:rPr>
        <w:t>“</w:t>
      </w:r>
      <w:r w:rsidRPr="00D17A65">
        <w:rPr>
          <w:rFonts w:ascii="Verdana" w:hAnsi="Verdana" w:cs="Arial"/>
          <w:iCs/>
          <w:sz w:val="16"/>
          <w:szCs w:val="16"/>
          <w:lang w:val="en-US"/>
        </w:rPr>
        <w:t>85</w:t>
      </w:r>
      <w:bookmarkStart w:id="151" w:name="_Hlk36896702"/>
      <w:r w:rsidRPr="00D17A65">
        <w:rPr>
          <w:rFonts w:ascii="Verdana" w:hAnsi="Verdana" w:cs="Arial"/>
          <w:i/>
          <w:sz w:val="16"/>
          <w:szCs w:val="16"/>
          <w:lang w:val="en-US"/>
        </w:rPr>
        <w:t xml:space="preserve">. </w:t>
      </w:r>
      <w:bookmarkEnd w:id="151"/>
      <w:r w:rsidRPr="00D17A65">
        <w:rPr>
          <w:rFonts w:ascii="Verdana" w:hAnsi="Verdana" w:cs="Arial"/>
          <w:sz w:val="16"/>
          <w:szCs w:val="16"/>
          <w:lang w:val="en-US"/>
        </w:rPr>
        <w:t xml:space="preserve">In a case similar to this one, the Court declared a violation of the right to property based on the patrimonial damage caused by the State’s failure to comply with judgments that were intended to protect the right to a pension – a right that the </w:t>
      </w:r>
    </w:p>
    <w:p w14:paraId="3BC420F9" w14:textId="2EFE20AB" w:rsidR="00E6764B" w:rsidRPr="00D17A65" w:rsidRDefault="00E6764B" w:rsidP="00CD2B15">
      <w:pPr>
        <w:spacing w:after="120"/>
        <w:rPr>
          <w:rFonts w:ascii="Verdana" w:hAnsi="Verdana"/>
          <w:sz w:val="16"/>
          <w:szCs w:val="16"/>
          <w:lang w:val="en-US"/>
        </w:rPr>
      </w:pPr>
      <w:r w:rsidRPr="00D17A65">
        <w:rPr>
          <w:rFonts w:ascii="Verdana" w:hAnsi="Verdana" w:cs="Arial"/>
          <w:sz w:val="16"/>
          <w:szCs w:val="16"/>
          <w:lang w:val="en-US"/>
        </w:rPr>
        <w:t>victims in that case had acquired under domestic law. In its judgment, the Court found that, from the moment a pensioner pays his contributions to a pension fund and ceases to work for the institution concerned in order to benefit from the retirement regime established by law, he acquires the right that his pension will be governed by the terms and conditions established in that law. Furthermore, the Court declared that the right to a pension acquired by the individual produces “patrimonial effects,” and these are protected under Article 21 of the Convention. Consequently, in that case, the Court found that, by arbitrarily changing the amount of the pensions that the presumed victims had been receiving and by failing to comply with the judicial decisions handed down in relation to their applications for protective measures, the State violated the right to property recognized in Article 21 of the Convention.</w:t>
      </w:r>
      <w:r w:rsidRPr="00D17A65">
        <w:rPr>
          <w:rFonts w:ascii="Verdana" w:hAnsi="Verdana" w:cs="Arial"/>
          <w:i/>
          <w:sz w:val="16"/>
          <w:szCs w:val="16"/>
          <w:lang w:val="en-US"/>
        </w:rPr>
        <w:t>”</w:t>
      </w:r>
      <w:r w:rsidRPr="00D17A65">
        <w:rPr>
          <w:rFonts w:ascii="Verdana" w:hAnsi="Verdana" w:cs="Arial"/>
          <w:sz w:val="16"/>
          <w:szCs w:val="16"/>
          <w:lang w:val="en-US"/>
        </w:rPr>
        <w:t xml:space="preserve"> </w:t>
      </w:r>
      <w:r w:rsidRPr="00D17A65">
        <w:rPr>
          <w:rFonts w:ascii="Verdana" w:hAnsi="Verdana" w:cs="Arial"/>
          <w:bCs/>
          <w:i/>
          <w:sz w:val="16"/>
          <w:szCs w:val="16"/>
          <w:lang w:val="en-US"/>
        </w:rPr>
        <w:t xml:space="preserve">Case of Acevedo </w:t>
      </w:r>
      <w:proofErr w:type="spellStart"/>
      <w:r w:rsidRPr="00D17A65">
        <w:rPr>
          <w:rFonts w:ascii="Verdana" w:hAnsi="Verdana" w:cs="Arial"/>
          <w:bCs/>
          <w:i/>
          <w:sz w:val="16"/>
          <w:szCs w:val="16"/>
          <w:lang w:val="en-US"/>
        </w:rPr>
        <w:t>Buendía</w:t>
      </w:r>
      <w:proofErr w:type="spellEnd"/>
      <w:r w:rsidRPr="00D17A65">
        <w:rPr>
          <w:rFonts w:ascii="Verdana" w:hAnsi="Verdana" w:cs="Arial"/>
          <w:bCs/>
          <w:i/>
          <w:sz w:val="16"/>
          <w:szCs w:val="16"/>
          <w:lang w:val="en-US"/>
        </w:rPr>
        <w:t xml:space="preserve"> et al. (“Discharged and Retired Employees of the Comptroller’s Office”) v. Peru. Preliminary objection, merits, reparations and costs</w:t>
      </w:r>
      <w:r w:rsidRPr="00D17A65">
        <w:rPr>
          <w:rFonts w:ascii="Verdana" w:hAnsi="Verdana" w:cs="Arial"/>
          <w:bCs/>
          <w:sz w:val="16"/>
          <w:szCs w:val="16"/>
          <w:lang w:val="en-US"/>
        </w:rPr>
        <w:t>. Judgment of July 1, 2009. Series C No. 198, para. 85.</w:t>
      </w:r>
    </w:p>
  </w:footnote>
  <w:footnote w:id="302">
    <w:p w14:paraId="6E31C280" w14:textId="77777777" w:rsidR="00E6764B" w:rsidRPr="00D17A65" w:rsidRDefault="00E6764B" w:rsidP="00CD2B15">
      <w:pPr>
        <w:pStyle w:val="Textonotapie"/>
      </w:pPr>
      <w:r w:rsidRPr="00D17A65">
        <w:rPr>
          <w:rStyle w:val="Refdenotaalpie"/>
          <w:rFonts w:cs="Arial"/>
          <w:sz w:val="16"/>
        </w:rPr>
        <w:footnoteRef/>
      </w:r>
      <w:r w:rsidRPr="00D17A65">
        <w:t xml:space="preserve"> </w:t>
      </w:r>
      <w:r w:rsidRPr="00D17A65">
        <w:tab/>
        <w:t xml:space="preserve">Case of Acevedo </w:t>
      </w:r>
      <w:proofErr w:type="spellStart"/>
      <w:r w:rsidRPr="00D17A65">
        <w:t>Buendía</w:t>
      </w:r>
      <w:proofErr w:type="spellEnd"/>
      <w:r w:rsidRPr="00D17A65">
        <w:t xml:space="preserve"> et al. (“Discharged and Retired Employees of the Comptroller’s Office”) v. Peru. Preliminary objection, merits, reparations and costs. Judgment of July 1, 2009. Series C No. 198, para. 90. </w:t>
      </w:r>
    </w:p>
  </w:footnote>
  <w:footnote w:id="303">
    <w:p w14:paraId="05FFA4BC" w14:textId="77777777" w:rsidR="00E6764B" w:rsidRPr="00D17A65" w:rsidRDefault="00E6764B" w:rsidP="00CD2B15">
      <w:pPr>
        <w:pStyle w:val="Textonotapie"/>
      </w:pPr>
      <w:r w:rsidRPr="00D17A65">
        <w:rPr>
          <w:rStyle w:val="Refdenotaalpie"/>
          <w:rFonts w:cs="Arial"/>
          <w:sz w:val="16"/>
        </w:rPr>
        <w:footnoteRef/>
      </w:r>
      <w:r w:rsidRPr="00D17A65">
        <w:t xml:space="preserve"> </w:t>
      </w:r>
      <w:r w:rsidRPr="00D17A65">
        <w:tab/>
        <w:t>Case of Duque v. Colombia. Preliminary objections, merits, reparations and costs. Judgment of February 26, 2016. Series C No. 310, para. 124.</w:t>
      </w:r>
    </w:p>
  </w:footnote>
  <w:footnote w:id="304">
    <w:p w14:paraId="3B5F7A11" w14:textId="77777777" w:rsidR="00E6764B" w:rsidRPr="00D17A65" w:rsidRDefault="00E6764B" w:rsidP="00CD2B15">
      <w:pPr>
        <w:pStyle w:val="Textonotapie"/>
      </w:pPr>
      <w:r w:rsidRPr="00D17A65">
        <w:rPr>
          <w:rStyle w:val="Refdenotaalpie"/>
          <w:rFonts w:cs="Arial"/>
          <w:sz w:val="16"/>
        </w:rPr>
        <w:footnoteRef/>
      </w:r>
      <w:r w:rsidRPr="00D17A65">
        <w:t xml:space="preserve"> </w:t>
      </w:r>
      <w:r w:rsidRPr="00D17A65">
        <w:tab/>
        <w:t xml:space="preserve">Case of Duque v. Colombia. Preliminary objections, merits, reparations and costs. Judgment of February 26, 2016. Series C No. 310, para. 125. </w:t>
      </w:r>
    </w:p>
  </w:footnote>
  <w:footnote w:id="305">
    <w:p w14:paraId="58DAB9BD" w14:textId="77777777" w:rsidR="00E6764B" w:rsidRPr="00D17A65" w:rsidRDefault="00E6764B" w:rsidP="00CD2B15">
      <w:pPr>
        <w:pStyle w:val="Textonotapie"/>
      </w:pPr>
      <w:r w:rsidRPr="00D17A65">
        <w:rPr>
          <w:rStyle w:val="Refdenotaalpie"/>
          <w:sz w:val="16"/>
        </w:rPr>
        <w:footnoteRef/>
      </w:r>
      <w:r w:rsidRPr="00D17A65">
        <w:tab/>
      </w:r>
      <w:r w:rsidRPr="00D17A65">
        <w:rPr>
          <w:i/>
          <w:iCs/>
        </w:rPr>
        <w:t>Case of Lagos del Campo v. Peru</w:t>
      </w:r>
      <w:r w:rsidRPr="00D17A65">
        <w:t xml:space="preserve">. </w:t>
      </w:r>
      <w:r w:rsidRPr="00D17A65">
        <w:rPr>
          <w:i/>
        </w:rPr>
        <w:t>Preliminary objections, merits, reparations and costs.</w:t>
      </w:r>
      <w:r w:rsidRPr="00D17A65">
        <w:t xml:space="preserve"> Judgment of August 31, 2017. Series C No. 340, para. 154 and fifth operative paragraph.</w:t>
      </w:r>
    </w:p>
  </w:footnote>
  <w:footnote w:id="306">
    <w:p w14:paraId="5A146026" w14:textId="77777777" w:rsidR="00E6764B" w:rsidRPr="00D17A65" w:rsidRDefault="00E6764B" w:rsidP="00CD2B15">
      <w:pPr>
        <w:pStyle w:val="Textonotapie"/>
      </w:pPr>
      <w:r w:rsidRPr="00D17A65">
        <w:rPr>
          <w:rStyle w:val="Refdenotaalpie"/>
          <w:sz w:val="16"/>
        </w:rPr>
        <w:footnoteRef/>
      </w:r>
      <w:r w:rsidRPr="00D17A65">
        <w:rPr>
          <w:lang w:val="es-CR"/>
        </w:rPr>
        <w:t xml:space="preserve"> </w:t>
      </w:r>
      <w:r w:rsidRPr="00D17A65">
        <w:rPr>
          <w:lang w:val="es-CR"/>
        </w:rPr>
        <w:tab/>
        <w:t xml:space="preserve">Case </w:t>
      </w:r>
      <w:proofErr w:type="spellStart"/>
      <w:r w:rsidRPr="00D17A65">
        <w:rPr>
          <w:lang w:val="es-CR"/>
        </w:rPr>
        <w:t>of</w:t>
      </w:r>
      <w:proofErr w:type="spellEnd"/>
      <w:r w:rsidRPr="00D17A65">
        <w:rPr>
          <w:lang w:val="es-CR"/>
        </w:rPr>
        <w:t xml:space="preserve"> Lagos del Campo v. </w:t>
      </w:r>
      <w:proofErr w:type="spellStart"/>
      <w:r w:rsidRPr="00D17A65">
        <w:rPr>
          <w:lang w:val="es-CR"/>
        </w:rPr>
        <w:t>Peru</w:t>
      </w:r>
      <w:proofErr w:type="spellEnd"/>
      <w:r w:rsidRPr="00D17A65">
        <w:rPr>
          <w:lang w:val="es-CR"/>
        </w:rPr>
        <w:t xml:space="preserve">. </w:t>
      </w:r>
      <w:r w:rsidRPr="00D17A65">
        <w:t>Preliminary objections, merits, reparations and costs. Judgment of August 31, 2017. Series C No. 340, para. 151.</w:t>
      </w:r>
    </w:p>
  </w:footnote>
  <w:footnote w:id="307">
    <w:p w14:paraId="5AB97F80"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Case of Lagos del Campo v. Peru. Preliminary objections, merits, reparations and costs. Judgment of August 31, 2017. Series C No. 340, paras. 142 and 145; Case of the Dismissed Employees of </w:t>
      </w:r>
      <w:proofErr w:type="spellStart"/>
      <w:r w:rsidRPr="00D17A65">
        <w:t>Petroperú</w:t>
      </w:r>
      <w:proofErr w:type="spellEnd"/>
      <w:r w:rsidRPr="00D17A65">
        <w:t xml:space="preserve"> et al. v. Peru. Preliminary objections, merits, reparations and costs. Judgment of November 23, 2017. Series C No. 344, para. 192; and Case of San Miguel Sosa et al. v. Venezuela. Merits, reparations and costs. Judgment of February 8, 2018. Series C No. 348, para. 220.</w:t>
      </w:r>
    </w:p>
  </w:footnote>
  <w:footnote w:id="308">
    <w:p w14:paraId="195D2858" w14:textId="77777777" w:rsidR="00E6764B" w:rsidRPr="00D17A65" w:rsidRDefault="00E6764B" w:rsidP="00CD2B15">
      <w:pPr>
        <w:pStyle w:val="Prrafodelista"/>
        <w:tabs>
          <w:tab w:val="left" w:pos="720"/>
        </w:tabs>
        <w:spacing w:after="120"/>
        <w:ind w:left="0"/>
        <w:contextualSpacing w:val="0"/>
        <w:outlineLvl w:val="1"/>
        <w:rPr>
          <w:rFonts w:ascii="Verdana" w:hAnsi="Verdana"/>
          <w:i/>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r>
      <w:r w:rsidRPr="00D17A65">
        <w:rPr>
          <w:rFonts w:ascii="Verdana" w:hAnsi="Verdana"/>
          <w:i/>
          <w:sz w:val="16"/>
          <w:szCs w:val="16"/>
          <w:lang w:val="en-US"/>
        </w:rPr>
        <w:t xml:space="preserve">Case of Poblete </w:t>
      </w:r>
      <w:proofErr w:type="spellStart"/>
      <w:r w:rsidRPr="00D17A65">
        <w:rPr>
          <w:rFonts w:ascii="Verdana" w:hAnsi="Verdana"/>
          <w:i/>
          <w:sz w:val="16"/>
          <w:szCs w:val="16"/>
          <w:lang w:val="en-US"/>
        </w:rPr>
        <w:t>Vilches</w:t>
      </w:r>
      <w:proofErr w:type="spellEnd"/>
      <w:r w:rsidRPr="00D17A65">
        <w:rPr>
          <w:rFonts w:ascii="Verdana" w:hAnsi="Verdana"/>
          <w:i/>
          <w:sz w:val="16"/>
          <w:szCs w:val="16"/>
          <w:lang w:val="en-US"/>
        </w:rPr>
        <w:t xml:space="preserve"> et al. v. Chile. Merits, reparations and costs</w:t>
      </w:r>
      <w:r w:rsidRPr="00D17A65">
        <w:rPr>
          <w:rFonts w:ascii="Verdana" w:hAnsi="Verdana"/>
          <w:sz w:val="16"/>
          <w:szCs w:val="16"/>
          <w:lang w:val="en-US"/>
        </w:rPr>
        <w:t>. Judgment of March 8, 2018. Series C No. 349, para. 100;</w:t>
      </w:r>
      <w:r w:rsidRPr="00D17A65">
        <w:rPr>
          <w:rStyle w:val="Textoennegrita"/>
          <w:sz w:val="16"/>
          <w:szCs w:val="16"/>
          <w:shd w:val="clear" w:color="auto" w:fill="FFFFFF"/>
        </w:rPr>
        <w:t xml:space="preserve"> </w:t>
      </w:r>
      <w:r w:rsidRPr="00D17A65">
        <w:rPr>
          <w:rStyle w:val="Textoennegrita"/>
          <w:b w:val="0"/>
          <w:bCs w:val="0"/>
          <w:sz w:val="16"/>
          <w:szCs w:val="16"/>
          <w:shd w:val="clear" w:color="auto" w:fill="FFFFFF"/>
        </w:rPr>
        <w:t xml:space="preserve">and </w:t>
      </w:r>
      <w:r w:rsidRPr="00D17A65">
        <w:rPr>
          <w:rStyle w:val="Textoennegrita"/>
          <w:b w:val="0"/>
          <w:bCs w:val="0"/>
          <w:i/>
          <w:color w:val="000000"/>
          <w:sz w:val="16"/>
          <w:szCs w:val="16"/>
          <w:shd w:val="clear" w:color="auto" w:fill="FFFFFF"/>
        </w:rPr>
        <w:t xml:space="preserve">Case </w:t>
      </w:r>
      <w:proofErr w:type="spellStart"/>
      <w:r w:rsidRPr="00D17A65">
        <w:rPr>
          <w:rStyle w:val="Textoennegrita"/>
          <w:b w:val="0"/>
          <w:bCs w:val="0"/>
          <w:i/>
          <w:color w:val="000000"/>
          <w:sz w:val="16"/>
          <w:szCs w:val="16"/>
          <w:shd w:val="clear" w:color="auto" w:fill="FFFFFF"/>
        </w:rPr>
        <w:t>of</w:t>
      </w:r>
      <w:proofErr w:type="spellEnd"/>
      <w:r w:rsidRPr="00D17A65">
        <w:rPr>
          <w:rStyle w:val="Textoennegrita"/>
          <w:b w:val="0"/>
          <w:bCs w:val="0"/>
          <w:i/>
          <w:color w:val="000000"/>
          <w:sz w:val="16"/>
          <w:szCs w:val="16"/>
          <w:shd w:val="clear" w:color="auto" w:fill="FFFFFF"/>
        </w:rPr>
        <w:t xml:space="preserve"> </w:t>
      </w:r>
      <w:proofErr w:type="spellStart"/>
      <w:r w:rsidRPr="00D17A65">
        <w:rPr>
          <w:rStyle w:val="Textoennegrita"/>
          <w:b w:val="0"/>
          <w:bCs w:val="0"/>
          <w:i/>
          <w:color w:val="000000"/>
          <w:sz w:val="16"/>
          <w:szCs w:val="16"/>
          <w:shd w:val="clear" w:color="auto" w:fill="FFFFFF"/>
        </w:rPr>
        <w:t>Cuscul</w:t>
      </w:r>
      <w:proofErr w:type="spellEnd"/>
      <w:r w:rsidRPr="00D17A65">
        <w:rPr>
          <w:rStyle w:val="Textoennegrita"/>
          <w:b w:val="0"/>
          <w:bCs w:val="0"/>
          <w:i/>
          <w:color w:val="000000"/>
          <w:sz w:val="16"/>
          <w:szCs w:val="16"/>
          <w:shd w:val="clear" w:color="auto" w:fill="FFFFFF"/>
        </w:rPr>
        <w:t xml:space="preserve"> Pivaral et al. v. Guatemala. </w:t>
      </w:r>
      <w:proofErr w:type="spellStart"/>
      <w:r w:rsidRPr="00D17A65">
        <w:rPr>
          <w:rStyle w:val="Textoennegrita"/>
          <w:b w:val="0"/>
          <w:bCs w:val="0"/>
          <w:i/>
          <w:color w:val="000000"/>
          <w:sz w:val="16"/>
          <w:szCs w:val="16"/>
          <w:shd w:val="clear" w:color="auto" w:fill="FFFFFF"/>
        </w:rPr>
        <w:t>Preliminary</w:t>
      </w:r>
      <w:proofErr w:type="spellEnd"/>
      <w:r w:rsidRPr="00D17A65">
        <w:rPr>
          <w:rStyle w:val="Textoennegrita"/>
          <w:b w:val="0"/>
          <w:bCs w:val="0"/>
          <w:i/>
          <w:color w:val="000000"/>
          <w:sz w:val="16"/>
          <w:szCs w:val="16"/>
          <w:shd w:val="clear" w:color="auto" w:fill="FFFFFF"/>
        </w:rPr>
        <w:t xml:space="preserve"> </w:t>
      </w:r>
      <w:proofErr w:type="spellStart"/>
      <w:r w:rsidRPr="00D17A65">
        <w:rPr>
          <w:rStyle w:val="Textoennegrita"/>
          <w:b w:val="0"/>
          <w:bCs w:val="0"/>
          <w:i/>
          <w:color w:val="000000"/>
          <w:sz w:val="16"/>
          <w:szCs w:val="16"/>
          <w:shd w:val="clear" w:color="auto" w:fill="FFFFFF"/>
        </w:rPr>
        <w:t>objection</w:t>
      </w:r>
      <w:proofErr w:type="spellEnd"/>
      <w:r w:rsidRPr="00D17A65">
        <w:rPr>
          <w:rStyle w:val="Textoennegrita"/>
          <w:b w:val="0"/>
          <w:bCs w:val="0"/>
          <w:i/>
          <w:color w:val="000000"/>
          <w:sz w:val="16"/>
          <w:szCs w:val="16"/>
          <w:shd w:val="clear" w:color="auto" w:fill="FFFFFF"/>
        </w:rPr>
        <w:t xml:space="preserve">, </w:t>
      </w:r>
      <w:proofErr w:type="spellStart"/>
      <w:r w:rsidRPr="00D17A65">
        <w:rPr>
          <w:rStyle w:val="Textoennegrita"/>
          <w:b w:val="0"/>
          <w:bCs w:val="0"/>
          <w:i/>
          <w:color w:val="000000"/>
          <w:sz w:val="16"/>
          <w:szCs w:val="16"/>
          <w:shd w:val="clear" w:color="auto" w:fill="FFFFFF"/>
        </w:rPr>
        <w:t>merits</w:t>
      </w:r>
      <w:proofErr w:type="spellEnd"/>
      <w:r w:rsidRPr="00D17A65">
        <w:rPr>
          <w:rStyle w:val="Textoennegrita"/>
          <w:b w:val="0"/>
          <w:bCs w:val="0"/>
          <w:i/>
          <w:color w:val="000000"/>
          <w:sz w:val="16"/>
          <w:szCs w:val="16"/>
          <w:shd w:val="clear" w:color="auto" w:fill="FFFFFF"/>
        </w:rPr>
        <w:t xml:space="preserve">, </w:t>
      </w:r>
      <w:proofErr w:type="spellStart"/>
      <w:r w:rsidRPr="00D17A65">
        <w:rPr>
          <w:rStyle w:val="Textoennegrita"/>
          <w:b w:val="0"/>
          <w:bCs w:val="0"/>
          <w:i/>
          <w:color w:val="000000"/>
          <w:sz w:val="16"/>
          <w:szCs w:val="16"/>
          <w:shd w:val="clear" w:color="auto" w:fill="FFFFFF"/>
        </w:rPr>
        <w:t>reparations</w:t>
      </w:r>
      <w:proofErr w:type="spellEnd"/>
      <w:r w:rsidRPr="00D17A65">
        <w:rPr>
          <w:rStyle w:val="Textoennegrita"/>
          <w:b w:val="0"/>
          <w:bCs w:val="0"/>
          <w:i/>
          <w:color w:val="000000"/>
          <w:sz w:val="16"/>
          <w:szCs w:val="16"/>
          <w:shd w:val="clear" w:color="auto" w:fill="FFFFFF"/>
        </w:rPr>
        <w:t xml:space="preserve"> and </w:t>
      </w:r>
      <w:proofErr w:type="spellStart"/>
      <w:r w:rsidRPr="00D17A65">
        <w:rPr>
          <w:rStyle w:val="Textoennegrita"/>
          <w:b w:val="0"/>
          <w:bCs w:val="0"/>
          <w:i/>
          <w:color w:val="000000"/>
          <w:sz w:val="16"/>
          <w:szCs w:val="16"/>
          <w:shd w:val="clear" w:color="auto" w:fill="FFFFFF"/>
        </w:rPr>
        <w:t>costs</w:t>
      </w:r>
      <w:proofErr w:type="spellEnd"/>
      <w:r w:rsidRPr="00D17A65">
        <w:rPr>
          <w:rStyle w:val="Textoennegrita"/>
          <w:b w:val="0"/>
          <w:bCs w:val="0"/>
          <w:i/>
          <w:color w:val="000000"/>
          <w:sz w:val="16"/>
          <w:szCs w:val="16"/>
          <w:shd w:val="clear" w:color="auto" w:fill="FFFFFF"/>
        </w:rPr>
        <w:t>.</w:t>
      </w:r>
      <w:r w:rsidRPr="00D17A65">
        <w:rPr>
          <w:rStyle w:val="Textoennegrita"/>
          <w:b w:val="0"/>
          <w:bCs w:val="0"/>
          <w:color w:val="000000"/>
          <w:sz w:val="16"/>
          <w:szCs w:val="16"/>
          <w:shd w:val="clear" w:color="auto" w:fill="FFFFFF"/>
        </w:rPr>
        <w:t xml:space="preserve"> </w:t>
      </w:r>
      <w:proofErr w:type="spellStart"/>
      <w:r w:rsidRPr="00D17A65">
        <w:rPr>
          <w:rStyle w:val="Textoennegrita"/>
          <w:b w:val="0"/>
          <w:bCs w:val="0"/>
          <w:color w:val="000000"/>
          <w:sz w:val="16"/>
          <w:szCs w:val="16"/>
          <w:shd w:val="clear" w:color="auto" w:fill="FFFFFF"/>
        </w:rPr>
        <w:t>Judgment</w:t>
      </w:r>
      <w:proofErr w:type="spellEnd"/>
      <w:r w:rsidRPr="00D17A65">
        <w:rPr>
          <w:rStyle w:val="Textoennegrita"/>
          <w:b w:val="0"/>
          <w:bCs w:val="0"/>
          <w:color w:val="000000"/>
          <w:sz w:val="16"/>
          <w:szCs w:val="16"/>
          <w:shd w:val="clear" w:color="auto" w:fill="FFFFFF"/>
        </w:rPr>
        <w:t xml:space="preserve"> </w:t>
      </w:r>
      <w:proofErr w:type="spellStart"/>
      <w:r w:rsidRPr="00D17A65">
        <w:rPr>
          <w:rStyle w:val="Textoennegrita"/>
          <w:b w:val="0"/>
          <w:bCs w:val="0"/>
          <w:color w:val="000000"/>
          <w:sz w:val="16"/>
          <w:szCs w:val="16"/>
          <w:shd w:val="clear" w:color="auto" w:fill="FFFFFF"/>
        </w:rPr>
        <w:t>of</w:t>
      </w:r>
      <w:proofErr w:type="spellEnd"/>
      <w:r w:rsidRPr="00D17A65">
        <w:rPr>
          <w:rStyle w:val="Textoennegrita"/>
          <w:b w:val="0"/>
          <w:bCs w:val="0"/>
          <w:color w:val="000000"/>
          <w:sz w:val="16"/>
          <w:szCs w:val="16"/>
          <w:shd w:val="clear" w:color="auto" w:fill="FFFFFF"/>
        </w:rPr>
        <w:t xml:space="preserve"> August 23, 2018. Series C No. 359</w:t>
      </w:r>
      <w:r w:rsidRPr="00D17A65">
        <w:rPr>
          <w:rFonts w:ascii="Verdana" w:hAnsi="Verdana"/>
          <w:b/>
          <w:bCs/>
          <w:i/>
          <w:sz w:val="16"/>
          <w:szCs w:val="16"/>
          <w:lang w:val="en-US"/>
        </w:rPr>
        <w:t>,</w:t>
      </w:r>
      <w:r w:rsidRPr="00D17A65">
        <w:rPr>
          <w:rFonts w:ascii="Verdana" w:hAnsi="Verdana"/>
          <w:i/>
          <w:sz w:val="16"/>
          <w:szCs w:val="16"/>
          <w:lang w:val="en-US"/>
        </w:rPr>
        <w:t xml:space="preserve"> </w:t>
      </w:r>
      <w:r w:rsidRPr="00D17A65">
        <w:rPr>
          <w:rFonts w:ascii="Verdana" w:hAnsi="Verdana"/>
          <w:sz w:val="16"/>
          <w:szCs w:val="16"/>
          <w:lang w:val="en-US"/>
        </w:rPr>
        <w:t>paras. 75 to 97</w:t>
      </w:r>
      <w:r w:rsidRPr="00D17A65">
        <w:rPr>
          <w:rFonts w:ascii="Verdana" w:hAnsi="Verdana"/>
          <w:i/>
          <w:sz w:val="16"/>
          <w:szCs w:val="16"/>
          <w:lang w:val="en-US"/>
        </w:rPr>
        <w:t>.</w:t>
      </w:r>
    </w:p>
  </w:footnote>
  <w:footnote w:id="309">
    <w:p w14:paraId="25E17F74" w14:textId="77777777" w:rsidR="00E6764B" w:rsidRPr="00D17A65" w:rsidRDefault="00E6764B" w:rsidP="00CD2B15">
      <w:pPr>
        <w:pStyle w:val="Prrafodelista"/>
        <w:tabs>
          <w:tab w:val="left" w:pos="720"/>
        </w:tabs>
        <w:spacing w:after="120"/>
        <w:ind w:left="0"/>
        <w:outlineLvl w:val="1"/>
        <w:rPr>
          <w:rFonts w:ascii="Verdana" w:hAnsi="Verdana"/>
          <w:i/>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t xml:space="preserve">See </w:t>
      </w:r>
      <w:r w:rsidRPr="00D17A65">
        <w:rPr>
          <w:rFonts w:ascii="Verdana" w:hAnsi="Verdana"/>
          <w:i/>
          <w:sz w:val="16"/>
          <w:szCs w:val="16"/>
          <w:lang w:val="en-US"/>
        </w:rPr>
        <w:t>supra</w:t>
      </w:r>
      <w:r w:rsidRPr="00D17A65">
        <w:rPr>
          <w:rFonts w:ascii="Verdana" w:hAnsi="Verdana"/>
          <w:sz w:val="16"/>
          <w:szCs w:val="16"/>
          <w:lang w:val="en-US"/>
        </w:rPr>
        <w:t>, paras. 3 to 5 of this opinion.</w:t>
      </w:r>
    </w:p>
  </w:footnote>
  <w:footnote w:id="310">
    <w:p w14:paraId="56E3438E" w14:textId="77777777" w:rsidR="00E6764B" w:rsidRPr="0056383C" w:rsidRDefault="00E6764B" w:rsidP="00CD2B15">
      <w:pPr>
        <w:pStyle w:val="Textonotapie"/>
      </w:pPr>
      <w:r w:rsidRPr="00D17A65">
        <w:rPr>
          <w:rStyle w:val="Refdenotaalpie"/>
          <w:sz w:val="16"/>
        </w:rPr>
        <w:footnoteRef/>
      </w:r>
      <w:r w:rsidRPr="00D17A65">
        <w:t xml:space="preserve"> </w:t>
      </w:r>
      <w:r w:rsidRPr="00D17A65">
        <w:tab/>
        <w:t xml:space="preserve">Cf. Case of </w:t>
      </w:r>
      <w:proofErr w:type="spellStart"/>
      <w:r w:rsidRPr="00D17A65">
        <w:t>Muelle</w:t>
      </w:r>
      <w:proofErr w:type="spellEnd"/>
      <w:r w:rsidRPr="00D17A65">
        <w:t xml:space="preserve"> Flores v. Peru. Preliminary objections, merits, reparations and costs. Judgment of March 6, 2019. Series C No. 375, para. 183.</w:t>
      </w:r>
      <w:r w:rsidRPr="0056383C">
        <w:t xml:space="preserve"> </w:t>
      </w:r>
    </w:p>
  </w:footnote>
  <w:footnote w:id="311">
    <w:p w14:paraId="67A38430" w14:textId="77777777" w:rsidR="00E6764B" w:rsidRPr="00D17A65" w:rsidRDefault="00E6764B" w:rsidP="00CD2B15">
      <w:pPr>
        <w:pStyle w:val="Textonotapie"/>
      </w:pPr>
      <w:r w:rsidRPr="00D17A65">
        <w:rPr>
          <w:rStyle w:val="Refdenotaalpie"/>
          <w:sz w:val="16"/>
        </w:rPr>
        <w:footnoteRef/>
      </w:r>
      <w:r w:rsidRPr="00D17A65">
        <w:t xml:space="preserve"> </w:t>
      </w:r>
      <w:r w:rsidRPr="00D17A65">
        <w:tab/>
      </w:r>
      <w:r w:rsidRPr="00D17A65">
        <w:rPr>
          <w:rStyle w:val="Textoennegrita"/>
          <w:color w:val="000000"/>
          <w:shd w:val="clear" w:color="auto" w:fill="FFFFFF"/>
        </w:rPr>
        <w:t xml:space="preserve"> </w:t>
      </w:r>
      <w:r w:rsidRPr="00D17A65">
        <w:t xml:space="preserve">Cf. Case of </w:t>
      </w:r>
      <w:proofErr w:type="spellStart"/>
      <w:r w:rsidRPr="00D17A65">
        <w:t>Muelle</w:t>
      </w:r>
      <w:proofErr w:type="spellEnd"/>
      <w:r w:rsidRPr="00D17A65">
        <w:t xml:space="preserve"> Flores v. Peru. Preliminary objections, merits, reparations and costs. Judgment of March 6, 2019. Series C No. 375, paras. 190, 191 and 202. </w:t>
      </w:r>
    </w:p>
  </w:footnote>
  <w:footnote w:id="312">
    <w:p w14:paraId="07130AF8" w14:textId="77777777" w:rsidR="00E6764B" w:rsidRPr="00D17A65" w:rsidRDefault="00E6764B" w:rsidP="00CD2B15">
      <w:pPr>
        <w:pStyle w:val="Textonotapie"/>
        <w:rPr>
          <w:b/>
          <w:bCs/>
        </w:rPr>
      </w:pPr>
      <w:r w:rsidRPr="00D17A65">
        <w:rPr>
          <w:rStyle w:val="Refdenotaalpie"/>
          <w:sz w:val="16"/>
        </w:rPr>
        <w:footnoteRef/>
      </w:r>
      <w:r w:rsidRPr="00D17A65">
        <w:t xml:space="preserve"> </w:t>
      </w:r>
      <w:r w:rsidRPr="00D17A65">
        <w:tab/>
        <w:t xml:space="preserve">For example, in the </w:t>
      </w:r>
      <w:r w:rsidRPr="00D17A65">
        <w:rPr>
          <w:i/>
          <w:iCs/>
        </w:rPr>
        <w:t>Case of</w:t>
      </w:r>
      <w:r w:rsidRPr="00D17A65">
        <w:t xml:space="preserve"> </w:t>
      </w:r>
      <w:proofErr w:type="spellStart"/>
      <w:r w:rsidRPr="00D17A65">
        <w:rPr>
          <w:i/>
        </w:rPr>
        <w:t>Vereda</w:t>
      </w:r>
      <w:proofErr w:type="spellEnd"/>
      <w:r w:rsidRPr="00D17A65">
        <w:rPr>
          <w:i/>
        </w:rPr>
        <w:t xml:space="preserve"> La Esperanza v. Colombia</w:t>
      </w:r>
      <w:r w:rsidRPr="00D17A65">
        <w:t xml:space="preserve">, the Inter-American Court used a similar approach in relation to Article 21 of the American Convention with regard to the possibility of differentiating the right to property and the right to housing. It indicated that: “Consequently, this Court finds it necessary to make some additional clarifications regarding the inviolability of the home and privacy from the perspective of Article 11(2) of the Convention and with regard to the right to housing, the latter taking into account that, even though every home can be protected by the right to property, not all property is necessarily a home […].” Cf. </w:t>
      </w:r>
      <w:r w:rsidRPr="00D17A65">
        <w:rPr>
          <w:rStyle w:val="Textoennegrita"/>
          <w:b w:val="0"/>
          <w:bCs w:val="0"/>
          <w:i/>
          <w:color w:val="000000"/>
          <w:shd w:val="clear" w:color="auto" w:fill="FFFFFF"/>
        </w:rPr>
        <w:t xml:space="preserve">Case of </w:t>
      </w:r>
      <w:proofErr w:type="spellStart"/>
      <w:r w:rsidRPr="00D17A65">
        <w:rPr>
          <w:rStyle w:val="Textoennegrita"/>
          <w:b w:val="0"/>
          <w:bCs w:val="0"/>
          <w:i/>
          <w:color w:val="000000"/>
          <w:shd w:val="clear" w:color="auto" w:fill="FFFFFF"/>
        </w:rPr>
        <w:t>Vereda</w:t>
      </w:r>
      <w:proofErr w:type="spellEnd"/>
      <w:r w:rsidRPr="00D17A65">
        <w:rPr>
          <w:rStyle w:val="Textoennegrita"/>
          <w:b w:val="0"/>
          <w:bCs w:val="0"/>
          <w:i/>
          <w:color w:val="000000"/>
          <w:shd w:val="clear" w:color="auto" w:fill="FFFFFF"/>
        </w:rPr>
        <w:t xml:space="preserve"> La Esperanza v. Colombia. Preliminary objections, merits, reparations and costs</w:t>
      </w:r>
      <w:r w:rsidRPr="00D17A65">
        <w:rPr>
          <w:rStyle w:val="Textoennegrita"/>
          <w:b w:val="0"/>
          <w:bCs w:val="0"/>
          <w:color w:val="000000"/>
          <w:shd w:val="clear" w:color="auto" w:fill="FFFFFF"/>
        </w:rPr>
        <w:t>. Judgment of August 31, 2017. Series C No. 341, para. 241. It should be pointed out that the Inter-American Court did not declare that the right to housing had been violated autonomously in that judgment.</w:t>
      </w:r>
    </w:p>
  </w:footnote>
  <w:footnote w:id="313">
    <w:p w14:paraId="0098844B" w14:textId="77777777" w:rsidR="00E6764B" w:rsidRPr="00D17A65" w:rsidRDefault="00E6764B" w:rsidP="00CD2B15">
      <w:pPr>
        <w:pStyle w:val="Textonotapie"/>
      </w:pPr>
      <w:r w:rsidRPr="00D17A65">
        <w:rPr>
          <w:rStyle w:val="Refdenotaalpie"/>
          <w:sz w:val="16"/>
        </w:rPr>
        <w:footnoteRef/>
      </w:r>
      <w:r w:rsidRPr="00D17A65">
        <w:t xml:space="preserve"> </w:t>
      </w:r>
      <w:r w:rsidRPr="00D17A65">
        <w:tab/>
      </w:r>
      <w:r w:rsidRPr="00D17A65">
        <w:rPr>
          <w:i/>
        </w:rPr>
        <w:t xml:space="preserve">Cf. </w:t>
      </w:r>
      <w:r w:rsidRPr="00D17A65">
        <w:t xml:space="preserve">UN, Committee on Economic, Social and Cultural Rights, General Comment No. 19, </w:t>
      </w:r>
      <w:r w:rsidRPr="00D17A65">
        <w:rPr>
          <w:i/>
          <w:iCs/>
        </w:rPr>
        <w:t>The right to social security (Article 9)</w:t>
      </w:r>
      <w:r w:rsidRPr="00D17A65">
        <w:t>, February 4, 2008, para. 2</w:t>
      </w:r>
    </w:p>
  </w:footnote>
  <w:footnote w:id="314">
    <w:p w14:paraId="7617ED8F"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Cf. Case of </w:t>
      </w:r>
      <w:proofErr w:type="spellStart"/>
      <w:r w:rsidRPr="00D17A65">
        <w:t>Muelle</w:t>
      </w:r>
      <w:proofErr w:type="spellEnd"/>
      <w:r w:rsidRPr="00D17A65">
        <w:t xml:space="preserve"> Flores v. Peru. Preliminary objections, merits, reparations and costs. Judgment of March 6, 2019. Series C No. 375, para. 218. </w:t>
      </w:r>
    </w:p>
  </w:footnote>
  <w:footnote w:id="315">
    <w:p w14:paraId="0F018F9F" w14:textId="77777777" w:rsidR="00E6764B" w:rsidRPr="00D17A65" w:rsidRDefault="00E6764B" w:rsidP="00CD2B15">
      <w:pPr>
        <w:pStyle w:val="Textonotapie"/>
      </w:pPr>
      <w:r w:rsidRPr="00D17A65">
        <w:rPr>
          <w:rStyle w:val="Refdenotaalpie"/>
          <w:sz w:val="16"/>
        </w:rPr>
        <w:footnoteRef/>
      </w:r>
      <w:r w:rsidRPr="00D17A65">
        <w:t xml:space="preserve"> </w:t>
      </w:r>
      <w:r w:rsidRPr="00D17A65">
        <w:tab/>
      </w:r>
      <w:r w:rsidRPr="00D17A65">
        <w:rPr>
          <w:i/>
        </w:rPr>
        <w:t xml:space="preserve">Cf. Case of </w:t>
      </w:r>
      <w:proofErr w:type="spellStart"/>
      <w:r w:rsidRPr="00D17A65">
        <w:rPr>
          <w:i/>
        </w:rPr>
        <w:t>Muelle</w:t>
      </w:r>
      <w:proofErr w:type="spellEnd"/>
      <w:r w:rsidRPr="00D17A65">
        <w:rPr>
          <w:i/>
        </w:rPr>
        <w:t xml:space="preserve"> Flores v. Peru. Preliminary objections, merits, reparations and costs. </w:t>
      </w:r>
      <w:r w:rsidRPr="00D17A65">
        <w:t xml:space="preserve">Judgment of March 6, 2019. Series C No. 375, fifth and sixth operative paragraphs and paras. 171 to 209 and 213 to 219.  </w:t>
      </w:r>
    </w:p>
  </w:footnote>
  <w:footnote w:id="316">
    <w:p w14:paraId="49EF91C4" w14:textId="77777777" w:rsidR="00E6764B" w:rsidRPr="0056383C" w:rsidRDefault="00E6764B" w:rsidP="00CD2B15">
      <w:pPr>
        <w:pStyle w:val="Textonotapie"/>
      </w:pPr>
      <w:r w:rsidRPr="00D17A65">
        <w:rPr>
          <w:rStyle w:val="Refdenotaalpie"/>
          <w:sz w:val="16"/>
        </w:rPr>
        <w:footnoteRef/>
      </w:r>
      <w:r w:rsidRPr="00D17A65">
        <w:t xml:space="preserve"> </w:t>
      </w:r>
      <w:r w:rsidRPr="00D17A65">
        <w:tab/>
      </w:r>
      <w:r w:rsidRPr="00D17A65">
        <w:rPr>
          <w:rStyle w:val="Textoennegrita"/>
          <w:b w:val="0"/>
          <w:bCs w:val="0"/>
          <w:i/>
          <w:color w:val="000000"/>
          <w:shd w:val="clear" w:color="auto" w:fill="FFFFFF"/>
        </w:rPr>
        <w:t xml:space="preserve">Case of </w:t>
      </w:r>
      <w:proofErr w:type="spellStart"/>
      <w:r w:rsidRPr="00D17A65">
        <w:rPr>
          <w:rStyle w:val="Textoennegrita"/>
          <w:b w:val="0"/>
          <w:bCs w:val="0"/>
          <w:i/>
          <w:color w:val="000000"/>
          <w:shd w:val="clear" w:color="auto" w:fill="FFFFFF"/>
        </w:rPr>
        <w:t>Cuscul</w:t>
      </w:r>
      <w:proofErr w:type="spellEnd"/>
      <w:r w:rsidRPr="00D17A65">
        <w:rPr>
          <w:rStyle w:val="Textoennegrita"/>
          <w:b w:val="0"/>
          <w:bCs w:val="0"/>
          <w:i/>
          <w:color w:val="000000"/>
          <w:shd w:val="clear" w:color="auto" w:fill="FFFFFF"/>
        </w:rPr>
        <w:t xml:space="preserve"> </w:t>
      </w:r>
      <w:proofErr w:type="spellStart"/>
      <w:r w:rsidRPr="00D17A65">
        <w:rPr>
          <w:rStyle w:val="Textoennegrita"/>
          <w:b w:val="0"/>
          <w:bCs w:val="0"/>
          <w:i/>
          <w:color w:val="000000"/>
          <w:shd w:val="clear" w:color="auto" w:fill="FFFFFF"/>
        </w:rPr>
        <w:t>Pivaral</w:t>
      </w:r>
      <w:proofErr w:type="spellEnd"/>
      <w:r w:rsidRPr="00D17A65">
        <w:rPr>
          <w:rStyle w:val="Textoennegrita"/>
          <w:b w:val="0"/>
          <w:bCs w:val="0"/>
          <w:i/>
          <w:color w:val="000000"/>
          <w:shd w:val="clear" w:color="auto" w:fill="FFFFFF"/>
        </w:rPr>
        <w:t xml:space="preserve"> et al. v. Guatemala. Preliminary objection, merits, reparations and costs.</w:t>
      </w:r>
      <w:r w:rsidRPr="00D17A65">
        <w:rPr>
          <w:rStyle w:val="Textoennegrita"/>
          <w:color w:val="000000"/>
          <w:shd w:val="clear" w:color="auto" w:fill="FFFFFF"/>
        </w:rPr>
        <w:t xml:space="preserve"> </w:t>
      </w:r>
      <w:r w:rsidRPr="00D17A65">
        <w:rPr>
          <w:rStyle w:val="Textoennegrita"/>
          <w:b w:val="0"/>
          <w:bCs w:val="0"/>
          <w:color w:val="000000"/>
          <w:shd w:val="clear" w:color="auto" w:fill="FFFFFF"/>
        </w:rPr>
        <w:t>Judgment of</w:t>
      </w:r>
      <w:r w:rsidRPr="00D17A65">
        <w:rPr>
          <w:rStyle w:val="Textoennegrita"/>
          <w:shd w:val="clear" w:color="auto" w:fill="FFFFFF"/>
        </w:rPr>
        <w:t xml:space="preserve"> </w:t>
      </w:r>
      <w:r w:rsidRPr="00D17A65">
        <w:rPr>
          <w:rStyle w:val="Textoennegrita"/>
          <w:b w:val="0"/>
          <w:bCs w:val="0"/>
          <w:shd w:val="clear" w:color="auto" w:fill="FFFFFF"/>
        </w:rPr>
        <w:t>August 23, 2018. Series C No. 359, para.</w:t>
      </w:r>
      <w:r w:rsidRPr="00D17A65">
        <w:rPr>
          <w:rStyle w:val="Textoennegrita"/>
          <w:shd w:val="clear" w:color="auto" w:fill="FFFFFF"/>
        </w:rPr>
        <w:t xml:space="preserve"> </w:t>
      </w:r>
      <w:r w:rsidRPr="00D17A65">
        <w:t>97.</w:t>
      </w:r>
      <w:r w:rsidRPr="0056383C">
        <w:t xml:space="preserve"> </w:t>
      </w:r>
    </w:p>
  </w:footnote>
  <w:footnote w:id="317">
    <w:p w14:paraId="06B7DF3A" w14:textId="77777777" w:rsidR="00E6764B" w:rsidRPr="0056383C" w:rsidRDefault="00E6764B" w:rsidP="00CD2B15">
      <w:pPr>
        <w:pStyle w:val="Textonotapie"/>
      </w:pPr>
      <w:r w:rsidRPr="00D17A65">
        <w:rPr>
          <w:rStyle w:val="Refdenotaalpie"/>
          <w:sz w:val="16"/>
        </w:rPr>
        <w:footnoteRef/>
      </w:r>
      <w:r w:rsidRPr="00D17A65">
        <w:t xml:space="preserve"> </w:t>
      </w:r>
      <w:r w:rsidRPr="0056383C">
        <w:tab/>
        <w:t xml:space="preserve">For example, the Court has recently interpreted the scope of Article 6 of the American Convention. See, </w:t>
      </w:r>
      <w:r w:rsidRPr="00CD2B15">
        <w:rPr>
          <w:rStyle w:val="Textoennegrita"/>
          <w:b w:val="0"/>
          <w:bCs w:val="0"/>
          <w:i/>
          <w:shd w:val="clear" w:color="auto" w:fill="FFFFFF"/>
        </w:rPr>
        <w:t xml:space="preserve">Case of Hacienda </w:t>
      </w:r>
      <w:proofErr w:type="spellStart"/>
      <w:r w:rsidRPr="00CD2B15">
        <w:rPr>
          <w:rStyle w:val="Textoennegrita"/>
          <w:b w:val="0"/>
          <w:bCs w:val="0"/>
          <w:i/>
          <w:shd w:val="clear" w:color="auto" w:fill="FFFFFF"/>
        </w:rPr>
        <w:t>Brasil</w:t>
      </w:r>
      <w:proofErr w:type="spellEnd"/>
      <w:r w:rsidRPr="00CD2B15">
        <w:rPr>
          <w:rStyle w:val="Textoennegrita"/>
          <w:b w:val="0"/>
          <w:bCs w:val="0"/>
          <w:i/>
          <w:shd w:val="clear" w:color="auto" w:fill="FFFFFF"/>
        </w:rPr>
        <w:t xml:space="preserve"> Verde Workers v. Brazil. Preliminary objections, merits, reparations and costs</w:t>
      </w:r>
      <w:r w:rsidRPr="00CD2B15">
        <w:rPr>
          <w:rStyle w:val="Textoennegrita"/>
          <w:b w:val="0"/>
          <w:bCs w:val="0"/>
          <w:shd w:val="clear" w:color="auto" w:fill="FFFFFF"/>
        </w:rPr>
        <w:t xml:space="preserve">. Judgment of October 20, 2016. Series C No. 318. Cases related to the right to the truth can also be noted: </w:t>
      </w:r>
      <w:r w:rsidRPr="00CD2B15">
        <w:rPr>
          <w:rStyle w:val="Textoennegrita"/>
          <w:b w:val="0"/>
          <w:bCs w:val="0"/>
          <w:i/>
          <w:shd w:val="clear" w:color="auto" w:fill="FFFFFF"/>
        </w:rPr>
        <w:t>Case of the Campesino Community of Santa Bárbara v. Peru. Preliminary objections, merits, reparations and costs</w:t>
      </w:r>
      <w:r w:rsidRPr="00CD2B15">
        <w:rPr>
          <w:rStyle w:val="Textoennegrita"/>
          <w:b w:val="0"/>
          <w:bCs w:val="0"/>
          <w:shd w:val="clear" w:color="auto" w:fill="FFFFFF"/>
        </w:rPr>
        <w:t xml:space="preserve">. Judgment of September 1, 2015. Series C No. 299, and the </w:t>
      </w:r>
      <w:r w:rsidRPr="00CD2B15">
        <w:rPr>
          <w:rStyle w:val="Textoennegrita"/>
          <w:b w:val="0"/>
          <w:bCs w:val="0"/>
          <w:i/>
          <w:shd w:val="clear" w:color="auto" w:fill="FFFFFF"/>
        </w:rPr>
        <w:t xml:space="preserve">Case of </w:t>
      </w:r>
      <w:proofErr w:type="spellStart"/>
      <w:r w:rsidRPr="00CD2B15">
        <w:rPr>
          <w:rStyle w:val="Textoennegrita"/>
          <w:b w:val="0"/>
          <w:bCs w:val="0"/>
          <w:i/>
          <w:shd w:val="clear" w:color="auto" w:fill="FFFFFF"/>
        </w:rPr>
        <w:t>Munárriz</w:t>
      </w:r>
      <w:proofErr w:type="spellEnd"/>
      <w:r w:rsidRPr="00CD2B15">
        <w:rPr>
          <w:rStyle w:val="Textoennegrita"/>
          <w:b w:val="0"/>
          <w:bCs w:val="0"/>
          <w:i/>
          <w:shd w:val="clear" w:color="auto" w:fill="FFFFFF"/>
        </w:rPr>
        <w:t xml:space="preserve"> Escobar et al. v. Peru</w:t>
      </w:r>
      <w:r w:rsidRPr="00CD2B15">
        <w:rPr>
          <w:rStyle w:val="Textoennegrita"/>
          <w:b w:val="0"/>
          <w:bCs w:val="0"/>
          <w:shd w:val="clear" w:color="auto" w:fill="FFFFFF"/>
        </w:rPr>
        <w:t xml:space="preserve">. </w:t>
      </w:r>
      <w:r w:rsidRPr="00CD2B15">
        <w:rPr>
          <w:rStyle w:val="Textoennegrita"/>
          <w:b w:val="0"/>
          <w:bCs w:val="0"/>
          <w:i/>
          <w:shd w:val="clear" w:color="auto" w:fill="FFFFFF"/>
        </w:rPr>
        <w:t>Preliminary objection, merits, reparations and costs</w:t>
      </w:r>
      <w:r w:rsidRPr="00CD2B15">
        <w:rPr>
          <w:rStyle w:val="Textoennegrita"/>
          <w:b w:val="0"/>
          <w:bCs w:val="0"/>
          <w:shd w:val="clear" w:color="auto" w:fill="FFFFFF"/>
        </w:rPr>
        <w:t xml:space="preserve">. Judgment of August 20, 2018. Series C No. 355. </w:t>
      </w:r>
    </w:p>
  </w:footnote>
  <w:footnote w:id="318">
    <w:p w14:paraId="56FB716F" w14:textId="77777777" w:rsidR="00E6764B" w:rsidRPr="0056383C" w:rsidRDefault="00E6764B" w:rsidP="00CD2B15">
      <w:pPr>
        <w:pStyle w:val="Textonotapie"/>
        <w:rPr>
          <w:color w:val="FF0000"/>
        </w:rPr>
      </w:pPr>
      <w:r w:rsidRPr="00D17A65">
        <w:rPr>
          <w:rStyle w:val="Refdenotaalpie"/>
          <w:sz w:val="16"/>
        </w:rPr>
        <w:footnoteRef/>
      </w:r>
      <w:r w:rsidRPr="00D17A65">
        <w:t xml:space="preserve"> </w:t>
      </w:r>
      <w:r w:rsidRPr="0056383C">
        <w:tab/>
        <w:t xml:space="preserve">Cf. </w:t>
      </w:r>
      <w:r w:rsidRPr="00CD2B15">
        <w:rPr>
          <w:rStyle w:val="Textoennegrita"/>
          <w:b w:val="0"/>
          <w:bCs w:val="0"/>
          <w:i/>
          <w:shd w:val="clear" w:color="auto" w:fill="FFFFFF"/>
        </w:rPr>
        <w:t xml:space="preserve">Case of Acevedo </w:t>
      </w:r>
      <w:proofErr w:type="spellStart"/>
      <w:r w:rsidRPr="00CD2B15">
        <w:rPr>
          <w:rStyle w:val="Textoennegrita"/>
          <w:b w:val="0"/>
          <w:bCs w:val="0"/>
          <w:i/>
          <w:shd w:val="clear" w:color="auto" w:fill="FFFFFF"/>
        </w:rPr>
        <w:t>Buendía</w:t>
      </w:r>
      <w:proofErr w:type="spellEnd"/>
      <w:r w:rsidRPr="00CD2B15">
        <w:rPr>
          <w:rStyle w:val="Textoennegrita"/>
          <w:b w:val="0"/>
          <w:bCs w:val="0"/>
          <w:i/>
          <w:shd w:val="clear" w:color="auto" w:fill="FFFFFF"/>
        </w:rPr>
        <w:t xml:space="preserve"> et al. (“Discharged and Retired Employees of the Comptroller’s Office”) v. Peru. Preliminary objection, merits, reparations and costs</w:t>
      </w:r>
      <w:r w:rsidRPr="00CD2B15">
        <w:rPr>
          <w:rStyle w:val="Textoennegrita"/>
          <w:b w:val="0"/>
          <w:bCs w:val="0"/>
          <w:shd w:val="clear" w:color="auto" w:fill="FFFFFF"/>
        </w:rPr>
        <w:t>. Judgment of July 1, 2009. Series C No. 198, paras</w:t>
      </w:r>
      <w:r w:rsidRPr="0056383C">
        <w:rPr>
          <w:rStyle w:val="Textoennegrita"/>
          <w:shd w:val="clear" w:color="auto" w:fill="FFFFFF"/>
        </w:rPr>
        <w:t xml:space="preserve">. </w:t>
      </w:r>
      <w:r w:rsidRPr="0056383C">
        <w:t>16 and 17</w:t>
      </w:r>
      <w:r w:rsidRPr="0056383C">
        <w:rPr>
          <w:color w:val="FF0000"/>
        </w:rPr>
        <w:t xml:space="preserve">. </w:t>
      </w:r>
    </w:p>
  </w:footnote>
  <w:footnote w:id="319">
    <w:p w14:paraId="073BA677" w14:textId="77777777" w:rsidR="00E6764B" w:rsidRPr="0056383C" w:rsidRDefault="00E6764B" w:rsidP="00CD2B15">
      <w:pPr>
        <w:pStyle w:val="Textonotapie"/>
      </w:pPr>
      <w:r w:rsidRPr="00D17A65">
        <w:rPr>
          <w:rStyle w:val="Refdenotaalpie"/>
          <w:sz w:val="16"/>
        </w:rPr>
        <w:footnoteRef/>
      </w:r>
      <w:r w:rsidRPr="00D17A65">
        <w:t xml:space="preserve"> </w:t>
      </w:r>
      <w:r w:rsidRPr="0056383C">
        <w:tab/>
      </w:r>
      <w:r w:rsidRPr="0056383C">
        <w:rPr>
          <w:i/>
        </w:rPr>
        <w:t>Cf.</w:t>
      </w:r>
      <w:r w:rsidRPr="0056383C">
        <w:t xml:space="preserve"> </w:t>
      </w:r>
      <w:r w:rsidRPr="00CD2B15">
        <w:rPr>
          <w:rStyle w:val="Textoennegrita"/>
          <w:b w:val="0"/>
          <w:bCs w:val="0"/>
          <w:i/>
          <w:shd w:val="clear" w:color="auto" w:fill="FFFFFF"/>
        </w:rPr>
        <w:t xml:space="preserve">Case of </w:t>
      </w:r>
      <w:proofErr w:type="spellStart"/>
      <w:r w:rsidRPr="00CD2B15">
        <w:rPr>
          <w:rStyle w:val="Textoennegrita"/>
          <w:b w:val="0"/>
          <w:bCs w:val="0"/>
          <w:i/>
          <w:shd w:val="clear" w:color="auto" w:fill="FFFFFF"/>
        </w:rPr>
        <w:t>Baena</w:t>
      </w:r>
      <w:proofErr w:type="spellEnd"/>
      <w:r w:rsidRPr="00CD2B15">
        <w:rPr>
          <w:rStyle w:val="Textoennegrita"/>
          <w:b w:val="0"/>
          <w:bCs w:val="0"/>
          <w:i/>
          <w:shd w:val="clear" w:color="auto" w:fill="FFFFFF"/>
        </w:rPr>
        <w:t xml:space="preserve"> Ricardo et al. v. Panamá. Jurisdiction</w:t>
      </w:r>
      <w:r w:rsidRPr="00CD2B15">
        <w:rPr>
          <w:rStyle w:val="Textoennegrita"/>
          <w:b w:val="0"/>
          <w:bCs w:val="0"/>
          <w:shd w:val="clear" w:color="auto" w:fill="FFFFFF"/>
        </w:rPr>
        <w:t xml:space="preserve">. Judgment of November 28, 2003. Series C No. 104, </w:t>
      </w:r>
      <w:r w:rsidRPr="00CD2B15">
        <w:t>para. 73, and</w:t>
      </w:r>
      <w:r w:rsidRPr="00CD2B15">
        <w:rPr>
          <w:b/>
          <w:bCs/>
        </w:rPr>
        <w:t xml:space="preserve"> </w:t>
      </w:r>
      <w:r w:rsidRPr="00CD2B15">
        <w:rPr>
          <w:rStyle w:val="Textoennegrita"/>
          <w:b w:val="0"/>
          <w:bCs w:val="0"/>
          <w:shd w:val="clear" w:color="auto" w:fill="FFFFFF"/>
        </w:rPr>
        <w:t>Case of</w:t>
      </w:r>
      <w:r w:rsidRPr="00CD2B15">
        <w:rPr>
          <w:rStyle w:val="Textoennegrita"/>
          <w:b w:val="0"/>
          <w:bCs w:val="0"/>
          <w:i/>
          <w:shd w:val="clear" w:color="auto" w:fill="FFFFFF"/>
        </w:rPr>
        <w:t xml:space="preserve"> </w:t>
      </w:r>
      <w:proofErr w:type="spellStart"/>
      <w:r w:rsidRPr="00CD2B15">
        <w:rPr>
          <w:rStyle w:val="Textoennegrita"/>
          <w:b w:val="0"/>
          <w:bCs w:val="0"/>
          <w:i/>
          <w:shd w:val="clear" w:color="auto" w:fill="FFFFFF"/>
        </w:rPr>
        <w:t>Fornerón</w:t>
      </w:r>
      <w:proofErr w:type="spellEnd"/>
      <w:r w:rsidRPr="00CD2B15">
        <w:rPr>
          <w:rStyle w:val="Textoennegrita"/>
          <w:b w:val="0"/>
          <w:bCs w:val="0"/>
          <w:i/>
          <w:shd w:val="clear" w:color="auto" w:fill="FFFFFF"/>
        </w:rPr>
        <w:t xml:space="preserve"> and daughter v. Argentina. Merits, reparations and costs</w:t>
      </w:r>
      <w:r w:rsidRPr="00CD2B15">
        <w:rPr>
          <w:rStyle w:val="Textoennegrita"/>
          <w:b w:val="0"/>
          <w:bCs w:val="0"/>
          <w:shd w:val="clear" w:color="auto" w:fill="FFFFFF"/>
        </w:rPr>
        <w:t>. Judgment of April 27, 2012. Series C No. 242,</w:t>
      </w:r>
      <w:r w:rsidRPr="0056383C">
        <w:rPr>
          <w:rStyle w:val="Textoennegrita"/>
          <w:shd w:val="clear" w:color="auto" w:fill="FFFFFF"/>
        </w:rPr>
        <w:t xml:space="preserve"> </w:t>
      </w:r>
      <w:r w:rsidRPr="0056383C">
        <w:t>para. 107</w:t>
      </w:r>
    </w:p>
  </w:footnote>
  <w:footnote w:id="320">
    <w:p w14:paraId="166DCF5E" w14:textId="77777777" w:rsidR="00E6764B" w:rsidRPr="00D17A65" w:rsidRDefault="00E6764B" w:rsidP="00CD2B15">
      <w:pPr>
        <w:pStyle w:val="Textonotapie"/>
        <w:rPr>
          <w:spacing w:val="-4"/>
        </w:rPr>
      </w:pPr>
      <w:r w:rsidRPr="00D17A65">
        <w:rPr>
          <w:rStyle w:val="Refdenotaalpie"/>
          <w:rFonts w:eastAsiaTheme="majorEastAsia"/>
          <w:sz w:val="16"/>
        </w:rPr>
        <w:footnoteRef/>
      </w:r>
      <w:r w:rsidRPr="0056383C">
        <w:tab/>
      </w:r>
      <w:r w:rsidRPr="00D17A65">
        <w:rPr>
          <w:rFonts w:cstheme="minorHAnsi"/>
        </w:rPr>
        <w:t xml:space="preserve">Cf. </w:t>
      </w:r>
      <w:r w:rsidRPr="00D17A65">
        <w:rPr>
          <w:rStyle w:val="Textoennegrita"/>
          <w:b w:val="0"/>
          <w:bCs w:val="0"/>
          <w:i/>
          <w:shd w:val="clear" w:color="auto" w:fill="FFFFFF"/>
        </w:rPr>
        <w:t>Judicial Guarantees in States of Emergency (Arts. 27(2), 25 and 8 American Convention on Human Rights)</w:t>
      </w:r>
      <w:r w:rsidRPr="00D17A65">
        <w:rPr>
          <w:rStyle w:val="Textoennegrita"/>
          <w:b w:val="0"/>
          <w:bCs w:val="0"/>
          <w:shd w:val="clear" w:color="auto" w:fill="FFFFFF"/>
        </w:rPr>
        <w:t>. Advisory Opinion OC-9/87 of October 6, 1987. Series A No. 9, para. 24,</w:t>
      </w:r>
      <w:r w:rsidRPr="00D17A65">
        <w:rPr>
          <w:rFonts w:cstheme="minorHAnsi"/>
          <w:b/>
          <w:bCs/>
        </w:rPr>
        <w:t xml:space="preserve"> </w:t>
      </w:r>
      <w:r w:rsidRPr="00D17A65">
        <w:rPr>
          <w:rFonts w:cstheme="minorHAnsi"/>
        </w:rPr>
        <w:t xml:space="preserve">and </w:t>
      </w:r>
      <w:r w:rsidRPr="00D17A65">
        <w:rPr>
          <w:rStyle w:val="Textoennegrita"/>
          <w:b w:val="0"/>
          <w:bCs w:val="0"/>
          <w:i/>
          <w:shd w:val="clear" w:color="auto" w:fill="FFFFFF"/>
        </w:rPr>
        <w:t xml:space="preserve">Case of </w:t>
      </w:r>
      <w:proofErr w:type="spellStart"/>
      <w:r w:rsidRPr="00D17A65">
        <w:rPr>
          <w:rStyle w:val="Textoennegrita"/>
          <w:b w:val="0"/>
          <w:bCs w:val="0"/>
          <w:i/>
          <w:shd w:val="clear" w:color="auto" w:fill="FFFFFF"/>
        </w:rPr>
        <w:t>Cuscul</w:t>
      </w:r>
      <w:proofErr w:type="spellEnd"/>
      <w:r w:rsidRPr="00D17A65">
        <w:rPr>
          <w:rStyle w:val="Textoennegrita"/>
          <w:b w:val="0"/>
          <w:bCs w:val="0"/>
          <w:i/>
          <w:shd w:val="clear" w:color="auto" w:fill="FFFFFF"/>
        </w:rPr>
        <w:t xml:space="preserve"> </w:t>
      </w:r>
      <w:proofErr w:type="spellStart"/>
      <w:r w:rsidRPr="00D17A65">
        <w:rPr>
          <w:rStyle w:val="Textoennegrita"/>
          <w:b w:val="0"/>
          <w:bCs w:val="0"/>
          <w:i/>
          <w:shd w:val="clear" w:color="auto" w:fill="FFFFFF"/>
        </w:rPr>
        <w:t>Pivaral</w:t>
      </w:r>
      <w:proofErr w:type="spellEnd"/>
      <w:r w:rsidRPr="00D17A65">
        <w:rPr>
          <w:rStyle w:val="Textoennegrita"/>
          <w:b w:val="0"/>
          <w:bCs w:val="0"/>
          <w:i/>
          <w:shd w:val="clear" w:color="auto" w:fill="FFFFFF"/>
        </w:rPr>
        <w:t xml:space="preserve"> et al. v. Guatemala. Preliminary objection, merits, reparations and costs.</w:t>
      </w:r>
      <w:r w:rsidRPr="00D17A65">
        <w:rPr>
          <w:rStyle w:val="Textoennegrita"/>
          <w:b w:val="0"/>
          <w:bCs w:val="0"/>
          <w:shd w:val="clear" w:color="auto" w:fill="FFFFFF"/>
        </w:rPr>
        <w:t xml:space="preserve"> Judgment of August 23, 2018. Series C No. 359</w:t>
      </w:r>
      <w:r w:rsidRPr="00D17A65">
        <w:rPr>
          <w:rFonts w:cstheme="minorHAnsi"/>
          <w:b/>
          <w:bCs/>
        </w:rPr>
        <w:t>,</w:t>
      </w:r>
      <w:r w:rsidRPr="00D17A65">
        <w:rPr>
          <w:rFonts w:cstheme="minorHAnsi"/>
          <w:b/>
        </w:rPr>
        <w:t xml:space="preserve"> </w:t>
      </w:r>
      <w:r w:rsidRPr="00D17A65">
        <w:rPr>
          <w:rFonts w:cstheme="minorHAnsi"/>
        </w:rPr>
        <w:t>para. 169.</w:t>
      </w:r>
    </w:p>
  </w:footnote>
  <w:footnote w:id="321">
    <w:p w14:paraId="0DB8FC1A" w14:textId="5C57DA27" w:rsidR="00E6764B" w:rsidRDefault="00E6764B" w:rsidP="00CD2B15">
      <w:pPr>
        <w:pStyle w:val="Textonotapie"/>
      </w:pPr>
      <w:r w:rsidRPr="00D17A65">
        <w:rPr>
          <w:rStyle w:val="Refdenotaalpie"/>
          <w:rFonts w:eastAsiaTheme="majorEastAsia"/>
          <w:spacing w:val="-4"/>
          <w:sz w:val="16"/>
        </w:rPr>
        <w:footnoteRef/>
      </w:r>
      <w:r w:rsidRPr="00D17A65">
        <w:t xml:space="preserve"> </w:t>
      </w:r>
      <w:r w:rsidRPr="00D17A65">
        <w:tab/>
      </w:r>
      <w:r w:rsidRPr="00D17A65">
        <w:rPr>
          <w:i/>
        </w:rPr>
        <w:t>Cf.</w:t>
      </w:r>
      <w:r w:rsidRPr="00D17A65">
        <w:t xml:space="preserve"> </w:t>
      </w:r>
      <w:r w:rsidRPr="00D17A65">
        <w:rPr>
          <w:rStyle w:val="Textoennegrita"/>
          <w:b w:val="0"/>
          <w:bCs w:val="0"/>
          <w:i/>
          <w:shd w:val="clear" w:color="auto" w:fill="FFFFFF"/>
        </w:rPr>
        <w:t xml:space="preserve">Case of </w:t>
      </w:r>
      <w:proofErr w:type="spellStart"/>
      <w:r w:rsidRPr="00D17A65">
        <w:rPr>
          <w:rStyle w:val="Textoennegrita"/>
          <w:b w:val="0"/>
          <w:bCs w:val="0"/>
          <w:i/>
          <w:shd w:val="clear" w:color="auto" w:fill="FFFFFF"/>
        </w:rPr>
        <w:t>Baena</w:t>
      </w:r>
      <w:proofErr w:type="spellEnd"/>
      <w:r w:rsidRPr="00D17A65">
        <w:rPr>
          <w:rStyle w:val="Textoennegrita"/>
          <w:b w:val="0"/>
          <w:bCs w:val="0"/>
          <w:i/>
          <w:shd w:val="clear" w:color="auto" w:fill="FFFFFF"/>
        </w:rPr>
        <w:t xml:space="preserve"> Ricardo et al. v. Panama. Jurisdiction</w:t>
      </w:r>
      <w:r w:rsidRPr="00D17A65">
        <w:rPr>
          <w:rStyle w:val="Textoennegrita"/>
          <w:b w:val="0"/>
          <w:bCs w:val="0"/>
          <w:shd w:val="clear" w:color="auto" w:fill="FFFFFF"/>
        </w:rPr>
        <w:t>. Judgment of November 28, 2003. Series C No. 104,</w:t>
      </w:r>
      <w:r w:rsidRPr="00D17A65">
        <w:rPr>
          <w:rStyle w:val="Textoennegrita"/>
          <w:shd w:val="clear" w:color="auto" w:fill="FFFFFF"/>
        </w:rPr>
        <w:t xml:space="preserve"> </w:t>
      </w:r>
      <w:r w:rsidRPr="00D17A65">
        <w:t xml:space="preserve">para. 73 and </w:t>
      </w:r>
      <w:r w:rsidRPr="00D17A65">
        <w:rPr>
          <w:i/>
        </w:rPr>
        <w:t xml:space="preserve">Case of </w:t>
      </w:r>
      <w:proofErr w:type="spellStart"/>
      <w:r w:rsidRPr="00D17A65">
        <w:rPr>
          <w:i/>
        </w:rPr>
        <w:t>Liakat</w:t>
      </w:r>
      <w:proofErr w:type="spellEnd"/>
      <w:r w:rsidRPr="00D17A65">
        <w:rPr>
          <w:i/>
        </w:rPr>
        <w:t xml:space="preserve"> Ali </w:t>
      </w:r>
      <w:proofErr w:type="spellStart"/>
      <w:r w:rsidRPr="00D17A65">
        <w:rPr>
          <w:i/>
        </w:rPr>
        <w:t>Alibux</w:t>
      </w:r>
      <w:proofErr w:type="spellEnd"/>
      <w:r w:rsidRPr="00D17A65">
        <w:rPr>
          <w:i/>
        </w:rPr>
        <w:t xml:space="preserve"> v. Suriname.</w:t>
      </w:r>
      <w:r w:rsidRPr="00D17A65">
        <w:t xml:space="preserve"> Preliminary objections, merits, reparations and costs. Judgment of January 30, 2014. Series C No. 276, para. 33.</w:t>
      </w:r>
    </w:p>
    <w:p w14:paraId="315901D4" w14:textId="77777777" w:rsidR="00E6764B" w:rsidRPr="0056383C" w:rsidRDefault="00E6764B" w:rsidP="00CD2B15">
      <w:pPr>
        <w:pStyle w:val="Textonotapie"/>
      </w:pPr>
    </w:p>
  </w:footnote>
  <w:footnote w:id="322">
    <w:p w14:paraId="0CAC38B5" w14:textId="77777777" w:rsidR="00E6764B" w:rsidRPr="0056383C" w:rsidRDefault="00E6764B" w:rsidP="00CD2B15">
      <w:pPr>
        <w:pStyle w:val="Textonotapie"/>
      </w:pPr>
      <w:r w:rsidRPr="0056383C">
        <w:rPr>
          <w:rStyle w:val="Refdenotaalpie"/>
        </w:rPr>
        <w:footnoteRef/>
      </w:r>
      <w:r w:rsidRPr="0056383C">
        <w:t xml:space="preserve"> </w:t>
      </w:r>
      <w:r w:rsidRPr="0056383C">
        <w:tab/>
      </w:r>
      <w:r w:rsidRPr="00CD2B15">
        <w:rPr>
          <w:rStyle w:val="Textoennegrita"/>
          <w:b w:val="0"/>
          <w:bCs w:val="0"/>
          <w:i/>
          <w:shd w:val="clear" w:color="auto" w:fill="FFFFFF"/>
        </w:rPr>
        <w:t>Case of Acevedo Jaramillo et al. v. Peru. Preliminary objections, merits, reparations and costs</w:t>
      </w:r>
      <w:r w:rsidRPr="00CD2B15">
        <w:rPr>
          <w:rStyle w:val="Textoennegrita"/>
          <w:b w:val="0"/>
          <w:bCs w:val="0"/>
          <w:shd w:val="clear" w:color="auto" w:fill="FFFFFF"/>
        </w:rPr>
        <w:t xml:space="preserve">. Judgment of February 7, 2006. Series C No. 144, </w:t>
      </w:r>
      <w:r w:rsidRPr="00CD2B15">
        <w:t>para. 220 and</w:t>
      </w:r>
      <w:r w:rsidRPr="00CD2B15">
        <w:rPr>
          <w:b/>
          <w:bCs/>
        </w:rPr>
        <w:t xml:space="preserve"> </w:t>
      </w:r>
      <w:r w:rsidRPr="00CD2B15">
        <w:rPr>
          <w:rStyle w:val="Textoennegrita"/>
          <w:b w:val="0"/>
          <w:bCs w:val="0"/>
          <w:i/>
          <w:shd w:val="clear" w:color="auto" w:fill="FFFFFF"/>
        </w:rPr>
        <w:t xml:space="preserve">Case of </w:t>
      </w:r>
      <w:proofErr w:type="spellStart"/>
      <w:r w:rsidRPr="00CD2B15">
        <w:rPr>
          <w:rStyle w:val="Textoennegrita"/>
          <w:b w:val="0"/>
          <w:bCs w:val="0"/>
          <w:i/>
          <w:shd w:val="clear" w:color="auto" w:fill="FFFFFF"/>
        </w:rPr>
        <w:t>Furlan</w:t>
      </w:r>
      <w:proofErr w:type="spellEnd"/>
      <w:r w:rsidRPr="00CD2B15">
        <w:rPr>
          <w:rStyle w:val="Textoennegrita"/>
          <w:b w:val="0"/>
          <w:bCs w:val="0"/>
          <w:i/>
          <w:shd w:val="clear" w:color="auto" w:fill="FFFFFF"/>
        </w:rPr>
        <w:t xml:space="preserve"> and family v. Argentina. Preliminary objections, merits, reparations and costs.</w:t>
      </w:r>
      <w:r w:rsidRPr="00CD2B15">
        <w:rPr>
          <w:rStyle w:val="Textoennegrita"/>
          <w:b w:val="0"/>
          <w:bCs w:val="0"/>
          <w:shd w:val="clear" w:color="auto" w:fill="FFFFFF"/>
        </w:rPr>
        <w:t xml:space="preserve"> Judgment of August 31, 2012. Series C No. 246</w:t>
      </w:r>
      <w:r w:rsidRPr="0056383C">
        <w:rPr>
          <w:rStyle w:val="Textoennegrita"/>
          <w:shd w:val="clear" w:color="auto" w:fill="FFFFFF"/>
        </w:rPr>
        <w:t xml:space="preserve">, </w:t>
      </w:r>
      <w:r w:rsidRPr="0056383C">
        <w:t xml:space="preserve">para. 209. </w:t>
      </w:r>
    </w:p>
  </w:footnote>
  <w:footnote w:id="323">
    <w:p w14:paraId="46082144" w14:textId="77777777" w:rsidR="00E6764B" w:rsidRPr="0056383C" w:rsidRDefault="00E6764B" w:rsidP="00CD2B15">
      <w:pPr>
        <w:pStyle w:val="Textonotapie"/>
      </w:pPr>
      <w:r w:rsidRPr="0056383C">
        <w:rPr>
          <w:rStyle w:val="Refdenotaalpie"/>
        </w:rPr>
        <w:footnoteRef/>
      </w:r>
      <w:r w:rsidRPr="0056383C">
        <w:t xml:space="preserve"> </w:t>
      </w:r>
      <w:r w:rsidRPr="0056383C">
        <w:tab/>
        <w:t>Cf. CESCR, Concluding observations on the combined fifth and sixth periodic reports of Mexico, April 17 2018, UN Doc. E/C.12/MEX/CO/5-6, para. 5; CESCR, Concluding observations on the fifth periodic report of Uruguay, July 20, 2017, UN Doc. E/C.12/URY/CO/5, para. 7; CESCR, Concluding observations on the fifth periodic report of Costa Rica, October 21, 2016, UN Doc. E/C.12/CRI/CO/5, paras. 6 and 7; CESCR, Concluding observations on the fourth periodic report of the Dominican Republic, October 21, 2016, UN Doc. E/C.12/DOM/CO/4, para. 5; CESCR, Concluding observations on the second periodic report of Honduras, July 11, 2016, UN Doc. E/C.12/HND/CO/2, para. 5; CESCR, Concluding observations on the fourth periodic report of Chile, July 7, 2015, UN Doc. E/C.12/CHL/CO/4, para. 7; CESCR, Concluding observations on the fourth periodic report of Paraguay, March 20, 2015, UN Doc. E/C.12/PRY/CO/4, para. 7, and CESCR, Consideration of reports by States Parties under Articles 16 and 17 of the Covenant. Concluding observations of the Committee on Economic, Social and Cultural Rights, Panama, September 24, 2001, E/C.12/1/Add.64, paras. 9 and 25.</w:t>
      </w:r>
    </w:p>
  </w:footnote>
  <w:footnote w:id="324">
    <w:p w14:paraId="40F0F94E" w14:textId="77777777" w:rsidR="00E6764B" w:rsidRPr="0056383C" w:rsidRDefault="00E6764B" w:rsidP="00CD2B15">
      <w:pPr>
        <w:pStyle w:val="Textonotapie"/>
      </w:pPr>
      <w:r w:rsidRPr="0056383C">
        <w:rPr>
          <w:rStyle w:val="Refdenotaalpie"/>
        </w:rPr>
        <w:footnoteRef/>
      </w:r>
      <w:r w:rsidRPr="0056383C">
        <w:t xml:space="preserve"> </w:t>
      </w:r>
      <w:r w:rsidRPr="0056383C">
        <w:tab/>
        <w:t>Cf. CESCR, Concluding observations on the sixth periodic report of Colombia, October 19, 2017, E/C.12/COL/CO/6, para. 13 (c), 45 and 46 (c); CESCR, Concluding observations on the third periodic report of Guatemala, December 9, 2014, E/C.12/GTM/CO/3, para. 6.</w:t>
      </w:r>
    </w:p>
  </w:footnote>
  <w:footnote w:id="325">
    <w:p w14:paraId="779909BD" w14:textId="77777777" w:rsidR="00E6764B" w:rsidRPr="0056383C" w:rsidRDefault="00E6764B" w:rsidP="00CD2B15">
      <w:pPr>
        <w:pStyle w:val="Textonotapie"/>
      </w:pPr>
      <w:r w:rsidRPr="0056383C">
        <w:rPr>
          <w:rStyle w:val="Refdenotaalpie"/>
        </w:rPr>
        <w:footnoteRef/>
      </w:r>
      <w:r w:rsidRPr="0056383C">
        <w:t xml:space="preserve"> </w:t>
      </w:r>
      <w:r w:rsidRPr="0056383C">
        <w:tab/>
        <w:t xml:space="preserve">Cf. CESCR, Concluding observations on the sixth periodic report of Canada, March 23, 2016, UN Doc. E/C.12/CAN/CO/6, para. 5; CESCR, Concluding observations on the combined second to fourth periodic reports </w:t>
      </w:r>
      <w:proofErr w:type="gramStart"/>
      <w:r w:rsidRPr="0056383C">
        <w:t>of  Guyana</w:t>
      </w:r>
      <w:proofErr w:type="gramEnd"/>
      <w:r w:rsidRPr="0056383C">
        <w:t>, October 28, 2015, UN Doc. E/C.12/GUY/CO/2-4, para. 8; CESCR, Concluding observations on the third periodic report of the Bolivarian Republic of Venezuela, July 7, 2015, UN Doc. E/C.12/VEN/CO/3, para. 7; CESCR, Concluding observations on the combined third and fourth periodic reports of Jamaica, June 10, 2013, UN Doc. E/C.12/JAM/CO/3-4, para. 6; CESCR, Consideration of reports by States Parties under Articles 16 and 17 of the Covenant. Concluding observations of the Committee on Economic, Social and Cultural Rights, Trinidad and Tobago, June 5, 2002, E/C.12/1/Add.80, para. 9; CESCR, Consideration of reports by States Parties under Articles 16 and 17 of the Covenant. Concluding observations of the Committee on Economic, Social and Cultural Rights, San Vicente and the Grenadines, December 2, 1997, E/C.12/1/Add.21, para. 13.</w:t>
      </w:r>
    </w:p>
  </w:footnote>
  <w:footnote w:id="326">
    <w:p w14:paraId="451780C9" w14:textId="77777777" w:rsidR="00E6764B" w:rsidRPr="0056383C" w:rsidRDefault="00E6764B" w:rsidP="00CD2B15">
      <w:pPr>
        <w:pStyle w:val="Textonotapie"/>
      </w:pPr>
      <w:r w:rsidRPr="0056383C">
        <w:rPr>
          <w:rStyle w:val="Refdenotaalpie"/>
        </w:rPr>
        <w:footnoteRef/>
      </w:r>
      <w:r w:rsidRPr="0056383C">
        <w:t xml:space="preserve"> </w:t>
      </w:r>
      <w:r w:rsidRPr="0056383C">
        <w:tab/>
        <w:t>Cf. CESCR, Concluding observations on the combined fifth and sixth periodic reports of Mexico, op. cit., para. 5 and 6; CESCR, Concluding observations on the sixth periodic report of Colombia, op. cit., para. 18(c).</w:t>
      </w:r>
    </w:p>
  </w:footnote>
  <w:footnote w:id="327">
    <w:p w14:paraId="31B472DE"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Mutatis mutandis, CESCR, General Comment No. 9, “The domestic application of the Covenant, 1998, para. 7. </w:t>
      </w:r>
    </w:p>
  </w:footnote>
  <w:footnote w:id="328">
    <w:p w14:paraId="72A76BF0"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Cf. Case of </w:t>
      </w:r>
      <w:proofErr w:type="spellStart"/>
      <w:r w:rsidRPr="00D17A65">
        <w:t>Muelle</w:t>
      </w:r>
      <w:proofErr w:type="spellEnd"/>
      <w:r w:rsidRPr="00D17A65">
        <w:t xml:space="preserve"> Flores v. Peru. Preliminary objections, merits, reparations and costs. Judgment of March 6, 2019. Series C No. 375, para. 128.</w:t>
      </w:r>
    </w:p>
  </w:footnote>
  <w:footnote w:id="329">
    <w:p w14:paraId="1BE4C65C"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Cf. CESCR, General Comment No. 6, The Economic, Social and Cultural Rights of Older Persons, 1995, para. 13.</w:t>
      </w:r>
    </w:p>
  </w:footnote>
  <w:footnote w:id="330">
    <w:p w14:paraId="329A67C0"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The first time that the issue of the older person was highlighted on the international agenda was in the 1982 Vienna International Plan of Action on Ageing. Subsequently, in 1991, the United Nations proclaimed the “United Nations Principles for Older Persons” which established the guiding principles of independence, participation, care, self-fulfillment and dignity. In 1992, the United Nations General Assembly issued the Proclamation on Ageing in which it urged support for initiatives so that “[o]</w:t>
      </w:r>
      <w:proofErr w:type="spellStart"/>
      <w:r w:rsidRPr="00D17A65">
        <w:t>lder</w:t>
      </w:r>
      <w:proofErr w:type="spellEnd"/>
      <w:r w:rsidRPr="00D17A65">
        <w:t xml:space="preserve"> persons are viewed as contributors to their societies and not as a burden.” Lastly, the most significant step forward was taken in 2002 with the Madrid International Plan of Action on Ageing and the Political Declaration. In this Declaration the State committed themselves “to the task of effectively incorporating ageing within social and economic </w:t>
      </w:r>
      <w:r w:rsidRPr="00D17A65">
        <w:rPr>
          <w:rStyle w:val="highlight"/>
        </w:rPr>
        <w:t>strategies</w:t>
      </w:r>
      <w:r w:rsidRPr="00D17A65">
        <w:t>, policies and action while recognizing that specific policies will vary according to conditions within each country.” In addition, other bodies of the universal system in general comments, general recommendations and reports of Special Rapporteurs have addressed the situation of the rights of older persons.</w:t>
      </w:r>
    </w:p>
  </w:footnote>
  <w:footnote w:id="331">
    <w:p w14:paraId="688B10A8"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This mandate has given visibility to thematic reports on older persons with regard to their autonomy and care.</w:t>
      </w:r>
    </w:p>
  </w:footnote>
  <w:footnote w:id="332">
    <w:p w14:paraId="3A0AEA0D" w14:textId="77777777" w:rsidR="00E6764B" w:rsidRPr="00D17A65" w:rsidRDefault="00E6764B" w:rsidP="00CD2B15">
      <w:pPr>
        <w:autoSpaceDE w:val="0"/>
        <w:autoSpaceDN w:val="0"/>
        <w:spacing w:after="120"/>
        <w:rPr>
          <w:rFonts w:ascii="Verdana" w:hAnsi="Verdana"/>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t>“[…] 4. The aged and the disabled shall also have the right to special measures of protection in keeping with their physical or moral needs.”</w:t>
      </w:r>
    </w:p>
  </w:footnote>
  <w:footnote w:id="333">
    <w:p w14:paraId="4FC1D993" w14:textId="6555F057" w:rsidR="00E6764B" w:rsidRDefault="00E6764B" w:rsidP="00CD2B15">
      <w:pPr>
        <w:pStyle w:val="Textonotapie"/>
      </w:pPr>
      <w:r w:rsidRPr="00D17A65">
        <w:rPr>
          <w:rStyle w:val="Refdenotaalpie"/>
          <w:sz w:val="16"/>
        </w:rPr>
        <w:footnoteRef/>
      </w:r>
      <w:r w:rsidRPr="00D17A65">
        <w:t xml:space="preserve"> </w:t>
      </w:r>
      <w:r w:rsidRPr="00D17A65">
        <w:tab/>
        <w:t xml:space="preserve">The Protocol was adopted on July 31, 2016, in Addis Ababa, Ethiopia. </w:t>
      </w:r>
    </w:p>
    <w:p w14:paraId="2CF21731" w14:textId="5E70879E" w:rsidR="00E6764B" w:rsidRDefault="00E6764B" w:rsidP="00CD2B15">
      <w:pPr>
        <w:pStyle w:val="Textonotapie"/>
      </w:pPr>
    </w:p>
    <w:p w14:paraId="1E0FA9EB" w14:textId="77777777" w:rsidR="00E6764B" w:rsidRPr="00D17A65" w:rsidRDefault="00E6764B" w:rsidP="00CD2B15">
      <w:pPr>
        <w:pStyle w:val="Textonotapie"/>
      </w:pPr>
    </w:p>
  </w:footnote>
  <w:footnote w:id="334">
    <w:p w14:paraId="5AC4C8F9" w14:textId="77777777" w:rsidR="00E6764B" w:rsidRPr="0056383C" w:rsidRDefault="00E6764B" w:rsidP="00CD2B15">
      <w:pPr>
        <w:pStyle w:val="Textonotapie"/>
      </w:pPr>
      <w:r w:rsidRPr="00D17A65">
        <w:rPr>
          <w:rStyle w:val="Refdenotaalpie"/>
          <w:sz w:val="16"/>
        </w:rPr>
        <w:footnoteRef/>
      </w:r>
      <w:r w:rsidRPr="00D17A65">
        <w:t xml:space="preserve"> </w:t>
      </w:r>
      <w:r w:rsidRPr="00D17A65">
        <w:tab/>
        <w:t>To date, this Convention has been signed, ratified or acceded to by the following countries: Argentina, Bolivia,</w:t>
      </w:r>
      <w:r w:rsidRPr="0056383C">
        <w:t xml:space="preserve"> Chile, Costa Rica, Ecuador, El Salvador and Uruguay.</w:t>
      </w:r>
    </w:p>
  </w:footnote>
  <w:footnote w:id="335">
    <w:p w14:paraId="4A5ED9DD" w14:textId="77777777" w:rsidR="00E6764B" w:rsidRPr="0056383C" w:rsidRDefault="00E6764B" w:rsidP="00CD2B15">
      <w:pPr>
        <w:pStyle w:val="NormalWeb"/>
        <w:spacing w:before="0" w:beforeAutospacing="0" w:after="120" w:afterAutospacing="0"/>
        <w:jc w:val="both"/>
        <w:rPr>
          <w:rFonts w:ascii="Verdana" w:hAnsi="Verdana"/>
          <w:sz w:val="16"/>
          <w:szCs w:val="16"/>
          <w:lang w:val="en-US" w:eastAsia="en-US"/>
        </w:rPr>
      </w:pPr>
      <w:r w:rsidRPr="0056383C">
        <w:rPr>
          <w:rStyle w:val="Refdenotaalpie"/>
          <w:sz w:val="16"/>
          <w:szCs w:val="16"/>
          <w:lang w:val="en-US"/>
        </w:rPr>
        <w:footnoteRef/>
      </w:r>
      <w:r w:rsidRPr="0056383C">
        <w:rPr>
          <w:rFonts w:ascii="Verdana" w:hAnsi="Verdana"/>
          <w:sz w:val="16"/>
          <w:szCs w:val="16"/>
          <w:lang w:val="en-US"/>
        </w:rPr>
        <w:t xml:space="preserve"> </w:t>
      </w:r>
      <w:r w:rsidRPr="0056383C">
        <w:rPr>
          <w:rFonts w:ascii="Verdana" w:hAnsi="Verdana"/>
          <w:sz w:val="16"/>
          <w:szCs w:val="16"/>
          <w:lang w:val="en-US"/>
        </w:rPr>
        <w:tab/>
        <w:t>“</w:t>
      </w:r>
      <w:r w:rsidRPr="0056383C">
        <w:rPr>
          <w:rFonts w:ascii="Verdana" w:hAnsi="Verdana"/>
          <w:sz w:val="16"/>
          <w:szCs w:val="16"/>
          <w:lang w:val="en-US" w:eastAsia="en-US"/>
        </w:rPr>
        <w:t xml:space="preserve">With a view to ensuring the effective exercise of the right of elderly persons to social protection, the Parties undertake to adopt or encourage, either directly or in co-operation with public or private organizations, appropriate measures designed in particular: - </w:t>
      </w:r>
      <w:r w:rsidRPr="0056383C">
        <w:rPr>
          <w:rFonts w:ascii="Verdana" w:hAnsi="Verdana"/>
          <w:sz w:val="16"/>
          <w:szCs w:val="16"/>
          <w:lang w:val="en-US"/>
        </w:rPr>
        <w:t>to enable elderly persons to remain full members of society for as long as possible, by means of: (</w:t>
      </w:r>
      <w:r w:rsidRPr="0056383C">
        <w:rPr>
          <w:rFonts w:ascii="Verdana" w:hAnsi="Verdana" w:cs="Arial"/>
          <w:sz w:val="16"/>
          <w:szCs w:val="16"/>
          <w:lang w:val="en-US"/>
        </w:rPr>
        <w:t xml:space="preserve">a) </w:t>
      </w:r>
      <w:r w:rsidRPr="0056383C">
        <w:rPr>
          <w:rFonts w:ascii="Verdana" w:hAnsi="Verdana"/>
          <w:sz w:val="16"/>
          <w:szCs w:val="16"/>
          <w:lang w:val="en-US"/>
        </w:rPr>
        <w:t>adequate resources enabling them to lead a decent life and play an active part in public, social and cultural life; (</w:t>
      </w:r>
      <w:r w:rsidRPr="0056383C">
        <w:rPr>
          <w:rFonts w:ascii="Verdana" w:hAnsi="Verdana" w:cs="Arial"/>
          <w:sz w:val="16"/>
          <w:szCs w:val="16"/>
          <w:lang w:val="en-US"/>
        </w:rPr>
        <w:t xml:space="preserve">b) </w:t>
      </w:r>
      <w:r w:rsidRPr="0056383C">
        <w:rPr>
          <w:rFonts w:ascii="Verdana" w:hAnsi="Verdana"/>
          <w:sz w:val="16"/>
          <w:szCs w:val="16"/>
          <w:lang w:val="en-US"/>
        </w:rPr>
        <w:t>provision of information about services and facilities available for elderly persons and their opportunities to make use of them; – to enable elderly persons to choose their life-style freely and to lead independent lives in their familiar surroundings for as long as they wish and are able, by means of: (</w:t>
      </w:r>
      <w:r w:rsidRPr="0056383C">
        <w:rPr>
          <w:rFonts w:ascii="Verdana" w:hAnsi="Verdana" w:cs="Arial"/>
          <w:sz w:val="16"/>
          <w:szCs w:val="16"/>
          <w:lang w:val="en-US"/>
        </w:rPr>
        <w:t xml:space="preserve">a) the </w:t>
      </w:r>
      <w:r w:rsidRPr="0056383C">
        <w:rPr>
          <w:rFonts w:ascii="Verdana" w:hAnsi="Verdana"/>
          <w:sz w:val="16"/>
          <w:szCs w:val="16"/>
          <w:lang w:val="en-US"/>
        </w:rPr>
        <w:t>provision of housing suited to their needs and their state of health or of adequate support for adapting their housing; (</w:t>
      </w:r>
      <w:r w:rsidRPr="0056383C">
        <w:rPr>
          <w:rFonts w:ascii="Verdana" w:hAnsi="Verdana" w:cs="Arial"/>
          <w:sz w:val="16"/>
          <w:szCs w:val="16"/>
          <w:lang w:val="en-US"/>
        </w:rPr>
        <w:t xml:space="preserve">b) </w:t>
      </w:r>
      <w:r w:rsidRPr="0056383C">
        <w:rPr>
          <w:rFonts w:ascii="Verdana" w:hAnsi="Verdana"/>
          <w:sz w:val="16"/>
          <w:szCs w:val="16"/>
          <w:lang w:val="en-US"/>
        </w:rPr>
        <w:t>the health care and services necessitated by their state; – to guarantee elderly persons living in institutions appropriate support, while respecting their privacy, and participation in decisions concerning living conditions in the institution.”</w:t>
      </w:r>
    </w:p>
  </w:footnote>
  <w:footnote w:id="336">
    <w:p w14:paraId="33D8D238" w14:textId="77777777" w:rsidR="00E6764B" w:rsidRPr="00D17A65" w:rsidRDefault="00E6764B" w:rsidP="00CD2B15">
      <w:pPr>
        <w:pStyle w:val="Textonotapie"/>
      </w:pPr>
      <w:r w:rsidRPr="00D17A65">
        <w:rPr>
          <w:rStyle w:val="Refdenotaalpie"/>
          <w:sz w:val="16"/>
        </w:rPr>
        <w:footnoteRef/>
      </w:r>
      <w:r w:rsidRPr="00D17A65">
        <w:t xml:space="preserve"> </w:t>
      </w:r>
      <w:r w:rsidRPr="00D17A65">
        <w:rPr>
          <w:color w:val="FF0000"/>
        </w:rPr>
        <w:tab/>
      </w:r>
      <w:r w:rsidRPr="00D17A65">
        <w:rPr>
          <w:i/>
        </w:rPr>
        <w:t xml:space="preserve">Case of </w:t>
      </w:r>
      <w:proofErr w:type="spellStart"/>
      <w:r w:rsidRPr="00D17A65">
        <w:rPr>
          <w:i/>
        </w:rPr>
        <w:t>Dodov</w:t>
      </w:r>
      <w:proofErr w:type="spellEnd"/>
      <w:r w:rsidRPr="00D17A65">
        <w:rPr>
          <w:i/>
        </w:rPr>
        <w:t xml:space="preserve"> v. Bulgaria</w:t>
      </w:r>
      <w:r w:rsidRPr="00D17A65">
        <w:t>. Judgment of January 17, 2008.</w:t>
      </w:r>
    </w:p>
  </w:footnote>
  <w:footnote w:id="337">
    <w:p w14:paraId="20058D81" w14:textId="77777777" w:rsidR="00E6764B" w:rsidRPr="00D17A65" w:rsidRDefault="00E6764B" w:rsidP="00CD2B15">
      <w:pPr>
        <w:pStyle w:val="Textonotapie"/>
      </w:pPr>
      <w:r w:rsidRPr="00D17A65">
        <w:rPr>
          <w:rStyle w:val="Refdenotaalpie"/>
          <w:sz w:val="16"/>
        </w:rPr>
        <w:footnoteRef/>
      </w:r>
      <w:r w:rsidRPr="00D17A65">
        <w:t xml:space="preserve"> </w:t>
      </w:r>
      <w:r w:rsidRPr="00D17A65">
        <w:tab/>
      </w:r>
      <w:r w:rsidRPr="00D17A65">
        <w:rPr>
          <w:i/>
        </w:rPr>
        <w:t>Cf.</w:t>
      </w:r>
      <w:r w:rsidRPr="00D17A65">
        <w:t xml:space="preserve"> </w:t>
      </w:r>
      <w:r w:rsidRPr="00D17A65">
        <w:rPr>
          <w:i/>
        </w:rPr>
        <w:t xml:space="preserve">Case of </w:t>
      </w:r>
      <w:proofErr w:type="spellStart"/>
      <w:r w:rsidRPr="00D17A65">
        <w:rPr>
          <w:i/>
        </w:rPr>
        <w:t>Jablonska</w:t>
      </w:r>
      <w:proofErr w:type="spellEnd"/>
      <w:r w:rsidRPr="00D17A65">
        <w:rPr>
          <w:i/>
        </w:rPr>
        <w:t>́ v. Poland</w:t>
      </w:r>
      <w:r w:rsidRPr="00D17A65">
        <w:t xml:space="preserve"> (No.60225/00), Judgment of March 9, 2004. Final, June 9, 2004; </w:t>
      </w:r>
      <w:r w:rsidRPr="00D17A65">
        <w:rPr>
          <w:i/>
        </w:rPr>
        <w:t xml:space="preserve">Case of </w:t>
      </w:r>
      <w:proofErr w:type="spellStart"/>
      <w:r w:rsidRPr="00D17A65">
        <w:rPr>
          <w:i/>
        </w:rPr>
        <w:t>Codarcea</w:t>
      </w:r>
      <w:proofErr w:type="spellEnd"/>
      <w:r w:rsidRPr="00D17A65">
        <w:rPr>
          <w:i/>
        </w:rPr>
        <w:t xml:space="preserve"> v. Romania</w:t>
      </w:r>
      <w:r w:rsidRPr="00D17A65">
        <w:t xml:space="preserve"> (No. 31675/04), Judgment of June 2, 2009. Final, September 2, 2009; </w:t>
      </w:r>
      <w:r w:rsidRPr="00D17A65">
        <w:rPr>
          <w:i/>
        </w:rPr>
        <w:t xml:space="preserve">Case of </w:t>
      </w:r>
      <w:proofErr w:type="spellStart"/>
      <w:r w:rsidRPr="00D17A65">
        <w:rPr>
          <w:i/>
        </w:rPr>
        <w:t>Styranowski</w:t>
      </w:r>
      <w:proofErr w:type="spellEnd"/>
      <w:r w:rsidRPr="00D17A65">
        <w:rPr>
          <w:i/>
        </w:rPr>
        <w:t xml:space="preserve"> v. Poland</w:t>
      </w:r>
      <w:r w:rsidRPr="00D17A65">
        <w:t xml:space="preserve"> (No. 28616/95), Judgment of October 30, 1998; and </w:t>
      </w:r>
      <w:r w:rsidRPr="00D17A65">
        <w:rPr>
          <w:i/>
        </w:rPr>
        <w:t xml:space="preserve">Case of </w:t>
      </w:r>
      <w:proofErr w:type="spellStart"/>
      <w:r w:rsidRPr="00D17A65">
        <w:rPr>
          <w:i/>
        </w:rPr>
        <w:t>Krzak</w:t>
      </w:r>
      <w:proofErr w:type="spellEnd"/>
      <w:r w:rsidRPr="00D17A65">
        <w:rPr>
          <w:i/>
        </w:rPr>
        <w:t xml:space="preserve"> v. Poland</w:t>
      </w:r>
      <w:r w:rsidRPr="00D17A65">
        <w:t xml:space="preserve"> (No. 51515/99), Judgment of April 6, 2004. Final, July 7, 2004.</w:t>
      </w:r>
    </w:p>
  </w:footnote>
  <w:footnote w:id="338">
    <w:p w14:paraId="10125B91"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Case of Watts v. The United Kingdom, May 4, 2010.</w:t>
      </w:r>
    </w:p>
  </w:footnote>
  <w:footnote w:id="339">
    <w:p w14:paraId="2B4F8B04" w14:textId="77777777" w:rsidR="00E6764B" w:rsidRPr="0056383C" w:rsidRDefault="00E6764B" w:rsidP="00CD2B15">
      <w:pPr>
        <w:pStyle w:val="Textonotapie"/>
        <w:rPr>
          <w:color w:val="FF0000"/>
        </w:rPr>
      </w:pPr>
      <w:r w:rsidRPr="00D17A65">
        <w:rPr>
          <w:rStyle w:val="Refdenotaalpie"/>
          <w:sz w:val="16"/>
        </w:rPr>
        <w:footnoteRef/>
      </w:r>
      <w:r w:rsidRPr="00D17A65">
        <w:t xml:space="preserve"> </w:t>
      </w:r>
      <w:r w:rsidRPr="00D17A65">
        <w:tab/>
        <w:t xml:space="preserve">Case of Klaus and Iouri </w:t>
      </w:r>
      <w:proofErr w:type="spellStart"/>
      <w:r w:rsidRPr="00D17A65">
        <w:t>Kiladze</w:t>
      </w:r>
      <w:proofErr w:type="spellEnd"/>
      <w:r w:rsidRPr="00D17A65">
        <w:t xml:space="preserve"> v. Georgia of February 2, 2010, and Cases of </w:t>
      </w:r>
      <w:proofErr w:type="gramStart"/>
      <w:r w:rsidRPr="00D17A65">
        <w:rPr>
          <w:iCs/>
        </w:rPr>
        <w:t>Da</w:t>
      </w:r>
      <w:proofErr w:type="gramEnd"/>
      <w:r w:rsidRPr="00D17A65">
        <w:rPr>
          <w:iCs/>
        </w:rPr>
        <w:t xml:space="preserve"> </w:t>
      </w:r>
      <w:proofErr w:type="spellStart"/>
      <w:r w:rsidRPr="00D17A65">
        <w:rPr>
          <w:iCs/>
        </w:rPr>
        <w:t>Conceic</w:t>
      </w:r>
      <w:r w:rsidRPr="00D17A65">
        <w:rPr>
          <w:rFonts w:ascii="Arial" w:hAnsi="Arial" w:cs="Arial"/>
          <w:iCs/>
        </w:rPr>
        <w:t>̧</w:t>
      </w:r>
      <w:r w:rsidRPr="00D17A65">
        <w:rPr>
          <w:iCs/>
        </w:rPr>
        <w:t>ão</w:t>
      </w:r>
      <w:proofErr w:type="spellEnd"/>
      <w:r w:rsidRPr="00D17A65">
        <w:rPr>
          <w:iCs/>
        </w:rPr>
        <w:t xml:space="preserve"> Mateus v.</w:t>
      </w:r>
      <w:r w:rsidRPr="00D17A65">
        <w:t xml:space="preserve"> </w:t>
      </w:r>
      <w:r w:rsidRPr="00D17A65">
        <w:rPr>
          <w:iCs/>
        </w:rPr>
        <w:t xml:space="preserve">Portugal </w:t>
      </w:r>
      <w:r w:rsidRPr="00D17A65">
        <w:t>and</w:t>
      </w:r>
      <w:r w:rsidRPr="00D17A65">
        <w:rPr>
          <w:iCs/>
        </w:rPr>
        <w:t xml:space="preserve"> Santos </w:t>
      </w:r>
      <w:proofErr w:type="spellStart"/>
      <w:r w:rsidRPr="00D17A65">
        <w:rPr>
          <w:iCs/>
        </w:rPr>
        <w:t>Januário</w:t>
      </w:r>
      <w:proofErr w:type="spellEnd"/>
      <w:r w:rsidRPr="00D17A65">
        <w:rPr>
          <w:iCs/>
        </w:rPr>
        <w:t xml:space="preserve"> v. Portugal</w:t>
      </w:r>
      <w:r w:rsidRPr="00D17A65">
        <w:t xml:space="preserve"> of October 8, 2013.</w:t>
      </w:r>
    </w:p>
  </w:footnote>
  <w:footnote w:id="340">
    <w:p w14:paraId="2594DAEB" w14:textId="77777777" w:rsidR="00E6764B" w:rsidRPr="00D17A65" w:rsidRDefault="00E6764B" w:rsidP="00CD2B15">
      <w:pPr>
        <w:pStyle w:val="Textonotapie"/>
        <w:rPr>
          <w:b/>
          <w:bCs/>
          <w:lang w:val="es-CR"/>
        </w:rPr>
      </w:pPr>
      <w:r w:rsidRPr="00D17A65">
        <w:rPr>
          <w:rStyle w:val="Refdenotaalpie"/>
          <w:sz w:val="16"/>
        </w:rPr>
        <w:footnoteRef/>
      </w:r>
      <w:r w:rsidRPr="00D17A65">
        <w:t xml:space="preserve"> </w:t>
      </w:r>
      <w:r w:rsidRPr="00D17A65">
        <w:rPr>
          <w:b/>
          <w:bCs/>
        </w:rPr>
        <w:tab/>
      </w:r>
      <w:r w:rsidRPr="00D17A65">
        <w:rPr>
          <w:rStyle w:val="Textoennegrita"/>
          <w:b w:val="0"/>
          <w:bCs w:val="0"/>
          <w:i/>
          <w:color w:val="000000"/>
          <w:shd w:val="clear" w:color="auto" w:fill="FFFFFF"/>
        </w:rPr>
        <w:t xml:space="preserve">Case of the </w:t>
      </w:r>
      <w:proofErr w:type="spellStart"/>
      <w:r w:rsidRPr="00D17A65">
        <w:rPr>
          <w:rStyle w:val="Textoennegrita"/>
          <w:b w:val="0"/>
          <w:bCs w:val="0"/>
          <w:i/>
          <w:color w:val="000000"/>
          <w:shd w:val="clear" w:color="auto" w:fill="FFFFFF"/>
        </w:rPr>
        <w:t>Yakye</w:t>
      </w:r>
      <w:proofErr w:type="spellEnd"/>
      <w:r w:rsidRPr="00D17A65">
        <w:rPr>
          <w:rStyle w:val="Textoennegrita"/>
          <w:b w:val="0"/>
          <w:bCs w:val="0"/>
          <w:i/>
          <w:color w:val="000000"/>
          <w:shd w:val="clear" w:color="auto" w:fill="FFFFFF"/>
        </w:rPr>
        <w:t xml:space="preserve"> </w:t>
      </w:r>
      <w:proofErr w:type="spellStart"/>
      <w:r w:rsidRPr="00D17A65">
        <w:rPr>
          <w:rStyle w:val="Textoennegrita"/>
          <w:b w:val="0"/>
          <w:bCs w:val="0"/>
          <w:i/>
          <w:color w:val="000000"/>
          <w:shd w:val="clear" w:color="auto" w:fill="FFFFFF"/>
        </w:rPr>
        <w:t>Axa</w:t>
      </w:r>
      <w:proofErr w:type="spellEnd"/>
      <w:r w:rsidRPr="00D17A65">
        <w:rPr>
          <w:rStyle w:val="Textoennegrita"/>
          <w:b w:val="0"/>
          <w:bCs w:val="0"/>
          <w:i/>
          <w:color w:val="000000"/>
          <w:shd w:val="clear" w:color="auto" w:fill="FFFFFF"/>
        </w:rPr>
        <w:t xml:space="preserve"> Indigenous Community v. Paraguay. Merits, reparations and costs</w:t>
      </w:r>
      <w:r w:rsidRPr="00D17A65">
        <w:rPr>
          <w:rStyle w:val="Textoennegrita"/>
          <w:b w:val="0"/>
          <w:bCs w:val="0"/>
          <w:color w:val="000000"/>
          <w:shd w:val="clear" w:color="auto" w:fill="FFFFFF"/>
        </w:rPr>
        <w:t xml:space="preserve">. Judgment of June 17, 2005. </w:t>
      </w:r>
      <w:r w:rsidRPr="00D17A65">
        <w:rPr>
          <w:rStyle w:val="Textoennegrita"/>
          <w:b w:val="0"/>
          <w:bCs w:val="0"/>
          <w:color w:val="000000"/>
          <w:shd w:val="clear" w:color="auto" w:fill="FFFFFF"/>
          <w:lang w:val="es-CR"/>
        </w:rPr>
        <w:t>Series C No. 125, para. 175</w:t>
      </w:r>
    </w:p>
  </w:footnote>
  <w:footnote w:id="341">
    <w:p w14:paraId="5A9F2144" w14:textId="77777777" w:rsidR="00E6764B" w:rsidRPr="00D17A65" w:rsidRDefault="00E6764B" w:rsidP="00CD2B15">
      <w:pPr>
        <w:pStyle w:val="Textonotapie"/>
      </w:pPr>
      <w:r w:rsidRPr="00D17A65">
        <w:rPr>
          <w:rStyle w:val="Refdenotaalpie"/>
          <w:sz w:val="16"/>
        </w:rPr>
        <w:footnoteRef/>
      </w:r>
      <w:r w:rsidRPr="00D17A65">
        <w:rPr>
          <w:lang w:val="es-CR"/>
        </w:rPr>
        <w:t xml:space="preserve"> </w:t>
      </w:r>
      <w:r w:rsidRPr="00D17A65">
        <w:rPr>
          <w:lang w:val="es-CR"/>
        </w:rPr>
        <w:tab/>
        <w:t xml:space="preserve">Case </w:t>
      </w:r>
      <w:proofErr w:type="spellStart"/>
      <w:r w:rsidRPr="00D17A65">
        <w:rPr>
          <w:lang w:val="es-CR"/>
        </w:rPr>
        <w:t>of</w:t>
      </w:r>
      <w:proofErr w:type="spellEnd"/>
      <w:r w:rsidRPr="00D17A65">
        <w:rPr>
          <w:lang w:val="es-CR"/>
        </w:rPr>
        <w:t xml:space="preserve"> García Lucero et al. v. Chile. </w:t>
      </w:r>
      <w:r w:rsidRPr="00D17A65">
        <w:t>Preliminary objections, merits and reparations. Judgment of August 28, 2013. Series C No. 267, para. 231.</w:t>
      </w:r>
    </w:p>
  </w:footnote>
  <w:footnote w:id="342">
    <w:p w14:paraId="25CC1AE0" w14:textId="77777777" w:rsidR="00E6764B" w:rsidRPr="00D17A65" w:rsidRDefault="00E6764B" w:rsidP="00CD2B15">
      <w:pPr>
        <w:pStyle w:val="Textonotapie"/>
        <w:rPr>
          <w:b/>
          <w:bCs/>
        </w:rPr>
      </w:pPr>
      <w:r w:rsidRPr="00D17A65">
        <w:rPr>
          <w:rStyle w:val="Refdenotaalpie"/>
          <w:sz w:val="16"/>
        </w:rPr>
        <w:footnoteRef/>
      </w:r>
      <w:r w:rsidRPr="00D17A65">
        <w:t xml:space="preserve"> </w:t>
      </w:r>
      <w:r w:rsidRPr="00D17A65">
        <w:tab/>
        <w:t>Cf.</w:t>
      </w:r>
      <w:r w:rsidRPr="00D17A65">
        <w:rPr>
          <w:b/>
          <w:bCs/>
        </w:rPr>
        <w:t xml:space="preserve"> </w:t>
      </w:r>
      <w:r w:rsidRPr="00D17A65">
        <w:rPr>
          <w:rStyle w:val="Textoennegrita"/>
          <w:b w:val="0"/>
          <w:bCs w:val="0"/>
          <w:i/>
          <w:color w:val="000000"/>
          <w:shd w:val="clear" w:color="auto" w:fill="FFFFFF"/>
        </w:rPr>
        <w:t xml:space="preserve">Case of Poblete </w:t>
      </w:r>
      <w:proofErr w:type="spellStart"/>
      <w:r w:rsidRPr="00D17A65">
        <w:rPr>
          <w:rStyle w:val="Textoennegrita"/>
          <w:b w:val="0"/>
          <w:bCs w:val="0"/>
          <w:i/>
          <w:color w:val="000000"/>
          <w:shd w:val="clear" w:color="auto" w:fill="FFFFFF"/>
        </w:rPr>
        <w:t>Vilches</w:t>
      </w:r>
      <w:proofErr w:type="spellEnd"/>
      <w:r w:rsidRPr="00D17A65">
        <w:rPr>
          <w:rStyle w:val="Textoennegrita"/>
          <w:b w:val="0"/>
          <w:bCs w:val="0"/>
          <w:i/>
          <w:color w:val="000000"/>
          <w:shd w:val="clear" w:color="auto" w:fill="FFFFFF"/>
        </w:rPr>
        <w:t xml:space="preserve"> et al. v. Chile. Merits, reparations and costs.</w:t>
      </w:r>
      <w:r w:rsidRPr="00D17A65">
        <w:rPr>
          <w:rStyle w:val="Textoennegrita"/>
          <w:b w:val="0"/>
          <w:bCs w:val="0"/>
          <w:color w:val="000000"/>
          <w:shd w:val="clear" w:color="auto" w:fill="FFFFFF"/>
        </w:rPr>
        <w:t xml:space="preserve"> Judgment of March 8, 2018. Series C No. 349.</w:t>
      </w:r>
    </w:p>
  </w:footnote>
  <w:footnote w:id="343">
    <w:p w14:paraId="222FCFCE" w14:textId="77777777" w:rsidR="00E6764B" w:rsidRPr="00D17A65" w:rsidRDefault="00E6764B" w:rsidP="00CD2B15">
      <w:pPr>
        <w:pStyle w:val="Textonotapie"/>
        <w:rPr>
          <w:b/>
          <w:bCs/>
          <w:shd w:val="clear" w:color="auto" w:fill="FFFFFF"/>
        </w:rPr>
      </w:pPr>
      <w:r w:rsidRPr="00D17A65">
        <w:rPr>
          <w:rStyle w:val="Refdenotaalpie"/>
          <w:sz w:val="16"/>
        </w:rPr>
        <w:footnoteRef/>
      </w:r>
      <w:r w:rsidRPr="00D17A65">
        <w:t xml:space="preserve"> </w:t>
      </w:r>
      <w:r w:rsidRPr="00D17A65">
        <w:tab/>
        <w:t>Juridical Condition and Rights of Undocumented Migrants.</w:t>
      </w:r>
      <w:r w:rsidRPr="00D17A65">
        <w:rPr>
          <w:b/>
          <w:bCs/>
        </w:rPr>
        <w:t xml:space="preserve"> </w:t>
      </w:r>
      <w:r w:rsidRPr="00D17A65">
        <w:rPr>
          <w:rStyle w:val="Textoennegrita"/>
          <w:b w:val="0"/>
          <w:bCs w:val="0"/>
          <w:color w:val="000000"/>
          <w:shd w:val="clear" w:color="auto" w:fill="FFFFFF"/>
        </w:rPr>
        <w:t xml:space="preserve">Advisory Opinion OC-18/03 of September 17, 2003. Series A No. 18, para. 101. </w:t>
      </w:r>
    </w:p>
  </w:footnote>
  <w:footnote w:id="344">
    <w:p w14:paraId="1F43CFCE" w14:textId="77777777" w:rsidR="00E6764B" w:rsidRPr="00D17A65" w:rsidRDefault="00E6764B" w:rsidP="00CD2B15">
      <w:pPr>
        <w:pStyle w:val="Textonotapie"/>
        <w:rPr>
          <w:b/>
          <w:bCs/>
        </w:rPr>
      </w:pPr>
      <w:r w:rsidRPr="00D17A65">
        <w:rPr>
          <w:rStyle w:val="Refdenotaalpie"/>
          <w:sz w:val="16"/>
        </w:rPr>
        <w:footnoteRef/>
      </w:r>
      <w:r w:rsidRPr="00D17A65">
        <w:t xml:space="preserve"> </w:t>
      </w:r>
      <w:r w:rsidRPr="00D17A65">
        <w:tab/>
        <w:t>Cf.</w:t>
      </w:r>
      <w:r w:rsidRPr="00D17A65">
        <w:rPr>
          <w:b/>
          <w:bCs/>
        </w:rPr>
        <w:t xml:space="preserve"> </w:t>
      </w:r>
      <w:r w:rsidRPr="00D17A65">
        <w:rPr>
          <w:rStyle w:val="Textoennegrita"/>
          <w:b w:val="0"/>
          <w:bCs w:val="0"/>
          <w:i/>
          <w:color w:val="000000"/>
          <w:shd w:val="clear" w:color="auto" w:fill="FFFFFF"/>
        </w:rPr>
        <w:t xml:space="preserve">Case of Poblete </w:t>
      </w:r>
      <w:proofErr w:type="spellStart"/>
      <w:r w:rsidRPr="00D17A65">
        <w:rPr>
          <w:rStyle w:val="Textoennegrita"/>
          <w:b w:val="0"/>
          <w:bCs w:val="0"/>
          <w:i/>
          <w:color w:val="000000"/>
          <w:shd w:val="clear" w:color="auto" w:fill="FFFFFF"/>
        </w:rPr>
        <w:t>Vilches</w:t>
      </w:r>
      <w:proofErr w:type="spellEnd"/>
      <w:r w:rsidRPr="00D17A65">
        <w:rPr>
          <w:rStyle w:val="Textoennegrita"/>
          <w:b w:val="0"/>
          <w:bCs w:val="0"/>
          <w:i/>
          <w:color w:val="000000"/>
          <w:shd w:val="clear" w:color="auto" w:fill="FFFFFF"/>
        </w:rPr>
        <w:t xml:space="preserve"> et al. v. Chile. Merits, reparations and costs.</w:t>
      </w:r>
      <w:r w:rsidRPr="00D17A65">
        <w:rPr>
          <w:rStyle w:val="Textoennegrita"/>
          <w:b w:val="0"/>
          <w:bCs w:val="0"/>
          <w:color w:val="000000"/>
          <w:shd w:val="clear" w:color="auto" w:fill="FFFFFF"/>
        </w:rPr>
        <w:t xml:space="preserve"> Judgment of March 8, 2018. Series C No. 349, para. 122. </w:t>
      </w:r>
    </w:p>
  </w:footnote>
  <w:footnote w:id="345">
    <w:p w14:paraId="0787CDA2" w14:textId="77777777" w:rsidR="00E6764B" w:rsidRPr="00D17A65" w:rsidRDefault="00E6764B" w:rsidP="00CD2B15">
      <w:pPr>
        <w:pStyle w:val="Textonotapie"/>
        <w:rPr>
          <w:b/>
          <w:bCs/>
          <w:lang w:val="es-CR"/>
        </w:rPr>
      </w:pPr>
      <w:r w:rsidRPr="00D17A65">
        <w:rPr>
          <w:rStyle w:val="Refdenotaalpie"/>
          <w:sz w:val="16"/>
        </w:rPr>
        <w:footnoteRef/>
      </w:r>
      <w:r w:rsidRPr="00D17A65">
        <w:t xml:space="preserve"> </w:t>
      </w:r>
      <w:r w:rsidRPr="00D17A65">
        <w:rPr>
          <w:b/>
          <w:bCs/>
        </w:rPr>
        <w:tab/>
      </w:r>
      <w:r w:rsidRPr="00D17A65">
        <w:rPr>
          <w:rStyle w:val="Textoennegrita"/>
          <w:b w:val="0"/>
          <w:bCs w:val="0"/>
          <w:color w:val="000000"/>
          <w:shd w:val="clear" w:color="auto" w:fill="FFFFFF"/>
        </w:rPr>
        <w:t xml:space="preserve">For an assessment of this case and its importance, see the interesting opinions contained in the compendium: Morales </w:t>
      </w:r>
      <w:proofErr w:type="spellStart"/>
      <w:r w:rsidRPr="00D17A65">
        <w:rPr>
          <w:rStyle w:val="Textoennegrita"/>
          <w:b w:val="0"/>
          <w:bCs w:val="0"/>
          <w:color w:val="000000"/>
          <w:shd w:val="clear" w:color="auto" w:fill="FFFFFF"/>
        </w:rPr>
        <w:t>Antoniazzi</w:t>
      </w:r>
      <w:proofErr w:type="spellEnd"/>
      <w:r w:rsidRPr="00D17A65">
        <w:rPr>
          <w:rStyle w:val="Textoennegrita"/>
          <w:b w:val="0"/>
          <w:bCs w:val="0"/>
          <w:color w:val="000000"/>
          <w:shd w:val="clear" w:color="auto" w:fill="FFFFFF"/>
        </w:rPr>
        <w:t xml:space="preserve">, Mariela, and </w:t>
      </w:r>
      <w:proofErr w:type="spellStart"/>
      <w:r w:rsidRPr="00D17A65">
        <w:rPr>
          <w:rStyle w:val="Textoennegrita"/>
          <w:b w:val="0"/>
          <w:bCs w:val="0"/>
          <w:color w:val="000000"/>
          <w:shd w:val="clear" w:color="auto" w:fill="FFFFFF"/>
        </w:rPr>
        <w:t>Clérico</w:t>
      </w:r>
      <w:proofErr w:type="spellEnd"/>
      <w:r w:rsidRPr="00D17A65">
        <w:rPr>
          <w:rStyle w:val="Textoennegrita"/>
          <w:b w:val="0"/>
          <w:bCs w:val="0"/>
          <w:color w:val="000000"/>
          <w:shd w:val="clear" w:color="auto" w:fill="FFFFFF"/>
        </w:rPr>
        <w:t>, Laura (</w:t>
      </w:r>
      <w:proofErr w:type="spellStart"/>
      <w:r w:rsidRPr="00D17A65">
        <w:rPr>
          <w:rStyle w:val="Textoennegrita"/>
          <w:b w:val="0"/>
          <w:bCs w:val="0"/>
          <w:color w:val="000000"/>
          <w:shd w:val="clear" w:color="auto" w:fill="FFFFFF"/>
        </w:rPr>
        <w:t>coords</w:t>
      </w:r>
      <w:proofErr w:type="spellEnd"/>
      <w:r w:rsidRPr="00D17A65">
        <w:rPr>
          <w:rStyle w:val="Textoennegrita"/>
          <w:b w:val="0"/>
          <w:bCs w:val="0"/>
          <w:color w:val="000000"/>
          <w:shd w:val="clear" w:color="auto" w:fill="FFFFFF"/>
        </w:rPr>
        <w:t xml:space="preserve">.), </w:t>
      </w:r>
      <w:proofErr w:type="spellStart"/>
      <w:r w:rsidRPr="00D17A65">
        <w:rPr>
          <w:rStyle w:val="Textoennegrita"/>
          <w:b w:val="0"/>
          <w:bCs w:val="0"/>
          <w:i/>
          <w:color w:val="000000"/>
          <w:shd w:val="clear" w:color="auto" w:fill="FFFFFF"/>
        </w:rPr>
        <w:t>Interamericanización</w:t>
      </w:r>
      <w:proofErr w:type="spellEnd"/>
      <w:r w:rsidRPr="00D17A65">
        <w:rPr>
          <w:rStyle w:val="Textoennegrita"/>
          <w:b w:val="0"/>
          <w:bCs w:val="0"/>
          <w:i/>
          <w:color w:val="000000"/>
          <w:shd w:val="clear" w:color="auto" w:fill="FFFFFF"/>
        </w:rPr>
        <w:t xml:space="preserve"> del derecho a la </w:t>
      </w:r>
      <w:proofErr w:type="spellStart"/>
      <w:r w:rsidRPr="00D17A65">
        <w:rPr>
          <w:rStyle w:val="Textoennegrita"/>
          <w:b w:val="0"/>
          <w:bCs w:val="0"/>
          <w:i/>
          <w:color w:val="000000"/>
          <w:shd w:val="clear" w:color="auto" w:fill="FFFFFF"/>
        </w:rPr>
        <w:t>salud</w:t>
      </w:r>
      <w:proofErr w:type="spellEnd"/>
      <w:r w:rsidRPr="00D17A65">
        <w:rPr>
          <w:rStyle w:val="Textoennegrita"/>
          <w:b w:val="0"/>
          <w:bCs w:val="0"/>
          <w:i/>
          <w:color w:val="000000"/>
          <w:shd w:val="clear" w:color="auto" w:fill="FFFFFF"/>
        </w:rPr>
        <w:t xml:space="preserve">. </w:t>
      </w:r>
      <w:r w:rsidRPr="00D17A65">
        <w:rPr>
          <w:rStyle w:val="Textoennegrita"/>
          <w:b w:val="0"/>
          <w:bCs w:val="0"/>
          <w:i/>
          <w:color w:val="000000"/>
          <w:shd w:val="clear" w:color="auto" w:fill="FFFFFF"/>
          <w:lang w:val="es-CR"/>
        </w:rPr>
        <w:t xml:space="preserve">Perspectivas a la luz del Caso Poblete de la Corte IDH, </w:t>
      </w:r>
      <w:r w:rsidRPr="00D17A65">
        <w:rPr>
          <w:rStyle w:val="Textoennegrita"/>
          <w:b w:val="0"/>
          <w:bCs w:val="0"/>
          <w:color w:val="000000"/>
          <w:shd w:val="clear" w:color="auto" w:fill="FFFFFF"/>
          <w:lang w:val="es-CR"/>
        </w:rPr>
        <w:t xml:space="preserve">Instituto de Estudios Constitucionales del Estado de Querétaro, Querétaro, 2019. </w:t>
      </w:r>
    </w:p>
  </w:footnote>
  <w:footnote w:id="346">
    <w:p w14:paraId="7FE87160" w14:textId="693C5AB0" w:rsidR="00E6764B" w:rsidRDefault="00E6764B" w:rsidP="00CD2B15">
      <w:pPr>
        <w:pStyle w:val="Textonotapie"/>
        <w:rPr>
          <w:rStyle w:val="Textoennegrita"/>
          <w:b w:val="0"/>
          <w:bCs w:val="0"/>
          <w:color w:val="000000"/>
          <w:shd w:val="clear" w:color="auto" w:fill="FFFFFF"/>
        </w:rPr>
      </w:pPr>
      <w:r w:rsidRPr="00D17A65">
        <w:rPr>
          <w:rStyle w:val="Refdenotaalpie"/>
          <w:sz w:val="16"/>
        </w:rPr>
        <w:footnoteRef/>
      </w:r>
      <w:r w:rsidRPr="00D17A65">
        <w:t xml:space="preserve"> </w:t>
      </w:r>
      <w:r w:rsidRPr="00D17A65">
        <w:tab/>
        <w:t>Cf.</w:t>
      </w:r>
      <w:r w:rsidRPr="00D17A65">
        <w:rPr>
          <w:b/>
          <w:bCs/>
        </w:rPr>
        <w:t xml:space="preserve"> </w:t>
      </w:r>
      <w:r w:rsidRPr="00D17A65">
        <w:rPr>
          <w:rStyle w:val="Textoennegrita"/>
          <w:b w:val="0"/>
          <w:bCs w:val="0"/>
          <w:i/>
          <w:color w:val="000000"/>
          <w:shd w:val="clear" w:color="auto" w:fill="FFFFFF"/>
        </w:rPr>
        <w:t xml:space="preserve">Case of Poblete </w:t>
      </w:r>
      <w:proofErr w:type="spellStart"/>
      <w:r w:rsidRPr="00D17A65">
        <w:rPr>
          <w:rStyle w:val="Textoennegrita"/>
          <w:b w:val="0"/>
          <w:bCs w:val="0"/>
          <w:i/>
          <w:color w:val="000000"/>
          <w:shd w:val="clear" w:color="auto" w:fill="FFFFFF"/>
        </w:rPr>
        <w:t>Vilches</w:t>
      </w:r>
      <w:proofErr w:type="spellEnd"/>
      <w:r w:rsidRPr="00D17A65">
        <w:rPr>
          <w:rStyle w:val="Textoennegrita"/>
          <w:b w:val="0"/>
          <w:bCs w:val="0"/>
          <w:i/>
          <w:color w:val="000000"/>
          <w:shd w:val="clear" w:color="auto" w:fill="FFFFFF"/>
        </w:rPr>
        <w:t xml:space="preserve"> et al. v. Chile. Merits, reparations and costs.</w:t>
      </w:r>
      <w:r w:rsidRPr="00D17A65">
        <w:rPr>
          <w:rStyle w:val="Textoennegrita"/>
          <w:b w:val="0"/>
          <w:bCs w:val="0"/>
          <w:color w:val="000000"/>
          <w:shd w:val="clear" w:color="auto" w:fill="FFFFFF"/>
        </w:rPr>
        <w:t xml:space="preserve"> Judgment of March 8, 2018. Series C No. 349, para. 142.</w:t>
      </w:r>
    </w:p>
    <w:p w14:paraId="4B700ACC" w14:textId="77777777" w:rsidR="00E6764B" w:rsidRPr="0056383C" w:rsidRDefault="00E6764B" w:rsidP="00CD2B15">
      <w:pPr>
        <w:pStyle w:val="Textonotapie"/>
      </w:pPr>
    </w:p>
  </w:footnote>
  <w:footnote w:id="347">
    <w:p w14:paraId="1352728E" w14:textId="77777777" w:rsidR="00E6764B" w:rsidRPr="00D17A65" w:rsidRDefault="00E6764B" w:rsidP="00CD2B15">
      <w:pPr>
        <w:pStyle w:val="Textonotapie"/>
      </w:pPr>
      <w:r w:rsidRPr="00D17A65">
        <w:rPr>
          <w:rStyle w:val="Refdenotaalpie"/>
          <w:sz w:val="16"/>
        </w:rPr>
        <w:footnoteRef/>
      </w:r>
      <w:r w:rsidRPr="00D17A65">
        <w:t xml:space="preserve"> </w:t>
      </w:r>
      <w:r w:rsidRPr="00D17A65">
        <w:tab/>
      </w:r>
      <w:r w:rsidRPr="00D17A65">
        <w:rPr>
          <w:i/>
        </w:rPr>
        <w:t xml:space="preserve">Cf. </w:t>
      </w:r>
      <w:r w:rsidRPr="00D17A65">
        <w:rPr>
          <w:rStyle w:val="Textoennegrita"/>
          <w:b w:val="0"/>
          <w:bCs w:val="0"/>
          <w:i/>
          <w:color w:val="000000"/>
          <w:shd w:val="clear" w:color="auto" w:fill="FFFFFF"/>
        </w:rPr>
        <w:t xml:space="preserve">Case of Poblete </w:t>
      </w:r>
      <w:proofErr w:type="spellStart"/>
      <w:r w:rsidRPr="00D17A65">
        <w:rPr>
          <w:rStyle w:val="Textoennegrita"/>
          <w:b w:val="0"/>
          <w:bCs w:val="0"/>
          <w:i/>
          <w:color w:val="000000"/>
          <w:shd w:val="clear" w:color="auto" w:fill="FFFFFF"/>
        </w:rPr>
        <w:t>Vilches</w:t>
      </w:r>
      <w:proofErr w:type="spellEnd"/>
      <w:r w:rsidRPr="00D17A65">
        <w:rPr>
          <w:rStyle w:val="Textoennegrita"/>
          <w:b w:val="0"/>
          <w:bCs w:val="0"/>
          <w:i/>
          <w:color w:val="000000"/>
          <w:shd w:val="clear" w:color="auto" w:fill="FFFFFF"/>
        </w:rPr>
        <w:t xml:space="preserve"> et al. v. Chile. Merits, reparations and costs.</w:t>
      </w:r>
      <w:r w:rsidRPr="00D17A65">
        <w:rPr>
          <w:rStyle w:val="Textoennegrita"/>
          <w:b w:val="0"/>
          <w:bCs w:val="0"/>
          <w:color w:val="000000"/>
          <w:shd w:val="clear" w:color="auto" w:fill="FFFFFF"/>
        </w:rPr>
        <w:t xml:space="preserve"> Judgment of March 8, 2018. Series C No. 349, fifteenth and sixteenth operative paragraphs.</w:t>
      </w:r>
      <w:r w:rsidRPr="00D17A65">
        <w:rPr>
          <w:rStyle w:val="Textoennegrita"/>
          <w:color w:val="000000"/>
          <w:shd w:val="clear" w:color="auto" w:fill="FFFFFF"/>
        </w:rPr>
        <w:t xml:space="preserve"> </w:t>
      </w:r>
    </w:p>
  </w:footnote>
  <w:footnote w:id="348">
    <w:p w14:paraId="5D015CAB"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Cf. Case of </w:t>
      </w:r>
      <w:proofErr w:type="spellStart"/>
      <w:r w:rsidRPr="00D17A65">
        <w:t>Muelle</w:t>
      </w:r>
      <w:proofErr w:type="spellEnd"/>
      <w:r w:rsidRPr="00D17A65">
        <w:t xml:space="preserve"> Flores v. Peru. Preliminary objections, merits, reparations and costs. Judgment of March 6, 2019. Series C No. 375, para. 157.</w:t>
      </w:r>
    </w:p>
  </w:footnote>
  <w:footnote w:id="349">
    <w:p w14:paraId="184CF6F9"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Cf. Case of Valle Jaramillo et al. v. Colombia. Merits, reparations and costs. Judgment of November 27, 2008. Series C No. 192, para. 155 and </w:t>
      </w:r>
      <w:r w:rsidRPr="00D17A65">
        <w:rPr>
          <w:rStyle w:val="Textoennegrita"/>
          <w:b w:val="0"/>
          <w:bCs w:val="0"/>
          <w:color w:val="000000"/>
          <w:shd w:val="clear" w:color="auto" w:fill="FFFFFF"/>
        </w:rPr>
        <w:t>Case of</w:t>
      </w:r>
      <w:r w:rsidRPr="00D17A65">
        <w:rPr>
          <w:rStyle w:val="Textoennegrita"/>
          <w:b w:val="0"/>
          <w:bCs w:val="0"/>
          <w:i/>
          <w:color w:val="000000"/>
          <w:shd w:val="clear" w:color="auto" w:fill="FFFFFF"/>
        </w:rPr>
        <w:t xml:space="preserve"> Pacheco León et al. v. Honduras. Merits, reparations and costs</w:t>
      </w:r>
      <w:r w:rsidRPr="00D17A65">
        <w:rPr>
          <w:rStyle w:val="Textoennegrita"/>
          <w:b w:val="0"/>
          <w:bCs w:val="0"/>
          <w:color w:val="000000"/>
          <w:shd w:val="clear" w:color="auto" w:fill="FFFFFF"/>
        </w:rPr>
        <w:t>. Judgment of November 15, 2017. Series C No. 342,</w:t>
      </w:r>
      <w:r w:rsidRPr="00D17A65">
        <w:rPr>
          <w:rStyle w:val="Textoennegrita"/>
          <w:color w:val="000000"/>
          <w:shd w:val="clear" w:color="auto" w:fill="FFFFFF"/>
        </w:rPr>
        <w:t xml:space="preserve"> </w:t>
      </w:r>
      <w:r w:rsidRPr="00D17A65">
        <w:rPr>
          <w:iCs/>
        </w:rPr>
        <w:t>para. 120</w:t>
      </w:r>
      <w:r w:rsidRPr="00D17A65">
        <w:t>.</w:t>
      </w:r>
    </w:p>
  </w:footnote>
  <w:footnote w:id="350">
    <w:p w14:paraId="5BAB62AE" w14:textId="77777777" w:rsidR="00E6764B" w:rsidRPr="0056383C" w:rsidRDefault="00E6764B" w:rsidP="00CD2B15">
      <w:pPr>
        <w:pStyle w:val="Textonotapie"/>
      </w:pPr>
      <w:r w:rsidRPr="00D17A65">
        <w:rPr>
          <w:rStyle w:val="Refdenotaalpie"/>
          <w:sz w:val="16"/>
        </w:rPr>
        <w:footnoteRef/>
      </w:r>
      <w:r w:rsidRPr="00D17A65">
        <w:t xml:space="preserve"> </w:t>
      </w:r>
      <w:r w:rsidRPr="00D17A65">
        <w:tab/>
        <w:t xml:space="preserve">Case of </w:t>
      </w:r>
      <w:proofErr w:type="spellStart"/>
      <w:r w:rsidRPr="00D17A65">
        <w:t>Furlan</w:t>
      </w:r>
      <w:proofErr w:type="spellEnd"/>
      <w:r w:rsidRPr="00D17A65">
        <w:t xml:space="preserve"> and family v. Argentina. Preliminary objections, merits, reparations and costs. Judgment of August 31, 2012. Series C No. 246, para. 195; and </w:t>
      </w:r>
      <w:r w:rsidRPr="00D17A65">
        <w:rPr>
          <w:noProof/>
        </w:rPr>
        <w:t>ECHR, Case of H. v. The United Kingdom, No. 9580/81, Judgment of July 8, 1987, para. 85.</w:t>
      </w:r>
    </w:p>
  </w:footnote>
  <w:footnote w:id="351">
    <w:p w14:paraId="58F59E34" w14:textId="77777777" w:rsidR="00E6764B" w:rsidRPr="00D17A65" w:rsidRDefault="00E6764B" w:rsidP="00CD2B15">
      <w:pPr>
        <w:pStyle w:val="NormalWeb"/>
        <w:spacing w:before="0" w:beforeAutospacing="0" w:after="120" w:afterAutospacing="0"/>
        <w:jc w:val="both"/>
        <w:rPr>
          <w:rFonts w:ascii="Verdana" w:hAnsi="Verdana"/>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t xml:space="preserve">ECHR, </w:t>
      </w:r>
      <w:r w:rsidRPr="00D17A65">
        <w:rPr>
          <w:rFonts w:ascii="Verdana" w:hAnsi="Verdana"/>
          <w:i/>
          <w:sz w:val="16"/>
          <w:szCs w:val="16"/>
          <w:lang w:val="en-US"/>
        </w:rPr>
        <w:t>Case of H. v. The United Kingdom</w:t>
      </w:r>
      <w:r w:rsidRPr="00D17A65">
        <w:rPr>
          <w:rFonts w:ascii="Verdana" w:hAnsi="Verdana"/>
          <w:sz w:val="16"/>
          <w:szCs w:val="16"/>
          <w:lang w:val="en-US"/>
        </w:rPr>
        <w:t xml:space="preserve">, (No. 9580/81), Judgment of July 8, 1987, para. 85; </w:t>
      </w:r>
      <w:r w:rsidRPr="00D17A65">
        <w:rPr>
          <w:rFonts w:ascii="Verdana" w:hAnsi="Verdana"/>
          <w:i/>
          <w:sz w:val="16"/>
          <w:szCs w:val="16"/>
          <w:lang w:val="en-US"/>
        </w:rPr>
        <w:t>Case of X. v. France</w:t>
      </w:r>
      <w:r w:rsidRPr="00D17A65">
        <w:rPr>
          <w:rFonts w:ascii="Verdana" w:hAnsi="Verdana"/>
          <w:sz w:val="16"/>
          <w:szCs w:val="16"/>
          <w:lang w:val="en-US"/>
        </w:rPr>
        <w:t>, (No. 18020/91), Judgment of March 31, 1992, para. 47. Similarly, Case of</w:t>
      </w:r>
      <w:r w:rsidRPr="00D17A65">
        <w:rPr>
          <w:rFonts w:ascii="Verdana" w:hAnsi="Verdana"/>
          <w:i/>
          <w:sz w:val="16"/>
          <w:szCs w:val="16"/>
          <w:lang w:val="en-US"/>
        </w:rPr>
        <w:t xml:space="preserve"> A. and Others v. Denmark</w:t>
      </w:r>
      <w:r w:rsidRPr="00D17A65">
        <w:rPr>
          <w:rFonts w:ascii="Verdana" w:hAnsi="Verdana"/>
          <w:sz w:val="16"/>
          <w:szCs w:val="16"/>
          <w:lang w:val="en-US"/>
        </w:rPr>
        <w:t xml:space="preserve">, (No. 20826/92), Judgment of February 8, 1996), para. 78. </w:t>
      </w:r>
    </w:p>
  </w:footnote>
  <w:footnote w:id="352">
    <w:p w14:paraId="61C3076E" w14:textId="77777777" w:rsidR="00E6764B" w:rsidRPr="00D17A65" w:rsidRDefault="00E6764B" w:rsidP="00CD2B15">
      <w:pPr>
        <w:pStyle w:val="NormalWeb"/>
        <w:spacing w:before="0" w:beforeAutospacing="0" w:after="120" w:afterAutospacing="0"/>
        <w:jc w:val="both"/>
        <w:rPr>
          <w:rFonts w:ascii="Verdana" w:hAnsi="Verdana"/>
          <w:sz w:val="16"/>
          <w:szCs w:val="16"/>
          <w:lang w:val="en-US"/>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t xml:space="preserve">ECHR, </w:t>
      </w:r>
      <w:r w:rsidRPr="00D17A65">
        <w:rPr>
          <w:rFonts w:ascii="Verdana" w:hAnsi="Verdana"/>
          <w:i/>
          <w:sz w:val="16"/>
          <w:szCs w:val="16"/>
          <w:lang w:val="en-US"/>
        </w:rPr>
        <w:t xml:space="preserve">Case of </w:t>
      </w:r>
      <w:proofErr w:type="spellStart"/>
      <w:r w:rsidRPr="00D17A65">
        <w:rPr>
          <w:rFonts w:ascii="Verdana" w:hAnsi="Verdana"/>
          <w:i/>
          <w:sz w:val="16"/>
          <w:szCs w:val="16"/>
          <w:lang w:val="en-US"/>
        </w:rPr>
        <w:t>Jablonska</w:t>
      </w:r>
      <w:proofErr w:type="spellEnd"/>
      <w:r w:rsidRPr="00D17A65">
        <w:rPr>
          <w:rFonts w:ascii="Verdana" w:hAnsi="Verdana"/>
          <w:i/>
          <w:sz w:val="16"/>
          <w:szCs w:val="16"/>
          <w:lang w:val="en-US"/>
        </w:rPr>
        <w:t>́ v. Poland</w:t>
      </w:r>
      <w:r w:rsidRPr="00D17A65">
        <w:rPr>
          <w:rFonts w:ascii="Verdana" w:hAnsi="Verdana"/>
          <w:sz w:val="16"/>
          <w:szCs w:val="16"/>
          <w:lang w:val="en-US"/>
        </w:rPr>
        <w:t xml:space="preserve"> (No.60225/00), Judgment of March 9, 2004. Final, June 9, 2004, para. 43; </w:t>
      </w:r>
      <w:r w:rsidRPr="00D17A65">
        <w:rPr>
          <w:rFonts w:ascii="Verdana" w:hAnsi="Verdana"/>
          <w:i/>
          <w:sz w:val="16"/>
          <w:szCs w:val="16"/>
          <w:lang w:val="en-US"/>
        </w:rPr>
        <w:t xml:space="preserve">Case of </w:t>
      </w:r>
      <w:proofErr w:type="spellStart"/>
      <w:r w:rsidRPr="00D17A65">
        <w:rPr>
          <w:rFonts w:ascii="Verdana" w:hAnsi="Verdana"/>
          <w:i/>
          <w:sz w:val="16"/>
          <w:szCs w:val="16"/>
          <w:lang w:val="en-US"/>
        </w:rPr>
        <w:t>Codarcea</w:t>
      </w:r>
      <w:proofErr w:type="spellEnd"/>
      <w:r w:rsidRPr="00D17A65">
        <w:rPr>
          <w:rFonts w:ascii="Verdana" w:hAnsi="Verdana"/>
          <w:i/>
          <w:sz w:val="16"/>
          <w:szCs w:val="16"/>
          <w:lang w:val="en-US"/>
        </w:rPr>
        <w:t xml:space="preserve"> v. Romania</w:t>
      </w:r>
      <w:r w:rsidRPr="00D17A65">
        <w:rPr>
          <w:rFonts w:ascii="Verdana" w:hAnsi="Verdana"/>
          <w:sz w:val="16"/>
          <w:szCs w:val="16"/>
          <w:lang w:val="en-US"/>
        </w:rPr>
        <w:t xml:space="preserve"> (No. 31675/04), Judgment of June 2, 2009. Final, September 2, 2009, para. 89; </w:t>
      </w:r>
      <w:r w:rsidRPr="00D17A65">
        <w:rPr>
          <w:rFonts w:ascii="Verdana" w:hAnsi="Verdana"/>
          <w:i/>
          <w:sz w:val="16"/>
          <w:szCs w:val="16"/>
          <w:lang w:val="en-US"/>
        </w:rPr>
        <w:t xml:space="preserve">Case of </w:t>
      </w:r>
      <w:proofErr w:type="spellStart"/>
      <w:r w:rsidRPr="00D17A65">
        <w:rPr>
          <w:rFonts w:ascii="Verdana" w:hAnsi="Verdana"/>
          <w:i/>
          <w:sz w:val="16"/>
          <w:szCs w:val="16"/>
          <w:lang w:val="en-US"/>
        </w:rPr>
        <w:t>Styranowski</w:t>
      </w:r>
      <w:proofErr w:type="spellEnd"/>
      <w:r w:rsidRPr="00D17A65">
        <w:rPr>
          <w:rFonts w:ascii="Verdana" w:hAnsi="Verdana"/>
          <w:i/>
          <w:sz w:val="16"/>
          <w:szCs w:val="16"/>
          <w:lang w:val="en-US"/>
        </w:rPr>
        <w:t xml:space="preserve"> v. Poland</w:t>
      </w:r>
      <w:r w:rsidRPr="00D17A65">
        <w:rPr>
          <w:rFonts w:ascii="Verdana" w:hAnsi="Verdana"/>
          <w:sz w:val="16"/>
          <w:szCs w:val="16"/>
          <w:lang w:val="en-US"/>
        </w:rPr>
        <w:t xml:space="preserve"> (No. 28616/95), Judgment of October 30, 1998, para. 57, and </w:t>
      </w:r>
      <w:r w:rsidRPr="00D17A65">
        <w:rPr>
          <w:rFonts w:ascii="Verdana" w:hAnsi="Verdana"/>
          <w:i/>
          <w:sz w:val="16"/>
          <w:szCs w:val="16"/>
          <w:lang w:val="en-US"/>
        </w:rPr>
        <w:t xml:space="preserve">Case of </w:t>
      </w:r>
      <w:proofErr w:type="spellStart"/>
      <w:r w:rsidRPr="00D17A65">
        <w:rPr>
          <w:rFonts w:ascii="Verdana" w:hAnsi="Verdana"/>
          <w:i/>
          <w:sz w:val="16"/>
          <w:szCs w:val="16"/>
          <w:lang w:val="en-US"/>
        </w:rPr>
        <w:t>Krzak</w:t>
      </w:r>
      <w:proofErr w:type="spellEnd"/>
      <w:r w:rsidRPr="00D17A65">
        <w:rPr>
          <w:rFonts w:ascii="Verdana" w:hAnsi="Verdana"/>
          <w:i/>
          <w:sz w:val="16"/>
          <w:szCs w:val="16"/>
          <w:lang w:val="en-US"/>
        </w:rPr>
        <w:t xml:space="preserve"> v. Poland</w:t>
      </w:r>
      <w:r w:rsidRPr="00D17A65">
        <w:rPr>
          <w:rFonts w:ascii="Verdana" w:hAnsi="Verdana"/>
          <w:sz w:val="16"/>
          <w:szCs w:val="16"/>
          <w:lang w:val="en-US"/>
        </w:rPr>
        <w:t xml:space="preserve"> (No. 51515/99), Judgment of April 6, 2004. Final, July 7, 2004, para. 42. </w:t>
      </w:r>
    </w:p>
  </w:footnote>
  <w:footnote w:id="353">
    <w:p w14:paraId="1200FF4D"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Case of </w:t>
      </w:r>
      <w:proofErr w:type="spellStart"/>
      <w:r w:rsidRPr="00D17A65">
        <w:t>Furlan</w:t>
      </w:r>
      <w:proofErr w:type="spellEnd"/>
      <w:r w:rsidRPr="00D17A65">
        <w:t xml:space="preserve"> and family v. Argentina. Preliminary objections, merits, reparations and costs. Judgment of August 31, 2012. Series C No. 246, para. 196.</w:t>
      </w:r>
    </w:p>
  </w:footnote>
  <w:footnote w:id="354">
    <w:p w14:paraId="4B4ED582"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In the case of Gonzales </w:t>
      </w:r>
      <w:proofErr w:type="spellStart"/>
      <w:r w:rsidRPr="00D17A65">
        <w:t>Lluy</w:t>
      </w:r>
      <w:proofErr w:type="spellEnd"/>
      <w:r w:rsidRPr="00D17A65">
        <w:t>, the Court stipulated that: “315. Taking into consideration: (</w:t>
      </w:r>
      <w:proofErr w:type="spellStart"/>
      <w:r w:rsidRPr="00D17A65">
        <w:t>i</w:t>
      </w:r>
      <w:proofErr w:type="spellEnd"/>
      <w:r w:rsidRPr="00D17A65">
        <w:t xml:space="preserve">) that, in this case, </w:t>
      </w:r>
      <w:proofErr w:type="spellStart"/>
      <w:r w:rsidRPr="00D17A65">
        <w:t>Talía’s</w:t>
      </w:r>
      <w:proofErr w:type="spellEnd"/>
      <w:r w:rsidRPr="00D17A65">
        <w:t xml:space="preserve"> integrity was at stake; (ii) the consequent urgency derived from her situation as a child with HIV, and (iii) the crucial importance of concluding the proceedings so that </w:t>
      </w:r>
      <w:proofErr w:type="spellStart"/>
      <w:r w:rsidRPr="00D17A65">
        <w:t>Talía</w:t>
      </w:r>
      <w:proofErr w:type="spellEnd"/>
      <w:r w:rsidRPr="00D17A65">
        <w:t xml:space="preserve"> and her family could have access to reparation for damages, the Court concludes that there was a special obligation to act with due diligence, and that the State did not comply with this obligation.”</w:t>
      </w:r>
      <w:r w:rsidRPr="00D17A65">
        <w:rPr>
          <w:rStyle w:val="Textoennegrita"/>
          <w:i/>
          <w:color w:val="000000"/>
          <w:shd w:val="clear" w:color="auto" w:fill="FFFFFF"/>
        </w:rPr>
        <w:t xml:space="preserve"> </w:t>
      </w:r>
      <w:r w:rsidRPr="00D17A65">
        <w:rPr>
          <w:rStyle w:val="Textoennegrita"/>
          <w:b w:val="0"/>
          <w:bCs w:val="0"/>
          <w:i/>
          <w:color w:val="000000"/>
          <w:shd w:val="clear" w:color="auto" w:fill="FFFFFF"/>
        </w:rPr>
        <w:t xml:space="preserve">Case of Gonzales </w:t>
      </w:r>
      <w:proofErr w:type="spellStart"/>
      <w:r w:rsidRPr="00D17A65">
        <w:rPr>
          <w:rStyle w:val="Textoennegrita"/>
          <w:b w:val="0"/>
          <w:bCs w:val="0"/>
          <w:i/>
          <w:color w:val="000000"/>
          <w:shd w:val="clear" w:color="auto" w:fill="FFFFFF"/>
        </w:rPr>
        <w:t>Lluy</w:t>
      </w:r>
      <w:proofErr w:type="spellEnd"/>
      <w:r w:rsidRPr="00D17A65">
        <w:rPr>
          <w:rStyle w:val="Textoennegrita"/>
          <w:b w:val="0"/>
          <w:bCs w:val="0"/>
          <w:i/>
          <w:color w:val="000000"/>
          <w:shd w:val="clear" w:color="auto" w:fill="FFFFFF"/>
        </w:rPr>
        <w:t xml:space="preserve"> et al. v. Ecuador. Preliminary objections, merits, reparations and costs</w:t>
      </w:r>
      <w:r w:rsidRPr="00D17A65">
        <w:rPr>
          <w:rStyle w:val="Textoennegrita"/>
          <w:b w:val="0"/>
          <w:bCs w:val="0"/>
          <w:color w:val="000000"/>
          <w:shd w:val="clear" w:color="auto" w:fill="FFFFFF"/>
        </w:rPr>
        <w:t xml:space="preserve">. Judgment of September 1, 2015. Series C No. 298, para. 315. </w:t>
      </w:r>
    </w:p>
  </w:footnote>
  <w:footnote w:id="355">
    <w:p w14:paraId="2A61C055" w14:textId="77777777" w:rsidR="00E6764B" w:rsidRPr="0056383C" w:rsidRDefault="00E6764B" w:rsidP="00CD2B15">
      <w:pPr>
        <w:pStyle w:val="Textonotapie"/>
        <w:rPr>
          <w:shd w:val="clear" w:color="auto" w:fill="FFFFFF"/>
        </w:rPr>
      </w:pPr>
      <w:r w:rsidRPr="00D17A65">
        <w:rPr>
          <w:rStyle w:val="Refdenotaalpie"/>
          <w:sz w:val="16"/>
        </w:rPr>
        <w:footnoteRef/>
      </w:r>
      <w:r w:rsidRPr="00D17A65">
        <w:t xml:space="preserve"> </w:t>
      </w:r>
      <w:r w:rsidRPr="00D17A65">
        <w:tab/>
      </w:r>
      <w:r w:rsidRPr="00D17A65">
        <w:rPr>
          <w:i/>
        </w:rPr>
        <w:t>Cf.</w:t>
      </w:r>
      <w:r w:rsidRPr="00D17A65">
        <w:t xml:space="preserve"> </w:t>
      </w:r>
      <w:r w:rsidRPr="00D17A65">
        <w:rPr>
          <w:rStyle w:val="Textoennegrita"/>
          <w:b w:val="0"/>
          <w:bCs w:val="0"/>
          <w:i/>
          <w:color w:val="000000"/>
          <w:shd w:val="clear" w:color="auto" w:fill="FFFFFF"/>
        </w:rPr>
        <w:t xml:space="preserve">Case of Gonzales </w:t>
      </w:r>
      <w:proofErr w:type="spellStart"/>
      <w:r w:rsidRPr="00D17A65">
        <w:rPr>
          <w:rStyle w:val="Textoennegrita"/>
          <w:b w:val="0"/>
          <w:bCs w:val="0"/>
          <w:i/>
          <w:color w:val="000000"/>
          <w:shd w:val="clear" w:color="auto" w:fill="FFFFFF"/>
        </w:rPr>
        <w:t>Lluy</w:t>
      </w:r>
      <w:proofErr w:type="spellEnd"/>
      <w:r w:rsidRPr="00D17A65">
        <w:rPr>
          <w:rStyle w:val="Textoennegrita"/>
          <w:b w:val="0"/>
          <w:bCs w:val="0"/>
          <w:i/>
          <w:color w:val="000000"/>
          <w:shd w:val="clear" w:color="auto" w:fill="FFFFFF"/>
        </w:rPr>
        <w:t xml:space="preserve"> et al. v. Ecuador. Preliminary objections, merits, reparations and costs</w:t>
      </w:r>
      <w:r w:rsidRPr="00D17A65">
        <w:rPr>
          <w:rStyle w:val="Textoennegrita"/>
          <w:b w:val="0"/>
          <w:bCs w:val="0"/>
          <w:color w:val="000000"/>
          <w:shd w:val="clear" w:color="auto" w:fill="FFFFFF"/>
        </w:rPr>
        <w:t xml:space="preserve">. Judgment of September 1, 2015. Series C No. 298, paras. 309 to 312. Similarly, even though in relation to the measures of reparation in the </w:t>
      </w:r>
      <w:r w:rsidRPr="00D17A65">
        <w:rPr>
          <w:rStyle w:val="Textoennegrita"/>
          <w:b w:val="0"/>
          <w:bCs w:val="0"/>
          <w:i/>
          <w:iCs/>
          <w:color w:val="000000"/>
          <w:shd w:val="clear" w:color="auto" w:fill="FFFFFF"/>
        </w:rPr>
        <w:t>Case of</w:t>
      </w:r>
      <w:r w:rsidRPr="00D17A65">
        <w:rPr>
          <w:rStyle w:val="Textoennegrita"/>
          <w:b w:val="0"/>
          <w:bCs w:val="0"/>
          <w:color w:val="000000"/>
          <w:shd w:val="clear" w:color="auto" w:fill="FFFFFF"/>
        </w:rPr>
        <w:t xml:space="preserve"> </w:t>
      </w:r>
      <w:proofErr w:type="spellStart"/>
      <w:r w:rsidRPr="00D17A65">
        <w:rPr>
          <w:rStyle w:val="Textoennegrita"/>
          <w:b w:val="0"/>
          <w:bCs w:val="0"/>
          <w:i/>
          <w:color w:val="000000"/>
          <w:shd w:val="clear" w:color="auto" w:fill="FFFFFF"/>
        </w:rPr>
        <w:t>Cuscul</w:t>
      </w:r>
      <w:proofErr w:type="spellEnd"/>
      <w:r w:rsidRPr="00D17A65">
        <w:rPr>
          <w:rStyle w:val="Textoennegrita"/>
          <w:b w:val="0"/>
          <w:bCs w:val="0"/>
          <w:i/>
          <w:color w:val="000000"/>
          <w:shd w:val="clear" w:color="auto" w:fill="FFFFFF"/>
        </w:rPr>
        <w:t xml:space="preserve"> </w:t>
      </w:r>
      <w:proofErr w:type="spellStart"/>
      <w:r w:rsidRPr="00D17A65">
        <w:rPr>
          <w:rStyle w:val="Textoennegrita"/>
          <w:b w:val="0"/>
          <w:bCs w:val="0"/>
          <w:i/>
          <w:color w:val="000000"/>
          <w:shd w:val="clear" w:color="auto" w:fill="FFFFFF"/>
        </w:rPr>
        <w:t>Pivaral</w:t>
      </w:r>
      <w:proofErr w:type="spellEnd"/>
      <w:r w:rsidRPr="00D17A65">
        <w:rPr>
          <w:rStyle w:val="Textoennegrita"/>
          <w:b w:val="0"/>
          <w:bCs w:val="0"/>
          <w:i/>
          <w:color w:val="000000"/>
          <w:shd w:val="clear" w:color="auto" w:fill="FFFFFF"/>
        </w:rPr>
        <w:t xml:space="preserve"> et al. v. Guatemala</w:t>
      </w:r>
      <w:r w:rsidRPr="00D17A65">
        <w:rPr>
          <w:rStyle w:val="Textoennegrita"/>
          <w:b w:val="0"/>
          <w:bCs w:val="0"/>
          <w:color w:val="000000"/>
          <w:shd w:val="clear" w:color="auto" w:fill="FFFFFF"/>
        </w:rPr>
        <w:t>, a case related to a violation of the right to health owing to the lack of medical care for people with HIV/AIDS, the Inter-American Court ordered that it was necessary “</w:t>
      </w:r>
      <w:r w:rsidRPr="00D17A65">
        <w:rPr>
          <w:rFonts w:cs="Vrinda"/>
        </w:rPr>
        <w:t xml:space="preserve">to act with special promptness to comply with” the medical and psychological/psychiatric treatment of the direct victims who were alive, </w:t>
      </w:r>
      <w:r w:rsidRPr="00D17A65">
        <w:rPr>
          <w:rStyle w:val="Textoennegrita"/>
          <w:color w:val="000000"/>
          <w:shd w:val="clear" w:color="auto" w:fill="FFFFFF"/>
        </w:rPr>
        <w:t>“</w:t>
      </w:r>
      <w:r w:rsidRPr="00D17A65">
        <w:rPr>
          <w:rFonts w:cs="Vrinda"/>
        </w:rPr>
        <w:t xml:space="preserve">because the preservation of the health, personal integrity and life of the victims in </w:t>
      </w:r>
      <w:proofErr w:type="spellStart"/>
      <w:r w:rsidRPr="00D17A65">
        <w:rPr>
          <w:rFonts w:cs="Vrinda"/>
        </w:rPr>
        <w:t>th</w:t>
      </w:r>
      <w:proofErr w:type="spellEnd"/>
      <w:r w:rsidRPr="00D17A65">
        <w:rPr>
          <w:rFonts w:cs="Vrinda"/>
        </w:rPr>
        <w:t>[e] case depend on compliance with them.”</w:t>
      </w:r>
      <w:r w:rsidRPr="00D17A65">
        <w:rPr>
          <w:rStyle w:val="Textoennegrita"/>
          <w:color w:val="000000"/>
          <w:shd w:val="clear" w:color="auto" w:fill="FFFFFF"/>
        </w:rPr>
        <w:t xml:space="preserve"> </w:t>
      </w:r>
      <w:r w:rsidRPr="00D17A65">
        <w:rPr>
          <w:i/>
        </w:rPr>
        <w:t xml:space="preserve">Cf. </w:t>
      </w:r>
      <w:r w:rsidRPr="00D17A65">
        <w:rPr>
          <w:rStyle w:val="Textoennegrita"/>
          <w:b w:val="0"/>
          <w:bCs w:val="0"/>
          <w:i/>
          <w:color w:val="000000"/>
          <w:shd w:val="clear" w:color="auto" w:fill="FFFFFF"/>
        </w:rPr>
        <w:t xml:space="preserve">Case of </w:t>
      </w:r>
      <w:proofErr w:type="spellStart"/>
      <w:r w:rsidRPr="00D17A65">
        <w:rPr>
          <w:rStyle w:val="Textoennegrita"/>
          <w:b w:val="0"/>
          <w:bCs w:val="0"/>
          <w:i/>
          <w:color w:val="000000"/>
          <w:shd w:val="clear" w:color="auto" w:fill="FFFFFF"/>
        </w:rPr>
        <w:t>Cuscul</w:t>
      </w:r>
      <w:proofErr w:type="spellEnd"/>
      <w:r w:rsidRPr="00D17A65">
        <w:rPr>
          <w:rStyle w:val="Textoennegrita"/>
          <w:b w:val="0"/>
          <w:bCs w:val="0"/>
          <w:i/>
          <w:color w:val="000000"/>
          <w:shd w:val="clear" w:color="auto" w:fill="FFFFFF"/>
        </w:rPr>
        <w:t xml:space="preserve"> </w:t>
      </w:r>
      <w:proofErr w:type="spellStart"/>
      <w:r w:rsidRPr="00D17A65">
        <w:rPr>
          <w:rStyle w:val="Textoennegrita"/>
          <w:b w:val="0"/>
          <w:bCs w:val="0"/>
          <w:i/>
          <w:color w:val="000000"/>
          <w:shd w:val="clear" w:color="auto" w:fill="FFFFFF"/>
        </w:rPr>
        <w:t>Pivaral</w:t>
      </w:r>
      <w:proofErr w:type="spellEnd"/>
      <w:r w:rsidRPr="00D17A65">
        <w:rPr>
          <w:rStyle w:val="Textoennegrita"/>
          <w:b w:val="0"/>
          <w:bCs w:val="0"/>
          <w:i/>
          <w:color w:val="000000"/>
          <w:shd w:val="clear" w:color="auto" w:fill="FFFFFF"/>
        </w:rPr>
        <w:t xml:space="preserve"> et al. v. Guatemala. Preliminary objection, merits, reparations and costs</w:t>
      </w:r>
      <w:r w:rsidRPr="00D17A65">
        <w:rPr>
          <w:rStyle w:val="Textoennegrita"/>
          <w:b w:val="0"/>
          <w:bCs w:val="0"/>
          <w:color w:val="000000"/>
          <w:shd w:val="clear" w:color="auto" w:fill="FFFFFF"/>
        </w:rPr>
        <w:t>. Judgment of August 23, 2018. Series C No. 359, paras. 210 and 213.</w:t>
      </w:r>
      <w:r w:rsidRPr="0056383C">
        <w:rPr>
          <w:rStyle w:val="Textoennegrita"/>
          <w:color w:val="000000"/>
          <w:shd w:val="clear" w:color="auto" w:fill="FFFFFF"/>
        </w:rPr>
        <w:t xml:space="preserve"> </w:t>
      </w:r>
    </w:p>
  </w:footnote>
  <w:footnote w:id="356">
    <w:p w14:paraId="031C4A22"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Cf. Case of </w:t>
      </w:r>
      <w:proofErr w:type="spellStart"/>
      <w:r w:rsidRPr="00D17A65">
        <w:t>Muelle</w:t>
      </w:r>
      <w:proofErr w:type="spellEnd"/>
      <w:r w:rsidRPr="00D17A65">
        <w:t xml:space="preserve"> Flores v. Peru. Preliminary objections, merits, reparations and costs. Judgment of March 6, 2019. Series C No</w:t>
      </w:r>
      <w:r w:rsidRPr="00D17A65">
        <w:rPr>
          <w:shd w:val="clear" w:color="auto" w:fill="FFFFFF" w:themeFill="background1"/>
        </w:rPr>
        <w:t>. 375,</w:t>
      </w:r>
      <w:r w:rsidRPr="00D17A65">
        <w:t xml:space="preserve"> para. 207</w:t>
      </w:r>
    </w:p>
  </w:footnote>
  <w:footnote w:id="357">
    <w:p w14:paraId="6F54B83D" w14:textId="77777777" w:rsidR="00E6764B" w:rsidRPr="00D17A65" w:rsidRDefault="00E6764B" w:rsidP="00CD2B15">
      <w:pPr>
        <w:pStyle w:val="Textonotapie"/>
      </w:pPr>
      <w:r w:rsidRPr="00D17A65">
        <w:rPr>
          <w:rStyle w:val="Refdenotaalpie"/>
          <w:sz w:val="16"/>
        </w:rPr>
        <w:footnoteRef/>
      </w:r>
      <w:r w:rsidRPr="00D17A65">
        <w:t xml:space="preserve"> </w:t>
      </w:r>
      <w:r w:rsidRPr="00D17A65">
        <w:tab/>
        <w:t xml:space="preserve">Among others: </w:t>
      </w:r>
      <w:r w:rsidRPr="00D17A65">
        <w:rPr>
          <w:rStyle w:val="Textoennegrita"/>
          <w:b w:val="0"/>
          <w:bCs w:val="0"/>
          <w:color w:val="000000"/>
          <w:shd w:val="clear" w:color="auto" w:fill="FFFFFF"/>
        </w:rPr>
        <w:t>Case of</w:t>
      </w:r>
      <w:r w:rsidRPr="00D17A65">
        <w:rPr>
          <w:rStyle w:val="Textoennegrita"/>
          <w:b w:val="0"/>
          <w:bCs w:val="0"/>
          <w:i/>
          <w:color w:val="000000"/>
          <w:shd w:val="clear" w:color="auto" w:fill="FFFFFF"/>
        </w:rPr>
        <w:t xml:space="preserve"> Gonzales </w:t>
      </w:r>
      <w:proofErr w:type="spellStart"/>
      <w:r w:rsidRPr="00D17A65">
        <w:rPr>
          <w:rStyle w:val="Textoennegrita"/>
          <w:b w:val="0"/>
          <w:bCs w:val="0"/>
          <w:i/>
          <w:color w:val="000000"/>
          <w:shd w:val="clear" w:color="auto" w:fill="FFFFFF"/>
        </w:rPr>
        <w:t>Lluy</w:t>
      </w:r>
      <w:proofErr w:type="spellEnd"/>
      <w:r w:rsidRPr="00D17A65">
        <w:rPr>
          <w:rStyle w:val="Textoennegrita"/>
          <w:b w:val="0"/>
          <w:bCs w:val="0"/>
          <w:i/>
          <w:color w:val="000000"/>
          <w:shd w:val="clear" w:color="auto" w:fill="FFFFFF"/>
        </w:rPr>
        <w:t xml:space="preserve"> et al. v. Ecuador. Preliminary objections, merits, reparations and costs.</w:t>
      </w:r>
      <w:r w:rsidRPr="00D17A65">
        <w:rPr>
          <w:rStyle w:val="Textoennegrita"/>
          <w:b w:val="0"/>
          <w:bCs w:val="0"/>
          <w:color w:val="000000"/>
          <w:shd w:val="clear" w:color="auto" w:fill="FFFFFF"/>
        </w:rPr>
        <w:t xml:space="preserve"> Judgment of September 1, 2015. Series C No. 298; and </w:t>
      </w:r>
      <w:r w:rsidRPr="00D17A65">
        <w:rPr>
          <w:rStyle w:val="Textoennegrita"/>
          <w:b w:val="0"/>
          <w:bCs w:val="0"/>
          <w:i/>
          <w:color w:val="000000"/>
          <w:shd w:val="clear" w:color="auto" w:fill="FFFFFF"/>
        </w:rPr>
        <w:t xml:space="preserve">Case of </w:t>
      </w:r>
      <w:proofErr w:type="spellStart"/>
      <w:r w:rsidRPr="00D17A65">
        <w:rPr>
          <w:rStyle w:val="Textoennegrita"/>
          <w:b w:val="0"/>
          <w:bCs w:val="0"/>
          <w:i/>
          <w:color w:val="000000"/>
          <w:shd w:val="clear" w:color="auto" w:fill="FFFFFF"/>
        </w:rPr>
        <w:t>Cuscul</w:t>
      </w:r>
      <w:proofErr w:type="spellEnd"/>
      <w:r w:rsidRPr="00D17A65">
        <w:rPr>
          <w:rStyle w:val="Textoennegrita"/>
          <w:b w:val="0"/>
          <w:bCs w:val="0"/>
          <w:i/>
          <w:color w:val="000000"/>
          <w:shd w:val="clear" w:color="auto" w:fill="FFFFFF"/>
        </w:rPr>
        <w:t xml:space="preserve"> </w:t>
      </w:r>
      <w:proofErr w:type="spellStart"/>
      <w:r w:rsidRPr="00D17A65">
        <w:rPr>
          <w:rStyle w:val="Textoennegrita"/>
          <w:b w:val="0"/>
          <w:bCs w:val="0"/>
          <w:i/>
          <w:color w:val="000000"/>
          <w:shd w:val="clear" w:color="auto" w:fill="FFFFFF"/>
        </w:rPr>
        <w:t>Pivaral</w:t>
      </w:r>
      <w:proofErr w:type="spellEnd"/>
      <w:r w:rsidRPr="00D17A65">
        <w:rPr>
          <w:rStyle w:val="Textoennegrita"/>
          <w:b w:val="0"/>
          <w:bCs w:val="0"/>
          <w:i/>
          <w:color w:val="000000"/>
          <w:shd w:val="clear" w:color="auto" w:fill="FFFFFF"/>
        </w:rPr>
        <w:t xml:space="preserve"> et al. v. Guatemala. Preliminary objection, merits, reparations and costs</w:t>
      </w:r>
      <w:r w:rsidRPr="00D17A65">
        <w:rPr>
          <w:rStyle w:val="Textoennegrita"/>
          <w:b w:val="0"/>
          <w:bCs w:val="0"/>
          <w:color w:val="000000"/>
          <w:shd w:val="clear" w:color="auto" w:fill="FFFFFF"/>
        </w:rPr>
        <w:t>. Judgment of August 23, 2018. Series C No. 359.</w:t>
      </w:r>
    </w:p>
  </w:footnote>
  <w:footnote w:id="358">
    <w:p w14:paraId="202CFDB7" w14:textId="77777777" w:rsidR="00E6764B" w:rsidRPr="00D17A65" w:rsidRDefault="00E6764B" w:rsidP="00CD2B15">
      <w:pPr>
        <w:pStyle w:val="NormalWeb"/>
        <w:spacing w:before="0" w:beforeAutospacing="0" w:after="120" w:afterAutospacing="0"/>
        <w:jc w:val="both"/>
        <w:rPr>
          <w:rFonts w:ascii="Verdana" w:hAnsi="Verdana"/>
          <w:sz w:val="16"/>
          <w:szCs w:val="16"/>
          <w:lang w:val="en-US" w:eastAsia="es-ES_tradnl"/>
        </w:rPr>
      </w:pPr>
      <w:r w:rsidRPr="00D17A65">
        <w:rPr>
          <w:rStyle w:val="Refdenotaalpie"/>
          <w:sz w:val="16"/>
          <w:szCs w:val="16"/>
          <w:lang w:val="en-US"/>
        </w:rPr>
        <w:footnoteRef/>
      </w:r>
      <w:r w:rsidRPr="00D17A65">
        <w:rPr>
          <w:rFonts w:ascii="Verdana" w:hAnsi="Verdana"/>
          <w:sz w:val="16"/>
          <w:szCs w:val="16"/>
          <w:lang w:val="en-US"/>
        </w:rPr>
        <w:t xml:space="preserve"> </w:t>
      </w:r>
      <w:r w:rsidRPr="00D17A65">
        <w:rPr>
          <w:rFonts w:ascii="Verdana" w:hAnsi="Verdana"/>
          <w:sz w:val="16"/>
          <w:szCs w:val="16"/>
          <w:lang w:val="en-US"/>
        </w:rPr>
        <w:tab/>
        <w:t>Economic Commission for Latin America and the Caribbean (ECLAC)</w:t>
      </w:r>
      <w:r w:rsidRPr="00D17A65">
        <w:rPr>
          <w:rFonts w:ascii="Verdana" w:hAnsi="Verdana"/>
          <w:sz w:val="16"/>
          <w:szCs w:val="16"/>
          <w:lang w:val="en-US" w:eastAsia="es-ES_tradnl"/>
        </w:rPr>
        <w:t xml:space="preserve">), </w:t>
      </w:r>
      <w:r w:rsidRPr="00D17A65">
        <w:rPr>
          <w:rFonts w:ascii="Verdana" w:hAnsi="Verdana"/>
          <w:i/>
          <w:iCs/>
          <w:sz w:val="16"/>
          <w:szCs w:val="16"/>
          <w:lang w:val="en-US" w:eastAsia="es-ES_tradnl"/>
        </w:rPr>
        <w:t xml:space="preserve">Social Panorama of Latin America, 2018 </w:t>
      </w:r>
      <w:r w:rsidRPr="00D17A65">
        <w:rPr>
          <w:rFonts w:ascii="Verdana" w:hAnsi="Verdana"/>
          <w:sz w:val="16"/>
          <w:szCs w:val="16"/>
          <w:lang w:val="en-US" w:eastAsia="es-ES_tradnl"/>
        </w:rPr>
        <w:t xml:space="preserve">LC/PUB.2019/3-P, Santiago, 2019, p. 14. </w:t>
      </w:r>
    </w:p>
    <w:p w14:paraId="790E2221" w14:textId="77777777" w:rsidR="00E6764B" w:rsidRPr="00F91FF8" w:rsidRDefault="00E6764B" w:rsidP="00CD2B15">
      <w:pPr>
        <w:pStyle w:val="Textonotapie"/>
      </w:pPr>
    </w:p>
  </w:footnote>
  <w:footnote w:id="359">
    <w:p w14:paraId="6CAF26F2" w14:textId="6B5D120B" w:rsidR="00E6764B" w:rsidRDefault="00E6764B" w:rsidP="007B6900">
      <w:pPr>
        <w:pStyle w:val="Textonotapie"/>
        <w:spacing w:after="0"/>
      </w:pPr>
      <w:r w:rsidRPr="007B6900">
        <w:rPr>
          <w:rStyle w:val="Refdenotaalpie"/>
          <w:sz w:val="16"/>
        </w:rPr>
        <w:footnoteRef/>
      </w:r>
      <w:r w:rsidRPr="007B6900">
        <w:t xml:space="preserve"> </w:t>
      </w:r>
      <w:r w:rsidRPr="007B6900">
        <w:tab/>
        <w:t>Hereinafter, the Judgment.</w:t>
      </w:r>
    </w:p>
    <w:p w14:paraId="6C8A21F6" w14:textId="77777777" w:rsidR="007B6900" w:rsidRPr="007B6900" w:rsidRDefault="007B6900" w:rsidP="007B6900">
      <w:pPr>
        <w:pStyle w:val="Textonotapie"/>
        <w:spacing w:after="0"/>
      </w:pPr>
    </w:p>
  </w:footnote>
  <w:footnote w:id="360">
    <w:p w14:paraId="45BF72D4" w14:textId="0A45BEDA" w:rsidR="00E6764B" w:rsidRDefault="00E6764B" w:rsidP="007B6900">
      <w:pPr>
        <w:pStyle w:val="Default"/>
        <w:tabs>
          <w:tab w:val="left" w:pos="567"/>
        </w:tabs>
        <w:jc w:val="both"/>
        <w:rPr>
          <w:rFonts w:ascii="Verdana" w:eastAsia="Calibri" w:hAnsi="Verdana"/>
          <w:color w:val="auto"/>
          <w:sz w:val="16"/>
          <w:szCs w:val="16"/>
          <w:lang w:val="en-US"/>
        </w:rPr>
      </w:pPr>
      <w:r w:rsidRPr="007B6900">
        <w:rPr>
          <w:rStyle w:val="Refdenotaalpie"/>
          <w:color w:val="auto"/>
          <w:sz w:val="16"/>
          <w:szCs w:val="16"/>
          <w:lang w:val="en-US"/>
        </w:rPr>
        <w:footnoteRef/>
      </w:r>
      <w:r w:rsidRPr="007B6900">
        <w:rPr>
          <w:rFonts w:ascii="Verdana" w:hAnsi="Verdana"/>
          <w:color w:val="auto"/>
          <w:sz w:val="16"/>
          <w:szCs w:val="16"/>
          <w:lang w:val="en-US"/>
        </w:rPr>
        <w:t xml:space="preserve"> </w:t>
      </w:r>
      <w:r w:rsidRPr="007B6900">
        <w:rPr>
          <w:rFonts w:ascii="Verdana" w:hAnsi="Verdana"/>
          <w:color w:val="auto"/>
          <w:sz w:val="16"/>
          <w:szCs w:val="16"/>
          <w:lang w:val="en-US"/>
        </w:rPr>
        <w:tab/>
      </w:r>
      <w:r w:rsidRPr="007B6900">
        <w:rPr>
          <w:rFonts w:ascii="Verdana" w:hAnsi="Verdana"/>
          <w:bCs/>
          <w:color w:val="auto"/>
          <w:spacing w:val="-4"/>
          <w:sz w:val="16"/>
          <w:szCs w:val="16"/>
          <w:lang w:val="en-US"/>
        </w:rPr>
        <w:t>“</w:t>
      </w:r>
      <w:r w:rsidRPr="007B6900">
        <w:rPr>
          <w:rFonts w:ascii="Verdana" w:hAnsi="Verdana"/>
          <w:i/>
          <w:color w:val="auto"/>
          <w:sz w:val="16"/>
          <w:szCs w:val="16"/>
          <w:lang w:val="en-US"/>
        </w:rPr>
        <w:t xml:space="preserve">Dismiss the preliminary objection filed by the State regarding the alleged lack of competence </w:t>
      </w:r>
      <w:proofErr w:type="spellStart"/>
      <w:r w:rsidRPr="007B6900">
        <w:rPr>
          <w:rFonts w:ascii="Verdana" w:hAnsi="Verdana"/>
          <w:b/>
          <w:i/>
          <w:color w:val="auto"/>
          <w:sz w:val="16"/>
          <w:szCs w:val="16"/>
          <w:lang w:val="en-US"/>
        </w:rPr>
        <w:t>ratione</w:t>
      </w:r>
      <w:proofErr w:type="spellEnd"/>
      <w:r w:rsidRPr="007B6900">
        <w:rPr>
          <w:rFonts w:ascii="Verdana" w:hAnsi="Verdana"/>
          <w:b/>
          <w:i/>
          <w:color w:val="auto"/>
          <w:sz w:val="16"/>
          <w:szCs w:val="16"/>
          <w:lang w:val="en-US"/>
        </w:rPr>
        <w:t xml:space="preserve"> </w:t>
      </w:r>
      <w:proofErr w:type="spellStart"/>
      <w:r w:rsidRPr="007B6900">
        <w:rPr>
          <w:rFonts w:ascii="Verdana" w:hAnsi="Verdana"/>
          <w:b/>
          <w:i/>
          <w:color w:val="auto"/>
          <w:sz w:val="16"/>
          <w:szCs w:val="16"/>
          <w:lang w:val="en-US"/>
        </w:rPr>
        <w:t>materiae</w:t>
      </w:r>
      <w:proofErr w:type="spellEnd"/>
      <w:r w:rsidRPr="007B6900">
        <w:rPr>
          <w:rFonts w:ascii="Verdana" w:hAnsi="Verdana"/>
          <w:i/>
          <w:color w:val="auto"/>
          <w:sz w:val="16"/>
          <w:szCs w:val="16"/>
          <w:lang w:val="en-US"/>
        </w:rPr>
        <w:t xml:space="preserve"> and the direct justiciability of Article 26 of the Convention in the terms of paragraphs 33 to 37 of this Judgment</w:t>
      </w:r>
      <w:r w:rsidRPr="007B6900">
        <w:rPr>
          <w:rFonts w:ascii="Verdana" w:eastAsia="Calibri" w:hAnsi="Verdana"/>
          <w:i/>
          <w:color w:val="auto"/>
          <w:sz w:val="16"/>
          <w:szCs w:val="16"/>
          <w:lang w:val="en-US"/>
        </w:rPr>
        <w:t>.”</w:t>
      </w:r>
      <w:r w:rsidRPr="007B6900">
        <w:rPr>
          <w:rFonts w:ascii="Verdana" w:eastAsia="Calibri" w:hAnsi="Verdana"/>
          <w:color w:val="auto"/>
          <w:sz w:val="16"/>
          <w:szCs w:val="16"/>
          <w:lang w:val="en-US"/>
        </w:rPr>
        <w:t xml:space="preserve"> </w:t>
      </w:r>
    </w:p>
    <w:p w14:paraId="30B754A3" w14:textId="77777777" w:rsidR="007B6900" w:rsidRPr="007B6900" w:rsidRDefault="007B6900" w:rsidP="007B6900">
      <w:pPr>
        <w:pStyle w:val="Default"/>
        <w:tabs>
          <w:tab w:val="left" w:pos="567"/>
        </w:tabs>
        <w:jc w:val="both"/>
        <w:rPr>
          <w:rFonts w:ascii="Verdana" w:hAnsi="Verdana"/>
          <w:color w:val="auto"/>
          <w:spacing w:val="-4"/>
          <w:sz w:val="16"/>
          <w:szCs w:val="16"/>
          <w:lang w:val="en-US"/>
        </w:rPr>
      </w:pPr>
    </w:p>
  </w:footnote>
  <w:footnote w:id="361">
    <w:p w14:paraId="40B0BDFC" w14:textId="0436C7D6" w:rsidR="00E6764B" w:rsidRDefault="00E6764B" w:rsidP="007B6900">
      <w:pPr>
        <w:pStyle w:val="Textonotapie"/>
        <w:spacing w:after="0"/>
        <w:rPr>
          <w:i/>
        </w:rPr>
      </w:pPr>
      <w:r w:rsidRPr="007B6900">
        <w:rPr>
          <w:rStyle w:val="Refdenotaalpie"/>
          <w:i/>
          <w:sz w:val="16"/>
        </w:rPr>
        <w:footnoteRef/>
      </w:r>
      <w:r w:rsidRPr="007B6900">
        <w:rPr>
          <w:i/>
        </w:rPr>
        <w:t xml:space="preserve"> </w:t>
      </w:r>
      <w:r w:rsidRPr="007B6900">
        <w:rPr>
          <w:i/>
        </w:rPr>
        <w:tab/>
        <w:t xml:space="preserve">“The State is responsible for the violation of the right to social security, pursuant to Article 26 of the American Convention, in relation to Articles 5, 8(1), 11(1), 25(1), 25(2)(c) and 1(1) thereof, as well as Article 2 of the Convention, to the detriment of Mr. Oscar </w:t>
      </w:r>
      <w:proofErr w:type="spellStart"/>
      <w:r w:rsidRPr="007B6900">
        <w:rPr>
          <w:i/>
        </w:rPr>
        <w:t>Muelle</w:t>
      </w:r>
      <w:proofErr w:type="spellEnd"/>
      <w:r w:rsidRPr="007B6900">
        <w:rPr>
          <w:i/>
        </w:rPr>
        <w:t xml:space="preserve"> Flores, pursuant to paragraphs 170 to 208 of this Judgement.”</w:t>
      </w:r>
    </w:p>
    <w:p w14:paraId="449D0F52" w14:textId="77777777" w:rsidR="007B6900" w:rsidRPr="007B6900" w:rsidRDefault="007B6900" w:rsidP="007B6900">
      <w:pPr>
        <w:pStyle w:val="Textonotapie"/>
        <w:spacing w:after="0"/>
        <w:rPr>
          <w:i/>
        </w:rPr>
      </w:pPr>
    </w:p>
  </w:footnote>
  <w:footnote w:id="362">
    <w:p w14:paraId="4699127A" w14:textId="58618791" w:rsidR="00E6764B" w:rsidRDefault="00E6764B" w:rsidP="007B6900">
      <w:pPr>
        <w:pStyle w:val="Prrafodelista"/>
        <w:tabs>
          <w:tab w:val="left" w:pos="567"/>
        </w:tabs>
        <w:autoSpaceDE w:val="0"/>
        <w:autoSpaceDN w:val="0"/>
        <w:ind w:left="0"/>
        <w:contextualSpacing w:val="0"/>
        <w:rPr>
          <w:rFonts w:ascii="Verdana" w:hAnsi="Verdana"/>
          <w:i/>
          <w:sz w:val="16"/>
          <w:szCs w:val="16"/>
          <w:lang w:val="en-US"/>
        </w:rPr>
      </w:pPr>
      <w:r w:rsidRPr="007B6900">
        <w:rPr>
          <w:rStyle w:val="Refdenotaalpie"/>
          <w:i/>
          <w:sz w:val="16"/>
          <w:szCs w:val="16"/>
          <w:lang w:val="en-US"/>
        </w:rPr>
        <w:footnoteRef/>
      </w:r>
      <w:r w:rsidRPr="007B6900">
        <w:rPr>
          <w:rFonts w:ascii="Verdana" w:hAnsi="Verdana"/>
          <w:i/>
          <w:sz w:val="16"/>
          <w:szCs w:val="16"/>
          <w:lang w:val="en-US"/>
        </w:rPr>
        <w:t xml:space="preserve"> </w:t>
      </w:r>
      <w:r w:rsidRPr="007B6900">
        <w:rPr>
          <w:rFonts w:ascii="Verdana" w:hAnsi="Verdana"/>
          <w:i/>
          <w:sz w:val="16"/>
          <w:szCs w:val="16"/>
          <w:lang w:val="en-US"/>
        </w:rPr>
        <w:tab/>
        <w:t xml:space="preserve">“The State is </w:t>
      </w:r>
      <w:r w:rsidRPr="007B6900">
        <w:rPr>
          <w:rFonts w:ascii="Verdana" w:hAnsi="Verdana"/>
          <w:i/>
          <w:kern w:val="2"/>
          <w:sz w:val="16"/>
          <w:szCs w:val="16"/>
          <w:lang w:val="en-US"/>
        </w:rPr>
        <w:t xml:space="preserve">responsible for the violation of the </w:t>
      </w:r>
      <w:r w:rsidRPr="007B6900">
        <w:rPr>
          <w:rFonts w:ascii="Verdana" w:hAnsi="Verdana"/>
          <w:i/>
          <w:sz w:val="16"/>
          <w:szCs w:val="16"/>
          <w:lang w:val="en-US"/>
        </w:rPr>
        <w:t xml:space="preserve">right to private property recognized in Article 21(1) and 21(2), in relation to Articles 25(1), 25(2)(c), 26 and 1(1) of the American Convention, to the detriment of </w:t>
      </w:r>
      <w:r w:rsidRPr="007B6900">
        <w:rPr>
          <w:rFonts w:ascii="Verdana" w:hAnsi="Verdana"/>
          <w:i/>
          <w:kern w:val="2"/>
          <w:sz w:val="16"/>
          <w:szCs w:val="16"/>
          <w:lang w:val="en-US"/>
        </w:rPr>
        <w:t xml:space="preserve">Oscar </w:t>
      </w:r>
      <w:proofErr w:type="spellStart"/>
      <w:r w:rsidRPr="007B6900">
        <w:rPr>
          <w:rFonts w:ascii="Verdana" w:hAnsi="Verdana"/>
          <w:i/>
          <w:kern w:val="2"/>
          <w:sz w:val="16"/>
          <w:szCs w:val="16"/>
          <w:lang w:val="en-US"/>
        </w:rPr>
        <w:t>Muelle</w:t>
      </w:r>
      <w:proofErr w:type="spellEnd"/>
      <w:r w:rsidRPr="007B6900">
        <w:rPr>
          <w:rFonts w:ascii="Verdana" w:hAnsi="Verdana"/>
          <w:i/>
          <w:kern w:val="2"/>
          <w:sz w:val="16"/>
          <w:szCs w:val="16"/>
          <w:lang w:val="en-US"/>
        </w:rPr>
        <w:t xml:space="preserve"> Flores, </w:t>
      </w:r>
      <w:r w:rsidRPr="007B6900">
        <w:rPr>
          <w:rFonts w:ascii="Verdana" w:hAnsi="Verdana"/>
          <w:i/>
          <w:sz w:val="16"/>
          <w:szCs w:val="16"/>
          <w:lang w:val="en-US"/>
        </w:rPr>
        <w:t xml:space="preserve">pursuant to paragraphs 212 to 218 of this Judgment.” </w:t>
      </w:r>
    </w:p>
    <w:p w14:paraId="309AAA28" w14:textId="77777777" w:rsidR="007B6900" w:rsidRPr="007B6900" w:rsidRDefault="007B6900" w:rsidP="007B6900">
      <w:pPr>
        <w:pStyle w:val="Prrafodelista"/>
        <w:tabs>
          <w:tab w:val="left" w:pos="567"/>
        </w:tabs>
        <w:autoSpaceDE w:val="0"/>
        <w:autoSpaceDN w:val="0"/>
        <w:ind w:left="0"/>
        <w:contextualSpacing w:val="0"/>
        <w:rPr>
          <w:rFonts w:ascii="Verdana" w:hAnsi="Verdana"/>
          <w:i/>
          <w:kern w:val="2"/>
          <w:sz w:val="16"/>
          <w:szCs w:val="16"/>
          <w:lang w:val="en-US"/>
        </w:rPr>
      </w:pPr>
    </w:p>
  </w:footnote>
  <w:footnote w:id="363">
    <w:p w14:paraId="72941650" w14:textId="387E8A43" w:rsidR="00E6764B" w:rsidRDefault="00E6764B" w:rsidP="007B6900">
      <w:pPr>
        <w:pStyle w:val="Textonotapie"/>
        <w:spacing w:after="0"/>
      </w:pPr>
      <w:r w:rsidRPr="007B6900">
        <w:rPr>
          <w:rStyle w:val="Refdenotaalpie"/>
          <w:sz w:val="16"/>
        </w:rPr>
        <w:footnoteRef/>
      </w:r>
      <w:r w:rsidRPr="007B6900">
        <w:t xml:space="preserve"> </w:t>
      </w:r>
      <w:r w:rsidRPr="007B6900">
        <w:tab/>
        <w:t>Hereinafter, whenever a provision is cited without specifying the corresponding legal instrument, it shall be understood as being from the American Convention on Human Rights.</w:t>
      </w:r>
    </w:p>
    <w:p w14:paraId="698AFBFD" w14:textId="77777777" w:rsidR="007B6900" w:rsidRPr="007B6900" w:rsidRDefault="007B6900" w:rsidP="007B6900">
      <w:pPr>
        <w:pStyle w:val="Textonotapie"/>
        <w:spacing w:after="0"/>
      </w:pPr>
    </w:p>
  </w:footnote>
  <w:footnote w:id="364">
    <w:p w14:paraId="5DD76A77" w14:textId="13F1F5F9" w:rsidR="00E6764B" w:rsidRDefault="00E6764B" w:rsidP="007B6900">
      <w:pPr>
        <w:pStyle w:val="Textonotapie"/>
        <w:spacing w:after="0"/>
        <w:rPr>
          <w:i/>
        </w:rPr>
      </w:pPr>
      <w:r w:rsidRPr="007B6900">
        <w:rPr>
          <w:rStyle w:val="Refdenotaalpie"/>
          <w:sz w:val="16"/>
        </w:rPr>
        <w:footnoteRef/>
      </w:r>
      <w:r w:rsidRPr="007B6900">
        <w:t xml:space="preserve"> </w:t>
      </w:r>
      <w:r w:rsidRPr="007B6900">
        <w:tab/>
      </w:r>
      <w:r w:rsidRPr="007B6900">
        <w:rPr>
          <w:i/>
        </w:rPr>
        <w:t xml:space="preserve">“Progressive Development. The States Parties </w:t>
      </w:r>
      <w:r w:rsidRPr="007B6900">
        <w:rPr>
          <w:i/>
          <w:spacing w:val="-3"/>
        </w:rPr>
        <w:t>undertake to adopt measures, both internally and through international cooperation, especially those of an economic and technical nature, with a view to achieving progressively, subject to available resources, by legislation or other appropriate means, the full realization of the rights implicit in the economic, social, educational, scientific, and cultural standards set forth in the Charter of the Organization of American States as amended by the Protocol of Buenos Aires</w:t>
      </w:r>
      <w:r w:rsidRPr="007B6900">
        <w:rPr>
          <w:i/>
        </w:rPr>
        <w:t xml:space="preserve">.” </w:t>
      </w:r>
    </w:p>
    <w:p w14:paraId="44761BDC" w14:textId="77777777" w:rsidR="007B6900" w:rsidRPr="007B6900" w:rsidRDefault="007B6900" w:rsidP="007B6900">
      <w:pPr>
        <w:pStyle w:val="Textonotapie"/>
        <w:spacing w:after="0"/>
        <w:rPr>
          <w:i/>
        </w:rPr>
      </w:pPr>
    </w:p>
  </w:footnote>
  <w:footnote w:id="365">
    <w:p w14:paraId="52B298C4" w14:textId="0217AEED" w:rsidR="00E6764B" w:rsidRDefault="00E6764B" w:rsidP="007B6900">
      <w:pPr>
        <w:pStyle w:val="Textonotapie"/>
        <w:spacing w:after="0"/>
      </w:pPr>
      <w:r w:rsidRPr="007B6900">
        <w:rPr>
          <w:rStyle w:val="Refdenotaalpie"/>
          <w:sz w:val="16"/>
        </w:rPr>
        <w:footnoteRef/>
      </w:r>
      <w:r w:rsidRPr="007B6900">
        <w:t xml:space="preserve"> </w:t>
      </w:r>
      <w:r w:rsidRPr="007B6900">
        <w:tab/>
        <w:t xml:space="preserve">Hereinafter, the Convention. </w:t>
      </w:r>
    </w:p>
    <w:p w14:paraId="619E7211" w14:textId="77777777" w:rsidR="007B6900" w:rsidRPr="007B6900" w:rsidRDefault="007B6900" w:rsidP="007B6900">
      <w:pPr>
        <w:pStyle w:val="Textonotapie"/>
        <w:spacing w:after="0"/>
      </w:pPr>
    </w:p>
  </w:footnote>
  <w:footnote w:id="366">
    <w:p w14:paraId="723D7746" w14:textId="168AEA52" w:rsidR="00E6764B" w:rsidRDefault="00E6764B" w:rsidP="007B6900">
      <w:pPr>
        <w:pStyle w:val="Textonotapie"/>
        <w:spacing w:after="0"/>
      </w:pPr>
      <w:r w:rsidRPr="007B6900">
        <w:rPr>
          <w:rStyle w:val="Refdenotaalpie"/>
          <w:sz w:val="16"/>
        </w:rPr>
        <w:footnoteRef/>
      </w:r>
      <w:r w:rsidRPr="007B6900">
        <w:t xml:space="preserve"> </w:t>
      </w:r>
      <w:r w:rsidRPr="007B6900">
        <w:tab/>
        <w:t>Hereinafter, the State.</w:t>
      </w:r>
    </w:p>
    <w:p w14:paraId="6A4C04BB" w14:textId="77777777" w:rsidR="007B6900" w:rsidRPr="007B6900" w:rsidRDefault="007B6900" w:rsidP="007B6900">
      <w:pPr>
        <w:pStyle w:val="Textonotapie"/>
        <w:spacing w:after="0"/>
      </w:pPr>
    </w:p>
  </w:footnote>
  <w:footnote w:id="367">
    <w:p w14:paraId="4739FFFC" w14:textId="015E7BF0" w:rsidR="00E6764B" w:rsidRDefault="00E6764B" w:rsidP="007B6900">
      <w:pPr>
        <w:pStyle w:val="Textonotapie"/>
        <w:spacing w:after="0"/>
      </w:pPr>
      <w:r w:rsidRPr="007B6900">
        <w:rPr>
          <w:rStyle w:val="Refdenotaalpie"/>
          <w:sz w:val="16"/>
        </w:rPr>
        <w:footnoteRef/>
      </w:r>
      <w:r w:rsidRPr="007B6900">
        <w:t xml:space="preserve"> </w:t>
      </w:r>
      <w:r w:rsidRPr="007B6900">
        <w:tab/>
        <w:t>Hereinafter, the Court.</w:t>
      </w:r>
    </w:p>
    <w:p w14:paraId="20C55F49" w14:textId="77777777" w:rsidR="007B6900" w:rsidRPr="007B6900" w:rsidRDefault="007B6900" w:rsidP="007B6900">
      <w:pPr>
        <w:pStyle w:val="Textonotapie"/>
        <w:spacing w:after="0"/>
      </w:pPr>
    </w:p>
  </w:footnote>
  <w:footnote w:id="368">
    <w:p w14:paraId="00F76C5A" w14:textId="5E176144" w:rsidR="00E6764B" w:rsidRPr="007B6900" w:rsidRDefault="00E6764B" w:rsidP="007B6900">
      <w:pPr>
        <w:pStyle w:val="Prrafodelista"/>
        <w:ind w:left="0" w:right="-4"/>
        <w:rPr>
          <w:rFonts w:ascii="Verdana" w:hAnsi="Verdana"/>
          <w:sz w:val="16"/>
          <w:szCs w:val="16"/>
          <w:lang w:val="en-US"/>
        </w:rPr>
      </w:pPr>
      <w:r w:rsidRPr="007B6900">
        <w:rPr>
          <w:rStyle w:val="Refdenotaalpie"/>
          <w:sz w:val="16"/>
          <w:szCs w:val="16"/>
          <w:lang w:val="en-US"/>
        </w:rPr>
        <w:footnoteRef/>
      </w:r>
      <w:r w:rsidRPr="007B6900">
        <w:rPr>
          <w:rFonts w:ascii="Verdana" w:hAnsi="Verdana"/>
          <w:sz w:val="16"/>
          <w:szCs w:val="16"/>
          <w:lang w:val="en-US"/>
        </w:rPr>
        <w:t xml:space="preserve"> </w:t>
      </w:r>
      <w:r w:rsidRPr="007B6900">
        <w:rPr>
          <w:rFonts w:ascii="Verdana" w:hAnsi="Verdana"/>
          <w:sz w:val="16"/>
          <w:szCs w:val="16"/>
          <w:lang w:val="en-US"/>
        </w:rPr>
        <w:tab/>
      </w:r>
      <w:r w:rsidRPr="007B6900">
        <w:rPr>
          <w:rFonts w:ascii="Verdana" w:hAnsi="Verdana"/>
          <w:i/>
          <w:sz w:val="16"/>
          <w:szCs w:val="16"/>
          <w:lang w:val="en-US"/>
        </w:rPr>
        <w:t xml:space="preserve">Cf. Case of The Dismissed Employees of </w:t>
      </w:r>
      <w:proofErr w:type="spellStart"/>
      <w:r w:rsidRPr="007B6900">
        <w:rPr>
          <w:rFonts w:ascii="Verdana" w:hAnsi="Verdana"/>
          <w:i/>
          <w:sz w:val="16"/>
          <w:szCs w:val="16"/>
          <w:lang w:val="en-US"/>
        </w:rPr>
        <w:t>Petroperú</w:t>
      </w:r>
      <w:proofErr w:type="spellEnd"/>
      <w:r w:rsidRPr="007B6900">
        <w:rPr>
          <w:rFonts w:ascii="Verdana" w:hAnsi="Verdana"/>
          <w:i/>
          <w:sz w:val="16"/>
          <w:szCs w:val="16"/>
          <w:lang w:val="en-US"/>
        </w:rPr>
        <w:t>, v. Peru</w:t>
      </w:r>
      <w:r w:rsidRPr="007B6900">
        <w:rPr>
          <w:rFonts w:ascii="Verdana" w:hAnsi="Verdana"/>
          <w:sz w:val="16"/>
          <w:szCs w:val="16"/>
          <w:lang w:val="en-US"/>
        </w:rPr>
        <w:t xml:space="preserve">, Judgment of November 23, 2017, Separate Opinion of Judge Eduardo </w:t>
      </w:r>
      <w:proofErr w:type="spellStart"/>
      <w:r w:rsidRPr="007B6900">
        <w:rPr>
          <w:rFonts w:ascii="Verdana" w:hAnsi="Verdana"/>
          <w:sz w:val="16"/>
          <w:szCs w:val="16"/>
          <w:lang w:val="en-US"/>
        </w:rPr>
        <w:t>Vio</w:t>
      </w:r>
      <w:proofErr w:type="spellEnd"/>
      <w:r w:rsidRPr="007B6900">
        <w:rPr>
          <w:rFonts w:ascii="Verdana" w:hAnsi="Verdana"/>
          <w:sz w:val="16"/>
          <w:szCs w:val="16"/>
          <w:lang w:val="en-US"/>
        </w:rPr>
        <w:t xml:space="preserve"> </w:t>
      </w:r>
      <w:proofErr w:type="spellStart"/>
      <w:r w:rsidRPr="007B6900">
        <w:rPr>
          <w:rFonts w:ascii="Verdana" w:hAnsi="Verdana"/>
          <w:sz w:val="16"/>
          <w:szCs w:val="16"/>
          <w:lang w:val="en-US"/>
        </w:rPr>
        <w:t>Grossi</w:t>
      </w:r>
      <w:proofErr w:type="spellEnd"/>
      <w:r w:rsidRPr="007B6900">
        <w:rPr>
          <w:rFonts w:ascii="Verdana" w:hAnsi="Verdana"/>
          <w:sz w:val="16"/>
          <w:szCs w:val="16"/>
          <w:lang w:val="en-US"/>
        </w:rPr>
        <w:t xml:space="preserve"> and </w:t>
      </w:r>
      <w:r w:rsidRPr="007B6900">
        <w:rPr>
          <w:rStyle w:val="Textoennegrita"/>
          <w:rFonts w:ascii="Verdana" w:hAnsi="Verdana"/>
          <w:b w:val="0"/>
          <w:bCs w:val="0"/>
          <w:i/>
          <w:sz w:val="16"/>
          <w:szCs w:val="16"/>
          <w:shd w:val="clear" w:color="auto" w:fill="FFFFFF"/>
          <w:lang w:val="en-US"/>
        </w:rPr>
        <w:t xml:space="preserve">Case of Lagos del Campo v. Peru, </w:t>
      </w:r>
      <w:r w:rsidRPr="007B6900">
        <w:rPr>
          <w:rStyle w:val="Textoennegrita"/>
          <w:rFonts w:ascii="Verdana" w:hAnsi="Verdana"/>
          <w:b w:val="0"/>
          <w:bCs w:val="0"/>
          <w:sz w:val="16"/>
          <w:szCs w:val="16"/>
          <w:shd w:val="clear" w:color="auto" w:fill="FFFFFF"/>
          <w:lang w:val="en-US"/>
        </w:rPr>
        <w:t xml:space="preserve">Judgment of August 31, 2017, Partially Dissenting Opinion of Judge Eduardo </w:t>
      </w:r>
      <w:proofErr w:type="spellStart"/>
      <w:r w:rsidRPr="007B6900">
        <w:rPr>
          <w:rStyle w:val="Textoennegrita"/>
          <w:rFonts w:ascii="Verdana" w:hAnsi="Verdana"/>
          <w:b w:val="0"/>
          <w:bCs w:val="0"/>
          <w:sz w:val="16"/>
          <w:szCs w:val="16"/>
          <w:shd w:val="clear" w:color="auto" w:fill="FFFFFF"/>
          <w:lang w:val="en-US"/>
        </w:rPr>
        <w:t>Vio</w:t>
      </w:r>
      <w:proofErr w:type="spellEnd"/>
      <w:r w:rsidRPr="007B6900">
        <w:rPr>
          <w:rStyle w:val="Textoennegrita"/>
          <w:rFonts w:ascii="Verdana" w:hAnsi="Verdana"/>
          <w:b w:val="0"/>
          <w:bCs w:val="0"/>
          <w:sz w:val="16"/>
          <w:szCs w:val="16"/>
          <w:shd w:val="clear" w:color="auto" w:fill="FFFFFF"/>
          <w:lang w:val="en-US"/>
        </w:rPr>
        <w:t xml:space="preserve"> </w:t>
      </w:r>
      <w:proofErr w:type="spellStart"/>
      <w:r w:rsidRPr="007B6900">
        <w:rPr>
          <w:rStyle w:val="Textoennegrita"/>
          <w:rFonts w:ascii="Verdana" w:hAnsi="Verdana"/>
          <w:b w:val="0"/>
          <w:bCs w:val="0"/>
          <w:sz w:val="16"/>
          <w:szCs w:val="16"/>
          <w:shd w:val="clear" w:color="auto" w:fill="FFFFFF"/>
          <w:lang w:val="en-US"/>
        </w:rPr>
        <w:t>Grossi</w:t>
      </w:r>
      <w:proofErr w:type="spellEnd"/>
      <w:r w:rsidRPr="007B6900">
        <w:rPr>
          <w:rStyle w:val="Textoennegrita"/>
          <w:rFonts w:ascii="Verdana" w:hAnsi="Verdana"/>
          <w:b w:val="0"/>
          <w:bCs w:val="0"/>
          <w:sz w:val="16"/>
          <w:szCs w:val="16"/>
          <w:shd w:val="clear" w:color="auto" w:fill="FFFFFF"/>
          <w:lang w:val="en-US"/>
        </w:rPr>
        <w:t>.</w:t>
      </w:r>
    </w:p>
  </w:footnote>
  <w:footnote w:id="369">
    <w:p w14:paraId="2F047889" w14:textId="77777777" w:rsidR="00E6764B" w:rsidRPr="006879CC" w:rsidRDefault="00E6764B" w:rsidP="00E6764B">
      <w:pPr>
        <w:pStyle w:val="Textonotapie"/>
      </w:pPr>
      <w:r w:rsidRPr="006879CC">
        <w:rPr>
          <w:rStyle w:val="Refdenotaalpie"/>
          <w:sz w:val="16"/>
        </w:rPr>
        <w:footnoteRef/>
      </w:r>
      <w:r w:rsidRPr="006879CC">
        <w:t xml:space="preserve"> </w:t>
      </w:r>
      <w:r w:rsidRPr="006879CC">
        <w:tab/>
        <w:t>Article 66 (2): “</w:t>
      </w:r>
      <w:r w:rsidRPr="006879CC">
        <w:rPr>
          <w:i/>
          <w:color w:val="000000"/>
        </w:rPr>
        <w:t>If the judgment does not represent in whole or in part the unanimous opinion of the judges, any judge shall be entitled to have his dissenting or separate opinion attached to the judgment</w:t>
      </w:r>
      <w:r w:rsidRPr="006879CC">
        <w:rPr>
          <w:i/>
        </w:rPr>
        <w:t>.”</w:t>
      </w:r>
      <w:r w:rsidRPr="006879CC">
        <w:t xml:space="preserve"> </w:t>
      </w:r>
    </w:p>
    <w:p w14:paraId="5990F051" w14:textId="77777777" w:rsidR="00E6764B" w:rsidRPr="006879CC" w:rsidRDefault="00E6764B" w:rsidP="00E6764B">
      <w:pPr>
        <w:pStyle w:val="Textonotapie"/>
        <w:rPr>
          <w:i/>
          <w:color w:val="000000"/>
          <w:shd w:val="clear" w:color="auto" w:fill="FFFFFF"/>
        </w:rPr>
      </w:pPr>
      <w:r w:rsidRPr="006879CC">
        <w:t>Article 24(3) of the Statute of the Inter-American Court of Human Rights: “</w:t>
      </w:r>
      <w:r w:rsidRPr="006879CC">
        <w:rPr>
          <w:i/>
          <w:color w:val="000000"/>
          <w:shd w:val="clear" w:color="auto" w:fill="FFFFFF"/>
        </w:rPr>
        <w:t>The 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p>
    <w:p w14:paraId="286042E2" w14:textId="77777777" w:rsidR="00E6764B" w:rsidRPr="006879CC" w:rsidRDefault="00E6764B" w:rsidP="00E6764B">
      <w:pPr>
        <w:pStyle w:val="Textonotapie"/>
        <w:rPr>
          <w:i/>
        </w:rPr>
      </w:pPr>
      <w:r w:rsidRPr="006879CC">
        <w:t>Article 65(2) of the Rules of Procedure of the Court: “</w:t>
      </w:r>
      <w:r w:rsidRPr="006879CC">
        <w:rPr>
          <w:i/>
        </w:rPr>
        <w:t>Any Judge who has taken part in the consideration of a case is entitled to append a separate reasoned opinion to the judgment, concurring or dissenting. These opinions shall be submitted within a time limit to be fixed by the Presidency, so that the other Judges make take cognizance thereof before notice of the judgment is served. Said opinions shall only refer to the issues covered in the judgment.”</w:t>
      </w:r>
    </w:p>
    <w:p w14:paraId="0FF2A608" w14:textId="77777777" w:rsidR="00E6764B" w:rsidRPr="006879CC" w:rsidRDefault="00E6764B" w:rsidP="00E6764B">
      <w:pPr>
        <w:pStyle w:val="Textonotapie"/>
      </w:pPr>
    </w:p>
  </w:footnote>
  <w:footnote w:id="370">
    <w:p w14:paraId="6AD830C8" w14:textId="77777777" w:rsidR="00E6764B" w:rsidRPr="006879CC" w:rsidRDefault="00E6764B" w:rsidP="00E6764B">
      <w:pPr>
        <w:pStyle w:val="Textonotapie"/>
        <w:rPr>
          <w:i/>
        </w:rPr>
      </w:pPr>
      <w:r w:rsidRPr="006879CC">
        <w:rPr>
          <w:rStyle w:val="Refdenotaalpie"/>
          <w:sz w:val="16"/>
        </w:rPr>
        <w:footnoteRef/>
      </w:r>
      <w:r w:rsidRPr="006879CC">
        <w:t xml:space="preserve"> </w:t>
      </w:r>
      <w:r w:rsidRPr="006879CC">
        <w:tab/>
        <w:t xml:space="preserve">Article 62(3):” </w:t>
      </w:r>
      <w:r w:rsidRPr="006879CC">
        <w:rPr>
          <w:i/>
          <w:color w:val="000000"/>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6879CC">
        <w:rPr>
          <w:i/>
        </w:rPr>
        <w:t>.”</w:t>
      </w:r>
    </w:p>
    <w:p w14:paraId="02D46B7C" w14:textId="77777777" w:rsidR="00E6764B" w:rsidRPr="006879CC" w:rsidRDefault="00E6764B" w:rsidP="00E6764B">
      <w:pPr>
        <w:pStyle w:val="Textonotapie"/>
        <w:rPr>
          <w:i/>
        </w:rPr>
      </w:pPr>
    </w:p>
  </w:footnote>
  <w:footnote w:id="371">
    <w:p w14:paraId="2A2C2D38" w14:textId="77777777" w:rsidR="00E6764B" w:rsidRPr="007B6900" w:rsidRDefault="00E6764B" w:rsidP="007B6900">
      <w:pPr>
        <w:pStyle w:val="Textonotapie"/>
        <w:spacing w:after="0"/>
      </w:pPr>
      <w:r w:rsidRPr="007B6900">
        <w:rPr>
          <w:rStyle w:val="Refdenotaalpie"/>
          <w:sz w:val="16"/>
        </w:rPr>
        <w:footnoteRef/>
      </w:r>
      <w:r w:rsidRPr="007B6900">
        <w:t xml:space="preserve"> </w:t>
      </w:r>
      <w:r w:rsidRPr="007B6900">
        <w:tab/>
        <w:t>European Court of Human Rights. Article 74(2) of the Rules of Procedure:</w:t>
      </w:r>
      <w:r w:rsidRPr="007B6900">
        <w:rPr>
          <w:i/>
        </w:rPr>
        <w:t xml:space="preserve"> “Any judge who has taken part in the consideration of the case shall be entitled to annex to the judgment either a separate opinion, concurring with or dissenting from that judgment, or a bare statement of dissent.</w:t>
      </w:r>
      <w:r w:rsidRPr="007B6900">
        <w:t>”</w:t>
      </w:r>
    </w:p>
    <w:p w14:paraId="7BCF8786" w14:textId="77777777" w:rsidR="00E6764B" w:rsidRPr="007B6900" w:rsidRDefault="00E6764B" w:rsidP="007B6900">
      <w:pPr>
        <w:pStyle w:val="Textonotapie"/>
        <w:spacing w:after="0"/>
        <w:rPr>
          <w:i/>
        </w:rPr>
      </w:pPr>
      <w:r w:rsidRPr="007B6900">
        <w:t>Statute of the African Court of Justice and Human Rights. Article 44:</w:t>
      </w:r>
      <w:r w:rsidRPr="007B6900">
        <w:rPr>
          <w:i/>
        </w:rPr>
        <w:t xml:space="preserve"> “Dissenting Opinion –If the judgment does not represent in whole or in part the unanimous opinion of the judges, any judge shall be entitled to deliver a separate or dissenting opinion.”</w:t>
      </w:r>
    </w:p>
    <w:p w14:paraId="638F09C7" w14:textId="77777777" w:rsidR="00E6764B" w:rsidRPr="007B6900" w:rsidRDefault="00E6764B" w:rsidP="007B6900">
      <w:pPr>
        <w:pStyle w:val="Textonotapie"/>
        <w:spacing w:after="0"/>
        <w:rPr>
          <w:i/>
        </w:rPr>
      </w:pPr>
      <w:r w:rsidRPr="007B6900">
        <w:t>International Court of Justice</w:t>
      </w:r>
      <w:r w:rsidRPr="007B6900">
        <w:rPr>
          <w:i/>
        </w:rPr>
        <w:t xml:space="preserve">. </w:t>
      </w:r>
      <w:r w:rsidRPr="007B6900">
        <w:t>Article 57 of its Statute: “</w:t>
      </w:r>
      <w:r w:rsidRPr="007B6900">
        <w:rPr>
          <w:i/>
        </w:rPr>
        <w:t>If the judgment does not represent in whole or in part the unanimous opinion of the judges, any judge shall be entitled to deliver a separate opinion.”</w:t>
      </w:r>
    </w:p>
    <w:p w14:paraId="0176F8EE" w14:textId="77777777" w:rsidR="00E6764B" w:rsidRPr="007B6900" w:rsidRDefault="00E6764B" w:rsidP="007B6900">
      <w:pPr>
        <w:rPr>
          <w:rFonts w:ascii="Verdana" w:hAnsi="Verdana"/>
          <w:i/>
          <w:sz w:val="16"/>
          <w:szCs w:val="16"/>
          <w:shd w:val="clear" w:color="auto" w:fill="FFFFFF"/>
          <w:lang w:val="en-US"/>
        </w:rPr>
      </w:pPr>
      <w:r w:rsidRPr="007B6900">
        <w:rPr>
          <w:rFonts w:ascii="Verdana" w:hAnsi="Verdana"/>
          <w:sz w:val="16"/>
          <w:szCs w:val="16"/>
          <w:lang w:val="en-US"/>
        </w:rPr>
        <w:t xml:space="preserve">International Criminal Court. </w:t>
      </w:r>
      <w:r w:rsidRPr="007B6900">
        <w:rPr>
          <w:rFonts w:ascii="Verdana" w:hAnsi="Verdana"/>
          <w:i/>
          <w:sz w:val="16"/>
          <w:szCs w:val="16"/>
          <w:lang w:val="en-US"/>
        </w:rPr>
        <w:t>Article 74(5) of the Statute: “The decision shall be in writing and shall contain a full and reasoned statement of the Trial Chamber's findings on the evidence and conclusions. The Trial Chamber shall issue one decision. When there is no unanimity, the Trial Chamber's decision shall contain the views of the majority and the minority. The decision or a summary thereof shall be delivered in open court</w:t>
      </w:r>
      <w:r w:rsidRPr="007B6900">
        <w:rPr>
          <w:rFonts w:ascii="Verdana" w:hAnsi="Verdana"/>
          <w:i/>
          <w:sz w:val="16"/>
          <w:szCs w:val="16"/>
          <w:shd w:val="clear" w:color="auto" w:fill="FFFFFF"/>
          <w:lang w:val="en-US"/>
        </w:rPr>
        <w:t>.”</w:t>
      </w:r>
    </w:p>
    <w:p w14:paraId="4C386993" w14:textId="77777777" w:rsidR="00E6764B" w:rsidRPr="007B6900" w:rsidRDefault="00E6764B" w:rsidP="007B6900">
      <w:pPr>
        <w:pStyle w:val="Textonotapie"/>
        <w:spacing w:after="0"/>
        <w:rPr>
          <w:i/>
        </w:rPr>
      </w:pPr>
      <w:r w:rsidRPr="007B6900">
        <w:t>Tribunal of the Law of the Sea. Article 30(3) of the Statute:</w:t>
      </w:r>
      <w:r w:rsidRPr="007B6900">
        <w:rPr>
          <w:i/>
        </w:rPr>
        <w:t xml:space="preserve"> “If the judgment does not represent in whole or in part the unanimous opinion of the members of the Tribunal, any member shall be entitled to deliver a separate opinion.”</w:t>
      </w:r>
    </w:p>
    <w:p w14:paraId="2B36FF33" w14:textId="77777777" w:rsidR="00E6764B" w:rsidRPr="007B6900" w:rsidRDefault="00E6764B" w:rsidP="007B6900">
      <w:pPr>
        <w:pStyle w:val="Textonotapie"/>
        <w:spacing w:after="0"/>
      </w:pPr>
    </w:p>
  </w:footnote>
  <w:footnote w:id="372">
    <w:p w14:paraId="77E921D0" w14:textId="77777777" w:rsidR="00E6764B" w:rsidRPr="007B6900" w:rsidRDefault="00E6764B" w:rsidP="007B6900">
      <w:pPr>
        <w:pStyle w:val="Textonotapie"/>
        <w:spacing w:after="0"/>
      </w:pPr>
      <w:r w:rsidRPr="007B6900">
        <w:rPr>
          <w:rStyle w:val="Refdenotaalpie"/>
          <w:sz w:val="16"/>
        </w:rPr>
        <w:footnoteRef/>
      </w:r>
      <w:r w:rsidRPr="007B6900">
        <w:t xml:space="preserve"> </w:t>
      </w:r>
      <w:r w:rsidRPr="007B6900">
        <w:tab/>
        <w:t>Article 68(1): “</w:t>
      </w:r>
      <w:r w:rsidRPr="007B6900">
        <w:rPr>
          <w:i/>
        </w:rPr>
        <w:t>The States Parties to the Convention undertake to comply with the judgment of the Court in any case to which they are parties</w:t>
      </w:r>
      <w:r w:rsidRPr="007B6900">
        <w:t>.”</w:t>
      </w:r>
    </w:p>
    <w:p w14:paraId="45C3240B" w14:textId="77777777" w:rsidR="00E6764B" w:rsidRPr="007B6900" w:rsidRDefault="00E6764B" w:rsidP="007B6900">
      <w:pPr>
        <w:pStyle w:val="Textonotapie"/>
        <w:spacing w:after="0"/>
      </w:pPr>
      <w:r w:rsidRPr="007B6900">
        <w:t>Article 46(1) and (3) of the European Convention on Human Rights: “</w:t>
      </w:r>
      <w:r w:rsidRPr="007B6900">
        <w:rPr>
          <w:i/>
        </w:rPr>
        <w:t>The High Contracting Parties undertake to abide by the final judgment of the Court in any case to which they are parties.”</w:t>
      </w:r>
    </w:p>
    <w:p w14:paraId="6A4AA105" w14:textId="77777777" w:rsidR="00E6764B" w:rsidRPr="007B6900" w:rsidRDefault="00E6764B" w:rsidP="007B6900">
      <w:pPr>
        <w:pStyle w:val="Textonotapie"/>
        <w:spacing w:after="0"/>
      </w:pPr>
      <w:r w:rsidRPr="007B6900">
        <w:t>Statute of the African Court of Justice and Human Rights Article 46: “</w:t>
      </w:r>
      <w:r w:rsidRPr="007B6900">
        <w:rPr>
          <w:i/>
        </w:rPr>
        <w:t>Binding force and execution of Judgments. (1) The decision of the Court shall be binding on the parties ... (3). The parties shall comply with the judgment delivered by the Court in any dispute to which they are parties and shall guarantee its execution within the time stipulated by the Court.”</w:t>
      </w:r>
    </w:p>
    <w:p w14:paraId="4C1033A7" w14:textId="77777777" w:rsidR="00E6764B" w:rsidRPr="007B6900" w:rsidRDefault="00E6764B" w:rsidP="007B6900">
      <w:pPr>
        <w:pStyle w:val="Textonotapie"/>
        <w:spacing w:after="0"/>
      </w:pPr>
      <w:r w:rsidRPr="007B6900">
        <w:t>Article 59 of the Statute of the International Court of Justice: “</w:t>
      </w:r>
      <w:r w:rsidRPr="007B6900">
        <w:rPr>
          <w:i/>
        </w:rPr>
        <w:t>The decision of the Court has no binding force except between the parties and in respect of that particular case</w:t>
      </w:r>
      <w:r w:rsidRPr="007B6900">
        <w:t>.”</w:t>
      </w:r>
    </w:p>
    <w:p w14:paraId="249A6AA8" w14:textId="77777777" w:rsidR="00E6764B" w:rsidRPr="007B6900" w:rsidRDefault="00E6764B" w:rsidP="007B6900">
      <w:pPr>
        <w:pStyle w:val="Textonotapie"/>
        <w:spacing w:after="0"/>
      </w:pPr>
    </w:p>
  </w:footnote>
  <w:footnote w:id="373">
    <w:p w14:paraId="52FA7277" w14:textId="77777777" w:rsidR="00E6764B" w:rsidRPr="007B6900" w:rsidRDefault="00E6764B" w:rsidP="007B6900">
      <w:pPr>
        <w:pStyle w:val="Textonotapie"/>
        <w:spacing w:after="0"/>
        <w:rPr>
          <w:i/>
        </w:rPr>
      </w:pPr>
      <w:r w:rsidRPr="007B6900">
        <w:rPr>
          <w:rStyle w:val="Refdenotaalpie"/>
          <w:sz w:val="16"/>
        </w:rPr>
        <w:footnoteRef/>
      </w:r>
      <w:r w:rsidRPr="007B6900">
        <w:t xml:space="preserve"> </w:t>
      </w:r>
      <w:r w:rsidRPr="007B6900">
        <w:tab/>
        <w:t xml:space="preserve">Article 38 of the Statute of the International Court of Justice: </w:t>
      </w:r>
      <w:r w:rsidRPr="007B6900">
        <w:rPr>
          <w:i/>
        </w:rPr>
        <w:t>“1. The Court, whose function is to decide in accordance with international law such disputes as are submitted to it, shall apply:</w:t>
      </w:r>
    </w:p>
    <w:p w14:paraId="6D062B59" w14:textId="77777777" w:rsidR="00E6764B" w:rsidRPr="007B6900" w:rsidRDefault="00E6764B" w:rsidP="007B6900">
      <w:pPr>
        <w:pStyle w:val="Textonotapie"/>
        <w:spacing w:after="0"/>
        <w:rPr>
          <w:i/>
        </w:rPr>
      </w:pPr>
      <w:r w:rsidRPr="007B6900">
        <w:rPr>
          <w:i/>
        </w:rPr>
        <w:t>a. international conventions, whether general or particular, establishing rules expressly recognized by the contesting states;</w:t>
      </w:r>
    </w:p>
    <w:p w14:paraId="20B9F9A8" w14:textId="77777777" w:rsidR="00E6764B" w:rsidRPr="007B6900" w:rsidRDefault="00E6764B" w:rsidP="007B6900">
      <w:pPr>
        <w:pStyle w:val="Textonotapie"/>
        <w:spacing w:after="0"/>
        <w:rPr>
          <w:i/>
        </w:rPr>
      </w:pPr>
      <w:r w:rsidRPr="007B6900">
        <w:rPr>
          <w:i/>
        </w:rPr>
        <w:t>b. international custom, as evidence of a general practice accepted as law;</w:t>
      </w:r>
    </w:p>
    <w:p w14:paraId="19AB737B" w14:textId="77777777" w:rsidR="00E6764B" w:rsidRPr="007B6900" w:rsidRDefault="00E6764B" w:rsidP="007B6900">
      <w:pPr>
        <w:pStyle w:val="Textonotapie"/>
        <w:spacing w:after="0"/>
        <w:rPr>
          <w:i/>
        </w:rPr>
      </w:pPr>
      <w:r w:rsidRPr="007B6900">
        <w:rPr>
          <w:i/>
        </w:rPr>
        <w:t>c. the general principles recognized by civilized nations;</w:t>
      </w:r>
    </w:p>
    <w:p w14:paraId="6179FA2B" w14:textId="77777777" w:rsidR="00E6764B" w:rsidRPr="007B6900" w:rsidRDefault="00E6764B" w:rsidP="007B6900">
      <w:pPr>
        <w:pStyle w:val="Textonotapie"/>
        <w:spacing w:after="0"/>
        <w:rPr>
          <w:i/>
        </w:rPr>
      </w:pPr>
      <w:r w:rsidRPr="007B6900">
        <w:rPr>
          <w:i/>
        </w:rPr>
        <w:t>d. subject to the provisions of Article 59, judicial decisions and the teachings of the most highly qualified publicists of the various nations, as subsidiary means for the determination of rules of law.</w:t>
      </w:r>
    </w:p>
    <w:p w14:paraId="1F7F1E36" w14:textId="77777777" w:rsidR="00E6764B" w:rsidRPr="007B6900" w:rsidRDefault="00E6764B" w:rsidP="007B6900">
      <w:pPr>
        <w:pStyle w:val="Textonotapie"/>
        <w:spacing w:after="0"/>
        <w:rPr>
          <w:i/>
        </w:rPr>
      </w:pPr>
      <w:r w:rsidRPr="007B6900">
        <w:rPr>
          <w:i/>
        </w:rPr>
        <w:t>2. This provision shall not prejudice the power of the Court to decide a case </w:t>
      </w:r>
      <w:r w:rsidRPr="007B6900">
        <w:rPr>
          <w:i/>
          <w:iCs/>
        </w:rPr>
        <w:t xml:space="preserve">ex </w:t>
      </w:r>
      <w:proofErr w:type="spellStart"/>
      <w:r w:rsidRPr="007B6900">
        <w:rPr>
          <w:i/>
          <w:iCs/>
        </w:rPr>
        <w:t>aequo</w:t>
      </w:r>
      <w:proofErr w:type="spellEnd"/>
      <w:r w:rsidRPr="007B6900">
        <w:rPr>
          <w:i/>
          <w:iCs/>
        </w:rPr>
        <w:t xml:space="preserve"> et bono</w:t>
      </w:r>
      <w:r w:rsidRPr="007B6900">
        <w:rPr>
          <w:i/>
        </w:rPr>
        <w:t>, if the parties agree thereto.”</w:t>
      </w:r>
    </w:p>
    <w:p w14:paraId="6AB6C83E" w14:textId="77777777" w:rsidR="00E6764B" w:rsidRPr="006879CC" w:rsidRDefault="00E6764B" w:rsidP="007B6900">
      <w:pPr>
        <w:pStyle w:val="Textonotapie"/>
        <w:spacing w:after="0"/>
      </w:pPr>
    </w:p>
  </w:footnote>
  <w:footnote w:id="374">
    <w:p w14:paraId="012CEF6F" w14:textId="77777777" w:rsidR="00E6764B" w:rsidRPr="006879CC" w:rsidRDefault="00E6764B" w:rsidP="007B6900">
      <w:pPr>
        <w:rPr>
          <w:rFonts w:ascii="Verdana" w:hAnsi="Verdana"/>
          <w:i/>
          <w:sz w:val="16"/>
          <w:szCs w:val="16"/>
          <w:lang w:val="en-US"/>
        </w:rPr>
      </w:pPr>
      <w:r w:rsidRPr="006879CC">
        <w:rPr>
          <w:rStyle w:val="Refdenotaalpie"/>
          <w:i/>
          <w:sz w:val="16"/>
          <w:szCs w:val="16"/>
          <w:lang w:val="en-US"/>
        </w:rPr>
        <w:footnoteRef/>
      </w:r>
      <w:r w:rsidRPr="006879CC">
        <w:rPr>
          <w:rFonts w:ascii="Verdana" w:hAnsi="Verdana"/>
          <w:i/>
          <w:sz w:val="16"/>
          <w:szCs w:val="16"/>
          <w:lang w:val="en-US"/>
        </w:rPr>
        <w:t xml:space="preserve"> </w:t>
      </w:r>
      <w:r w:rsidRPr="006879CC">
        <w:rPr>
          <w:rFonts w:ascii="Verdana" w:hAnsi="Verdana"/>
          <w:i/>
          <w:sz w:val="16"/>
          <w:szCs w:val="16"/>
          <w:lang w:val="en-US"/>
        </w:rPr>
        <w:tab/>
        <w:t xml:space="preserve">Article 31: “Recognition of Other Rights. </w:t>
      </w:r>
      <w:r w:rsidRPr="006879CC">
        <w:rPr>
          <w:rFonts w:ascii="Verdana" w:hAnsi="Verdana"/>
          <w:i/>
          <w:color w:val="000000"/>
          <w:sz w:val="16"/>
          <w:szCs w:val="16"/>
          <w:lang w:val="en-US"/>
        </w:rPr>
        <w:t>Other rights and freedoms recognized in accordance with the procedures established in Articles 76 and 77 may be included in the system of protection of this Convention</w:t>
      </w:r>
      <w:r w:rsidRPr="006879CC">
        <w:rPr>
          <w:rFonts w:ascii="Verdana" w:hAnsi="Verdana"/>
          <w:i/>
          <w:sz w:val="16"/>
          <w:szCs w:val="16"/>
          <w:lang w:val="en-US"/>
        </w:rPr>
        <w:t>.”</w:t>
      </w:r>
    </w:p>
    <w:p w14:paraId="33EA20EF" w14:textId="67500AB5" w:rsidR="00E6764B" w:rsidRDefault="00E6764B" w:rsidP="007B6900">
      <w:pPr>
        <w:pStyle w:val="Textonotapie"/>
        <w:spacing w:after="0"/>
        <w:rPr>
          <w:i/>
        </w:rPr>
      </w:pPr>
      <w:r w:rsidRPr="006879CC">
        <w:t>Article 76(1)</w:t>
      </w:r>
      <w:r w:rsidRPr="006879CC">
        <w:rPr>
          <w:i/>
        </w:rPr>
        <w:t>: “</w:t>
      </w:r>
      <w:r w:rsidRPr="006879CC">
        <w:rPr>
          <w:i/>
          <w:color w:val="000000"/>
        </w:rPr>
        <w:t>Proposals to amend this Convention may be submitted to the General Assembly for the action it deems appropriate by any State Party directly, and by the Commission or the Court through the Secretary General</w:t>
      </w:r>
      <w:r w:rsidRPr="006879CC">
        <w:rPr>
          <w:i/>
        </w:rPr>
        <w:t>.”</w:t>
      </w:r>
    </w:p>
    <w:p w14:paraId="04B7A50A" w14:textId="14431799" w:rsidR="007B6900" w:rsidRDefault="007B6900" w:rsidP="007B6900">
      <w:pPr>
        <w:pStyle w:val="Textonotapie"/>
        <w:spacing w:after="0"/>
        <w:rPr>
          <w:i/>
        </w:rPr>
      </w:pPr>
    </w:p>
    <w:p w14:paraId="6CED0D70" w14:textId="77777777" w:rsidR="007B6900" w:rsidRPr="006879CC" w:rsidRDefault="007B6900" w:rsidP="007B6900">
      <w:pPr>
        <w:pStyle w:val="Textonotapie"/>
        <w:spacing w:after="0"/>
      </w:pPr>
    </w:p>
    <w:p w14:paraId="37FE3FBA" w14:textId="77777777" w:rsidR="00E6764B" w:rsidRPr="006879CC" w:rsidRDefault="00E6764B" w:rsidP="007B6900">
      <w:pPr>
        <w:pStyle w:val="Textonotapie"/>
        <w:spacing w:after="0"/>
        <w:rPr>
          <w:i/>
        </w:rPr>
      </w:pPr>
      <w:r w:rsidRPr="006879CC">
        <w:t>Article 77(1</w:t>
      </w:r>
      <w:proofErr w:type="gramStart"/>
      <w:r w:rsidRPr="006879CC">
        <w:t>)</w:t>
      </w:r>
      <w:r w:rsidRPr="006879CC">
        <w:rPr>
          <w:i/>
        </w:rPr>
        <w:t>:“</w:t>
      </w:r>
      <w:proofErr w:type="gramEnd"/>
      <w:r w:rsidRPr="006879CC">
        <w:rPr>
          <w:i/>
          <w:color w:val="000000"/>
        </w:rPr>
        <w:t>In accordance with Article 31, any State Party and the Commission may submit proposed protocols to this Convention for consideration by the States Parties at the General Assembly with a view to gradually including other rights and freedoms within its system of protection</w:t>
      </w:r>
      <w:r w:rsidRPr="006879CC">
        <w:rPr>
          <w:i/>
        </w:rPr>
        <w:t>.”</w:t>
      </w:r>
    </w:p>
    <w:p w14:paraId="2FDF8BD0" w14:textId="77777777" w:rsidR="00E6764B" w:rsidRPr="006879CC" w:rsidRDefault="00E6764B" w:rsidP="007B6900">
      <w:pPr>
        <w:pStyle w:val="Textonotapie"/>
        <w:spacing w:after="0"/>
      </w:pPr>
    </w:p>
  </w:footnote>
  <w:footnote w:id="375">
    <w:p w14:paraId="2E03866D" w14:textId="77777777" w:rsidR="00E6764B" w:rsidRPr="006879CC" w:rsidRDefault="00E6764B" w:rsidP="007B6900">
      <w:pPr>
        <w:rPr>
          <w:rFonts w:ascii="Verdana" w:hAnsi="Verdana"/>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 xml:space="preserve">Article 33: </w:t>
      </w:r>
      <w:r w:rsidRPr="006879CC">
        <w:rPr>
          <w:rFonts w:ascii="Verdana" w:hAnsi="Verdana"/>
          <w:i/>
          <w:sz w:val="16"/>
          <w:szCs w:val="16"/>
          <w:lang w:val="en-US"/>
        </w:rPr>
        <w:t>“</w:t>
      </w:r>
      <w:r w:rsidRPr="006879CC">
        <w:rPr>
          <w:rFonts w:ascii="Verdana" w:hAnsi="Verdana"/>
          <w:i/>
          <w:color w:val="000000"/>
          <w:sz w:val="16"/>
          <w:szCs w:val="16"/>
          <w:lang w:val="en-US"/>
        </w:rPr>
        <w:t>The following organs shall have competence with respect to matters relating to the fulfillment of the commitments made by the States Parties to this Convention</w:t>
      </w:r>
      <w:r w:rsidRPr="006879CC">
        <w:rPr>
          <w:rFonts w:ascii="Verdana" w:hAnsi="Verdana"/>
          <w:i/>
          <w:sz w:val="16"/>
          <w:szCs w:val="16"/>
          <w:lang w:val="en-US"/>
        </w:rPr>
        <w:t>:</w:t>
      </w:r>
    </w:p>
    <w:p w14:paraId="5848D199" w14:textId="77777777" w:rsidR="00E6764B" w:rsidRPr="006879CC" w:rsidRDefault="00E6764B" w:rsidP="007B6900">
      <w:pPr>
        <w:rPr>
          <w:rFonts w:ascii="Verdana" w:hAnsi="Verdana"/>
          <w:sz w:val="16"/>
          <w:szCs w:val="16"/>
          <w:lang w:val="en-US"/>
        </w:rPr>
      </w:pPr>
      <w:r w:rsidRPr="006879CC">
        <w:rPr>
          <w:rFonts w:ascii="Verdana" w:hAnsi="Verdana"/>
          <w:i/>
          <w:sz w:val="16"/>
          <w:szCs w:val="16"/>
          <w:lang w:val="en-US"/>
        </w:rPr>
        <w:t xml:space="preserve"> a) </w:t>
      </w:r>
      <w:r w:rsidRPr="006879CC">
        <w:rPr>
          <w:rFonts w:ascii="Verdana" w:hAnsi="Verdana"/>
          <w:i/>
          <w:color w:val="000000"/>
          <w:sz w:val="16"/>
          <w:szCs w:val="16"/>
          <w:lang w:val="en-US"/>
        </w:rPr>
        <w:t>the Inter-American Commission on Human Rights, referred to as "The Commission;" and</w:t>
      </w:r>
      <w:r w:rsidRPr="006879CC">
        <w:rPr>
          <w:rFonts w:ascii="Verdana" w:hAnsi="Verdana"/>
          <w:i/>
          <w:sz w:val="16"/>
          <w:szCs w:val="16"/>
          <w:lang w:val="en-US"/>
        </w:rPr>
        <w:t xml:space="preserve"> </w:t>
      </w:r>
    </w:p>
    <w:p w14:paraId="7C9DB7CA" w14:textId="77777777" w:rsidR="00E6764B" w:rsidRPr="006879CC" w:rsidRDefault="00E6764B" w:rsidP="007B6900">
      <w:pPr>
        <w:rPr>
          <w:rFonts w:ascii="Verdana" w:hAnsi="Verdana"/>
          <w:sz w:val="16"/>
          <w:szCs w:val="16"/>
          <w:lang w:val="en-US"/>
        </w:rPr>
      </w:pPr>
      <w:r w:rsidRPr="006879CC">
        <w:rPr>
          <w:rFonts w:ascii="Verdana" w:hAnsi="Verdana"/>
          <w:i/>
          <w:sz w:val="16"/>
          <w:szCs w:val="16"/>
          <w:lang w:val="en-US"/>
        </w:rPr>
        <w:t xml:space="preserve"> b) the Inter-American Court of Human Rights, </w:t>
      </w:r>
      <w:r w:rsidRPr="006879CC">
        <w:rPr>
          <w:rFonts w:ascii="Verdana" w:hAnsi="Verdana"/>
          <w:i/>
          <w:color w:val="000000"/>
          <w:sz w:val="16"/>
          <w:szCs w:val="16"/>
          <w:lang w:val="en-US"/>
        </w:rPr>
        <w:t>referred to as "The Court."</w:t>
      </w:r>
      <w:r w:rsidRPr="006879CC">
        <w:rPr>
          <w:rFonts w:ascii="Verdana" w:hAnsi="Verdana"/>
          <w:i/>
          <w:sz w:val="16"/>
          <w:szCs w:val="16"/>
          <w:lang w:val="en-US"/>
        </w:rPr>
        <w:t xml:space="preserve"> </w:t>
      </w:r>
    </w:p>
    <w:p w14:paraId="49A0BF16" w14:textId="77777777" w:rsidR="00E6764B" w:rsidRPr="006879CC" w:rsidRDefault="00E6764B" w:rsidP="007B6900">
      <w:pPr>
        <w:rPr>
          <w:rFonts w:ascii="Verdana" w:hAnsi="Verdana"/>
          <w:sz w:val="16"/>
          <w:szCs w:val="16"/>
          <w:lang w:val="en-US"/>
        </w:rPr>
      </w:pPr>
      <w:r w:rsidRPr="006879CC">
        <w:rPr>
          <w:rFonts w:ascii="Verdana" w:hAnsi="Verdana"/>
          <w:sz w:val="16"/>
          <w:szCs w:val="16"/>
          <w:lang w:val="en-US"/>
        </w:rPr>
        <w:t>Article 65</w:t>
      </w:r>
      <w:r w:rsidRPr="006879CC">
        <w:rPr>
          <w:rFonts w:ascii="Verdana" w:hAnsi="Verdana" w:cstheme="minorHAnsi"/>
          <w:i/>
          <w:sz w:val="16"/>
          <w:szCs w:val="16"/>
          <w:lang w:val="en-US"/>
        </w:rPr>
        <w:t>: “</w:t>
      </w:r>
      <w:r w:rsidRPr="006879CC">
        <w:rPr>
          <w:rFonts w:ascii="Verdana" w:hAnsi="Verdana"/>
          <w:i/>
          <w:color w:val="000000"/>
          <w:sz w:val="16"/>
          <w:szCs w:val="16"/>
          <w:lang w:val="en-US"/>
        </w:rPr>
        <w:t>To each regular session of the General Assembly of the Organization of American States the Court shall submit, for the Assembly's consideration, a report on its work during the previous year. It shall specify, in particular, the cases in which a state has not complied with its judgments, making any pertinent recommendations</w:t>
      </w:r>
      <w:r w:rsidRPr="006879CC">
        <w:rPr>
          <w:rFonts w:ascii="Verdana" w:hAnsi="Verdana" w:cstheme="minorHAnsi"/>
          <w:i/>
          <w:sz w:val="16"/>
          <w:szCs w:val="16"/>
          <w:lang w:val="en-US"/>
        </w:rPr>
        <w:t>.”</w:t>
      </w:r>
    </w:p>
    <w:p w14:paraId="36CF8ED4" w14:textId="77777777" w:rsidR="00E6764B" w:rsidRPr="006879CC" w:rsidRDefault="00E6764B" w:rsidP="007B6900">
      <w:pPr>
        <w:pStyle w:val="Textonotapie"/>
        <w:spacing w:after="0"/>
      </w:pPr>
    </w:p>
  </w:footnote>
  <w:footnote w:id="376">
    <w:p w14:paraId="53A71AB4" w14:textId="77777777" w:rsidR="00E6764B" w:rsidRPr="006879CC" w:rsidRDefault="00E6764B" w:rsidP="007B6900">
      <w:pPr>
        <w:rPr>
          <w:rFonts w:ascii="Verdana" w:hAnsi="Verdana"/>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 xml:space="preserve">Footnote 12. </w:t>
      </w:r>
    </w:p>
    <w:p w14:paraId="4CB8545D" w14:textId="77777777" w:rsidR="00E6764B" w:rsidRPr="006879CC" w:rsidRDefault="00E6764B" w:rsidP="007B6900">
      <w:pPr>
        <w:pStyle w:val="Textonotapie"/>
        <w:spacing w:after="0"/>
      </w:pPr>
    </w:p>
  </w:footnote>
  <w:footnote w:id="377">
    <w:p w14:paraId="56895FFB" w14:textId="77777777"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Article 64(</w:t>
      </w:r>
      <w:r w:rsidRPr="006879CC">
        <w:rPr>
          <w:rFonts w:ascii="Verdana" w:hAnsi="Verdana"/>
          <w:i/>
          <w:sz w:val="16"/>
          <w:szCs w:val="16"/>
          <w:lang w:val="en-US"/>
        </w:rPr>
        <w:t>1</w:t>
      </w:r>
      <w:proofErr w:type="gramStart"/>
      <w:r w:rsidRPr="006879CC">
        <w:rPr>
          <w:rFonts w:ascii="Verdana" w:hAnsi="Verdana"/>
          <w:i/>
          <w:sz w:val="16"/>
          <w:szCs w:val="16"/>
          <w:lang w:val="en-US"/>
        </w:rPr>
        <w:t>):“</w:t>
      </w:r>
      <w:proofErr w:type="gramEnd"/>
      <w:r w:rsidRPr="006879CC">
        <w:rPr>
          <w:rFonts w:ascii="Verdana" w:hAnsi="Verdana"/>
          <w:i/>
          <w:color w:val="000000"/>
          <w:sz w:val="16"/>
          <w:szCs w:val="16"/>
          <w:lang w:val="en-US"/>
        </w:rPr>
        <w:t>The member states of the Organization may consult the Court regarding the interpretation of this Convention or of other treaties concerning the protection of human rights in the American states. Within their spheres of competence, the organs listed in Chapter X of the Charter of the Organization of American States, as amended by the Protocol of Buenos Aires, may in like manner consult the Court</w:t>
      </w:r>
      <w:r w:rsidRPr="006879CC">
        <w:rPr>
          <w:rFonts w:ascii="Verdana" w:hAnsi="Verdana"/>
          <w:i/>
          <w:sz w:val="16"/>
          <w:szCs w:val="16"/>
          <w:lang w:val="en-US"/>
        </w:rPr>
        <w:t>.</w:t>
      </w:r>
    </w:p>
    <w:p w14:paraId="6F34051C" w14:textId="77777777" w:rsidR="00E6764B" w:rsidRPr="006879CC" w:rsidRDefault="00E6764B" w:rsidP="007B6900">
      <w:pPr>
        <w:pStyle w:val="Textonotapie"/>
        <w:spacing w:after="0"/>
        <w:rPr>
          <w:i/>
        </w:rPr>
      </w:pPr>
      <w:r w:rsidRPr="006879CC">
        <w:rPr>
          <w:i/>
        </w:rPr>
        <w:t xml:space="preserve"> (2) </w:t>
      </w:r>
      <w:r w:rsidRPr="006879CC">
        <w:rPr>
          <w:i/>
          <w:color w:val="000000"/>
        </w:rPr>
        <w:t>The Court, at the request of a member state of the Organization, may provide that state with opinions regarding the compatibility of any of its domestic laws with the aforesaid international instruments</w:t>
      </w:r>
      <w:r w:rsidRPr="006879CC">
        <w:rPr>
          <w:i/>
        </w:rPr>
        <w:t>.”</w:t>
      </w:r>
    </w:p>
    <w:p w14:paraId="39B4F6B6" w14:textId="77777777" w:rsidR="00E6764B" w:rsidRPr="006879CC" w:rsidRDefault="00E6764B" w:rsidP="007B6900">
      <w:pPr>
        <w:pStyle w:val="Textonotapie"/>
        <w:spacing w:after="0"/>
      </w:pPr>
    </w:p>
  </w:footnote>
  <w:footnote w:id="378">
    <w:p w14:paraId="6E69818D" w14:textId="77777777" w:rsidR="00E6764B" w:rsidRPr="006879CC" w:rsidRDefault="00E6764B" w:rsidP="007B6900">
      <w:pPr>
        <w:autoSpaceDE w:val="0"/>
        <w:autoSpaceDN w:val="0"/>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Article 27 of the Vienna Convention on the Law of Treaties: “</w:t>
      </w:r>
      <w:r w:rsidRPr="006879CC">
        <w:rPr>
          <w:rFonts w:ascii="Verdana" w:hAnsi="Verdana"/>
          <w:i/>
          <w:sz w:val="16"/>
          <w:szCs w:val="16"/>
          <w:lang w:val="en-US"/>
        </w:rPr>
        <w:t>Internal law and observance of treaties</w:t>
      </w:r>
      <w:r w:rsidRPr="006879CC">
        <w:rPr>
          <w:rFonts w:ascii="Verdana" w:hAnsi="Verdana"/>
          <w:bCs/>
          <w:i/>
          <w:sz w:val="16"/>
          <w:szCs w:val="16"/>
          <w:lang w:val="en-US"/>
        </w:rPr>
        <w:t xml:space="preserve">. </w:t>
      </w:r>
      <w:r w:rsidRPr="006879CC">
        <w:rPr>
          <w:rFonts w:ascii="Verdana" w:hAnsi="Verdana"/>
          <w:i/>
          <w:sz w:val="16"/>
          <w:szCs w:val="16"/>
          <w:lang w:val="en-US"/>
        </w:rPr>
        <w:t>A party may not invoke the provisions of its internal law as justification for its failure to perform a treaty. This rule is without prejudice to article 46.”</w:t>
      </w:r>
    </w:p>
    <w:p w14:paraId="609BEB77" w14:textId="77777777" w:rsidR="00E6764B" w:rsidRPr="006879CC" w:rsidRDefault="00E6764B" w:rsidP="007B6900">
      <w:pPr>
        <w:autoSpaceDE w:val="0"/>
        <w:autoSpaceDN w:val="0"/>
        <w:rPr>
          <w:rFonts w:ascii="Verdana" w:hAnsi="Verdana"/>
          <w:i/>
          <w:sz w:val="16"/>
          <w:szCs w:val="16"/>
          <w:lang w:val="en-US"/>
        </w:rPr>
      </w:pPr>
    </w:p>
  </w:footnote>
  <w:footnote w:id="379">
    <w:p w14:paraId="58A52E23"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Hereinafter, the Vienna Convention.</w:t>
      </w:r>
    </w:p>
  </w:footnote>
  <w:footnote w:id="380">
    <w:p w14:paraId="53E7E2DC" w14:textId="77777777" w:rsidR="00E6764B" w:rsidRPr="006879CC" w:rsidRDefault="00E6764B" w:rsidP="007B6900">
      <w:pPr>
        <w:autoSpaceDE w:val="0"/>
        <w:autoSpaceDN w:val="0"/>
        <w:rPr>
          <w:rFonts w:ascii="Verdana" w:hAnsi="Verdana" w:cs="Arial"/>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 xml:space="preserve">Footnote 15. </w:t>
      </w:r>
    </w:p>
    <w:p w14:paraId="01F6EC37" w14:textId="77777777" w:rsidR="00E6764B" w:rsidRPr="006879CC" w:rsidRDefault="00E6764B" w:rsidP="007B6900">
      <w:pPr>
        <w:pStyle w:val="Textonotapie"/>
        <w:spacing w:after="0"/>
      </w:pPr>
    </w:p>
  </w:footnote>
  <w:footnote w:id="381">
    <w:p w14:paraId="78D0A8BC" w14:textId="3FEA985E" w:rsidR="00E6764B" w:rsidRDefault="00E6764B" w:rsidP="007B6900">
      <w:pPr>
        <w:pStyle w:val="Default"/>
        <w:jc w:val="both"/>
        <w:rPr>
          <w:rFonts w:ascii="Verdana" w:hAnsi="Verdana"/>
          <w:i/>
          <w:color w:val="auto"/>
          <w:sz w:val="16"/>
          <w:szCs w:val="16"/>
          <w:lang w:val="en-US"/>
        </w:rPr>
      </w:pPr>
      <w:r w:rsidRPr="006879CC">
        <w:rPr>
          <w:rStyle w:val="Refdenotaalpie"/>
          <w:i/>
          <w:color w:val="auto"/>
          <w:sz w:val="16"/>
          <w:szCs w:val="16"/>
          <w:lang w:val="en-US"/>
        </w:rPr>
        <w:footnoteRef/>
      </w:r>
      <w:r w:rsidRPr="006879CC">
        <w:rPr>
          <w:rFonts w:ascii="Verdana" w:hAnsi="Verdana"/>
          <w:i/>
          <w:color w:val="auto"/>
          <w:sz w:val="16"/>
          <w:szCs w:val="16"/>
          <w:lang w:val="en-US"/>
        </w:rPr>
        <w:t xml:space="preserve"> </w:t>
      </w:r>
      <w:r w:rsidRPr="006879CC">
        <w:rPr>
          <w:rFonts w:ascii="Verdana" w:hAnsi="Verdana"/>
          <w:i/>
          <w:color w:val="auto"/>
          <w:sz w:val="16"/>
          <w:szCs w:val="16"/>
          <w:lang w:val="en-US"/>
        </w:rPr>
        <w:tab/>
      </w:r>
      <w:r w:rsidRPr="006879CC">
        <w:rPr>
          <w:rFonts w:ascii="Verdana" w:hAnsi="Verdana"/>
          <w:color w:val="auto"/>
          <w:sz w:val="16"/>
          <w:szCs w:val="16"/>
          <w:lang w:val="en-US"/>
        </w:rPr>
        <w:t xml:space="preserve">Draft </w:t>
      </w:r>
      <w:r w:rsidRPr="006879CC">
        <w:rPr>
          <w:rFonts w:ascii="Verdana" w:eastAsiaTheme="minorHAnsi" w:hAnsi="Verdana"/>
          <w:bCs/>
          <w:color w:val="auto"/>
          <w:sz w:val="16"/>
          <w:szCs w:val="16"/>
          <w:lang w:val="en-US" w:eastAsia="en-US"/>
        </w:rPr>
        <w:t xml:space="preserve">Articles on </w:t>
      </w:r>
      <w:r w:rsidRPr="006879CC">
        <w:rPr>
          <w:rFonts w:ascii="Verdana" w:hAnsi="Verdana"/>
          <w:sz w:val="16"/>
          <w:szCs w:val="16"/>
          <w:lang w:val="en-US"/>
        </w:rPr>
        <w:t>Responsibility of States for Internationally Wrongful Acts</w:t>
      </w:r>
      <w:r w:rsidRPr="006879CC">
        <w:rPr>
          <w:rFonts w:ascii="Verdana" w:eastAsiaTheme="minorHAnsi" w:hAnsi="Verdana"/>
          <w:bCs/>
          <w:color w:val="auto"/>
          <w:sz w:val="16"/>
          <w:szCs w:val="16"/>
          <w:lang w:val="en-US" w:eastAsia="en-US"/>
        </w:rPr>
        <w:t xml:space="preserve">, </w:t>
      </w:r>
      <w:r w:rsidRPr="006879CC">
        <w:rPr>
          <w:rFonts w:ascii="Verdana" w:hAnsi="Verdana"/>
          <w:color w:val="auto"/>
          <w:sz w:val="16"/>
          <w:szCs w:val="16"/>
          <w:lang w:val="en-US"/>
        </w:rPr>
        <w:t>adopted by the International Law Commission at its fifty-third session</w:t>
      </w:r>
      <w:r w:rsidRPr="006879CC">
        <w:rPr>
          <w:lang w:val="en-US"/>
        </w:rPr>
        <w:t xml:space="preserve"> </w:t>
      </w:r>
      <w:r w:rsidRPr="006879CC">
        <w:rPr>
          <w:rFonts w:ascii="Verdana" w:eastAsiaTheme="minorHAnsi" w:hAnsi="Verdana"/>
          <w:bCs/>
          <w:color w:val="auto"/>
          <w:sz w:val="16"/>
          <w:szCs w:val="16"/>
          <w:lang w:val="en-US" w:eastAsia="en-US"/>
        </w:rPr>
        <w:t xml:space="preserve">(A/56/10) and annexed by the GA in Resolution 56/83, of December 12, 2001. </w:t>
      </w:r>
      <w:r w:rsidRPr="006879CC">
        <w:rPr>
          <w:rFonts w:ascii="Verdana" w:hAnsi="Verdana"/>
          <w:color w:val="auto"/>
          <w:sz w:val="16"/>
          <w:szCs w:val="16"/>
          <w:lang w:val="en-US"/>
        </w:rPr>
        <w:t>Article 1: “</w:t>
      </w:r>
      <w:r w:rsidRPr="006879CC">
        <w:rPr>
          <w:rFonts w:ascii="Verdana" w:hAnsi="Verdana"/>
          <w:i/>
          <w:sz w:val="16"/>
          <w:szCs w:val="16"/>
          <w:lang w:val="en-US"/>
        </w:rPr>
        <w:t>Responsibility of a State for its internationally wrongful acts</w:t>
      </w:r>
      <w:r w:rsidRPr="006879CC">
        <w:rPr>
          <w:rFonts w:ascii="Verdana" w:hAnsi="Verdana"/>
          <w:i/>
          <w:color w:val="auto"/>
          <w:sz w:val="16"/>
          <w:szCs w:val="16"/>
          <w:lang w:val="en-US"/>
        </w:rPr>
        <w:t xml:space="preserve">. </w:t>
      </w:r>
      <w:r w:rsidRPr="006879CC">
        <w:rPr>
          <w:rFonts w:ascii="Verdana" w:hAnsi="Verdana"/>
          <w:i/>
          <w:sz w:val="16"/>
          <w:szCs w:val="16"/>
          <w:lang w:val="en-US"/>
        </w:rPr>
        <w:t>Every internationally wrongful act of a State entails the international responsibility of that State</w:t>
      </w:r>
      <w:r w:rsidRPr="006879CC">
        <w:rPr>
          <w:rFonts w:ascii="Verdana" w:hAnsi="Verdana"/>
          <w:i/>
          <w:color w:val="auto"/>
          <w:sz w:val="16"/>
          <w:szCs w:val="16"/>
          <w:lang w:val="en-US"/>
        </w:rPr>
        <w:t xml:space="preserve">.” </w:t>
      </w:r>
    </w:p>
    <w:p w14:paraId="25E41CE6" w14:textId="77777777" w:rsidR="007B6900" w:rsidRPr="006879CC" w:rsidRDefault="007B6900" w:rsidP="007B6900">
      <w:pPr>
        <w:pStyle w:val="Default"/>
        <w:jc w:val="both"/>
        <w:rPr>
          <w:rFonts w:ascii="Verdana" w:eastAsiaTheme="minorHAnsi" w:hAnsi="Verdana"/>
          <w:color w:val="auto"/>
          <w:sz w:val="16"/>
          <w:szCs w:val="16"/>
          <w:lang w:val="en-US" w:eastAsia="en-US"/>
        </w:rPr>
      </w:pPr>
    </w:p>
    <w:p w14:paraId="77E61B53" w14:textId="77777777" w:rsidR="00E6764B" w:rsidRPr="007B6900" w:rsidRDefault="00E6764B" w:rsidP="007B6900">
      <w:pPr>
        <w:autoSpaceDE w:val="0"/>
        <w:autoSpaceDN w:val="0"/>
        <w:rPr>
          <w:rFonts w:ascii="Verdana" w:hAnsi="Verdana"/>
          <w:i/>
          <w:sz w:val="16"/>
          <w:szCs w:val="16"/>
          <w:lang w:val="en-US"/>
        </w:rPr>
      </w:pPr>
      <w:r w:rsidRPr="007B6900">
        <w:rPr>
          <w:rFonts w:ascii="Verdana" w:hAnsi="Verdana"/>
          <w:i/>
          <w:sz w:val="16"/>
          <w:szCs w:val="16"/>
          <w:lang w:val="en-US"/>
        </w:rPr>
        <w:t>Article 2: “Elements of an internationally wrongful act of a State. There is an internationally wrongful act of a State when conduct consisting of an action or omission</w:t>
      </w:r>
      <w:r w:rsidRPr="007B6900">
        <w:rPr>
          <w:rFonts w:ascii="Verdana" w:hAnsi="Verdana"/>
          <w:sz w:val="16"/>
          <w:szCs w:val="16"/>
          <w:lang w:val="en-US"/>
        </w:rPr>
        <w:t>:</w:t>
      </w:r>
      <w:r w:rsidRPr="007B6900">
        <w:rPr>
          <w:rFonts w:ascii="Verdana" w:hAnsi="Verdana"/>
          <w:i/>
          <w:sz w:val="16"/>
          <w:szCs w:val="16"/>
          <w:lang w:val="en-US"/>
        </w:rPr>
        <w:t xml:space="preserve"> </w:t>
      </w:r>
    </w:p>
    <w:p w14:paraId="51B326A1" w14:textId="77777777" w:rsidR="00E6764B" w:rsidRPr="007B6900" w:rsidRDefault="00E6764B" w:rsidP="007B6900">
      <w:pPr>
        <w:autoSpaceDE w:val="0"/>
        <w:autoSpaceDN w:val="0"/>
        <w:rPr>
          <w:rFonts w:ascii="Verdana" w:hAnsi="Verdana"/>
          <w:i/>
          <w:sz w:val="16"/>
          <w:szCs w:val="16"/>
          <w:lang w:val="en-US"/>
        </w:rPr>
      </w:pPr>
      <w:r w:rsidRPr="007B6900">
        <w:rPr>
          <w:rFonts w:ascii="Verdana" w:hAnsi="Verdana"/>
          <w:i/>
          <w:sz w:val="16"/>
          <w:szCs w:val="16"/>
          <w:lang w:val="en-US"/>
        </w:rPr>
        <w:t xml:space="preserve">a) Is attributable to the State under international law; and </w:t>
      </w:r>
    </w:p>
    <w:p w14:paraId="60DDC27B" w14:textId="77777777" w:rsidR="00E6764B" w:rsidRPr="007B6900" w:rsidRDefault="00E6764B" w:rsidP="007B6900">
      <w:pPr>
        <w:autoSpaceDE w:val="0"/>
        <w:autoSpaceDN w:val="0"/>
        <w:rPr>
          <w:rFonts w:ascii="Verdana" w:hAnsi="Verdana"/>
          <w:i/>
          <w:sz w:val="16"/>
          <w:szCs w:val="16"/>
          <w:lang w:val="en-US"/>
        </w:rPr>
      </w:pPr>
      <w:r w:rsidRPr="007B6900">
        <w:rPr>
          <w:rFonts w:ascii="Verdana" w:hAnsi="Verdana"/>
          <w:i/>
          <w:sz w:val="16"/>
          <w:szCs w:val="16"/>
          <w:lang w:val="en-US"/>
        </w:rPr>
        <w:t xml:space="preserve">b) Constitutes a breach of an international obligation of the State.” </w:t>
      </w:r>
    </w:p>
    <w:p w14:paraId="367ADA47" w14:textId="77777777" w:rsidR="00E6764B" w:rsidRPr="007B6900" w:rsidRDefault="00E6764B" w:rsidP="007B6900">
      <w:pPr>
        <w:autoSpaceDE w:val="0"/>
        <w:autoSpaceDN w:val="0"/>
        <w:rPr>
          <w:rFonts w:ascii="Verdana" w:hAnsi="Verdana"/>
          <w:i/>
          <w:sz w:val="16"/>
          <w:szCs w:val="16"/>
          <w:lang w:val="en-US"/>
        </w:rPr>
      </w:pPr>
      <w:r w:rsidRPr="007B6900">
        <w:rPr>
          <w:rFonts w:ascii="Verdana" w:hAnsi="Verdana"/>
          <w:sz w:val="16"/>
          <w:szCs w:val="16"/>
          <w:lang w:val="en-US"/>
        </w:rPr>
        <w:t>Article 3</w:t>
      </w:r>
      <w:r w:rsidRPr="007B6900">
        <w:rPr>
          <w:rFonts w:ascii="Verdana" w:hAnsi="Verdana"/>
          <w:i/>
          <w:sz w:val="16"/>
          <w:szCs w:val="16"/>
          <w:lang w:val="en-US"/>
        </w:rPr>
        <w:t xml:space="preserve">: “Characterization of an act of a State as internationally wrongful. The characterization of an act of a State as internationally wrongful is governed by international law. Such characterization is not affected by the characterization of the same act as lawful by internal law.” </w:t>
      </w:r>
    </w:p>
    <w:p w14:paraId="2214975B" w14:textId="77777777" w:rsidR="00E6764B" w:rsidRPr="007B6900" w:rsidRDefault="00E6764B" w:rsidP="007B6900">
      <w:pPr>
        <w:autoSpaceDE w:val="0"/>
        <w:autoSpaceDN w:val="0"/>
        <w:rPr>
          <w:rFonts w:ascii="Verdana" w:hAnsi="Verdana"/>
          <w:i/>
          <w:sz w:val="16"/>
          <w:szCs w:val="16"/>
          <w:lang w:val="en-US"/>
        </w:rPr>
      </w:pPr>
      <w:r w:rsidRPr="007B6900">
        <w:rPr>
          <w:rFonts w:ascii="Verdana" w:hAnsi="Verdana"/>
          <w:sz w:val="16"/>
          <w:szCs w:val="16"/>
          <w:lang w:val="en-US"/>
        </w:rPr>
        <w:t>Article 4:</w:t>
      </w:r>
      <w:r w:rsidRPr="007B6900">
        <w:rPr>
          <w:rFonts w:ascii="Verdana" w:hAnsi="Verdana"/>
          <w:i/>
          <w:sz w:val="16"/>
          <w:szCs w:val="16"/>
          <w:lang w:val="en-US"/>
        </w:rPr>
        <w:t>”</w:t>
      </w:r>
      <w:r w:rsidRPr="007B6900">
        <w:rPr>
          <w:rFonts w:ascii="Verdana" w:hAnsi="Verdana"/>
          <w:sz w:val="16"/>
          <w:szCs w:val="16"/>
          <w:lang w:val="en-US"/>
        </w:rPr>
        <w:t xml:space="preserve"> </w:t>
      </w:r>
      <w:r w:rsidRPr="007B6900">
        <w:rPr>
          <w:rFonts w:ascii="Verdana" w:hAnsi="Verdana"/>
          <w:i/>
          <w:sz w:val="16"/>
          <w:szCs w:val="16"/>
          <w:lang w:val="en-US"/>
        </w:rPr>
        <w:t xml:space="preserve">Conduct of the organs of a State.1. The conduct of any State organ shall be considered an act of that State under international law, whether the organ exercises legislative, executive, judicial or any other functions, whatever position it holds in the organization of the State, and whatever its character as an organ of the central government or of a territorial unit of the State. </w:t>
      </w:r>
    </w:p>
    <w:p w14:paraId="0AFF556E" w14:textId="77777777" w:rsidR="00E6764B" w:rsidRPr="007B6900" w:rsidRDefault="00E6764B" w:rsidP="007B6900">
      <w:pPr>
        <w:pStyle w:val="Textonotapie"/>
        <w:spacing w:after="0"/>
        <w:rPr>
          <w:i/>
        </w:rPr>
      </w:pPr>
      <w:r w:rsidRPr="007B6900">
        <w:rPr>
          <w:i/>
        </w:rPr>
        <w:t>2. An organ includes any person or entity which has that status in accordance with the internal law of the State.”</w:t>
      </w:r>
    </w:p>
    <w:p w14:paraId="007D0880" w14:textId="77777777" w:rsidR="00E6764B" w:rsidRPr="007B6900" w:rsidRDefault="00E6764B" w:rsidP="007B6900">
      <w:pPr>
        <w:pStyle w:val="Textonotapie"/>
        <w:spacing w:after="0"/>
        <w:rPr>
          <w:i/>
        </w:rPr>
      </w:pPr>
    </w:p>
  </w:footnote>
  <w:footnote w:id="382">
    <w:p w14:paraId="57BBB811" w14:textId="77777777" w:rsidR="00E6764B" w:rsidRPr="007B6900" w:rsidRDefault="00E6764B" w:rsidP="007B6900">
      <w:pPr>
        <w:pStyle w:val="Textonotapie"/>
        <w:spacing w:after="0"/>
        <w:rPr>
          <w:i/>
        </w:rPr>
      </w:pPr>
      <w:r w:rsidRPr="007B6900">
        <w:rPr>
          <w:rStyle w:val="Refdenotaalpie"/>
          <w:sz w:val="16"/>
        </w:rPr>
        <w:footnoteRef/>
      </w:r>
      <w:r w:rsidRPr="007B6900">
        <w:t xml:space="preserve"> </w:t>
      </w:r>
      <w:r w:rsidRPr="007B6900">
        <w:tab/>
        <w:t xml:space="preserve">Preamble to the Convention, first phrase: </w:t>
      </w:r>
      <w:r w:rsidRPr="007B6900">
        <w:rPr>
          <w:i/>
        </w:rPr>
        <w:t>“</w:t>
      </w:r>
      <w:r w:rsidRPr="007B6900">
        <w:rPr>
          <w:i/>
          <w:color w:val="000000"/>
        </w:rPr>
        <w:t>The American states signatory to the present Convention</w:t>
      </w:r>
      <w:r w:rsidRPr="007B6900">
        <w:rPr>
          <w:i/>
        </w:rPr>
        <w:t>,”</w:t>
      </w:r>
    </w:p>
    <w:p w14:paraId="57914C67" w14:textId="77777777" w:rsidR="00E6764B" w:rsidRPr="007B6900" w:rsidRDefault="00E6764B" w:rsidP="007B6900">
      <w:pPr>
        <w:pStyle w:val="Textonotapie"/>
        <w:spacing w:after="0"/>
      </w:pPr>
    </w:p>
  </w:footnote>
  <w:footnote w:id="383">
    <w:p w14:paraId="7C2CE3C1" w14:textId="77777777" w:rsidR="00E6764B" w:rsidRPr="007B6900" w:rsidRDefault="00E6764B" w:rsidP="007B6900">
      <w:pPr>
        <w:tabs>
          <w:tab w:val="left" w:pos="142"/>
        </w:tabs>
        <w:rPr>
          <w:rFonts w:ascii="Verdana" w:hAnsi="Verdana"/>
          <w:i/>
          <w:sz w:val="16"/>
          <w:szCs w:val="16"/>
          <w:lang w:val="en-US"/>
        </w:rPr>
      </w:pPr>
      <w:r w:rsidRPr="007B6900">
        <w:rPr>
          <w:rStyle w:val="Refdenotaalpie"/>
          <w:i/>
          <w:sz w:val="16"/>
          <w:szCs w:val="16"/>
          <w:lang w:val="en-US"/>
        </w:rPr>
        <w:footnoteRef/>
      </w:r>
      <w:r w:rsidRPr="007B6900">
        <w:rPr>
          <w:rFonts w:ascii="Verdana" w:hAnsi="Verdana"/>
          <w:i/>
          <w:sz w:val="16"/>
          <w:szCs w:val="16"/>
          <w:lang w:val="en-US"/>
        </w:rPr>
        <w:t xml:space="preserve"> </w:t>
      </w:r>
      <w:r w:rsidRPr="007B6900">
        <w:rPr>
          <w:rFonts w:ascii="Verdana" w:hAnsi="Verdana"/>
          <w:i/>
          <w:sz w:val="16"/>
          <w:szCs w:val="16"/>
          <w:lang w:val="en-US"/>
        </w:rPr>
        <w:tab/>
        <w:t xml:space="preserve">Article 1(1): </w:t>
      </w:r>
      <w:r w:rsidRPr="007B6900">
        <w:rPr>
          <w:rFonts w:ascii="Verdana" w:hAnsi="Verdana"/>
          <w:i/>
          <w:color w:val="000000"/>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7B6900">
        <w:rPr>
          <w:rFonts w:ascii="Verdana" w:hAnsi="Verdana"/>
          <w:i/>
          <w:sz w:val="16"/>
          <w:szCs w:val="16"/>
          <w:lang w:val="en-US"/>
        </w:rPr>
        <w:t>.”</w:t>
      </w:r>
    </w:p>
    <w:p w14:paraId="612A693C" w14:textId="77777777" w:rsidR="00E6764B" w:rsidRPr="007B6900" w:rsidRDefault="00E6764B" w:rsidP="007B6900">
      <w:pPr>
        <w:tabs>
          <w:tab w:val="left" w:pos="142"/>
        </w:tabs>
        <w:rPr>
          <w:rFonts w:ascii="Verdana" w:hAnsi="Verdana"/>
          <w:i/>
          <w:sz w:val="16"/>
          <w:szCs w:val="16"/>
          <w:lang w:val="en-US"/>
        </w:rPr>
      </w:pPr>
      <w:r w:rsidRPr="007B6900">
        <w:rPr>
          <w:rFonts w:ascii="Verdana" w:hAnsi="Verdana"/>
          <w:i/>
          <w:sz w:val="16"/>
          <w:szCs w:val="16"/>
          <w:lang w:val="en-US"/>
        </w:rPr>
        <w:t>2. For the purposes of this Convention, “person” means every human being.</w:t>
      </w:r>
    </w:p>
    <w:p w14:paraId="33140208" w14:textId="77777777" w:rsidR="00E6764B" w:rsidRPr="007B6900" w:rsidRDefault="00E6764B" w:rsidP="007B6900">
      <w:pPr>
        <w:pStyle w:val="Textonotapie"/>
        <w:spacing w:after="0"/>
      </w:pPr>
    </w:p>
  </w:footnote>
  <w:footnote w:id="384">
    <w:p w14:paraId="219EC194" w14:textId="77777777" w:rsidR="00E6764B" w:rsidRPr="007B6900" w:rsidRDefault="00E6764B" w:rsidP="007B6900">
      <w:pPr>
        <w:pStyle w:val="Textonotapie"/>
        <w:spacing w:after="0"/>
      </w:pPr>
      <w:r w:rsidRPr="007B6900">
        <w:rPr>
          <w:rStyle w:val="Refdenotaalpie"/>
          <w:sz w:val="16"/>
        </w:rPr>
        <w:footnoteRef/>
      </w:r>
      <w:r w:rsidRPr="007B6900">
        <w:t xml:space="preserve"> </w:t>
      </w:r>
      <w:r w:rsidRPr="007B6900">
        <w:tab/>
        <w:t>Hereinafter, the Commission.</w:t>
      </w:r>
    </w:p>
    <w:p w14:paraId="627507FB" w14:textId="77777777" w:rsidR="00E6764B" w:rsidRPr="007B6900" w:rsidRDefault="00E6764B" w:rsidP="007B6900">
      <w:pPr>
        <w:pStyle w:val="Textonotapie"/>
        <w:spacing w:after="0"/>
      </w:pPr>
    </w:p>
  </w:footnote>
  <w:footnote w:id="385">
    <w:p w14:paraId="3EC01162" w14:textId="77777777" w:rsidR="00E6764B" w:rsidRPr="007B6900" w:rsidRDefault="00E6764B" w:rsidP="007B6900">
      <w:pPr>
        <w:pStyle w:val="Textonotapie"/>
        <w:spacing w:after="0"/>
        <w:rPr>
          <w:i/>
        </w:rPr>
      </w:pPr>
      <w:r w:rsidRPr="007B6900">
        <w:rPr>
          <w:rStyle w:val="Refdenotaalpie"/>
          <w:sz w:val="16"/>
        </w:rPr>
        <w:footnoteRef/>
      </w:r>
      <w:r w:rsidRPr="007B6900">
        <w:t xml:space="preserve"> </w:t>
      </w:r>
      <w:r w:rsidRPr="007B6900">
        <w:tab/>
        <w:t>Article 61(1): “</w:t>
      </w:r>
      <w:r w:rsidRPr="007B6900">
        <w:rPr>
          <w:i/>
          <w:color w:val="000000"/>
        </w:rPr>
        <w:t>Only the States Parties and the Commission shall have the right to submit a case to the Court</w:t>
      </w:r>
      <w:r w:rsidRPr="007B6900">
        <w:rPr>
          <w:i/>
        </w:rPr>
        <w:t>.”</w:t>
      </w:r>
    </w:p>
    <w:p w14:paraId="6967B756" w14:textId="77777777" w:rsidR="00E6764B" w:rsidRPr="007B6900" w:rsidRDefault="00E6764B" w:rsidP="007B6900">
      <w:pPr>
        <w:pStyle w:val="Textonotapie"/>
        <w:spacing w:after="0"/>
      </w:pPr>
    </w:p>
  </w:footnote>
  <w:footnote w:id="386">
    <w:p w14:paraId="4AF15D2C" w14:textId="77777777" w:rsidR="00E6764B" w:rsidRPr="007B6900" w:rsidRDefault="00E6764B" w:rsidP="007B6900">
      <w:pPr>
        <w:pStyle w:val="Textonotapie"/>
        <w:spacing w:after="0"/>
      </w:pPr>
      <w:r w:rsidRPr="007B6900">
        <w:rPr>
          <w:rStyle w:val="Refdenotaalpie"/>
          <w:sz w:val="16"/>
        </w:rPr>
        <w:footnoteRef/>
      </w:r>
      <w:r w:rsidRPr="007B6900">
        <w:t xml:space="preserve"> </w:t>
      </w:r>
      <w:r w:rsidRPr="007B6900">
        <w:tab/>
        <w:t>Article 35: “</w:t>
      </w:r>
      <w:r w:rsidRPr="007B6900">
        <w:rPr>
          <w:i/>
          <w:color w:val="000000"/>
        </w:rPr>
        <w:t>The Commission shall represent all the member countries of the Organization of American States</w:t>
      </w:r>
      <w:r w:rsidRPr="007B6900">
        <w:rPr>
          <w:i/>
        </w:rPr>
        <w:t>.”</w:t>
      </w:r>
    </w:p>
    <w:p w14:paraId="28902F49" w14:textId="77777777" w:rsidR="00E6764B" w:rsidRPr="007B6900" w:rsidRDefault="00E6764B" w:rsidP="007B6900">
      <w:pPr>
        <w:pStyle w:val="Textonotapie"/>
        <w:spacing w:after="0"/>
      </w:pPr>
    </w:p>
  </w:footnote>
  <w:footnote w:id="387">
    <w:p w14:paraId="3E72D63E" w14:textId="77777777" w:rsidR="00E6764B" w:rsidRPr="007B6900" w:rsidRDefault="00E6764B" w:rsidP="007B6900">
      <w:pPr>
        <w:rPr>
          <w:rFonts w:ascii="Verdana" w:hAnsi="Verdana"/>
          <w:sz w:val="16"/>
          <w:szCs w:val="16"/>
          <w:lang w:val="en-US"/>
        </w:rPr>
      </w:pPr>
      <w:r w:rsidRPr="007B6900">
        <w:rPr>
          <w:rStyle w:val="Refdenotaalpie"/>
          <w:sz w:val="16"/>
          <w:szCs w:val="16"/>
          <w:lang w:val="en-US"/>
        </w:rPr>
        <w:footnoteRef/>
      </w:r>
      <w:r w:rsidRPr="007B6900">
        <w:rPr>
          <w:rFonts w:ascii="Verdana" w:hAnsi="Verdana"/>
          <w:sz w:val="16"/>
          <w:szCs w:val="16"/>
          <w:lang w:val="en-US"/>
        </w:rPr>
        <w:t xml:space="preserve"> </w:t>
      </w:r>
      <w:r w:rsidRPr="007B6900">
        <w:rPr>
          <w:rFonts w:ascii="Verdana" w:hAnsi="Verdana"/>
          <w:sz w:val="16"/>
          <w:szCs w:val="16"/>
          <w:lang w:val="en-US"/>
        </w:rPr>
        <w:tab/>
        <w:t>Article 68: “</w:t>
      </w:r>
      <w:r w:rsidRPr="007B6900">
        <w:rPr>
          <w:rFonts w:ascii="Verdana" w:hAnsi="Verdana"/>
          <w:i/>
          <w:sz w:val="16"/>
          <w:szCs w:val="16"/>
          <w:lang w:val="en-US"/>
        </w:rPr>
        <w:t xml:space="preserve">1. </w:t>
      </w:r>
      <w:r w:rsidRPr="007B6900">
        <w:rPr>
          <w:rFonts w:ascii="Verdana" w:hAnsi="Verdana"/>
          <w:i/>
          <w:color w:val="000000"/>
          <w:sz w:val="16"/>
          <w:szCs w:val="16"/>
          <w:lang w:val="en-US"/>
        </w:rPr>
        <w:t>The States Parties to the Convention undertake to comply with the judgment of the Court in any case to which they are parties</w:t>
      </w:r>
      <w:r w:rsidRPr="007B6900">
        <w:rPr>
          <w:rFonts w:ascii="Verdana" w:hAnsi="Verdana"/>
          <w:i/>
          <w:sz w:val="16"/>
          <w:szCs w:val="16"/>
          <w:lang w:val="en-US"/>
        </w:rPr>
        <w:t>.</w:t>
      </w:r>
    </w:p>
    <w:p w14:paraId="5691D061" w14:textId="77777777" w:rsidR="00E6764B" w:rsidRPr="007B6900" w:rsidRDefault="00E6764B" w:rsidP="007B6900">
      <w:pPr>
        <w:rPr>
          <w:rFonts w:ascii="Verdana" w:hAnsi="Verdana"/>
          <w:sz w:val="16"/>
          <w:szCs w:val="16"/>
          <w:lang w:val="en-US"/>
        </w:rPr>
      </w:pPr>
      <w:r w:rsidRPr="007B6900">
        <w:rPr>
          <w:rFonts w:ascii="Verdana" w:hAnsi="Verdana"/>
          <w:i/>
          <w:sz w:val="16"/>
          <w:szCs w:val="16"/>
          <w:lang w:val="en-US"/>
        </w:rPr>
        <w:t xml:space="preserve">2. </w:t>
      </w:r>
      <w:r w:rsidRPr="007B6900">
        <w:rPr>
          <w:rFonts w:ascii="Verdana" w:hAnsi="Verdana"/>
          <w:i/>
          <w:color w:val="000000"/>
          <w:sz w:val="16"/>
          <w:szCs w:val="16"/>
          <w:lang w:val="en-US"/>
        </w:rPr>
        <w:t>That part of a judgment that stipulates compensatory damages may be executed in the country concerned in accordance with domestic procedure governing the execution of judgments against the State</w:t>
      </w:r>
      <w:r w:rsidRPr="007B6900">
        <w:rPr>
          <w:rFonts w:ascii="Verdana" w:hAnsi="Verdana"/>
          <w:sz w:val="16"/>
          <w:szCs w:val="16"/>
          <w:lang w:val="en-US"/>
        </w:rPr>
        <w:t>.”</w:t>
      </w:r>
    </w:p>
    <w:p w14:paraId="32F3FA7F" w14:textId="77777777" w:rsidR="00E6764B" w:rsidRPr="006879CC" w:rsidRDefault="00E6764B" w:rsidP="007B6900">
      <w:pPr>
        <w:pStyle w:val="Textonotapie"/>
        <w:spacing w:after="0"/>
        <w:rPr>
          <w:i/>
        </w:rPr>
      </w:pPr>
    </w:p>
  </w:footnote>
  <w:footnote w:id="388">
    <w:p w14:paraId="54DDAB22" w14:textId="0B04BBDC" w:rsidR="00E6764B" w:rsidRDefault="00E6764B" w:rsidP="007B6900">
      <w:pPr>
        <w:rPr>
          <w:rFonts w:ascii="Verdana" w:hAnsi="Verdana"/>
          <w:sz w:val="16"/>
          <w:szCs w:val="16"/>
          <w:lang w:val="en-US"/>
        </w:rPr>
      </w:pPr>
      <w:r w:rsidRPr="006879CC">
        <w:rPr>
          <w:rStyle w:val="Refdenotaalpie"/>
          <w:i/>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Article 65: “</w:t>
      </w:r>
      <w:r w:rsidRPr="006879CC">
        <w:rPr>
          <w:rFonts w:ascii="Verdana" w:hAnsi="Verdana"/>
          <w:i/>
          <w:color w:val="000000"/>
          <w:sz w:val="16"/>
          <w:szCs w:val="16"/>
          <w:lang w:val="en-US"/>
        </w:rPr>
        <w:t>To each regular session of the General Assembly of the Organization of American States the Court shall submit, for the Assembly's consideration, a report on its work during the previous year. It shall specify, in particular, the cases in which a state has not complied with its judgments, making any pertinent recommendations</w:t>
      </w:r>
      <w:r w:rsidRPr="006879CC">
        <w:rPr>
          <w:rFonts w:ascii="Verdana" w:hAnsi="Verdana"/>
          <w:sz w:val="16"/>
          <w:szCs w:val="16"/>
          <w:lang w:val="en-US"/>
        </w:rPr>
        <w:t>.”</w:t>
      </w:r>
    </w:p>
    <w:p w14:paraId="4FA7A723" w14:textId="77777777" w:rsidR="007B6900" w:rsidRPr="006879CC" w:rsidRDefault="007B6900" w:rsidP="007B6900">
      <w:pPr>
        <w:rPr>
          <w:rFonts w:ascii="Verdana" w:hAnsi="Verdana"/>
          <w:sz w:val="16"/>
          <w:szCs w:val="16"/>
          <w:lang w:val="en-US"/>
        </w:rPr>
      </w:pPr>
    </w:p>
  </w:footnote>
  <w:footnote w:id="389">
    <w:p w14:paraId="56FB1EC0"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Hereinafter, the OAS.</w:t>
      </w:r>
    </w:p>
    <w:p w14:paraId="7AD79F10" w14:textId="77777777" w:rsidR="00E6764B" w:rsidRPr="006879CC" w:rsidRDefault="00E6764B" w:rsidP="00E6764B">
      <w:pPr>
        <w:pStyle w:val="Textonotapie"/>
      </w:pPr>
    </w:p>
  </w:footnote>
  <w:footnote w:id="390">
    <w:p w14:paraId="3CFE178F" w14:textId="77777777" w:rsidR="00E6764B" w:rsidRPr="007B6900" w:rsidRDefault="00E6764B" w:rsidP="007B6900">
      <w:pPr>
        <w:autoSpaceDE w:val="0"/>
        <w:autoSpaceDN w:val="0"/>
        <w:rPr>
          <w:rFonts w:ascii="Verdana" w:hAnsi="Verdana" w:cs="Verdana"/>
          <w:bCs/>
          <w:i/>
          <w:sz w:val="16"/>
          <w:szCs w:val="16"/>
          <w:lang w:val="en-US"/>
        </w:rPr>
      </w:pPr>
      <w:r w:rsidRPr="007B6900">
        <w:rPr>
          <w:rStyle w:val="Refdenotaalpie"/>
          <w:sz w:val="16"/>
          <w:szCs w:val="16"/>
          <w:lang w:val="en-US"/>
        </w:rPr>
        <w:footnoteRef/>
      </w:r>
      <w:r w:rsidRPr="007B6900">
        <w:rPr>
          <w:rFonts w:ascii="Verdana" w:hAnsi="Verdana"/>
          <w:sz w:val="16"/>
          <w:szCs w:val="16"/>
          <w:lang w:val="en-US"/>
        </w:rPr>
        <w:t xml:space="preserve"> </w:t>
      </w:r>
      <w:r w:rsidRPr="007B6900">
        <w:rPr>
          <w:rFonts w:ascii="Verdana" w:hAnsi="Verdana"/>
          <w:sz w:val="16"/>
          <w:szCs w:val="16"/>
          <w:lang w:val="en-US"/>
        </w:rPr>
        <w:tab/>
        <w:t xml:space="preserve">Article </w:t>
      </w:r>
      <w:r w:rsidRPr="007B6900">
        <w:rPr>
          <w:rFonts w:ascii="Verdana" w:hAnsi="Verdana" w:cs="Verdana"/>
          <w:bCs/>
          <w:sz w:val="16"/>
          <w:szCs w:val="16"/>
          <w:lang w:val="en-US"/>
        </w:rPr>
        <w:t>40 of the Court’s Rules of Procedure</w:t>
      </w:r>
      <w:r w:rsidRPr="007B6900">
        <w:rPr>
          <w:rFonts w:ascii="Verdana" w:hAnsi="Verdana" w:cs="Verdana"/>
          <w:bCs/>
          <w:i/>
          <w:sz w:val="16"/>
          <w:szCs w:val="16"/>
          <w:lang w:val="en-US"/>
        </w:rPr>
        <w:t xml:space="preserve">: “Brief containing Pleadings, Motions, and Evidence. </w:t>
      </w:r>
      <w:r w:rsidRPr="007B6900">
        <w:rPr>
          <w:rFonts w:ascii="Verdana" w:hAnsi="Verdana" w:cs="Verdana"/>
          <w:i/>
          <w:sz w:val="16"/>
          <w:szCs w:val="16"/>
          <w:lang w:val="en-US"/>
        </w:rPr>
        <w:t xml:space="preserve">1. </w:t>
      </w:r>
      <w:r w:rsidRPr="007B6900">
        <w:rPr>
          <w:rFonts w:ascii="Verdana" w:hAnsi="Verdana"/>
          <w:i/>
          <w:color w:val="000000"/>
          <w:sz w:val="16"/>
          <w:szCs w:val="16"/>
          <w:lang w:val="en-US"/>
        </w:rPr>
        <w:t>Upon notice of the presentation of the case to the alleged victim or his or her representatives, these shall have a non-renewable term of two months as of receipt of that brief and its annexes to autonomously submit to the Court the brief containing pleadings, motions, and evidence</w:t>
      </w:r>
      <w:r w:rsidRPr="007B6900">
        <w:rPr>
          <w:rFonts w:ascii="Verdana" w:hAnsi="Verdana" w:cs="Verdana"/>
          <w:i/>
          <w:sz w:val="16"/>
          <w:szCs w:val="16"/>
          <w:lang w:val="en-US"/>
        </w:rPr>
        <w:t>.</w:t>
      </w:r>
    </w:p>
    <w:p w14:paraId="7ADA8E68" w14:textId="77777777" w:rsidR="00E6764B" w:rsidRPr="007B6900" w:rsidRDefault="00E6764B" w:rsidP="007B6900">
      <w:pPr>
        <w:autoSpaceDE w:val="0"/>
        <w:autoSpaceDN w:val="0"/>
        <w:rPr>
          <w:rFonts w:ascii="Verdana" w:hAnsi="Verdana" w:cs="Verdana"/>
          <w:i/>
          <w:sz w:val="16"/>
          <w:szCs w:val="16"/>
          <w:lang w:val="en-US"/>
        </w:rPr>
      </w:pPr>
      <w:r w:rsidRPr="007B6900">
        <w:rPr>
          <w:rFonts w:ascii="Verdana" w:hAnsi="Verdana" w:cs="Verdana"/>
          <w:i/>
          <w:sz w:val="16"/>
          <w:szCs w:val="16"/>
          <w:lang w:val="en-US"/>
        </w:rPr>
        <w:t xml:space="preserve">2. </w:t>
      </w:r>
      <w:r w:rsidRPr="007B6900">
        <w:rPr>
          <w:rFonts w:ascii="Verdana" w:hAnsi="Verdana"/>
          <w:i/>
          <w:color w:val="000000"/>
          <w:sz w:val="16"/>
          <w:szCs w:val="16"/>
          <w:lang w:val="en-US"/>
        </w:rPr>
        <w:t>The brief containing pleadings, motions, and evidence shall contain:</w:t>
      </w:r>
    </w:p>
    <w:p w14:paraId="2D96143C" w14:textId="77777777" w:rsidR="00E6764B" w:rsidRPr="007B6900" w:rsidRDefault="00E6764B" w:rsidP="007B6900">
      <w:pPr>
        <w:autoSpaceDE w:val="0"/>
        <w:autoSpaceDN w:val="0"/>
        <w:rPr>
          <w:rFonts w:ascii="Verdana" w:hAnsi="Verdana" w:cs="Verdana"/>
          <w:i/>
          <w:sz w:val="16"/>
          <w:szCs w:val="16"/>
          <w:lang w:val="en-US"/>
        </w:rPr>
      </w:pPr>
      <w:r w:rsidRPr="007B6900">
        <w:rPr>
          <w:rFonts w:ascii="Verdana" w:hAnsi="Verdana" w:cs="Verdana"/>
          <w:i/>
          <w:sz w:val="16"/>
          <w:szCs w:val="16"/>
          <w:lang w:val="en-US"/>
        </w:rPr>
        <w:t xml:space="preserve">a.  </w:t>
      </w:r>
      <w:r w:rsidRPr="007B6900">
        <w:rPr>
          <w:rFonts w:ascii="Verdana" w:hAnsi="Verdana"/>
          <w:i/>
          <w:color w:val="000000"/>
          <w:sz w:val="16"/>
          <w:szCs w:val="16"/>
          <w:lang w:val="en-US"/>
        </w:rPr>
        <w:t>a description of the facts within the factual framework established in the presentation of the case by the Commission</w:t>
      </w:r>
      <w:r w:rsidRPr="007B6900">
        <w:rPr>
          <w:rFonts w:ascii="Verdana" w:hAnsi="Verdana" w:cs="Verdana"/>
          <w:i/>
          <w:sz w:val="16"/>
          <w:szCs w:val="16"/>
          <w:lang w:val="en-US"/>
        </w:rPr>
        <w:t>;</w:t>
      </w:r>
    </w:p>
    <w:p w14:paraId="7192FD5D" w14:textId="77777777" w:rsidR="00E6764B" w:rsidRPr="007B6900" w:rsidRDefault="00E6764B" w:rsidP="007B6900">
      <w:pPr>
        <w:autoSpaceDE w:val="0"/>
        <w:autoSpaceDN w:val="0"/>
        <w:rPr>
          <w:rFonts w:ascii="Verdana" w:hAnsi="Verdana" w:cs="Verdana"/>
          <w:i/>
          <w:sz w:val="16"/>
          <w:szCs w:val="16"/>
          <w:lang w:val="en-US"/>
        </w:rPr>
      </w:pPr>
      <w:r w:rsidRPr="007B6900">
        <w:rPr>
          <w:rFonts w:ascii="Verdana" w:hAnsi="Verdana" w:cs="Verdana"/>
          <w:i/>
          <w:sz w:val="16"/>
          <w:szCs w:val="16"/>
          <w:lang w:val="en-US"/>
        </w:rPr>
        <w:t xml:space="preserve">b. </w:t>
      </w:r>
      <w:r w:rsidRPr="007B6900">
        <w:rPr>
          <w:rFonts w:ascii="Verdana" w:hAnsi="Verdana"/>
          <w:i/>
          <w:color w:val="000000"/>
          <w:sz w:val="16"/>
          <w:szCs w:val="16"/>
          <w:lang w:val="en-US"/>
        </w:rPr>
        <w:t>the evidence offered, properly organized, with an indication of the alleged facts and arguments that it relates to;</w:t>
      </w:r>
      <w:r w:rsidRPr="007B6900">
        <w:rPr>
          <w:rFonts w:ascii="Verdana" w:hAnsi="Verdana" w:cs="Verdana"/>
          <w:i/>
          <w:sz w:val="16"/>
          <w:szCs w:val="16"/>
          <w:lang w:val="en-US"/>
        </w:rPr>
        <w:t xml:space="preserve"> </w:t>
      </w:r>
    </w:p>
    <w:p w14:paraId="2F0EC223" w14:textId="77777777" w:rsidR="00E6764B" w:rsidRPr="007B6900" w:rsidRDefault="00E6764B" w:rsidP="007B6900">
      <w:pPr>
        <w:autoSpaceDE w:val="0"/>
        <w:autoSpaceDN w:val="0"/>
        <w:rPr>
          <w:rFonts w:ascii="Verdana" w:hAnsi="Verdana" w:cs="Verdana"/>
          <w:i/>
          <w:sz w:val="16"/>
          <w:szCs w:val="16"/>
          <w:lang w:val="en-US"/>
        </w:rPr>
      </w:pPr>
      <w:r w:rsidRPr="007B6900">
        <w:rPr>
          <w:rFonts w:ascii="Verdana" w:hAnsi="Verdana" w:cs="Verdana"/>
          <w:i/>
          <w:sz w:val="16"/>
          <w:szCs w:val="16"/>
          <w:lang w:val="en-US"/>
        </w:rPr>
        <w:t xml:space="preserve">c. </w:t>
      </w:r>
      <w:r w:rsidRPr="007B6900">
        <w:rPr>
          <w:rFonts w:ascii="Verdana" w:hAnsi="Verdana"/>
          <w:i/>
          <w:color w:val="000000"/>
          <w:sz w:val="16"/>
          <w:szCs w:val="16"/>
          <w:lang w:val="en-US"/>
        </w:rPr>
        <w:t>the identities of declarants and the object of their statements. Expert witnesses must also submit their </w:t>
      </w:r>
      <w:r w:rsidRPr="007B6900">
        <w:rPr>
          <w:rFonts w:ascii="Verdana" w:hAnsi="Verdana"/>
          <w:i/>
          <w:iCs/>
          <w:color w:val="000000"/>
          <w:sz w:val="16"/>
          <w:szCs w:val="16"/>
          <w:lang w:val="en-US"/>
        </w:rPr>
        <w:t>curricula vitae </w:t>
      </w:r>
      <w:r w:rsidRPr="007B6900">
        <w:rPr>
          <w:rFonts w:ascii="Verdana" w:hAnsi="Verdana"/>
          <w:i/>
          <w:color w:val="000000"/>
          <w:sz w:val="16"/>
          <w:szCs w:val="16"/>
          <w:lang w:val="en-US"/>
        </w:rPr>
        <w:t>and contact information</w:t>
      </w:r>
      <w:r w:rsidRPr="007B6900">
        <w:rPr>
          <w:rFonts w:ascii="Verdana" w:hAnsi="Verdana" w:cs="Verdana"/>
          <w:i/>
          <w:sz w:val="16"/>
          <w:szCs w:val="16"/>
          <w:lang w:val="en-US"/>
        </w:rPr>
        <w:t>;</w:t>
      </w:r>
    </w:p>
    <w:p w14:paraId="643A7B2D" w14:textId="77777777" w:rsidR="00E6764B" w:rsidRPr="007B6900" w:rsidRDefault="00E6764B" w:rsidP="007B6900">
      <w:pPr>
        <w:pStyle w:val="Textonotapie"/>
        <w:spacing w:after="0"/>
        <w:rPr>
          <w:rFonts w:cs="Verdana"/>
          <w:i/>
        </w:rPr>
      </w:pPr>
      <w:r w:rsidRPr="007B6900">
        <w:rPr>
          <w:rFonts w:cs="Verdana"/>
          <w:i/>
        </w:rPr>
        <w:t xml:space="preserve">d. </w:t>
      </w:r>
      <w:r w:rsidRPr="007B6900">
        <w:rPr>
          <w:i/>
          <w:color w:val="000000"/>
        </w:rPr>
        <w:t>all claims, including those relating to reparations and costs.</w:t>
      </w:r>
      <w:r w:rsidRPr="007B6900">
        <w:rPr>
          <w:rFonts w:cs="Verdana"/>
          <w:i/>
        </w:rPr>
        <w:t>”</w:t>
      </w:r>
    </w:p>
    <w:p w14:paraId="32944B9C" w14:textId="77777777" w:rsidR="00E6764B" w:rsidRPr="007B6900" w:rsidRDefault="00E6764B" w:rsidP="007B6900">
      <w:pPr>
        <w:pStyle w:val="Textonotapie"/>
        <w:spacing w:after="0"/>
        <w:rPr>
          <w:i/>
        </w:rPr>
      </w:pPr>
    </w:p>
  </w:footnote>
  <w:footnote w:id="391">
    <w:p w14:paraId="7E25667A" w14:textId="77777777" w:rsidR="00E6764B" w:rsidRPr="007B6900" w:rsidRDefault="00E6764B" w:rsidP="007B6900">
      <w:pPr>
        <w:autoSpaceDE w:val="0"/>
        <w:autoSpaceDN w:val="0"/>
        <w:rPr>
          <w:rFonts w:ascii="Verdana" w:hAnsi="Verdana"/>
          <w:i/>
          <w:sz w:val="16"/>
          <w:szCs w:val="16"/>
          <w:lang w:val="en-US"/>
        </w:rPr>
      </w:pPr>
      <w:r w:rsidRPr="007B6900">
        <w:rPr>
          <w:rStyle w:val="Refdenotaalpie"/>
          <w:sz w:val="16"/>
          <w:szCs w:val="16"/>
          <w:lang w:val="en-US"/>
        </w:rPr>
        <w:footnoteRef/>
      </w:r>
      <w:r w:rsidRPr="007B6900">
        <w:rPr>
          <w:rFonts w:ascii="Verdana" w:hAnsi="Verdana"/>
          <w:sz w:val="16"/>
          <w:szCs w:val="16"/>
          <w:lang w:val="en-US"/>
        </w:rPr>
        <w:t xml:space="preserve"> </w:t>
      </w:r>
      <w:r w:rsidRPr="007B6900">
        <w:rPr>
          <w:rFonts w:ascii="Verdana" w:hAnsi="Verdana"/>
          <w:sz w:val="16"/>
          <w:szCs w:val="16"/>
          <w:lang w:val="en-US"/>
        </w:rPr>
        <w:tab/>
        <w:t xml:space="preserve">Article </w:t>
      </w:r>
      <w:r w:rsidRPr="007B6900">
        <w:rPr>
          <w:rFonts w:ascii="Verdana" w:hAnsi="Verdana"/>
          <w:bCs/>
          <w:sz w:val="16"/>
          <w:szCs w:val="16"/>
          <w:lang w:val="en-US"/>
        </w:rPr>
        <w:t>2 a) of the Vienna Convention</w:t>
      </w:r>
      <w:r w:rsidRPr="007B6900">
        <w:rPr>
          <w:rFonts w:ascii="Verdana" w:hAnsi="Verdana"/>
          <w:bCs/>
          <w:i/>
          <w:sz w:val="16"/>
          <w:szCs w:val="16"/>
          <w:lang w:val="en-US"/>
        </w:rPr>
        <w:t>: “</w:t>
      </w:r>
      <w:r w:rsidRPr="007B6900">
        <w:rPr>
          <w:rFonts w:ascii="Verdana" w:hAnsi="Verdana"/>
          <w:i/>
          <w:sz w:val="16"/>
          <w:szCs w:val="16"/>
          <w:lang w:val="en-US"/>
        </w:rPr>
        <w:t>Use of terms</w:t>
      </w:r>
      <w:r w:rsidRPr="007B6900">
        <w:rPr>
          <w:rFonts w:ascii="Verdana" w:hAnsi="Verdana"/>
          <w:bCs/>
          <w:i/>
          <w:sz w:val="16"/>
          <w:szCs w:val="16"/>
          <w:lang w:val="en-US"/>
        </w:rPr>
        <w:t xml:space="preserve">. </w:t>
      </w:r>
      <w:r w:rsidRPr="007B6900">
        <w:rPr>
          <w:rFonts w:ascii="Verdana" w:hAnsi="Verdana"/>
          <w:i/>
          <w:sz w:val="16"/>
          <w:szCs w:val="16"/>
          <w:lang w:val="en-US"/>
        </w:rPr>
        <w:t>1. For the purposes of the present Convention: “treaty” means an international agreement concluded between States in written form and governed by international law, whether embodied in a single instrument or in two or more related instruments and whatever its particular designation.”</w:t>
      </w:r>
    </w:p>
    <w:p w14:paraId="7BD9491B" w14:textId="77777777" w:rsidR="00E6764B" w:rsidRPr="007B6900" w:rsidRDefault="00E6764B" w:rsidP="007B6900">
      <w:pPr>
        <w:pStyle w:val="Prrafodelista"/>
        <w:autoSpaceDE w:val="0"/>
        <w:autoSpaceDN w:val="0"/>
        <w:rPr>
          <w:rFonts w:ascii="Verdana" w:hAnsi="Verdana"/>
          <w:i/>
          <w:sz w:val="16"/>
          <w:szCs w:val="16"/>
          <w:lang w:val="en-US"/>
        </w:rPr>
      </w:pPr>
    </w:p>
  </w:footnote>
  <w:footnote w:id="392">
    <w:p w14:paraId="59D69B80" w14:textId="77777777" w:rsidR="00E6764B" w:rsidRPr="007B6900" w:rsidRDefault="00E6764B" w:rsidP="007B6900">
      <w:pPr>
        <w:pStyle w:val="Textonotapie"/>
        <w:spacing w:after="0"/>
      </w:pPr>
      <w:r w:rsidRPr="007B6900">
        <w:rPr>
          <w:rStyle w:val="Refdenotaalpie"/>
          <w:sz w:val="16"/>
        </w:rPr>
        <w:footnoteRef/>
      </w:r>
      <w:r w:rsidRPr="007B6900">
        <w:tab/>
        <w:t>“</w:t>
      </w:r>
      <w:r w:rsidRPr="007B6900">
        <w:rPr>
          <w:i/>
        </w:rPr>
        <w:t>The question of whether a certain matter is or is not solely within the jurisdiction of a State is an essentially relative question; it depends upon the development of international relations. Thus, in the present state of international law, questions of nationality are, in the opinion of the Court, in principle within the reserved domain.</w:t>
      </w:r>
      <w:r w:rsidRPr="007B6900">
        <w:t>” Permanent Court of International Justice, Advisory Opinion on Nationality Decrees Issued in Tunis and Morocco, Series B Nº 4 Page 24.</w:t>
      </w:r>
    </w:p>
    <w:p w14:paraId="19185FBC" w14:textId="77777777" w:rsidR="00E6764B" w:rsidRPr="007B6900" w:rsidRDefault="00E6764B" w:rsidP="007B6900">
      <w:pPr>
        <w:pStyle w:val="Textonotapie"/>
        <w:spacing w:after="0"/>
      </w:pPr>
    </w:p>
  </w:footnote>
  <w:footnote w:id="393">
    <w:p w14:paraId="571D67CB" w14:textId="77777777" w:rsidR="00E6764B" w:rsidRPr="007B6900" w:rsidRDefault="00E6764B" w:rsidP="007B6900">
      <w:pPr>
        <w:pStyle w:val="Textonotapie"/>
        <w:spacing w:after="0"/>
      </w:pPr>
      <w:r w:rsidRPr="007B6900">
        <w:rPr>
          <w:rStyle w:val="Refdenotaalpie"/>
          <w:sz w:val="16"/>
        </w:rPr>
        <w:footnoteRef/>
      </w:r>
      <w:r w:rsidRPr="007B6900">
        <w:t xml:space="preserve"> </w:t>
      </w:r>
      <w:r w:rsidRPr="007B6900">
        <w:tab/>
      </w:r>
      <w:r w:rsidRPr="007B6900">
        <w:rPr>
          <w:rStyle w:val="Textoennegrita"/>
          <w:color w:val="161616"/>
          <w:shd w:val="clear" w:color="auto" w:fill="FFFFFF"/>
        </w:rPr>
        <w:t>Protocol No. 15 amending the Convention for the Protection of Human Rights and Fundamental Freedoms</w:t>
      </w:r>
      <w:r w:rsidRPr="007B6900">
        <w:t>, Article 1: “</w:t>
      </w:r>
      <w:r w:rsidRPr="007B6900">
        <w:rPr>
          <w:rFonts w:cs="Arial"/>
          <w:i/>
          <w:color w:val="161616"/>
          <w:shd w:val="clear" w:color="auto" w:fill="FFFFFF"/>
        </w:rPr>
        <w:t>At the end of the preamble to the Convention, a new recital shall be added, which shall read as follows:</w:t>
      </w:r>
      <w:r w:rsidRPr="007B6900">
        <w:rPr>
          <w:i/>
        </w:rPr>
        <w:t xml:space="preserve"> </w:t>
      </w:r>
      <w:r w:rsidRPr="007B6900">
        <w:rPr>
          <w:rFonts w:cs="Arial"/>
          <w:i/>
          <w:color w:val="161616"/>
          <w:shd w:val="clear" w:color="auto" w:fill="FFFFFF"/>
        </w:rPr>
        <w:t>“Affirming that the High Contracting Parties, in accordance with the principle of subsidiarity, have the primary responsibility to secure the rights and freedoms defined in this Convention and the Protocols thereto, and that in doing so they enjoy a margin of appreciation, subject to the supervisory jurisdiction of the European Court of Human Rights established by this Convention</w:t>
      </w:r>
      <w:r w:rsidRPr="007B6900">
        <w:rPr>
          <w:rFonts w:cs="Arial"/>
          <w:color w:val="161616"/>
          <w:shd w:val="clear" w:color="auto" w:fill="FFFFFF"/>
        </w:rPr>
        <w:t>.”</w:t>
      </w:r>
    </w:p>
    <w:p w14:paraId="1E23AEF0" w14:textId="77777777" w:rsidR="00E6764B" w:rsidRPr="007B6900" w:rsidRDefault="00E6764B" w:rsidP="007B6900">
      <w:pPr>
        <w:pStyle w:val="Textonotapie"/>
        <w:spacing w:after="0"/>
      </w:pPr>
    </w:p>
  </w:footnote>
  <w:footnote w:id="394">
    <w:p w14:paraId="59FAFF02" w14:textId="77777777" w:rsidR="00E6764B" w:rsidRPr="007B6900" w:rsidRDefault="00E6764B" w:rsidP="007B6900">
      <w:pPr>
        <w:pStyle w:val="Textonotapie"/>
        <w:spacing w:after="0"/>
      </w:pPr>
      <w:r w:rsidRPr="007B6900">
        <w:rPr>
          <w:rStyle w:val="Refdenotaalpie"/>
          <w:sz w:val="16"/>
        </w:rPr>
        <w:footnoteRef/>
      </w:r>
      <w:r w:rsidRPr="007B6900">
        <w:t xml:space="preserve"> </w:t>
      </w:r>
      <w:r w:rsidRPr="007B6900">
        <w:tab/>
        <w:t>Footnote 17.</w:t>
      </w:r>
    </w:p>
    <w:p w14:paraId="0D15D70E" w14:textId="77777777" w:rsidR="00E6764B" w:rsidRPr="007B6900" w:rsidRDefault="00E6764B" w:rsidP="007B6900">
      <w:pPr>
        <w:pStyle w:val="Textonotapie"/>
        <w:spacing w:after="0"/>
      </w:pPr>
    </w:p>
  </w:footnote>
  <w:footnote w:id="395">
    <w:p w14:paraId="19E7FA12" w14:textId="77777777" w:rsidR="00E6764B" w:rsidRPr="007B6900" w:rsidRDefault="00E6764B" w:rsidP="007B6900">
      <w:pPr>
        <w:rPr>
          <w:rFonts w:ascii="Verdana" w:hAnsi="Verdana"/>
          <w:sz w:val="16"/>
          <w:szCs w:val="16"/>
          <w:lang w:val="en-US"/>
        </w:rPr>
      </w:pPr>
      <w:r w:rsidRPr="007B6900">
        <w:rPr>
          <w:rStyle w:val="Refdenotaalpie"/>
          <w:sz w:val="16"/>
          <w:szCs w:val="16"/>
          <w:lang w:val="en-US"/>
        </w:rPr>
        <w:footnoteRef/>
      </w:r>
      <w:r w:rsidRPr="007B6900">
        <w:rPr>
          <w:rFonts w:ascii="Verdana" w:hAnsi="Verdana"/>
          <w:sz w:val="16"/>
          <w:szCs w:val="16"/>
          <w:lang w:val="en-US"/>
        </w:rPr>
        <w:t xml:space="preserve"> </w:t>
      </w:r>
      <w:r w:rsidRPr="007B6900">
        <w:rPr>
          <w:rFonts w:ascii="Verdana" w:hAnsi="Verdana"/>
          <w:sz w:val="16"/>
          <w:szCs w:val="16"/>
          <w:lang w:val="en-US"/>
        </w:rPr>
        <w:tab/>
        <w:t xml:space="preserve">Article 41: </w:t>
      </w:r>
      <w:r w:rsidRPr="007B6900">
        <w:rPr>
          <w:rFonts w:ascii="Verdana" w:hAnsi="Verdana"/>
          <w:i/>
          <w:sz w:val="16"/>
          <w:szCs w:val="16"/>
          <w:lang w:val="en-US"/>
        </w:rPr>
        <w:t>“</w:t>
      </w:r>
      <w:r w:rsidRPr="007B6900">
        <w:rPr>
          <w:rFonts w:ascii="Verdana" w:hAnsi="Verdana"/>
          <w:i/>
          <w:color w:val="000000"/>
          <w:sz w:val="16"/>
          <w:szCs w:val="16"/>
          <w:lang w:val="en-US"/>
        </w:rPr>
        <w:t>The main function of the Commission shall be to promote respect for and defense of human rights. In the exercise of its mandate, it shall have the following functions and powers</w:t>
      </w:r>
      <w:r w:rsidRPr="007B6900">
        <w:rPr>
          <w:rFonts w:ascii="Verdana" w:hAnsi="Verdana"/>
          <w:i/>
          <w:sz w:val="16"/>
          <w:szCs w:val="16"/>
          <w:lang w:val="en-US"/>
        </w:rPr>
        <w:t>:</w:t>
      </w:r>
    </w:p>
    <w:p w14:paraId="7371510A" w14:textId="77777777" w:rsidR="00E6764B" w:rsidRPr="006879CC" w:rsidRDefault="00E6764B" w:rsidP="00E6764B">
      <w:pPr>
        <w:rPr>
          <w:rFonts w:ascii="Verdana" w:hAnsi="Verdana"/>
          <w:sz w:val="16"/>
          <w:szCs w:val="16"/>
          <w:lang w:val="en-US"/>
        </w:rPr>
      </w:pPr>
      <w:r w:rsidRPr="006879CC">
        <w:rPr>
          <w:rFonts w:ascii="Verdana" w:hAnsi="Verdana"/>
          <w:i/>
          <w:sz w:val="16"/>
          <w:szCs w:val="16"/>
          <w:lang w:val="en-US"/>
        </w:rPr>
        <w:t xml:space="preserve"> a</w:t>
      </w:r>
      <w:r w:rsidRPr="006879CC">
        <w:rPr>
          <w:rFonts w:ascii="Verdana" w:hAnsi="Verdana"/>
          <w:sz w:val="16"/>
          <w:szCs w:val="16"/>
          <w:lang w:val="en-US"/>
        </w:rPr>
        <w:t xml:space="preserve">) </w:t>
      </w:r>
      <w:r w:rsidRPr="006879CC">
        <w:rPr>
          <w:rFonts w:ascii="Verdana" w:hAnsi="Verdana"/>
          <w:i/>
          <w:color w:val="000000"/>
          <w:sz w:val="16"/>
          <w:szCs w:val="16"/>
          <w:lang w:val="en-US"/>
        </w:rPr>
        <w:t>to develop an awareness of human rights among the peoples of America</w:t>
      </w:r>
      <w:r w:rsidRPr="006879CC">
        <w:rPr>
          <w:rFonts w:ascii="Verdana" w:hAnsi="Verdana"/>
          <w:i/>
          <w:sz w:val="16"/>
          <w:szCs w:val="16"/>
          <w:lang w:val="en-US"/>
        </w:rPr>
        <w:t>;</w:t>
      </w:r>
    </w:p>
    <w:p w14:paraId="5D3ED7EE" w14:textId="028C1BCF" w:rsidR="00E6764B" w:rsidRDefault="00E6764B" w:rsidP="00E6764B">
      <w:pPr>
        <w:rPr>
          <w:rFonts w:ascii="Verdana" w:hAnsi="Verdana"/>
          <w:i/>
          <w:sz w:val="16"/>
          <w:szCs w:val="16"/>
          <w:lang w:val="en-US"/>
        </w:rPr>
      </w:pPr>
      <w:r w:rsidRPr="006879CC">
        <w:rPr>
          <w:rFonts w:ascii="Verdana" w:hAnsi="Verdana"/>
          <w:i/>
          <w:sz w:val="16"/>
          <w:szCs w:val="16"/>
          <w:lang w:val="en-US"/>
        </w:rPr>
        <w:t xml:space="preserve"> b) </w:t>
      </w:r>
      <w:r w:rsidRPr="006879CC">
        <w:rPr>
          <w:rFonts w:ascii="Verdana" w:hAnsi="Verdana"/>
          <w:i/>
          <w:color w:val="000000"/>
          <w:sz w:val="16"/>
          <w:szCs w:val="16"/>
          <w:lang w:val="en-US"/>
        </w:rPr>
        <w:t>to make recommendations to the governments of the member states, when it considers such action advisable, for the adoption of progressive measures in favor of human rights within the framework of their domestic law and constitutional provisions as well as appropriate measures to further the observance of those rights</w:t>
      </w:r>
      <w:r w:rsidRPr="006879CC">
        <w:rPr>
          <w:rFonts w:ascii="Verdana" w:hAnsi="Verdana"/>
          <w:i/>
          <w:sz w:val="16"/>
          <w:szCs w:val="16"/>
          <w:lang w:val="en-US"/>
        </w:rPr>
        <w:t>;</w:t>
      </w:r>
    </w:p>
    <w:p w14:paraId="54137910" w14:textId="77777777" w:rsidR="007B6900" w:rsidRPr="006879CC" w:rsidRDefault="007B6900" w:rsidP="00E6764B">
      <w:pPr>
        <w:rPr>
          <w:rFonts w:ascii="Verdana" w:hAnsi="Verdana"/>
          <w:i/>
          <w:sz w:val="16"/>
          <w:szCs w:val="16"/>
          <w:lang w:val="en-US"/>
        </w:rPr>
      </w:pPr>
    </w:p>
    <w:p w14:paraId="4EEEA37F"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c) </w:t>
      </w:r>
      <w:r w:rsidRPr="006879CC">
        <w:rPr>
          <w:rFonts w:ascii="Verdana" w:hAnsi="Verdana"/>
          <w:i/>
          <w:color w:val="000000"/>
          <w:sz w:val="16"/>
          <w:szCs w:val="16"/>
          <w:lang w:val="en-US"/>
        </w:rPr>
        <w:t>to prepare such studies or reports as it considers advisable in the performance of its duties</w:t>
      </w:r>
      <w:r w:rsidRPr="006879CC">
        <w:rPr>
          <w:rFonts w:ascii="Verdana" w:hAnsi="Verdana"/>
          <w:i/>
          <w:sz w:val="16"/>
          <w:szCs w:val="16"/>
          <w:lang w:val="en-US"/>
        </w:rPr>
        <w:t>;</w:t>
      </w:r>
    </w:p>
    <w:p w14:paraId="34031767"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d) </w:t>
      </w:r>
      <w:r w:rsidRPr="006879CC">
        <w:rPr>
          <w:rFonts w:ascii="Verdana" w:hAnsi="Verdana"/>
          <w:i/>
          <w:color w:val="000000"/>
          <w:sz w:val="16"/>
          <w:szCs w:val="16"/>
          <w:lang w:val="en-US"/>
        </w:rPr>
        <w:t>to request the governments of the member states to supply it with information on the measures adopted by them in matters of human rights</w:t>
      </w:r>
      <w:r w:rsidRPr="006879CC">
        <w:rPr>
          <w:rFonts w:ascii="Verdana" w:hAnsi="Verdana"/>
          <w:i/>
          <w:sz w:val="16"/>
          <w:szCs w:val="16"/>
          <w:lang w:val="en-US"/>
        </w:rPr>
        <w:t>;</w:t>
      </w:r>
    </w:p>
    <w:p w14:paraId="75A5A334"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e) </w:t>
      </w:r>
      <w:r w:rsidRPr="006879CC">
        <w:rPr>
          <w:rFonts w:ascii="Verdana" w:hAnsi="Verdana"/>
          <w:i/>
          <w:color w:val="000000"/>
          <w:sz w:val="16"/>
          <w:szCs w:val="16"/>
          <w:lang w:val="en-US"/>
        </w:rPr>
        <w:t>to respond, through the General Secretariat of the Organization of American States, to inquiries made by the member states on matters related to human rights and, within the limits of its possibilities, to provide those states with the advisory services they request</w:t>
      </w:r>
      <w:r w:rsidRPr="006879CC">
        <w:rPr>
          <w:rFonts w:ascii="Verdana" w:hAnsi="Verdana"/>
          <w:i/>
          <w:sz w:val="16"/>
          <w:szCs w:val="16"/>
          <w:lang w:val="en-US"/>
        </w:rPr>
        <w:t>;</w:t>
      </w:r>
    </w:p>
    <w:p w14:paraId="6E730B75"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f) </w:t>
      </w:r>
      <w:r w:rsidRPr="006879CC">
        <w:rPr>
          <w:rFonts w:ascii="Verdana" w:hAnsi="Verdana"/>
          <w:i/>
          <w:color w:val="000000"/>
          <w:sz w:val="16"/>
          <w:szCs w:val="16"/>
          <w:lang w:val="en-US"/>
        </w:rPr>
        <w:t>to take action on petitions and other communications pursuant to its authority under the provisions of Articles 44 through 51 of this Convention;</w:t>
      </w:r>
      <w:r w:rsidRPr="006879CC">
        <w:rPr>
          <w:rFonts w:ascii="Verdana" w:hAnsi="Verdana"/>
          <w:i/>
          <w:sz w:val="16"/>
          <w:szCs w:val="16"/>
          <w:lang w:val="en-US"/>
        </w:rPr>
        <w:t xml:space="preserve"> and</w:t>
      </w:r>
    </w:p>
    <w:p w14:paraId="4E8B7439"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g) </w:t>
      </w:r>
      <w:r w:rsidRPr="006879CC">
        <w:rPr>
          <w:rFonts w:ascii="Verdana" w:hAnsi="Verdana"/>
          <w:i/>
          <w:color w:val="000000"/>
          <w:sz w:val="16"/>
          <w:szCs w:val="16"/>
          <w:lang w:val="en-US"/>
        </w:rPr>
        <w:t>to submit an annual report to the General Assembly of the Organization of American States</w:t>
      </w:r>
      <w:r w:rsidRPr="006879CC">
        <w:rPr>
          <w:rFonts w:ascii="Verdana" w:hAnsi="Verdana"/>
          <w:i/>
          <w:sz w:val="16"/>
          <w:szCs w:val="16"/>
          <w:lang w:val="en-US"/>
        </w:rPr>
        <w:t>.”</w:t>
      </w:r>
    </w:p>
    <w:p w14:paraId="56F69E20" w14:textId="77777777" w:rsidR="00E6764B" w:rsidRPr="006879CC" w:rsidRDefault="00E6764B" w:rsidP="007B6900">
      <w:pPr>
        <w:pStyle w:val="Textonotapie"/>
        <w:spacing w:after="0"/>
      </w:pPr>
    </w:p>
  </w:footnote>
  <w:footnote w:id="396">
    <w:p w14:paraId="4E1D0F49" w14:textId="40FF5B62"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007B6900">
        <w:rPr>
          <w:rFonts w:ascii="Verdana" w:hAnsi="Verdana"/>
          <w:sz w:val="16"/>
          <w:szCs w:val="16"/>
          <w:lang w:val="en-US"/>
        </w:rPr>
        <w:t xml:space="preserve">       </w:t>
      </w:r>
      <w:r w:rsidRPr="006879CC">
        <w:rPr>
          <w:rFonts w:ascii="Verdana" w:hAnsi="Verdana"/>
          <w:sz w:val="16"/>
          <w:szCs w:val="16"/>
          <w:lang w:val="en-US"/>
        </w:rPr>
        <w:t>Footnote 12.</w:t>
      </w:r>
    </w:p>
    <w:p w14:paraId="4BE03F4E" w14:textId="77777777" w:rsidR="00E6764B" w:rsidRPr="006879CC" w:rsidRDefault="00E6764B" w:rsidP="007B6900">
      <w:pPr>
        <w:pStyle w:val="Textonotapie"/>
        <w:spacing w:after="0"/>
      </w:pPr>
    </w:p>
  </w:footnote>
  <w:footnote w:id="397">
    <w:p w14:paraId="74E980BA"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Footnote, 19.</w:t>
      </w:r>
    </w:p>
    <w:p w14:paraId="3CFC6744" w14:textId="77777777" w:rsidR="00E6764B" w:rsidRPr="006879CC" w:rsidRDefault="00E6764B" w:rsidP="007B6900">
      <w:pPr>
        <w:pStyle w:val="Textonotapie"/>
        <w:spacing w:after="0"/>
      </w:pPr>
    </w:p>
  </w:footnote>
  <w:footnote w:id="398">
    <w:p w14:paraId="3A1273BF"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Footnote 17.</w:t>
      </w:r>
    </w:p>
    <w:p w14:paraId="70EF2A45" w14:textId="77777777" w:rsidR="00E6764B" w:rsidRPr="006879CC" w:rsidRDefault="00E6764B" w:rsidP="007B6900">
      <w:pPr>
        <w:pStyle w:val="Textonotapie"/>
        <w:spacing w:after="0"/>
      </w:pPr>
    </w:p>
  </w:footnote>
  <w:footnote w:id="399">
    <w:p w14:paraId="223588A3" w14:textId="1F6198BE" w:rsidR="00E6764B" w:rsidRDefault="00E6764B" w:rsidP="007B6900">
      <w:pPr>
        <w:rPr>
          <w:rFonts w:ascii="Verdana" w:hAnsi="Verdana"/>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r>
      <w:r w:rsidRPr="006879CC">
        <w:rPr>
          <w:rFonts w:ascii="Verdana" w:hAnsi="Verdana"/>
          <w:i/>
          <w:sz w:val="16"/>
          <w:szCs w:val="16"/>
          <w:lang w:val="en-US"/>
        </w:rPr>
        <w:t xml:space="preserve">Cf. Case of </w:t>
      </w:r>
      <w:proofErr w:type="spellStart"/>
      <w:r w:rsidRPr="006879CC">
        <w:rPr>
          <w:rFonts w:ascii="Verdana" w:hAnsi="Verdana"/>
          <w:i/>
          <w:sz w:val="16"/>
          <w:szCs w:val="16"/>
          <w:lang w:val="en-US"/>
        </w:rPr>
        <w:t>Colindres</w:t>
      </w:r>
      <w:proofErr w:type="spellEnd"/>
      <w:r w:rsidRPr="006879CC">
        <w:rPr>
          <w:rFonts w:ascii="Verdana" w:hAnsi="Verdana"/>
          <w:i/>
          <w:sz w:val="16"/>
          <w:szCs w:val="16"/>
          <w:lang w:val="en-US"/>
        </w:rPr>
        <w:t xml:space="preserve"> </w:t>
      </w:r>
      <w:proofErr w:type="spellStart"/>
      <w:r w:rsidRPr="006879CC">
        <w:rPr>
          <w:rFonts w:ascii="Verdana" w:hAnsi="Verdana"/>
          <w:i/>
          <w:sz w:val="16"/>
          <w:szCs w:val="16"/>
          <w:lang w:val="en-US"/>
        </w:rPr>
        <w:t>Schonenberg</w:t>
      </w:r>
      <w:proofErr w:type="spellEnd"/>
      <w:r w:rsidRPr="006879CC">
        <w:rPr>
          <w:rFonts w:ascii="Verdana" w:hAnsi="Verdana"/>
          <w:i/>
          <w:sz w:val="16"/>
          <w:szCs w:val="16"/>
          <w:lang w:val="en-US"/>
        </w:rPr>
        <w:t xml:space="preserve"> v. El Salvador. </w:t>
      </w:r>
      <w:r w:rsidRPr="006879CC">
        <w:rPr>
          <w:rFonts w:ascii="Verdana" w:hAnsi="Verdana"/>
          <w:sz w:val="16"/>
          <w:szCs w:val="16"/>
          <w:lang w:val="en-US"/>
        </w:rPr>
        <w:t>Judgment of February 4, 2019 (Merits, reparations and costs), para. 129.</w:t>
      </w:r>
    </w:p>
    <w:p w14:paraId="7E2D7834" w14:textId="77777777" w:rsidR="007B6900" w:rsidRPr="006879CC" w:rsidRDefault="007B6900" w:rsidP="007B6900">
      <w:pPr>
        <w:rPr>
          <w:rFonts w:ascii="Verdana" w:hAnsi="Verdana"/>
          <w:b/>
          <w:sz w:val="16"/>
          <w:szCs w:val="16"/>
          <w:lang w:val="en-US"/>
        </w:rPr>
      </w:pPr>
    </w:p>
  </w:footnote>
  <w:footnote w:id="400">
    <w:p w14:paraId="7AC79A85" w14:textId="77777777" w:rsidR="00E6764B" w:rsidRPr="006879CC" w:rsidRDefault="00E6764B" w:rsidP="007B6900">
      <w:pPr>
        <w:pStyle w:val="Textonotapie"/>
        <w:spacing w:after="0"/>
        <w:rPr>
          <w:shd w:val="clear" w:color="auto" w:fill="FFFFFF"/>
        </w:rPr>
      </w:pPr>
      <w:r w:rsidRPr="006879CC">
        <w:rPr>
          <w:rStyle w:val="Refdenotaalpie"/>
          <w:sz w:val="16"/>
        </w:rPr>
        <w:footnoteRef/>
      </w:r>
      <w:r w:rsidRPr="006879CC">
        <w:t xml:space="preserve"> </w:t>
      </w:r>
      <w:r w:rsidRPr="006879CC">
        <w:tab/>
      </w:r>
      <w:r w:rsidRPr="006879CC">
        <w:rPr>
          <w:shd w:val="clear" w:color="auto" w:fill="FFFFFF"/>
        </w:rPr>
        <w:t>Article 11(1) of the Court’s Statute:</w:t>
      </w:r>
      <w:r w:rsidRPr="006879CC">
        <w:t xml:space="preserve"> </w:t>
      </w:r>
      <w:r w:rsidRPr="006879CC">
        <w:rPr>
          <w:i/>
          <w:shd w:val="clear" w:color="auto" w:fill="FFFFFF"/>
        </w:rPr>
        <w:t>“</w:t>
      </w:r>
      <w:r w:rsidRPr="006879CC">
        <w:rPr>
          <w:i/>
        </w:rPr>
        <w:t>Upon assuming office, each judge shall take the following oath or make the following solemn declaration: "I swear" - or "I solemnly declare" - "that I shall exercise my functions as a judge honorably, independently and impartially and that I shall keep secret all deliberations</w:t>
      </w:r>
      <w:r w:rsidRPr="006879CC">
        <w:rPr>
          <w:i/>
          <w:shd w:val="clear" w:color="auto" w:fill="FFFFFF"/>
        </w:rPr>
        <w:t>.”</w:t>
      </w:r>
    </w:p>
    <w:p w14:paraId="567FE131" w14:textId="77777777" w:rsidR="00E6764B" w:rsidRPr="006879CC" w:rsidRDefault="00E6764B" w:rsidP="007B6900">
      <w:pPr>
        <w:pStyle w:val="Textonotapie"/>
        <w:spacing w:after="0"/>
        <w:rPr>
          <w:shd w:val="clear" w:color="auto" w:fill="FFFFFF"/>
        </w:rPr>
      </w:pPr>
    </w:p>
  </w:footnote>
  <w:footnote w:id="401">
    <w:p w14:paraId="02EEFED4" w14:textId="77777777" w:rsidR="00E6764B" w:rsidRPr="006879CC" w:rsidRDefault="00E6764B" w:rsidP="007B6900">
      <w:pPr>
        <w:pStyle w:val="Textonotapie"/>
        <w:spacing w:after="0"/>
        <w:rPr>
          <w:shd w:val="clear" w:color="auto" w:fill="FFFFFF"/>
        </w:rPr>
      </w:pPr>
      <w:r w:rsidRPr="006879CC">
        <w:rPr>
          <w:rStyle w:val="Refdenotaalpie"/>
          <w:sz w:val="16"/>
        </w:rPr>
        <w:footnoteRef/>
      </w:r>
      <w:r w:rsidRPr="006879CC">
        <w:t xml:space="preserve"> </w:t>
      </w:r>
      <w:r w:rsidRPr="006879CC">
        <w:tab/>
        <w:t xml:space="preserve">Article 1 of the Statute states: </w:t>
      </w:r>
      <w:r w:rsidRPr="006879CC">
        <w:rPr>
          <w:i/>
        </w:rPr>
        <w:t>“The Inter-American Court of Human Rights is an autonomous judicial institution whose purpose is the application and interpretation of the American Convention on Human Rights. The Court exercises its functions in accordance with the provisions of the aforementioned Convention and the present Statute</w:t>
      </w:r>
      <w:r w:rsidRPr="006879CC">
        <w:rPr>
          <w:shd w:val="clear" w:color="auto" w:fill="FFFFFF"/>
        </w:rPr>
        <w:t>.”</w:t>
      </w:r>
    </w:p>
    <w:p w14:paraId="25B2BF51" w14:textId="77777777" w:rsidR="00E6764B" w:rsidRPr="006879CC" w:rsidRDefault="00E6764B" w:rsidP="00E6764B">
      <w:pPr>
        <w:pStyle w:val="Textonotapie"/>
      </w:pPr>
    </w:p>
  </w:footnote>
  <w:footnote w:id="402">
    <w:p w14:paraId="55625806" w14:textId="77777777"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 xml:space="preserve">Preamble to the Convention: </w:t>
      </w:r>
      <w:r w:rsidRPr="006879CC">
        <w:rPr>
          <w:rFonts w:ascii="Verdana" w:hAnsi="Verdana"/>
          <w:i/>
          <w:sz w:val="16"/>
          <w:szCs w:val="16"/>
          <w:lang w:val="en-US"/>
        </w:rPr>
        <w:t>“Reaffirming their intention to consolidate in this hemisphere, within the framework of democratic institutions, a system of personal liberty and social justice based on respect for the essential rights of man;</w:t>
      </w:r>
    </w:p>
    <w:p w14:paraId="38D7C79B"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Recognizing that the essential rights of man are not derived from one's being a national of a certain state, but are based upon attributes of the human personality, and that they therefore justify international protection in the form of a convention reinforcing or complementing the protection provided by the domestic law of the American States;</w:t>
      </w:r>
    </w:p>
    <w:p w14:paraId="49114E97"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Considering that these principles have been set forth in the Charter of the Organization of American States, in the American Declaration of the Rights and Duties of Man, and in the Universal Declaration of Human Rights, and that they have been reaffirmed and refined in other international instruments, worldwide as well as regional in scope;</w:t>
      </w:r>
    </w:p>
    <w:p w14:paraId="3800C30F"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Reiterating that, in accordance with the Universal Declaration of Human Rights, the ideal of free men enjoying freedom from fear and want can be achieved only if conditions are created whereby everyone may enjoy his economic, social, and cultural rights, as well as his civil and political rights; and</w:t>
      </w:r>
    </w:p>
    <w:p w14:paraId="1047E5E0"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Considering that the Third Special Inter-American Conference (Buenos Aires, 1967) approved the incorporation into the Charter of the Organization itself of broader standards with respect to economic, social, and educational rights and resolved that an inter-American convention on human rights should determine the structure, competence, and procedure of the organs responsible for these matters.”</w:t>
      </w:r>
    </w:p>
    <w:p w14:paraId="314A8A88" w14:textId="77777777" w:rsidR="00E6764B" w:rsidRPr="006879CC" w:rsidRDefault="00E6764B" w:rsidP="007B6900">
      <w:pPr>
        <w:pStyle w:val="Textonotapie"/>
        <w:spacing w:after="0"/>
      </w:pPr>
    </w:p>
  </w:footnote>
  <w:footnote w:id="403">
    <w:p w14:paraId="13B15A2D"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 xml:space="preserve">Footnote 12. </w:t>
      </w:r>
    </w:p>
    <w:p w14:paraId="15DD30DD" w14:textId="77777777" w:rsidR="00E6764B" w:rsidRPr="006879CC" w:rsidRDefault="00E6764B" w:rsidP="007B6900">
      <w:pPr>
        <w:pStyle w:val="Textonotapie"/>
        <w:spacing w:after="0"/>
      </w:pPr>
    </w:p>
  </w:footnote>
  <w:footnote w:id="404">
    <w:p w14:paraId="61A850D2" w14:textId="79FA87FF"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007B6900">
        <w:rPr>
          <w:rFonts w:ascii="Verdana" w:hAnsi="Verdana"/>
          <w:sz w:val="16"/>
          <w:szCs w:val="16"/>
          <w:lang w:val="en-US"/>
        </w:rPr>
        <w:t xml:space="preserve">       </w:t>
      </w:r>
      <w:r w:rsidRPr="006879CC">
        <w:rPr>
          <w:rFonts w:ascii="Verdana" w:hAnsi="Verdana"/>
          <w:sz w:val="16"/>
          <w:szCs w:val="16"/>
          <w:lang w:val="en-US"/>
        </w:rPr>
        <w:t>Footnote 44.</w:t>
      </w:r>
    </w:p>
    <w:p w14:paraId="11316D85" w14:textId="77777777" w:rsidR="00E6764B" w:rsidRPr="006879CC" w:rsidRDefault="00E6764B" w:rsidP="007B6900">
      <w:pPr>
        <w:pStyle w:val="Textonotapie"/>
        <w:tabs>
          <w:tab w:val="left" w:pos="1105"/>
        </w:tabs>
        <w:spacing w:after="0"/>
      </w:pPr>
      <w:r w:rsidRPr="006879CC">
        <w:tab/>
      </w:r>
    </w:p>
  </w:footnote>
  <w:footnote w:id="405">
    <w:p w14:paraId="30434A01" w14:textId="22E92FFA" w:rsidR="00E6764B" w:rsidRDefault="00E6764B" w:rsidP="007B6900">
      <w:pPr>
        <w:rPr>
          <w:rFonts w:ascii="Verdana" w:hAnsi="Verdana"/>
          <w:sz w:val="16"/>
          <w:szCs w:val="16"/>
          <w:lang w:val="en-US"/>
        </w:rPr>
      </w:pPr>
      <w:r w:rsidRPr="006879CC">
        <w:rPr>
          <w:rStyle w:val="Refdenotaalpie"/>
          <w:i/>
          <w:sz w:val="16"/>
          <w:szCs w:val="16"/>
          <w:lang w:val="en-US"/>
        </w:rPr>
        <w:footnoteRef/>
      </w:r>
      <w:r w:rsidRPr="006879CC">
        <w:rPr>
          <w:rFonts w:ascii="Verdana" w:hAnsi="Verdana"/>
          <w:i/>
          <w:sz w:val="16"/>
          <w:szCs w:val="16"/>
          <w:lang w:val="en-US"/>
        </w:rPr>
        <w:t xml:space="preserve"> </w:t>
      </w:r>
      <w:r w:rsidR="007B6900">
        <w:rPr>
          <w:rFonts w:ascii="Verdana" w:hAnsi="Verdana"/>
          <w:i/>
          <w:sz w:val="16"/>
          <w:szCs w:val="16"/>
          <w:lang w:val="en-US"/>
        </w:rPr>
        <w:t xml:space="preserve">       </w:t>
      </w:r>
      <w:r w:rsidRPr="006879CC">
        <w:rPr>
          <w:rFonts w:ascii="Verdana" w:hAnsi="Verdana"/>
          <w:sz w:val="16"/>
          <w:szCs w:val="16"/>
          <w:lang w:val="en-US"/>
        </w:rPr>
        <w:t>Footnote 12.</w:t>
      </w:r>
    </w:p>
    <w:p w14:paraId="66E25426" w14:textId="77777777" w:rsidR="007B6900" w:rsidRPr="006879CC" w:rsidRDefault="007B6900" w:rsidP="007B6900">
      <w:pPr>
        <w:rPr>
          <w:rFonts w:ascii="Verdana" w:hAnsi="Verdana"/>
          <w:i/>
          <w:sz w:val="16"/>
          <w:szCs w:val="16"/>
          <w:lang w:val="en-US"/>
        </w:rPr>
      </w:pPr>
    </w:p>
  </w:footnote>
  <w:footnote w:id="406">
    <w:p w14:paraId="207AD52B" w14:textId="2523BCDD" w:rsidR="00E6764B" w:rsidRDefault="00E6764B" w:rsidP="007B6900">
      <w:pPr>
        <w:pStyle w:val="Textonotapie"/>
        <w:spacing w:after="0"/>
      </w:pPr>
      <w:r w:rsidRPr="006879CC">
        <w:rPr>
          <w:rStyle w:val="Refdenotaalpie"/>
          <w:sz w:val="16"/>
        </w:rPr>
        <w:footnoteRef/>
      </w:r>
      <w:r w:rsidRPr="006879CC">
        <w:t xml:space="preserve"> </w:t>
      </w:r>
      <w:r w:rsidRPr="006879CC">
        <w:tab/>
        <w:t>Footnote 19.</w:t>
      </w:r>
    </w:p>
    <w:p w14:paraId="6711234E" w14:textId="77777777" w:rsidR="007B6900" w:rsidRPr="006879CC" w:rsidRDefault="007B6900" w:rsidP="007B6900">
      <w:pPr>
        <w:pStyle w:val="Textonotapie"/>
        <w:spacing w:after="0"/>
      </w:pPr>
    </w:p>
  </w:footnote>
  <w:footnote w:id="407">
    <w:p w14:paraId="3E4FF233" w14:textId="77777777" w:rsidR="007B6900" w:rsidRDefault="00E6764B" w:rsidP="007B6900">
      <w:pPr>
        <w:pStyle w:val="Textonotapie"/>
        <w:spacing w:after="0"/>
        <w:rPr>
          <w:i/>
        </w:rPr>
      </w:pPr>
      <w:r w:rsidRPr="006879CC">
        <w:rPr>
          <w:rStyle w:val="Refdenotaalpie"/>
          <w:sz w:val="16"/>
        </w:rPr>
        <w:footnoteRef/>
      </w:r>
      <w:r w:rsidRPr="006879CC">
        <w:t xml:space="preserve"> </w:t>
      </w:r>
      <w:r w:rsidRPr="006879CC">
        <w:tab/>
        <w:t>“</w:t>
      </w:r>
      <w:r w:rsidRPr="006879CC">
        <w:rPr>
          <w:i/>
        </w:rPr>
        <w:t xml:space="preserve">The Court considers it necessary to say that the first duty of a tribunal which is called upon to interpret and apply the provisions of a treaty, is to endeavor to give effect to them in their natural and ordinary meaning in the context in which they occur. If the relevant words in their natural and ordinary meaning make sense in their context, and that is an end of the </w:t>
      </w:r>
      <w:r w:rsidR="007B6900">
        <w:rPr>
          <w:i/>
        </w:rPr>
        <w:t xml:space="preserve"> </w:t>
      </w:r>
    </w:p>
    <w:p w14:paraId="7AD28549" w14:textId="77777777" w:rsidR="007B6900" w:rsidRDefault="007B6900" w:rsidP="007B6900">
      <w:pPr>
        <w:pStyle w:val="Textonotapie"/>
        <w:spacing w:after="0"/>
        <w:rPr>
          <w:i/>
        </w:rPr>
      </w:pPr>
    </w:p>
    <w:p w14:paraId="23508D11" w14:textId="1C0B5BEE" w:rsidR="00E6764B" w:rsidRPr="006879CC" w:rsidRDefault="00E6764B" w:rsidP="007B6900">
      <w:pPr>
        <w:pStyle w:val="Textonotapie"/>
        <w:spacing w:after="0"/>
      </w:pPr>
      <w:r w:rsidRPr="006879CC">
        <w:rPr>
          <w:i/>
        </w:rPr>
        <w:t>matter.” International Court of Justice. “Advisory Opinion on the Competence of the General Assembly for the Admission of a State in the United Nations.</w:t>
      </w:r>
      <w:r w:rsidRPr="006879CC">
        <w:t>” 1950. p. 8.</w:t>
      </w:r>
    </w:p>
    <w:p w14:paraId="644092BA" w14:textId="77777777" w:rsidR="00E6764B" w:rsidRPr="006879CC" w:rsidRDefault="00E6764B" w:rsidP="007B6900">
      <w:pPr>
        <w:pStyle w:val="Textonotapie"/>
        <w:spacing w:after="0"/>
      </w:pPr>
    </w:p>
  </w:footnote>
  <w:footnote w:id="408">
    <w:p w14:paraId="1C49C356" w14:textId="77777777"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Article 29: “</w:t>
      </w:r>
      <w:r w:rsidRPr="006879CC">
        <w:rPr>
          <w:rFonts w:ascii="Verdana" w:hAnsi="Verdana"/>
          <w:i/>
          <w:sz w:val="16"/>
          <w:szCs w:val="16"/>
          <w:lang w:val="en-US"/>
        </w:rPr>
        <w:t>Restrictions Regarding Interpretation. No provision of this Convention shall be interpreted as:</w:t>
      </w:r>
      <w:r w:rsidRPr="006879CC">
        <w:rPr>
          <w:lang w:val="en-US"/>
        </w:rPr>
        <w:t xml:space="preserve"> </w:t>
      </w:r>
      <w:r w:rsidRPr="006879CC">
        <w:rPr>
          <w:rFonts w:ascii="Verdana" w:hAnsi="Verdana"/>
          <w:i/>
          <w:sz w:val="16"/>
          <w:szCs w:val="16"/>
          <w:lang w:val="en-US"/>
        </w:rPr>
        <w:t xml:space="preserve">a) </w:t>
      </w:r>
      <w:r w:rsidRPr="006879CC">
        <w:rPr>
          <w:rFonts w:ascii="Verdana" w:hAnsi="Verdana"/>
          <w:i/>
          <w:color w:val="000000"/>
          <w:sz w:val="16"/>
          <w:szCs w:val="16"/>
          <w:lang w:val="en-US"/>
        </w:rPr>
        <w:t>permitting any State Party, group, or person to suppress the enjoyment or exercise of the rights and freedoms recognized in this Convention or to restrict them to a greater extent than is provided for herein;</w:t>
      </w:r>
    </w:p>
    <w:p w14:paraId="54D784F2"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b) </w:t>
      </w:r>
      <w:r w:rsidRPr="006879CC">
        <w:rPr>
          <w:rFonts w:ascii="Verdana" w:hAnsi="Verdana"/>
          <w:i/>
          <w:color w:val="000000"/>
          <w:sz w:val="16"/>
          <w:szCs w:val="16"/>
          <w:lang w:val="en-US"/>
        </w:rPr>
        <w:t>restricting the enjoyment or exercise of any right or freedom recognized by virtue of the laws of any State Party or by virtue of another convention to which one of the said states is a party</w:t>
      </w:r>
      <w:r w:rsidRPr="006879CC">
        <w:rPr>
          <w:rFonts w:ascii="Verdana" w:hAnsi="Verdana"/>
          <w:i/>
          <w:sz w:val="16"/>
          <w:szCs w:val="16"/>
          <w:lang w:val="en-US"/>
        </w:rPr>
        <w:t>;</w:t>
      </w:r>
    </w:p>
    <w:p w14:paraId="6B14156C"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c) </w:t>
      </w:r>
      <w:r w:rsidRPr="006879CC">
        <w:rPr>
          <w:rFonts w:ascii="Verdana" w:hAnsi="Verdana"/>
          <w:i/>
          <w:color w:val="000000"/>
          <w:sz w:val="16"/>
          <w:szCs w:val="16"/>
          <w:lang w:val="en-US"/>
        </w:rPr>
        <w:t>precluding other rights or guarantees that are inherent in the human personality or derived from representative democracy as a form of government; or</w:t>
      </w:r>
      <w:r w:rsidRPr="006879CC">
        <w:rPr>
          <w:rFonts w:ascii="Verdana" w:hAnsi="Verdana"/>
          <w:i/>
          <w:sz w:val="16"/>
          <w:szCs w:val="16"/>
          <w:lang w:val="en-US"/>
        </w:rPr>
        <w:t xml:space="preserve"> </w:t>
      </w:r>
    </w:p>
    <w:p w14:paraId="7C86C472"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 d) </w:t>
      </w:r>
      <w:r w:rsidRPr="006879CC">
        <w:rPr>
          <w:rFonts w:ascii="Verdana" w:hAnsi="Verdana"/>
          <w:i/>
          <w:color w:val="000000"/>
          <w:sz w:val="16"/>
          <w:szCs w:val="16"/>
          <w:lang w:val="en-US"/>
        </w:rPr>
        <w:t>excluding or limiting the effect that the American Declaration of the Rights and Duties of Man and other international acts of the same nature may have</w:t>
      </w:r>
      <w:r w:rsidRPr="006879CC">
        <w:rPr>
          <w:rFonts w:ascii="Verdana" w:hAnsi="Verdana"/>
          <w:i/>
          <w:sz w:val="16"/>
          <w:szCs w:val="16"/>
          <w:lang w:val="en-US"/>
        </w:rPr>
        <w:t>.</w:t>
      </w:r>
    </w:p>
    <w:p w14:paraId="592B3F20" w14:textId="77777777" w:rsidR="00E6764B" w:rsidRPr="006879CC" w:rsidRDefault="00E6764B" w:rsidP="007B6900">
      <w:pPr>
        <w:pStyle w:val="Textonotapie"/>
        <w:spacing w:after="0"/>
        <w:rPr>
          <w:i/>
        </w:rPr>
      </w:pPr>
    </w:p>
  </w:footnote>
  <w:footnote w:id="409">
    <w:p w14:paraId="6B219640"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 xml:space="preserve">Paragraph 36 of the Judgment. </w:t>
      </w:r>
    </w:p>
    <w:p w14:paraId="028DF71C" w14:textId="77777777" w:rsidR="00E6764B" w:rsidRPr="006879CC" w:rsidRDefault="00E6764B" w:rsidP="007B6900">
      <w:pPr>
        <w:pStyle w:val="Textonotapie"/>
        <w:spacing w:after="0"/>
      </w:pPr>
    </w:p>
  </w:footnote>
  <w:footnote w:id="410">
    <w:p w14:paraId="1B4DA958"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Hereinafter, whenever reference is made to “</w:t>
      </w:r>
      <w:r w:rsidRPr="006879CC">
        <w:rPr>
          <w:i/>
        </w:rPr>
        <w:t>para.</w:t>
      </w:r>
      <w:r w:rsidRPr="006879CC">
        <w:t>” or “</w:t>
      </w:r>
      <w:r w:rsidRPr="006879CC">
        <w:rPr>
          <w:i/>
        </w:rPr>
        <w:t>paras.</w:t>
      </w:r>
      <w:r w:rsidRPr="006879CC">
        <w:t>” it shall be understood to mean the relevant paragraph or paragraphs, of the Judgment.</w:t>
      </w:r>
    </w:p>
    <w:p w14:paraId="0D6642FB" w14:textId="77777777" w:rsidR="00E6764B" w:rsidRPr="006879CC" w:rsidRDefault="00E6764B" w:rsidP="007B6900">
      <w:pPr>
        <w:pStyle w:val="Textonotapie"/>
        <w:spacing w:after="0"/>
      </w:pPr>
    </w:p>
  </w:footnote>
  <w:footnote w:id="411">
    <w:p w14:paraId="27244F88" w14:textId="77777777"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Article 31.</w:t>
      </w:r>
      <w:r w:rsidRPr="006879CC">
        <w:rPr>
          <w:rFonts w:ascii="Verdana" w:hAnsi="Verdana"/>
          <w:i/>
          <w:sz w:val="16"/>
          <w:szCs w:val="16"/>
          <w:lang w:val="en-US"/>
        </w:rPr>
        <w:t xml:space="preserve"> “General rule of interpretation. I. A treaty shall be interpreted in good faith in accordance with the ordinary meaning to be given to the terms of the treaty in their context and in the light of its object and purpose. </w:t>
      </w:r>
    </w:p>
    <w:p w14:paraId="370BDEA9"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2. The context for the purpose of the interpretation of a treaty shall comprise, in addition to the text, including its preamble and annexes: </w:t>
      </w:r>
    </w:p>
    <w:p w14:paraId="5D69D375"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a) any agreement relating to the treaty which was made between all the parties in connection with the conclusion of the treaty: </w:t>
      </w:r>
    </w:p>
    <w:p w14:paraId="3FE21615"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b) any instrument which was made by one or more parties in connection with the conclusion of the treaty and accepted by the other parties as an instrument related to the treaty; </w:t>
      </w:r>
    </w:p>
    <w:p w14:paraId="5F75F0A7"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3. There shall be taken into account, together with the context: </w:t>
      </w:r>
    </w:p>
    <w:p w14:paraId="4A9E2C61"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a) any subsequent agreement between the parties regarding the interpretation of the treaty or the application of its provisions: </w:t>
      </w:r>
    </w:p>
    <w:p w14:paraId="31196CCA"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b) any subsequent practice in the application of the treaty which establishes the agreement of the parties regarding its interpretation: </w:t>
      </w:r>
    </w:p>
    <w:p w14:paraId="376F5C46"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c) any relevant rules of international law applicable in the relations between the parties. </w:t>
      </w:r>
    </w:p>
    <w:p w14:paraId="4633A991"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4.  A special meaning shall be given to a term if it is established that the parties so intended.</w:t>
      </w:r>
    </w:p>
    <w:p w14:paraId="46FD0C19" w14:textId="77777777" w:rsidR="00E6764B" w:rsidRPr="006879CC" w:rsidRDefault="00E6764B" w:rsidP="007B6900">
      <w:pPr>
        <w:rPr>
          <w:rFonts w:ascii="Verdana" w:hAnsi="Verdana"/>
          <w:i/>
          <w:sz w:val="16"/>
          <w:szCs w:val="16"/>
          <w:lang w:val="en-US"/>
        </w:rPr>
      </w:pPr>
      <w:r w:rsidRPr="006879CC">
        <w:rPr>
          <w:rFonts w:ascii="Verdana" w:hAnsi="Verdana"/>
          <w:bCs/>
          <w:i/>
          <w:sz w:val="16"/>
          <w:szCs w:val="16"/>
          <w:lang w:val="en-US"/>
        </w:rPr>
        <w:t>Article 32. “</w:t>
      </w:r>
      <w:r w:rsidRPr="006879CC">
        <w:rPr>
          <w:rFonts w:ascii="Verdana" w:hAnsi="Verdana"/>
          <w:i/>
          <w:sz w:val="16"/>
          <w:szCs w:val="16"/>
          <w:lang w:val="en-US"/>
        </w:rPr>
        <w:t>Supplementary means of interpretation</w:t>
      </w:r>
      <w:r w:rsidRPr="006879CC">
        <w:rPr>
          <w:rFonts w:ascii="Verdana" w:hAnsi="Verdana"/>
          <w:bCs/>
          <w:i/>
          <w:sz w:val="16"/>
          <w:szCs w:val="16"/>
          <w:lang w:val="en-US"/>
        </w:rPr>
        <w:t xml:space="preserve">. </w:t>
      </w:r>
      <w:r w:rsidRPr="006879CC">
        <w:rPr>
          <w:rFonts w:ascii="Verdana" w:hAnsi="Verdana"/>
          <w:i/>
          <w:sz w:val="16"/>
          <w:szCs w:val="16"/>
          <w:lang w:val="en-US"/>
        </w:rPr>
        <w:t>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w:t>
      </w:r>
    </w:p>
    <w:p w14:paraId="74C5EE8D" w14:textId="77777777" w:rsidR="00E6764B" w:rsidRPr="006879CC" w:rsidRDefault="00E6764B" w:rsidP="007B6900">
      <w:pPr>
        <w:autoSpaceDE w:val="0"/>
        <w:autoSpaceDN w:val="0"/>
        <w:rPr>
          <w:rFonts w:ascii="Verdana" w:hAnsi="Verdana"/>
          <w:i/>
          <w:sz w:val="16"/>
          <w:szCs w:val="16"/>
          <w:lang w:val="en-US"/>
        </w:rPr>
      </w:pPr>
      <w:r w:rsidRPr="006879CC">
        <w:rPr>
          <w:rFonts w:ascii="Verdana" w:hAnsi="Verdana"/>
          <w:i/>
          <w:sz w:val="16"/>
          <w:szCs w:val="16"/>
          <w:lang w:val="en-US"/>
        </w:rPr>
        <w:t xml:space="preserve">a) leaves the meaning ambiguous or obscure; or </w:t>
      </w:r>
    </w:p>
    <w:p w14:paraId="685D7E66"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b) leads to a result which is manifestly absurd or unreasonable.”</w:t>
      </w:r>
    </w:p>
    <w:p w14:paraId="65C6ED8A" w14:textId="77777777" w:rsidR="00E6764B" w:rsidRPr="006879CC" w:rsidRDefault="00E6764B" w:rsidP="00E6764B">
      <w:pPr>
        <w:rPr>
          <w:rFonts w:ascii="Verdana" w:hAnsi="Verdana"/>
          <w:i/>
          <w:sz w:val="16"/>
          <w:szCs w:val="16"/>
          <w:lang w:val="en-US"/>
        </w:rPr>
      </w:pPr>
    </w:p>
  </w:footnote>
  <w:footnote w:id="412">
    <w:p w14:paraId="1B93A2D9"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Footnote 53.</w:t>
      </w:r>
    </w:p>
    <w:p w14:paraId="09DB1EE6" w14:textId="77777777" w:rsidR="00E6764B" w:rsidRPr="006879CC" w:rsidRDefault="00E6764B" w:rsidP="007B6900">
      <w:pPr>
        <w:pStyle w:val="Textonotapie"/>
        <w:spacing w:after="0"/>
        <w:rPr>
          <w:i/>
        </w:rPr>
      </w:pPr>
    </w:p>
  </w:footnote>
  <w:footnote w:id="413">
    <w:p w14:paraId="363D1CA5" w14:textId="5BE48C0A" w:rsidR="00E6764B" w:rsidRDefault="00E6764B" w:rsidP="007B6900">
      <w:pPr>
        <w:rPr>
          <w:rFonts w:ascii="Verdana" w:hAnsi="Verdana" w:cs="Arial"/>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Paragraph 1. “</w:t>
      </w:r>
      <w:r w:rsidRPr="006879CC">
        <w:rPr>
          <w:rFonts w:ascii="Verdana" w:hAnsi="Verdana"/>
          <w:i/>
          <w:sz w:val="16"/>
          <w:szCs w:val="16"/>
          <w:lang w:val="en-US"/>
        </w:rPr>
        <w:t xml:space="preserve">According to the Commission, the case concerns </w:t>
      </w:r>
      <w:r w:rsidRPr="006879CC">
        <w:rPr>
          <w:rFonts w:ascii="Verdana" w:hAnsi="Verdana" w:cs="Arial"/>
          <w:i/>
          <w:sz w:val="16"/>
          <w:szCs w:val="16"/>
          <w:lang w:val="en-US"/>
        </w:rPr>
        <w:t xml:space="preserve">the alleged violation of the right to effective judicial protection as a consequence of the State’s non-compliance, during </w:t>
      </w:r>
      <w:r w:rsidRPr="006879CC">
        <w:rPr>
          <w:rFonts w:ascii="Verdana" w:hAnsi="Verdana"/>
          <w:i/>
          <w:sz w:val="16"/>
          <w:szCs w:val="16"/>
          <w:lang w:val="en-US"/>
        </w:rPr>
        <w:t xml:space="preserve">24 </w:t>
      </w:r>
      <w:r w:rsidRPr="006879CC">
        <w:rPr>
          <w:rFonts w:ascii="Verdana" w:hAnsi="Verdana" w:cs="Arial"/>
          <w:i/>
          <w:sz w:val="16"/>
          <w:szCs w:val="16"/>
          <w:lang w:val="en-US"/>
        </w:rPr>
        <w:t xml:space="preserve">years, with a judgment issued in favor of Mr. </w:t>
      </w:r>
      <w:proofErr w:type="spellStart"/>
      <w:r w:rsidRPr="006879CC">
        <w:rPr>
          <w:rFonts w:ascii="Verdana" w:hAnsi="Verdana" w:cs="Arial"/>
          <w:i/>
          <w:sz w:val="16"/>
          <w:szCs w:val="16"/>
          <w:lang w:val="en-US"/>
        </w:rPr>
        <w:t>Muelle</w:t>
      </w:r>
      <w:proofErr w:type="spellEnd"/>
      <w:r w:rsidRPr="006879CC">
        <w:rPr>
          <w:rFonts w:ascii="Verdana" w:hAnsi="Verdana" w:cs="Arial"/>
          <w:i/>
          <w:sz w:val="16"/>
          <w:szCs w:val="16"/>
          <w:lang w:val="en-US"/>
        </w:rPr>
        <w:t xml:space="preserve"> Flores, in the context of an application for amparo, which ordered his reinstatement in a pension scheme implemented under Decree Law </w:t>
      </w:r>
      <w:r w:rsidRPr="006879CC">
        <w:rPr>
          <w:rFonts w:ascii="Verdana" w:hAnsi="Verdana"/>
          <w:i/>
          <w:sz w:val="16"/>
          <w:szCs w:val="16"/>
          <w:lang w:val="en-US"/>
        </w:rPr>
        <w:t xml:space="preserve">N° 20530. </w:t>
      </w:r>
      <w:r w:rsidRPr="006879CC">
        <w:rPr>
          <w:rFonts w:ascii="Verdana" w:hAnsi="Verdana" w:cs="Arial"/>
          <w:i/>
          <w:sz w:val="16"/>
          <w:szCs w:val="16"/>
          <w:lang w:val="en-US"/>
        </w:rPr>
        <w:t xml:space="preserve">The Commission determined that the State of Peru was internationally responsible, first of all, because its own authorities failed to execute a judicial ruling favorable to Mr. </w:t>
      </w:r>
      <w:proofErr w:type="spellStart"/>
      <w:r w:rsidRPr="006879CC">
        <w:rPr>
          <w:rFonts w:ascii="Verdana" w:hAnsi="Verdana" w:cs="Arial"/>
          <w:i/>
          <w:sz w:val="16"/>
          <w:szCs w:val="16"/>
          <w:lang w:val="en-US"/>
        </w:rPr>
        <w:t>Muelle</w:t>
      </w:r>
      <w:proofErr w:type="spellEnd"/>
      <w:r w:rsidRPr="006879CC">
        <w:rPr>
          <w:rFonts w:ascii="Verdana" w:hAnsi="Verdana" w:cs="Arial"/>
          <w:i/>
          <w:sz w:val="16"/>
          <w:szCs w:val="16"/>
          <w:lang w:val="en-US"/>
        </w:rPr>
        <w:t xml:space="preserve"> and, secondly, owing to the ineffectiveness of the judicial mechanisms subsequently activated to achieve that compliance. The Commission also declared that the facts of the instant case constituted a violation of the guarantee of reasonable time and the right to property, given that the equalized pension to which Mr. </w:t>
      </w:r>
      <w:proofErr w:type="spellStart"/>
      <w:r w:rsidRPr="006879CC">
        <w:rPr>
          <w:rFonts w:ascii="Verdana" w:hAnsi="Verdana" w:cs="Arial"/>
          <w:i/>
          <w:sz w:val="16"/>
          <w:szCs w:val="16"/>
          <w:lang w:val="en-US"/>
        </w:rPr>
        <w:t>Muelle</w:t>
      </w:r>
      <w:proofErr w:type="spellEnd"/>
      <w:r w:rsidRPr="006879CC">
        <w:rPr>
          <w:rFonts w:ascii="Verdana" w:hAnsi="Verdana" w:cs="Arial"/>
          <w:i/>
          <w:sz w:val="16"/>
          <w:szCs w:val="16"/>
          <w:lang w:val="en-US"/>
        </w:rPr>
        <w:t xml:space="preserve"> Flores was entitled under the said Decree became part of his property, in accordance with the favorable judicial decision, and yet he was unable to enjoy that right.</w:t>
      </w:r>
      <w:r w:rsidRPr="006879CC">
        <w:rPr>
          <w:rFonts w:ascii="Verdana" w:hAnsi="Verdana" w:cs="Arial"/>
          <w:sz w:val="16"/>
          <w:szCs w:val="16"/>
          <w:lang w:val="en-US"/>
        </w:rPr>
        <w:t>”</w:t>
      </w:r>
    </w:p>
    <w:p w14:paraId="69DD5158" w14:textId="77777777" w:rsidR="007B6900" w:rsidRPr="006879CC" w:rsidRDefault="007B6900" w:rsidP="007B6900">
      <w:pPr>
        <w:rPr>
          <w:rFonts w:ascii="Verdana" w:hAnsi="Verdana"/>
          <w:sz w:val="16"/>
          <w:szCs w:val="16"/>
          <w:lang w:val="en-US"/>
        </w:rPr>
      </w:pPr>
    </w:p>
  </w:footnote>
  <w:footnote w:id="414">
    <w:p w14:paraId="6180BD88"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Para.7.</w:t>
      </w:r>
    </w:p>
    <w:p w14:paraId="22F3F136" w14:textId="77777777" w:rsidR="00E6764B" w:rsidRPr="006879CC" w:rsidRDefault="00E6764B" w:rsidP="00E6764B">
      <w:pPr>
        <w:pStyle w:val="Textonotapie"/>
      </w:pPr>
    </w:p>
  </w:footnote>
  <w:footnote w:id="415">
    <w:p w14:paraId="03796030" w14:textId="77777777" w:rsidR="00E6764B" w:rsidRPr="006879CC"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Pr="006879CC">
        <w:rPr>
          <w:rFonts w:ascii="Verdana" w:hAnsi="Verdana"/>
          <w:sz w:val="16"/>
          <w:szCs w:val="16"/>
          <w:lang w:val="en-US"/>
        </w:rPr>
        <w:tab/>
        <w:t>Article 21:”</w:t>
      </w:r>
      <w:r w:rsidRPr="006879CC">
        <w:rPr>
          <w:rFonts w:ascii="Verdana" w:hAnsi="Verdana"/>
          <w:i/>
          <w:sz w:val="16"/>
          <w:szCs w:val="16"/>
          <w:lang w:val="en-US"/>
        </w:rPr>
        <w:t xml:space="preserve"> Right to private property.1. </w:t>
      </w:r>
      <w:r w:rsidRPr="006879CC">
        <w:rPr>
          <w:rFonts w:ascii="Verdana" w:hAnsi="Verdana"/>
          <w:i/>
          <w:color w:val="000000"/>
          <w:sz w:val="16"/>
          <w:szCs w:val="16"/>
          <w:lang w:val="en-US"/>
        </w:rPr>
        <w:t>Everyone has the right to the use and enjoyment of his property. The law may subordinate such use and enjoyment to the interest of society.</w:t>
      </w:r>
      <w:r w:rsidRPr="006879CC">
        <w:rPr>
          <w:rFonts w:ascii="Verdana" w:hAnsi="Verdana"/>
          <w:i/>
          <w:sz w:val="16"/>
          <w:szCs w:val="16"/>
          <w:lang w:val="en-US"/>
        </w:rPr>
        <w:t xml:space="preserve"> </w:t>
      </w:r>
    </w:p>
    <w:p w14:paraId="626BD46C"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2. </w:t>
      </w:r>
      <w:r w:rsidRPr="006879CC">
        <w:rPr>
          <w:rFonts w:ascii="Verdana" w:hAnsi="Verdana"/>
          <w:i/>
          <w:color w:val="000000"/>
          <w:sz w:val="16"/>
          <w:szCs w:val="16"/>
          <w:lang w:val="en-US"/>
        </w:rPr>
        <w:t>No one shall be deprived of his property except upon payment of just compensation, for reasons of public utility or social interest, and in the cases and according to the forms established by law</w:t>
      </w:r>
      <w:r w:rsidRPr="006879CC">
        <w:rPr>
          <w:rFonts w:ascii="Verdana" w:hAnsi="Verdana"/>
          <w:i/>
          <w:sz w:val="16"/>
          <w:szCs w:val="16"/>
          <w:lang w:val="en-US"/>
        </w:rPr>
        <w:t>.</w:t>
      </w:r>
    </w:p>
    <w:p w14:paraId="5DC11BE8" w14:textId="77777777" w:rsidR="00E6764B" w:rsidRPr="006879CC" w:rsidRDefault="00E6764B" w:rsidP="007B6900">
      <w:pPr>
        <w:rPr>
          <w:rFonts w:ascii="Verdana" w:hAnsi="Verdana"/>
          <w:i/>
          <w:sz w:val="16"/>
          <w:szCs w:val="16"/>
          <w:lang w:val="en-US"/>
        </w:rPr>
      </w:pPr>
      <w:r w:rsidRPr="006879CC">
        <w:rPr>
          <w:rFonts w:ascii="Verdana" w:hAnsi="Verdana"/>
          <w:i/>
          <w:sz w:val="16"/>
          <w:szCs w:val="16"/>
          <w:lang w:val="en-US"/>
        </w:rPr>
        <w:t xml:space="preserve">3. </w:t>
      </w:r>
      <w:r w:rsidRPr="006879CC">
        <w:rPr>
          <w:rFonts w:ascii="Verdana" w:hAnsi="Verdana"/>
          <w:i/>
          <w:color w:val="000000"/>
          <w:sz w:val="16"/>
          <w:szCs w:val="16"/>
          <w:lang w:val="en-US"/>
        </w:rPr>
        <w:t>Usury and any other form of exploitation of man by man shall be prohibited by law</w:t>
      </w:r>
      <w:r w:rsidRPr="006879CC">
        <w:rPr>
          <w:rFonts w:ascii="Verdana" w:hAnsi="Verdana"/>
          <w:i/>
          <w:sz w:val="16"/>
          <w:szCs w:val="16"/>
          <w:lang w:val="en-US"/>
        </w:rPr>
        <w:t>.”</w:t>
      </w:r>
    </w:p>
    <w:p w14:paraId="545889F7" w14:textId="77777777" w:rsidR="00E6764B" w:rsidRPr="006879CC" w:rsidRDefault="00E6764B" w:rsidP="007B6900">
      <w:pPr>
        <w:pStyle w:val="Textonotapie"/>
        <w:spacing w:after="0"/>
      </w:pPr>
    </w:p>
  </w:footnote>
  <w:footnote w:id="416">
    <w:p w14:paraId="63B1BE24"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Footnote 6.</w:t>
      </w:r>
    </w:p>
    <w:p w14:paraId="34D85D1F" w14:textId="77777777" w:rsidR="00E6764B" w:rsidRPr="006879CC" w:rsidRDefault="00E6764B" w:rsidP="007B6900">
      <w:pPr>
        <w:pStyle w:val="Textonotapie"/>
        <w:spacing w:after="0"/>
      </w:pPr>
    </w:p>
  </w:footnote>
  <w:footnote w:id="417">
    <w:p w14:paraId="6B793345"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w:t>
      </w:r>
      <w:r w:rsidRPr="006879CC">
        <w:rPr>
          <w:i/>
        </w:rPr>
        <w:t xml:space="preserve">Derive: Obtain something from a source. Originate from something. </w:t>
      </w:r>
      <w:proofErr w:type="spellStart"/>
      <w:r w:rsidRPr="006879CC">
        <w:t>Diccionario</w:t>
      </w:r>
      <w:proofErr w:type="spellEnd"/>
      <w:r w:rsidRPr="006879CC">
        <w:t xml:space="preserve"> de la </w:t>
      </w:r>
      <w:proofErr w:type="spellStart"/>
      <w:r w:rsidRPr="006879CC">
        <w:t>Lengua</w:t>
      </w:r>
      <w:proofErr w:type="spellEnd"/>
      <w:r w:rsidRPr="006879CC">
        <w:t xml:space="preserve"> Española, Real Academia Española, 2018</w:t>
      </w:r>
    </w:p>
    <w:p w14:paraId="23B0C312" w14:textId="77777777" w:rsidR="00E6764B" w:rsidRPr="006879CC" w:rsidRDefault="00E6764B" w:rsidP="007B6900">
      <w:pPr>
        <w:pStyle w:val="Textonotapie"/>
        <w:spacing w:after="0"/>
      </w:pPr>
    </w:p>
  </w:footnote>
  <w:footnote w:id="418">
    <w:p w14:paraId="4F385DAF"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w:t>
      </w:r>
      <w:r w:rsidRPr="006879CC">
        <w:rPr>
          <w:i/>
        </w:rPr>
        <w:t>Infer: To deduce</w:t>
      </w:r>
      <w:r w:rsidRPr="006879CC">
        <w:rPr>
          <w:rFonts w:eastAsia="Arial Unicode MS" w:cs="Arial Unicode MS"/>
          <w:i/>
          <w:spacing w:val="4"/>
          <w:shd w:val="clear" w:color="auto" w:fill="FFFFFF"/>
        </w:rPr>
        <w:t xml:space="preserve"> something or reach a </w:t>
      </w:r>
      <w:r w:rsidRPr="006879CC">
        <w:rPr>
          <w:i/>
        </w:rPr>
        <w:t>conclusion</w:t>
      </w:r>
      <w:r w:rsidRPr="006879CC">
        <w:t xml:space="preserve">”, </w:t>
      </w:r>
      <w:r w:rsidRPr="006879CC">
        <w:rPr>
          <w:i/>
        </w:rPr>
        <w:t>Idem</w:t>
      </w:r>
      <w:r w:rsidRPr="006879CC">
        <w:t>.</w:t>
      </w:r>
    </w:p>
    <w:p w14:paraId="406EDBBD" w14:textId="77777777" w:rsidR="00E6764B" w:rsidRPr="006879CC" w:rsidRDefault="00E6764B" w:rsidP="00E6764B">
      <w:pPr>
        <w:pStyle w:val="Textonotapie"/>
      </w:pPr>
    </w:p>
  </w:footnote>
  <w:footnote w:id="419">
    <w:p w14:paraId="77F0C157"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Footnote 25.</w:t>
      </w:r>
    </w:p>
    <w:p w14:paraId="6A362515" w14:textId="77777777" w:rsidR="00E6764B" w:rsidRPr="006879CC" w:rsidRDefault="00E6764B" w:rsidP="007B6900">
      <w:pPr>
        <w:pStyle w:val="Textonotapie"/>
        <w:spacing w:after="0"/>
      </w:pPr>
    </w:p>
  </w:footnote>
  <w:footnote w:id="420">
    <w:p w14:paraId="3A3987D9"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Footnote 6.</w:t>
      </w:r>
    </w:p>
    <w:p w14:paraId="4C1D54EA" w14:textId="77777777" w:rsidR="00E6764B" w:rsidRPr="006879CC" w:rsidRDefault="00E6764B" w:rsidP="007B6900">
      <w:pPr>
        <w:pStyle w:val="Textonotapie"/>
        <w:spacing w:after="0"/>
      </w:pPr>
    </w:p>
  </w:footnote>
  <w:footnote w:id="421">
    <w:p w14:paraId="1C4F80FB" w14:textId="77D0F623" w:rsidR="00E6764B" w:rsidRDefault="00E6764B" w:rsidP="007B6900">
      <w:pPr>
        <w:rPr>
          <w:rFonts w:ascii="Verdana" w:hAnsi="Verdana"/>
          <w:i/>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007B6900">
        <w:rPr>
          <w:rFonts w:ascii="Verdana" w:hAnsi="Verdana"/>
          <w:sz w:val="16"/>
          <w:szCs w:val="16"/>
          <w:lang w:val="en-US"/>
        </w:rPr>
        <w:t xml:space="preserve">       </w:t>
      </w:r>
      <w:r w:rsidRPr="006879CC">
        <w:rPr>
          <w:rFonts w:ascii="Verdana" w:hAnsi="Verdana"/>
          <w:i/>
          <w:sz w:val="16"/>
          <w:szCs w:val="16"/>
          <w:lang w:val="en-US"/>
        </w:rPr>
        <w:t xml:space="preserve">“Part I, “State Obligations and Rights Protected.” </w:t>
      </w:r>
    </w:p>
    <w:p w14:paraId="267FA0D1" w14:textId="77777777" w:rsidR="00BF082B" w:rsidRPr="006879CC" w:rsidRDefault="00BF082B" w:rsidP="007B6900">
      <w:pPr>
        <w:rPr>
          <w:rFonts w:ascii="Verdana" w:hAnsi="Verdana"/>
          <w:i/>
          <w:sz w:val="16"/>
          <w:szCs w:val="16"/>
          <w:lang w:val="en-US"/>
        </w:rPr>
      </w:pPr>
    </w:p>
  </w:footnote>
  <w:footnote w:id="422">
    <w:p w14:paraId="3113ED35" w14:textId="09492E66" w:rsidR="00E6764B" w:rsidRDefault="00E6764B" w:rsidP="007B6900">
      <w:pPr>
        <w:pStyle w:val="Textonotapie"/>
        <w:spacing w:after="0"/>
        <w:rPr>
          <w:i/>
        </w:rPr>
      </w:pPr>
      <w:r w:rsidRPr="006879CC">
        <w:rPr>
          <w:rStyle w:val="Refdenotaalpie"/>
          <w:sz w:val="16"/>
        </w:rPr>
        <w:footnoteRef/>
      </w:r>
      <w:r w:rsidRPr="006879CC">
        <w:t xml:space="preserve"> </w:t>
      </w:r>
      <w:r w:rsidRPr="006879CC">
        <w:tab/>
        <w:t>“</w:t>
      </w:r>
      <w:r w:rsidRPr="006879CC">
        <w:rPr>
          <w:i/>
        </w:rPr>
        <w:t>Part II, “Means of Protection.”</w:t>
      </w:r>
    </w:p>
    <w:p w14:paraId="5785A292" w14:textId="77777777" w:rsidR="00BF082B" w:rsidRPr="006879CC" w:rsidRDefault="00BF082B" w:rsidP="007B6900">
      <w:pPr>
        <w:pStyle w:val="Textonotapie"/>
        <w:spacing w:after="0"/>
      </w:pPr>
    </w:p>
  </w:footnote>
  <w:footnote w:id="423">
    <w:p w14:paraId="647FE3CB" w14:textId="77777777" w:rsidR="00E6764B" w:rsidRPr="006879CC" w:rsidRDefault="00E6764B" w:rsidP="007B6900">
      <w:pPr>
        <w:pStyle w:val="Textonotapie"/>
        <w:spacing w:after="0"/>
      </w:pPr>
      <w:r w:rsidRPr="006879CC">
        <w:rPr>
          <w:rStyle w:val="Refdenotaalpie"/>
          <w:sz w:val="16"/>
        </w:rPr>
        <w:footnoteRef/>
      </w:r>
      <w:r w:rsidRPr="006879CC">
        <w:t xml:space="preserve"> </w:t>
      </w:r>
      <w:r w:rsidRPr="006879CC">
        <w:tab/>
        <w:t>“</w:t>
      </w:r>
      <w:r w:rsidRPr="006879CC">
        <w:rPr>
          <w:i/>
        </w:rPr>
        <w:t>Part III, “General and Transitory Provisions.</w:t>
      </w:r>
      <w:r w:rsidRPr="006879CC">
        <w:t>”</w:t>
      </w:r>
    </w:p>
  </w:footnote>
  <w:footnote w:id="424">
    <w:p w14:paraId="1952BEE9" w14:textId="77777777" w:rsidR="00E6764B" w:rsidRPr="00BF082B" w:rsidRDefault="00E6764B" w:rsidP="00BF082B">
      <w:pPr>
        <w:rPr>
          <w:rFonts w:ascii="Verdana" w:hAnsi="Verdana"/>
          <w:i/>
          <w:sz w:val="16"/>
          <w:szCs w:val="16"/>
          <w:lang w:val="en-US"/>
        </w:rPr>
      </w:pPr>
      <w:r w:rsidRPr="00BF082B">
        <w:rPr>
          <w:rStyle w:val="Refdenotaalpie"/>
          <w:sz w:val="16"/>
          <w:szCs w:val="16"/>
          <w:lang w:val="en-US"/>
        </w:rPr>
        <w:footnoteRef/>
      </w:r>
      <w:r w:rsidRPr="00BF082B">
        <w:rPr>
          <w:rFonts w:ascii="Verdana" w:hAnsi="Verdana"/>
          <w:sz w:val="16"/>
          <w:szCs w:val="16"/>
          <w:lang w:val="en-US"/>
        </w:rPr>
        <w:t xml:space="preserve"> </w:t>
      </w:r>
      <w:r w:rsidRPr="00BF082B">
        <w:rPr>
          <w:rFonts w:ascii="Verdana" w:hAnsi="Verdana"/>
          <w:sz w:val="16"/>
          <w:szCs w:val="16"/>
          <w:lang w:val="en-US"/>
        </w:rPr>
        <w:tab/>
      </w:r>
      <w:r w:rsidRPr="00BF082B">
        <w:rPr>
          <w:rFonts w:ascii="Verdana" w:hAnsi="Verdana"/>
          <w:i/>
          <w:sz w:val="16"/>
          <w:szCs w:val="16"/>
          <w:lang w:val="en-US"/>
        </w:rPr>
        <w:t>Supra</w:t>
      </w:r>
      <w:r w:rsidRPr="00BF082B">
        <w:rPr>
          <w:rFonts w:ascii="Verdana" w:hAnsi="Verdana"/>
          <w:sz w:val="16"/>
          <w:szCs w:val="16"/>
          <w:lang w:val="en-US"/>
        </w:rPr>
        <w:t>, Footnote 25.</w:t>
      </w:r>
    </w:p>
    <w:p w14:paraId="1672B428" w14:textId="77777777" w:rsidR="00E6764B" w:rsidRPr="00BF082B" w:rsidRDefault="00E6764B" w:rsidP="00BF082B">
      <w:pPr>
        <w:rPr>
          <w:rFonts w:ascii="Verdana" w:hAnsi="Verdana"/>
          <w:sz w:val="16"/>
          <w:szCs w:val="16"/>
          <w:lang w:val="en-US"/>
        </w:rPr>
      </w:pPr>
    </w:p>
  </w:footnote>
  <w:footnote w:id="425">
    <w:p w14:paraId="49762F42" w14:textId="77777777" w:rsidR="00E6764B" w:rsidRPr="00BF082B" w:rsidRDefault="00E6764B" w:rsidP="00BF082B">
      <w:pPr>
        <w:rPr>
          <w:rFonts w:ascii="Verdana" w:hAnsi="Verdana"/>
          <w:i/>
          <w:sz w:val="16"/>
          <w:szCs w:val="16"/>
          <w:lang w:val="en-US"/>
        </w:rPr>
      </w:pPr>
      <w:r w:rsidRPr="00BF082B">
        <w:rPr>
          <w:rStyle w:val="Refdenotaalpie"/>
          <w:sz w:val="16"/>
          <w:szCs w:val="16"/>
          <w:lang w:val="en-US"/>
        </w:rPr>
        <w:footnoteRef/>
      </w:r>
      <w:r w:rsidRPr="00BF082B">
        <w:rPr>
          <w:rFonts w:ascii="Verdana" w:hAnsi="Verdana"/>
          <w:sz w:val="16"/>
          <w:szCs w:val="16"/>
          <w:lang w:val="en-US"/>
        </w:rPr>
        <w:t xml:space="preserve"> </w:t>
      </w:r>
      <w:r w:rsidRPr="00BF082B">
        <w:rPr>
          <w:rFonts w:ascii="Verdana" w:hAnsi="Verdana"/>
          <w:sz w:val="16"/>
          <w:szCs w:val="16"/>
          <w:lang w:val="en-US"/>
        </w:rPr>
        <w:tab/>
        <w:t>Article 2.</w:t>
      </w:r>
      <w:r w:rsidRPr="00BF082B">
        <w:rPr>
          <w:rFonts w:ascii="Verdana" w:hAnsi="Verdana"/>
          <w:i/>
          <w:sz w:val="16"/>
          <w:szCs w:val="16"/>
          <w:lang w:val="en-US"/>
        </w:rPr>
        <w:t xml:space="preserve"> “Domestic Legal Effects. </w:t>
      </w:r>
      <w:r w:rsidRPr="00BF082B">
        <w:rPr>
          <w:rFonts w:ascii="Verdana" w:hAnsi="Verdana"/>
          <w:i/>
          <w:color w:val="000000"/>
          <w:sz w:val="16"/>
          <w:szCs w:val="16"/>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BF082B">
        <w:rPr>
          <w:rFonts w:ascii="Verdana" w:hAnsi="Verdana"/>
          <w:i/>
          <w:sz w:val="16"/>
          <w:szCs w:val="16"/>
          <w:lang w:val="en-US"/>
        </w:rPr>
        <w:t>.</w:t>
      </w:r>
    </w:p>
    <w:p w14:paraId="55FFD0D1" w14:textId="77777777" w:rsidR="00E6764B" w:rsidRPr="00BF082B" w:rsidRDefault="00E6764B" w:rsidP="00BF082B">
      <w:pPr>
        <w:pStyle w:val="Textonotapie"/>
        <w:spacing w:after="0"/>
      </w:pPr>
    </w:p>
  </w:footnote>
  <w:footnote w:id="426">
    <w:p w14:paraId="51FAB399"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Part I, Chapter II, Articles 3 to 25. Right to Juridical Personality (Article 3), Right to Life (Article 4), Right to Humane Treatment (Personal Integrity) (Article 5), Freedom from Slavery (Article 6), Right to Personal Liberty (Article7), Right to a Fair Trial (Judicial Guarantees )(Article 8), Freedom from Ex Post Facto Laws (Article 9), Right to Compensation (Article 10), Right to privacy </w:t>
      </w:r>
      <w:r w:rsidRPr="00BF082B">
        <w:rPr>
          <w:lang w:val="en-GB"/>
        </w:rPr>
        <w:t>(</w:t>
      </w:r>
      <w:r w:rsidRPr="00BF082B">
        <w:t xml:space="preserve">protection of honor and dignity) (Article 11), </w:t>
      </w:r>
      <w:r w:rsidRPr="00BF082B">
        <w:rPr>
          <w:bCs/>
          <w:color w:val="000000"/>
        </w:rPr>
        <w:t>Freedom of Conscience and Religion</w:t>
      </w:r>
      <w:r w:rsidRPr="00BF082B">
        <w:t xml:space="preserve"> (Article 12), Freedom of Thought and Expression (Article 13), Right of Reply (Article 14), Right of Assembly (Article 15), Freedom of Association (Article 16), Rights of the Family (Article 17), Right to a Name (Article 18), Rights of the Child (Article 19), Right to Nationality (Article 20), Right to Property (Article 21), Freedom of Movement and Residence (Article 22), Political Rights (Right to Participate in Government) (Article 23), Right to Equal Protection before the Law (Article 24) and Right to Judicial Protection (Article 25).</w:t>
      </w:r>
    </w:p>
    <w:p w14:paraId="19C8CDF9" w14:textId="77777777" w:rsidR="00E6764B" w:rsidRPr="00BF082B" w:rsidRDefault="00E6764B" w:rsidP="00BF082B">
      <w:pPr>
        <w:pStyle w:val="Textonotapie"/>
        <w:spacing w:after="0"/>
      </w:pPr>
    </w:p>
  </w:footnote>
  <w:footnote w:id="427">
    <w:p w14:paraId="479297AF" w14:textId="77777777" w:rsidR="00E6764B" w:rsidRPr="00BF082B" w:rsidRDefault="00E6764B" w:rsidP="00BF082B">
      <w:pPr>
        <w:rPr>
          <w:rFonts w:ascii="Verdana" w:hAnsi="Verdana"/>
          <w:i/>
          <w:sz w:val="16"/>
          <w:szCs w:val="16"/>
          <w:lang w:val="en-US"/>
        </w:rPr>
      </w:pPr>
      <w:r w:rsidRPr="00BF082B">
        <w:rPr>
          <w:rStyle w:val="Refdenotaalpie"/>
          <w:sz w:val="16"/>
          <w:szCs w:val="16"/>
          <w:lang w:val="en-US"/>
        </w:rPr>
        <w:footnoteRef/>
      </w:r>
      <w:r w:rsidRPr="00BF082B">
        <w:rPr>
          <w:rFonts w:ascii="Verdana" w:hAnsi="Verdana"/>
          <w:sz w:val="16"/>
          <w:szCs w:val="16"/>
          <w:vertAlign w:val="superscript"/>
          <w:lang w:val="en-US"/>
        </w:rPr>
        <w:t xml:space="preserve"> </w:t>
      </w:r>
      <w:r w:rsidRPr="00BF082B">
        <w:rPr>
          <w:rFonts w:ascii="Verdana" w:hAnsi="Verdana"/>
          <w:sz w:val="16"/>
          <w:szCs w:val="16"/>
          <w:vertAlign w:val="superscript"/>
          <w:lang w:val="en-US"/>
        </w:rPr>
        <w:tab/>
      </w:r>
      <w:r w:rsidRPr="00BF082B">
        <w:rPr>
          <w:rFonts w:ascii="Verdana" w:hAnsi="Verdana"/>
          <w:sz w:val="16"/>
          <w:szCs w:val="16"/>
          <w:lang w:val="en-US"/>
        </w:rPr>
        <w:t>Footnote 6.</w:t>
      </w:r>
    </w:p>
    <w:p w14:paraId="5DD1E053" w14:textId="77777777" w:rsidR="00E6764B" w:rsidRPr="00BF082B" w:rsidRDefault="00E6764B" w:rsidP="00BF082B">
      <w:pPr>
        <w:pStyle w:val="Textonotapie"/>
        <w:spacing w:after="0"/>
        <w:rPr>
          <w:i/>
        </w:rPr>
      </w:pPr>
    </w:p>
  </w:footnote>
  <w:footnote w:id="428">
    <w:p w14:paraId="5797C27E" w14:textId="1BAD2C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r>
      <w:r w:rsidR="00BF082B" w:rsidRPr="00BF082B">
        <w:t xml:space="preserve">   </w:t>
      </w:r>
      <w:r w:rsidRPr="00BF082B">
        <w:t>Footnote 17.</w:t>
      </w:r>
    </w:p>
    <w:p w14:paraId="5D8F8694" w14:textId="77777777" w:rsidR="00BF082B" w:rsidRPr="00BF082B" w:rsidRDefault="00BF082B" w:rsidP="00BF082B">
      <w:pPr>
        <w:pStyle w:val="Textonotapie"/>
        <w:spacing w:after="0"/>
      </w:pPr>
    </w:p>
  </w:footnote>
  <w:footnote w:id="429">
    <w:p w14:paraId="740D3CA7" w14:textId="294685A8" w:rsidR="00E6764B" w:rsidRPr="00BF082B" w:rsidRDefault="00E6764B" w:rsidP="00BF082B">
      <w:pPr>
        <w:pStyle w:val="Textonotapie"/>
        <w:spacing w:after="0"/>
      </w:pPr>
      <w:r w:rsidRPr="00BF082B">
        <w:rPr>
          <w:rStyle w:val="Refdenotaalpie"/>
          <w:sz w:val="16"/>
        </w:rPr>
        <w:footnoteRef/>
      </w:r>
      <w:r w:rsidRPr="00BF082B">
        <w:t xml:space="preserve">       </w:t>
      </w:r>
      <w:r w:rsidR="00BF082B" w:rsidRPr="00BF082B">
        <w:t xml:space="preserve">   </w:t>
      </w:r>
      <w:r w:rsidRPr="00BF082B">
        <w:t xml:space="preserve"> Footnote 30.</w:t>
      </w:r>
    </w:p>
    <w:p w14:paraId="11825421" w14:textId="77777777" w:rsidR="00BF082B" w:rsidRPr="00BF082B" w:rsidRDefault="00BF082B" w:rsidP="00BF082B">
      <w:pPr>
        <w:pStyle w:val="Textonotapie"/>
        <w:spacing w:after="0"/>
      </w:pPr>
    </w:p>
  </w:footnote>
  <w:footnote w:id="430">
    <w:p w14:paraId="3ADCCD8D" w14:textId="25EEE12F" w:rsidR="00E6764B" w:rsidRPr="00BF082B" w:rsidRDefault="00E6764B" w:rsidP="00BF082B">
      <w:pPr>
        <w:pStyle w:val="Textonotapie"/>
        <w:spacing w:after="0"/>
        <w:rPr>
          <w:i/>
        </w:rPr>
      </w:pPr>
      <w:r w:rsidRPr="00BF082B">
        <w:rPr>
          <w:rStyle w:val="Refdenotaalpie"/>
          <w:sz w:val="16"/>
        </w:rPr>
        <w:footnoteRef/>
      </w:r>
      <w:r w:rsidRPr="00BF082B">
        <w:t xml:space="preserve"> </w:t>
      </w:r>
      <w:r w:rsidRPr="00BF082B">
        <w:tab/>
      </w:r>
      <w:r w:rsidR="00BF082B" w:rsidRPr="00BF082B">
        <w:t xml:space="preserve">   </w:t>
      </w:r>
      <w:r w:rsidRPr="00BF082B">
        <w:t>Footnote 37.</w:t>
      </w:r>
    </w:p>
    <w:p w14:paraId="43C66FDE" w14:textId="77777777" w:rsidR="00E6764B" w:rsidRPr="00BF082B" w:rsidRDefault="00E6764B" w:rsidP="00BF082B">
      <w:pPr>
        <w:pStyle w:val="Textonotapie"/>
        <w:spacing w:after="0"/>
      </w:pPr>
    </w:p>
  </w:footnote>
  <w:footnote w:id="431">
    <w:p w14:paraId="2EBE62BA" w14:textId="73B4A8A4" w:rsidR="00E6764B" w:rsidRPr="00BF082B" w:rsidRDefault="00E6764B" w:rsidP="00BF082B">
      <w:pPr>
        <w:pStyle w:val="Textonotapie"/>
        <w:spacing w:after="0"/>
      </w:pPr>
      <w:r w:rsidRPr="00BF082B">
        <w:rPr>
          <w:rStyle w:val="Refdenotaalpie"/>
          <w:sz w:val="16"/>
        </w:rPr>
        <w:footnoteRef/>
      </w:r>
      <w:r w:rsidRPr="00BF082B">
        <w:t xml:space="preserve"> </w:t>
      </w:r>
      <w:r w:rsidRPr="00BF082B">
        <w:tab/>
      </w:r>
      <w:r w:rsidR="00BF082B" w:rsidRPr="00BF082B">
        <w:t xml:space="preserve">   </w:t>
      </w:r>
      <w:r w:rsidRPr="00BF082B">
        <w:t>Footnote 12.</w:t>
      </w:r>
    </w:p>
    <w:p w14:paraId="58DE538F" w14:textId="77777777" w:rsidR="00E6764B" w:rsidRPr="00BF082B" w:rsidRDefault="00E6764B" w:rsidP="00BF082B">
      <w:pPr>
        <w:pStyle w:val="Textonotapie"/>
        <w:spacing w:after="0"/>
      </w:pPr>
    </w:p>
  </w:footnote>
  <w:footnote w:id="432">
    <w:p w14:paraId="6438748E" w14:textId="74B690B0" w:rsidR="00E6764B" w:rsidRPr="00BF082B" w:rsidRDefault="00E6764B" w:rsidP="00BF082B">
      <w:pPr>
        <w:pStyle w:val="Textonotapie"/>
        <w:spacing w:after="0"/>
      </w:pPr>
      <w:r w:rsidRPr="00BF082B">
        <w:rPr>
          <w:rStyle w:val="Refdenotaalpie"/>
          <w:sz w:val="16"/>
        </w:rPr>
        <w:footnoteRef/>
      </w:r>
      <w:r w:rsidRPr="00BF082B">
        <w:t xml:space="preserve">          </w:t>
      </w:r>
      <w:r w:rsidR="00BF082B" w:rsidRPr="00BF082B">
        <w:t xml:space="preserve"> </w:t>
      </w:r>
      <w:r w:rsidRPr="00BF082B">
        <w:t>Footnote 30.</w:t>
      </w:r>
    </w:p>
    <w:p w14:paraId="64DC6318" w14:textId="77777777" w:rsidR="00E6764B" w:rsidRPr="00BF082B" w:rsidRDefault="00E6764B" w:rsidP="00BF082B">
      <w:pPr>
        <w:pStyle w:val="Textonotapie"/>
        <w:spacing w:after="0"/>
      </w:pPr>
    </w:p>
  </w:footnote>
  <w:footnote w:id="433">
    <w:p w14:paraId="75D2850E" w14:textId="13757243" w:rsidR="00E6764B" w:rsidRPr="00BF082B" w:rsidRDefault="00E6764B" w:rsidP="00BF082B">
      <w:pPr>
        <w:pStyle w:val="Textonotapie"/>
        <w:spacing w:after="0"/>
      </w:pPr>
      <w:r w:rsidRPr="00BF082B">
        <w:rPr>
          <w:rStyle w:val="Refdenotaalpie"/>
          <w:sz w:val="16"/>
        </w:rPr>
        <w:footnoteRef/>
      </w:r>
      <w:r w:rsidRPr="00BF082B">
        <w:t xml:space="preserve"> </w:t>
      </w:r>
      <w:r w:rsidRPr="00BF082B">
        <w:tab/>
      </w:r>
      <w:r w:rsidR="00BF082B" w:rsidRPr="00BF082B">
        <w:t xml:space="preserve">   </w:t>
      </w:r>
      <w:r w:rsidRPr="00BF082B">
        <w:t>Footnote 47.</w:t>
      </w:r>
    </w:p>
    <w:p w14:paraId="28475529" w14:textId="77777777" w:rsidR="00E6764B" w:rsidRPr="00BF082B" w:rsidRDefault="00E6764B" w:rsidP="00BF082B">
      <w:pPr>
        <w:pStyle w:val="Textonotapie"/>
        <w:spacing w:after="0"/>
      </w:pPr>
    </w:p>
  </w:footnote>
  <w:footnote w:id="434">
    <w:p w14:paraId="539ACF19" w14:textId="77777777" w:rsidR="00E6764B" w:rsidRPr="00BF082B" w:rsidRDefault="00E6764B" w:rsidP="00BF082B">
      <w:pPr>
        <w:rPr>
          <w:rFonts w:ascii="Verdana" w:hAnsi="Verdana"/>
          <w:i/>
          <w:sz w:val="16"/>
          <w:szCs w:val="16"/>
          <w:lang w:val="en-US"/>
        </w:rPr>
      </w:pPr>
      <w:r w:rsidRPr="00BF082B">
        <w:rPr>
          <w:rStyle w:val="Refdenotaalpie"/>
          <w:i/>
          <w:sz w:val="16"/>
          <w:szCs w:val="16"/>
          <w:lang w:val="en-US"/>
        </w:rPr>
        <w:footnoteRef/>
      </w:r>
      <w:r w:rsidRPr="00BF082B">
        <w:rPr>
          <w:rFonts w:ascii="Verdana" w:hAnsi="Verdana"/>
          <w:i/>
          <w:sz w:val="16"/>
          <w:szCs w:val="16"/>
          <w:lang w:val="en-US"/>
        </w:rPr>
        <w:t xml:space="preserve"> </w:t>
      </w:r>
      <w:r w:rsidRPr="00BF082B">
        <w:rPr>
          <w:rFonts w:ascii="Verdana" w:hAnsi="Verdana"/>
          <w:i/>
          <w:sz w:val="16"/>
          <w:szCs w:val="16"/>
          <w:lang w:val="en-US"/>
        </w:rPr>
        <w:tab/>
      </w:r>
      <w:r w:rsidRPr="00BF082B">
        <w:rPr>
          <w:rFonts w:ascii="Verdana" w:hAnsi="Verdana"/>
          <w:sz w:val="16"/>
          <w:szCs w:val="16"/>
          <w:lang w:val="en-US"/>
        </w:rPr>
        <w:t>Article 48(1)(f):</w:t>
      </w:r>
      <w:r w:rsidRPr="00BF082B">
        <w:rPr>
          <w:rFonts w:ascii="Verdana" w:hAnsi="Verdana"/>
          <w:i/>
          <w:sz w:val="16"/>
          <w:szCs w:val="16"/>
          <w:lang w:val="en-US"/>
        </w:rPr>
        <w:t xml:space="preserve"> “1. </w:t>
      </w:r>
      <w:r w:rsidRPr="00BF082B">
        <w:rPr>
          <w:rFonts w:ascii="Verdana" w:hAnsi="Verdana"/>
          <w:i/>
          <w:color w:val="000000"/>
          <w:sz w:val="16"/>
          <w:szCs w:val="16"/>
          <w:lang w:val="en-US"/>
        </w:rPr>
        <w:t xml:space="preserve">When the Commission receives a petition or communication alleging the violation of any of the rights protected by this Convention, it shall proceed as </w:t>
      </w:r>
      <w:proofErr w:type="gramStart"/>
      <w:r w:rsidRPr="00BF082B">
        <w:rPr>
          <w:rFonts w:ascii="Verdana" w:hAnsi="Verdana"/>
          <w:i/>
          <w:color w:val="000000"/>
          <w:sz w:val="16"/>
          <w:szCs w:val="16"/>
          <w:lang w:val="en-US"/>
        </w:rPr>
        <w:t>follows:</w:t>
      </w:r>
      <w:r w:rsidRPr="00BF082B">
        <w:rPr>
          <w:rFonts w:ascii="Verdana" w:hAnsi="Verdana"/>
          <w:i/>
          <w:sz w:val="16"/>
          <w:szCs w:val="16"/>
          <w:lang w:val="en-US"/>
        </w:rPr>
        <w:t>…</w:t>
      </w:r>
      <w:proofErr w:type="gramEnd"/>
    </w:p>
    <w:p w14:paraId="7507DDAD" w14:textId="77777777" w:rsidR="00E6764B" w:rsidRPr="00BF082B" w:rsidRDefault="00E6764B" w:rsidP="00BF082B">
      <w:pPr>
        <w:pStyle w:val="Textonotapie"/>
        <w:spacing w:after="0"/>
      </w:pPr>
      <w:r w:rsidRPr="00BF082B">
        <w:rPr>
          <w:i/>
          <w:color w:val="000000"/>
        </w:rPr>
        <w:t>[it] shall place itself at the disposal of the parties concerned with a view to reaching a friendly settlement of the matter on the basis of respect for the human rights recognized in this Convention</w:t>
      </w:r>
      <w:r w:rsidRPr="00BF082B">
        <w:t>.”</w:t>
      </w:r>
    </w:p>
    <w:p w14:paraId="49D02FC1" w14:textId="77777777" w:rsidR="00E6764B" w:rsidRPr="00BF082B" w:rsidRDefault="00E6764B" w:rsidP="00BF082B">
      <w:pPr>
        <w:pStyle w:val="Textonotapie"/>
        <w:spacing w:after="0"/>
      </w:pPr>
    </w:p>
  </w:footnote>
  <w:footnote w:id="435">
    <w:p w14:paraId="52C4ED55" w14:textId="15D6B139" w:rsidR="00E6764B" w:rsidRDefault="00E6764B" w:rsidP="00BF082B">
      <w:pPr>
        <w:pStyle w:val="Textonotapie"/>
        <w:spacing w:after="0"/>
      </w:pPr>
      <w:r w:rsidRPr="00BF082B">
        <w:rPr>
          <w:rStyle w:val="Refdenotaalpie"/>
          <w:sz w:val="16"/>
        </w:rPr>
        <w:footnoteRef/>
      </w:r>
      <w:r w:rsidRPr="00BF082B">
        <w:t xml:space="preserve"> </w:t>
      </w:r>
      <w:r w:rsidRPr="00BF082B">
        <w:tab/>
        <w:t>Article 45(1): “</w:t>
      </w:r>
      <w:r w:rsidRPr="00BF082B">
        <w:rPr>
          <w:i/>
          <w:color w:val="000000"/>
        </w:rPr>
        <w:t>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w:t>
      </w:r>
      <w:r w:rsidRPr="00BF082B">
        <w:rPr>
          <w:i/>
        </w:rPr>
        <w:t>.</w:t>
      </w:r>
      <w:r w:rsidRPr="00BF082B">
        <w:t>”</w:t>
      </w:r>
    </w:p>
    <w:p w14:paraId="67D1B722" w14:textId="7E2A5EEE" w:rsidR="00E6764B" w:rsidRPr="006879CC" w:rsidRDefault="00E6764B" w:rsidP="00D3622F">
      <w:pPr>
        <w:pStyle w:val="Textonotapie"/>
        <w:spacing w:after="0"/>
      </w:pPr>
    </w:p>
  </w:footnote>
  <w:footnote w:id="436">
    <w:p w14:paraId="736B8AB6" w14:textId="77777777" w:rsidR="00E6764B" w:rsidRPr="006879CC" w:rsidRDefault="00E6764B" w:rsidP="00BF082B">
      <w:pPr>
        <w:pStyle w:val="Textonotapie"/>
        <w:spacing w:after="0"/>
      </w:pPr>
      <w:r w:rsidRPr="006879CC">
        <w:rPr>
          <w:rStyle w:val="Refdenotaalpie"/>
          <w:sz w:val="16"/>
        </w:rPr>
        <w:footnoteRef/>
      </w:r>
      <w:r w:rsidRPr="006879CC">
        <w:t xml:space="preserve"> </w:t>
      </w:r>
      <w:r w:rsidRPr="006879CC">
        <w:tab/>
        <w:t>Article 47(b): “</w:t>
      </w:r>
      <w:r w:rsidRPr="006879CC">
        <w:rPr>
          <w:i/>
          <w:color w:val="000000"/>
        </w:rPr>
        <w:t>The Commission shall consider inadmissible any petition or communication submitted under Articles 44 or 45 if</w:t>
      </w:r>
      <w:r w:rsidRPr="006879CC">
        <w:rPr>
          <w:i/>
        </w:rPr>
        <w:t xml:space="preserve">: ... </w:t>
      </w:r>
      <w:r w:rsidRPr="006879CC">
        <w:rPr>
          <w:i/>
          <w:color w:val="000000"/>
        </w:rPr>
        <w:t>the petition or communication does not state facts that tend to establish a violation of the rights guaranteed by this Convention</w:t>
      </w:r>
      <w:r w:rsidRPr="006879CC">
        <w:rPr>
          <w:i/>
        </w:rPr>
        <w:t>;</w:t>
      </w:r>
      <w:r w:rsidRPr="006879CC">
        <w:t>”</w:t>
      </w:r>
    </w:p>
    <w:p w14:paraId="7FB54F84" w14:textId="77777777" w:rsidR="00E6764B" w:rsidRPr="006879CC" w:rsidRDefault="00E6764B" w:rsidP="00BF082B">
      <w:pPr>
        <w:pStyle w:val="Textonotapie"/>
        <w:spacing w:after="0"/>
      </w:pPr>
    </w:p>
  </w:footnote>
  <w:footnote w:id="437">
    <w:p w14:paraId="69B86E44" w14:textId="77777777" w:rsidR="00E6764B" w:rsidRPr="006879CC" w:rsidRDefault="00E6764B" w:rsidP="00BF082B">
      <w:pPr>
        <w:pStyle w:val="Textonotapie"/>
        <w:spacing w:after="0"/>
        <w:rPr>
          <w:i/>
        </w:rPr>
      </w:pPr>
      <w:r w:rsidRPr="006879CC">
        <w:rPr>
          <w:rStyle w:val="Refdenotaalpie"/>
          <w:sz w:val="16"/>
        </w:rPr>
        <w:footnoteRef/>
      </w:r>
      <w:r w:rsidRPr="006879CC">
        <w:t xml:space="preserve"> </w:t>
      </w:r>
      <w:r w:rsidRPr="006879CC">
        <w:tab/>
        <w:t>Article 48(1): “</w:t>
      </w:r>
      <w:r w:rsidRPr="006879CC">
        <w:rPr>
          <w:i/>
          <w:color w:val="000000"/>
        </w:rPr>
        <w:t>When the Commission receives a petition or communication alleging violation of any of the rights protected by this Convention, it shall proceed as follows</w:t>
      </w:r>
      <w:r w:rsidRPr="006879CC">
        <w:rPr>
          <w:i/>
        </w:rPr>
        <w:t>: ...”</w:t>
      </w:r>
    </w:p>
    <w:p w14:paraId="636B1585" w14:textId="77777777" w:rsidR="00E6764B" w:rsidRPr="006879CC" w:rsidRDefault="00E6764B" w:rsidP="00BF082B">
      <w:pPr>
        <w:pStyle w:val="Textonotapie"/>
        <w:spacing w:after="0"/>
      </w:pPr>
    </w:p>
  </w:footnote>
  <w:footnote w:id="438">
    <w:p w14:paraId="1E2581F6" w14:textId="77777777" w:rsidR="00E6764B" w:rsidRPr="006879CC" w:rsidRDefault="00E6764B" w:rsidP="00BF082B">
      <w:pPr>
        <w:pStyle w:val="Textonotapie"/>
        <w:spacing w:after="0"/>
      </w:pPr>
      <w:r w:rsidRPr="006879CC">
        <w:rPr>
          <w:rStyle w:val="Refdenotaalpie"/>
          <w:sz w:val="16"/>
        </w:rPr>
        <w:footnoteRef/>
      </w:r>
      <w:r w:rsidRPr="006879CC">
        <w:t xml:space="preserve"> </w:t>
      </w:r>
      <w:r w:rsidRPr="006879CC">
        <w:tab/>
        <w:t>Footnote 12.</w:t>
      </w:r>
    </w:p>
    <w:p w14:paraId="1FF76A66" w14:textId="77777777" w:rsidR="00E6764B" w:rsidRPr="006879CC" w:rsidRDefault="00E6764B" w:rsidP="00BF082B">
      <w:pPr>
        <w:pStyle w:val="Textonotapie"/>
        <w:spacing w:after="0"/>
      </w:pPr>
    </w:p>
  </w:footnote>
  <w:footnote w:id="439">
    <w:p w14:paraId="71B98F16" w14:textId="77777777" w:rsidR="00E6764B" w:rsidRPr="006879CC" w:rsidRDefault="00E6764B" w:rsidP="00BF082B">
      <w:pPr>
        <w:pStyle w:val="Textonotapie"/>
        <w:spacing w:after="0"/>
      </w:pPr>
      <w:r w:rsidRPr="006879CC">
        <w:rPr>
          <w:rStyle w:val="Refdenotaalpie"/>
          <w:sz w:val="16"/>
        </w:rPr>
        <w:footnoteRef/>
      </w:r>
      <w:r w:rsidRPr="006879CC">
        <w:t xml:space="preserve"> </w:t>
      </w:r>
      <w:r w:rsidRPr="006879CC">
        <w:tab/>
        <w:t>Footnote 6.</w:t>
      </w:r>
    </w:p>
    <w:p w14:paraId="76B33C7E" w14:textId="77777777" w:rsidR="00E6764B" w:rsidRPr="006879CC" w:rsidRDefault="00E6764B" w:rsidP="00BF082B">
      <w:pPr>
        <w:pStyle w:val="Textonotapie"/>
        <w:spacing w:after="0"/>
      </w:pPr>
    </w:p>
  </w:footnote>
  <w:footnote w:id="440">
    <w:p w14:paraId="5524B791" w14:textId="77777777" w:rsidR="00E6764B" w:rsidRPr="006879CC" w:rsidRDefault="00E6764B" w:rsidP="00BF082B">
      <w:pPr>
        <w:pStyle w:val="Textonotapie"/>
        <w:spacing w:after="0"/>
      </w:pPr>
      <w:r w:rsidRPr="006879CC">
        <w:rPr>
          <w:rStyle w:val="Refdenotaalpie"/>
          <w:sz w:val="16"/>
        </w:rPr>
        <w:footnoteRef/>
      </w:r>
      <w:r w:rsidRPr="006879CC">
        <w:t xml:space="preserve"> </w:t>
      </w:r>
      <w:r w:rsidRPr="006879CC">
        <w:tab/>
        <w:t>Footnote 12.</w:t>
      </w:r>
    </w:p>
    <w:p w14:paraId="7CA31103" w14:textId="77777777" w:rsidR="00E6764B" w:rsidRPr="006879CC" w:rsidRDefault="00E6764B" w:rsidP="00BF082B">
      <w:pPr>
        <w:pStyle w:val="Textonotapie"/>
        <w:spacing w:after="0"/>
      </w:pPr>
      <w:r w:rsidRPr="006879CC">
        <w:t>.</w:t>
      </w:r>
    </w:p>
  </w:footnote>
  <w:footnote w:id="441">
    <w:p w14:paraId="16D08A0B" w14:textId="77777777" w:rsidR="00E6764B" w:rsidRPr="006879CC" w:rsidRDefault="00E6764B" w:rsidP="00BF082B">
      <w:pPr>
        <w:pStyle w:val="Textonotapie"/>
        <w:spacing w:after="0"/>
      </w:pPr>
      <w:r w:rsidRPr="006879CC">
        <w:rPr>
          <w:rStyle w:val="Refdenotaalpie"/>
          <w:sz w:val="16"/>
        </w:rPr>
        <w:footnoteRef/>
      </w:r>
      <w:r w:rsidRPr="006879CC">
        <w:t xml:space="preserve"> </w:t>
      </w:r>
      <w:r w:rsidRPr="006879CC">
        <w:tab/>
        <w:t xml:space="preserve">Footnote 25. </w:t>
      </w:r>
    </w:p>
    <w:p w14:paraId="594C757A" w14:textId="77777777" w:rsidR="00E6764B" w:rsidRPr="006879CC" w:rsidRDefault="00E6764B" w:rsidP="00BF082B">
      <w:pPr>
        <w:pStyle w:val="Textonotapie"/>
        <w:spacing w:after="0"/>
      </w:pPr>
    </w:p>
  </w:footnote>
  <w:footnote w:id="442">
    <w:p w14:paraId="6543ACF9" w14:textId="4B207EEF" w:rsidR="00E6764B" w:rsidRPr="006879CC" w:rsidRDefault="00E6764B" w:rsidP="00BF082B">
      <w:pPr>
        <w:rPr>
          <w:rFonts w:ascii="Verdana" w:hAnsi="Verdana"/>
          <w:sz w:val="16"/>
          <w:szCs w:val="16"/>
          <w:lang w:val="en-US"/>
        </w:rPr>
      </w:pPr>
      <w:r w:rsidRPr="006879CC">
        <w:rPr>
          <w:rStyle w:val="Refdenotaalpie"/>
          <w:sz w:val="16"/>
          <w:szCs w:val="16"/>
          <w:lang w:val="en-US"/>
        </w:rPr>
        <w:footnoteRef/>
      </w:r>
      <w:r w:rsidRPr="006879CC">
        <w:rPr>
          <w:rFonts w:ascii="Verdana" w:hAnsi="Verdana"/>
          <w:sz w:val="16"/>
          <w:szCs w:val="16"/>
          <w:lang w:val="en-US"/>
        </w:rPr>
        <w:t xml:space="preserve"> </w:t>
      </w:r>
      <w:r w:rsidR="00BF082B">
        <w:rPr>
          <w:rFonts w:ascii="Verdana" w:hAnsi="Verdana"/>
          <w:sz w:val="16"/>
          <w:szCs w:val="16"/>
          <w:lang w:val="en-US"/>
        </w:rPr>
        <w:t xml:space="preserve">       </w:t>
      </w:r>
      <w:r w:rsidRPr="006879CC">
        <w:rPr>
          <w:rFonts w:ascii="Verdana" w:hAnsi="Verdana"/>
          <w:sz w:val="16"/>
          <w:szCs w:val="16"/>
          <w:lang w:val="en-US"/>
        </w:rPr>
        <w:t xml:space="preserve">Footnote 67. </w:t>
      </w:r>
    </w:p>
    <w:p w14:paraId="704FBC9F" w14:textId="77777777" w:rsidR="00E6764B" w:rsidRPr="006879CC" w:rsidRDefault="00E6764B" w:rsidP="00E6764B">
      <w:pPr>
        <w:pStyle w:val="Textonotapie"/>
      </w:pPr>
    </w:p>
  </w:footnote>
  <w:footnote w:id="443">
    <w:p w14:paraId="3E041CBE"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Concurring Opinion of Judge Alberto Pérez, </w:t>
      </w:r>
      <w:r w:rsidRPr="00BF082B">
        <w:rPr>
          <w:i/>
        </w:rPr>
        <w:t xml:space="preserve">Case of Gonzales </w:t>
      </w:r>
      <w:proofErr w:type="spellStart"/>
      <w:r w:rsidRPr="00BF082B">
        <w:rPr>
          <w:i/>
        </w:rPr>
        <w:t>Lluy</w:t>
      </w:r>
      <w:proofErr w:type="spellEnd"/>
      <w:r w:rsidRPr="00BF082B">
        <w:rPr>
          <w:i/>
        </w:rPr>
        <w:t xml:space="preserve"> et al. v. Ecuador,</w:t>
      </w:r>
      <w:r w:rsidRPr="00BF082B">
        <w:t xml:space="preserve"> Judgment of September 1, 2015, (Preliminary objections, merits, reparations and costs).</w:t>
      </w:r>
    </w:p>
    <w:p w14:paraId="3ECF7DF7" w14:textId="77777777" w:rsidR="00E6764B" w:rsidRPr="00BF082B" w:rsidRDefault="00E6764B" w:rsidP="00BF082B">
      <w:pPr>
        <w:pStyle w:val="Textonotapie"/>
        <w:spacing w:after="0"/>
        <w:rPr>
          <w:i/>
        </w:rPr>
      </w:pPr>
    </w:p>
  </w:footnote>
  <w:footnote w:id="444">
    <w:p w14:paraId="39203782" w14:textId="58BBC446" w:rsidR="00E6764B" w:rsidRDefault="00E6764B" w:rsidP="00BF082B">
      <w:pPr>
        <w:pStyle w:val="Textonotapie"/>
        <w:spacing w:after="0"/>
        <w:ind w:left="720" w:hanging="720"/>
      </w:pPr>
      <w:r w:rsidRPr="00BF082B">
        <w:rPr>
          <w:rStyle w:val="Refdenotaalpie"/>
          <w:sz w:val="16"/>
        </w:rPr>
        <w:footnoteRef/>
      </w:r>
      <w:r w:rsidRPr="00BF082B">
        <w:t xml:space="preserve"> </w:t>
      </w:r>
      <w:r w:rsidRPr="00BF082B">
        <w:tab/>
        <w:t>Footnote 44.</w:t>
      </w:r>
    </w:p>
    <w:p w14:paraId="36658B92" w14:textId="77777777" w:rsidR="000555E7" w:rsidRPr="00BF082B" w:rsidRDefault="000555E7" w:rsidP="00BF082B">
      <w:pPr>
        <w:pStyle w:val="Textonotapie"/>
        <w:spacing w:after="0"/>
        <w:ind w:left="720" w:hanging="720"/>
      </w:pPr>
    </w:p>
  </w:footnote>
  <w:footnote w:id="445">
    <w:p w14:paraId="23FE5AB5" w14:textId="70A82738" w:rsidR="00E6764B" w:rsidRDefault="00E6764B" w:rsidP="00BF082B">
      <w:pPr>
        <w:pStyle w:val="Textonotapie"/>
        <w:spacing w:after="0"/>
      </w:pPr>
      <w:r w:rsidRPr="00BF082B">
        <w:rPr>
          <w:rStyle w:val="Refdenotaalpie"/>
          <w:sz w:val="16"/>
        </w:rPr>
        <w:footnoteRef/>
      </w:r>
      <w:r w:rsidRPr="00BF082B">
        <w:t xml:space="preserve"> </w:t>
      </w:r>
      <w:r w:rsidRPr="00BF082B">
        <w:tab/>
        <w:t xml:space="preserve">Para. 36. </w:t>
      </w:r>
    </w:p>
    <w:p w14:paraId="7DF57E9C" w14:textId="77777777" w:rsidR="000555E7" w:rsidRPr="00BF082B" w:rsidRDefault="000555E7" w:rsidP="00BF082B">
      <w:pPr>
        <w:pStyle w:val="Textonotapie"/>
        <w:spacing w:after="0"/>
      </w:pPr>
    </w:p>
  </w:footnote>
  <w:footnote w:id="446">
    <w:p w14:paraId="165BB3B3" w14:textId="2FF1371B"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44.</w:t>
      </w:r>
    </w:p>
  </w:footnote>
  <w:footnote w:id="447">
    <w:p w14:paraId="570990CD"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Para. 34.</w:t>
      </w:r>
    </w:p>
    <w:p w14:paraId="2504D9D9" w14:textId="77777777" w:rsidR="00E6764B" w:rsidRPr="00BF082B" w:rsidRDefault="00E6764B" w:rsidP="00BF082B">
      <w:pPr>
        <w:pStyle w:val="Textonotapie"/>
        <w:spacing w:after="0"/>
      </w:pPr>
    </w:p>
  </w:footnote>
  <w:footnote w:id="448">
    <w:p w14:paraId="46261759"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Para. 146.</w:t>
      </w:r>
    </w:p>
    <w:p w14:paraId="3E5A900B" w14:textId="77777777" w:rsidR="00E6764B" w:rsidRPr="00BF082B" w:rsidRDefault="00E6764B" w:rsidP="00BF082B">
      <w:pPr>
        <w:pStyle w:val="Textonotapie"/>
        <w:spacing w:after="0"/>
      </w:pPr>
    </w:p>
  </w:footnote>
  <w:footnote w:id="449">
    <w:p w14:paraId="3354C040"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Para.143. </w:t>
      </w:r>
    </w:p>
    <w:p w14:paraId="55603150" w14:textId="77777777" w:rsidR="00E6764B" w:rsidRPr="00BF082B" w:rsidRDefault="00E6764B" w:rsidP="00BF082B">
      <w:pPr>
        <w:pStyle w:val="Textonotapie"/>
        <w:spacing w:after="0"/>
      </w:pPr>
    </w:p>
  </w:footnote>
  <w:footnote w:id="450">
    <w:p w14:paraId="6650B0A3"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10.</w:t>
      </w:r>
    </w:p>
    <w:p w14:paraId="4095509B" w14:textId="77777777" w:rsidR="00E6764B" w:rsidRPr="00BF082B" w:rsidRDefault="00E6764B" w:rsidP="00BF082B">
      <w:pPr>
        <w:pStyle w:val="Textonotapie"/>
        <w:spacing w:after="0"/>
      </w:pPr>
    </w:p>
  </w:footnote>
  <w:footnote w:id="451">
    <w:p w14:paraId="3B4219A9"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Para. 36.</w:t>
      </w:r>
    </w:p>
    <w:p w14:paraId="71DF2994" w14:textId="77777777" w:rsidR="00E6764B" w:rsidRPr="00BF082B" w:rsidRDefault="00E6764B" w:rsidP="00BF082B">
      <w:pPr>
        <w:pStyle w:val="Textonotapie"/>
        <w:spacing w:after="0"/>
      </w:pPr>
    </w:p>
  </w:footnote>
  <w:footnote w:id="452">
    <w:p w14:paraId="194B1405"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Footnote 1 of the Judgment </w:t>
      </w:r>
      <w:r w:rsidRPr="00BF082B">
        <w:rPr>
          <w:lang w:val="en-GB"/>
        </w:rPr>
        <w:t>[</w:t>
      </w:r>
      <w:r w:rsidRPr="00BF082B">
        <w:t xml:space="preserve">Case of </w:t>
      </w:r>
      <w:proofErr w:type="spellStart"/>
      <w:r w:rsidRPr="00BF082B">
        <w:t>Cuscúl</w:t>
      </w:r>
      <w:proofErr w:type="spellEnd"/>
      <w:r w:rsidRPr="00BF082B">
        <w:t xml:space="preserve"> </w:t>
      </w:r>
      <w:proofErr w:type="spellStart"/>
      <w:r w:rsidRPr="00BF082B">
        <w:t>Pivaral</w:t>
      </w:r>
      <w:proofErr w:type="spellEnd"/>
      <w:r w:rsidRPr="00BF082B">
        <w:t>].</w:t>
      </w:r>
    </w:p>
    <w:p w14:paraId="704BC407" w14:textId="77777777" w:rsidR="00E6764B" w:rsidRPr="00BF082B" w:rsidRDefault="00E6764B" w:rsidP="00BF082B">
      <w:pPr>
        <w:pStyle w:val="Textonotapie"/>
        <w:spacing w:after="0"/>
      </w:pPr>
    </w:p>
  </w:footnote>
  <w:footnote w:id="453">
    <w:p w14:paraId="25AC33EF" w14:textId="78D9EF81" w:rsidR="00E6764B" w:rsidRDefault="00E6764B" w:rsidP="00BF082B">
      <w:pPr>
        <w:pStyle w:val="Textonotapie"/>
        <w:spacing w:after="0"/>
      </w:pPr>
      <w:r w:rsidRPr="00BF082B">
        <w:rPr>
          <w:rStyle w:val="Refdenotaalpie"/>
          <w:sz w:val="16"/>
        </w:rPr>
        <w:footnoteRef/>
      </w:r>
      <w:r w:rsidRPr="00BF082B">
        <w:t xml:space="preserve"> </w:t>
      </w:r>
      <w:r w:rsidRPr="00BF082B">
        <w:tab/>
        <w:t xml:space="preserve">Hereinafter, the Ruling </w:t>
      </w:r>
      <w:r w:rsidRPr="00BF082B">
        <w:rPr>
          <w:lang w:val="en-GB"/>
        </w:rPr>
        <w:t>[</w:t>
      </w:r>
      <w:r w:rsidRPr="00BF082B">
        <w:t xml:space="preserve">Case of </w:t>
      </w:r>
      <w:proofErr w:type="spellStart"/>
      <w:r w:rsidRPr="00BF082B">
        <w:t>Cuscúl</w:t>
      </w:r>
      <w:proofErr w:type="spellEnd"/>
      <w:r w:rsidRPr="00BF082B">
        <w:t xml:space="preserve"> </w:t>
      </w:r>
      <w:proofErr w:type="spellStart"/>
      <w:r w:rsidRPr="00BF082B">
        <w:t>Pivaral</w:t>
      </w:r>
      <w:proofErr w:type="spellEnd"/>
      <w:r w:rsidRPr="00BF082B">
        <w:t>]</w:t>
      </w:r>
    </w:p>
    <w:p w14:paraId="5BC62691" w14:textId="77777777" w:rsidR="000555E7" w:rsidRPr="00BF082B" w:rsidRDefault="000555E7" w:rsidP="00BF082B">
      <w:pPr>
        <w:pStyle w:val="Textonotapie"/>
        <w:spacing w:after="0"/>
        <w:rPr>
          <w:lang w:val="en-GB"/>
        </w:rPr>
      </w:pPr>
    </w:p>
    <w:p w14:paraId="5A51272C" w14:textId="77777777" w:rsidR="00E6764B" w:rsidRPr="00BF082B" w:rsidRDefault="00E6764B" w:rsidP="00BF082B">
      <w:pPr>
        <w:pStyle w:val="Textonotapie"/>
        <w:spacing w:after="0"/>
      </w:pPr>
    </w:p>
  </w:footnote>
  <w:footnote w:id="454">
    <w:p w14:paraId="7658AA88"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Para. 36.</w:t>
      </w:r>
    </w:p>
    <w:p w14:paraId="429324A8" w14:textId="77777777" w:rsidR="00E6764B" w:rsidRPr="00BF082B" w:rsidRDefault="00E6764B" w:rsidP="00BF082B">
      <w:pPr>
        <w:pStyle w:val="Textonotapie"/>
        <w:spacing w:after="0"/>
      </w:pPr>
    </w:p>
  </w:footnote>
  <w:footnote w:id="455">
    <w:p w14:paraId="21F2279C"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53.</w:t>
      </w:r>
    </w:p>
    <w:p w14:paraId="61E658B2" w14:textId="77777777" w:rsidR="00E6764B" w:rsidRPr="00BF082B" w:rsidRDefault="00E6764B" w:rsidP="00BF082B">
      <w:pPr>
        <w:pStyle w:val="Textonotapie"/>
        <w:spacing w:after="0"/>
      </w:pPr>
    </w:p>
  </w:footnote>
  <w:footnote w:id="456">
    <w:p w14:paraId="5CE59A60"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78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6F603C6C" w14:textId="77777777" w:rsidR="00E6764B" w:rsidRPr="00BF082B" w:rsidRDefault="00E6764B" w:rsidP="00BF082B">
      <w:pPr>
        <w:pStyle w:val="Textonotapie"/>
        <w:spacing w:after="0"/>
      </w:pPr>
    </w:p>
  </w:footnote>
  <w:footnote w:id="457">
    <w:p w14:paraId="59FAFC7C"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78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0CB507A1" w14:textId="77777777" w:rsidR="00E6764B" w:rsidRPr="00BF082B" w:rsidRDefault="00E6764B" w:rsidP="00BF082B">
      <w:pPr>
        <w:pStyle w:val="Textonotapie"/>
        <w:spacing w:after="0"/>
      </w:pPr>
    </w:p>
  </w:footnote>
  <w:footnote w:id="458">
    <w:p w14:paraId="17F25227" w14:textId="77777777" w:rsidR="00E6764B" w:rsidRPr="00BF082B" w:rsidRDefault="00E6764B" w:rsidP="00BF082B">
      <w:pPr>
        <w:pStyle w:val="Textonotapie"/>
        <w:spacing w:after="0"/>
        <w:rPr>
          <w:i/>
        </w:rPr>
      </w:pPr>
      <w:r w:rsidRPr="00BF082B">
        <w:rPr>
          <w:rStyle w:val="Refdenotaalpie"/>
          <w:sz w:val="16"/>
        </w:rPr>
        <w:footnoteRef/>
      </w:r>
      <w:r w:rsidRPr="00BF082B">
        <w:t xml:space="preserve"> </w:t>
      </w:r>
      <w:r w:rsidRPr="00BF082B">
        <w:tab/>
      </w:r>
      <w:r w:rsidRPr="00BF082B">
        <w:rPr>
          <w:i/>
          <w:lang w:val="es-CR"/>
        </w:rPr>
        <w:t>Diccionario de la Lengua Española, Real Academia Española, 2018</w:t>
      </w:r>
      <w:r w:rsidRPr="00BF082B">
        <w:rPr>
          <w:i/>
        </w:rPr>
        <w:t>.</w:t>
      </w:r>
    </w:p>
    <w:p w14:paraId="46467184" w14:textId="77777777" w:rsidR="00E6764B" w:rsidRPr="00BF082B" w:rsidRDefault="00E6764B" w:rsidP="00BF082B">
      <w:pPr>
        <w:pStyle w:val="Textonotapie"/>
        <w:spacing w:after="0"/>
        <w:rPr>
          <w:i/>
        </w:rPr>
      </w:pPr>
    </w:p>
  </w:footnote>
  <w:footnote w:id="459">
    <w:p w14:paraId="177DBC82"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79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4DB57BC0" w14:textId="77777777" w:rsidR="00E6764B" w:rsidRPr="00BF082B" w:rsidRDefault="00E6764B" w:rsidP="00BF082B">
      <w:pPr>
        <w:pStyle w:val="Textonotapie"/>
        <w:spacing w:after="0"/>
      </w:pPr>
    </w:p>
  </w:footnote>
  <w:footnote w:id="460">
    <w:p w14:paraId="46595B40"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53.</w:t>
      </w:r>
    </w:p>
    <w:p w14:paraId="6D0E92AB" w14:textId="77777777" w:rsidR="00E6764B" w:rsidRPr="00BF082B" w:rsidRDefault="00E6764B" w:rsidP="00BF082B">
      <w:pPr>
        <w:pStyle w:val="Textonotapie"/>
        <w:spacing w:after="0"/>
      </w:pPr>
    </w:p>
  </w:footnote>
  <w:footnote w:id="461">
    <w:p w14:paraId="631DA3F4"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r>
      <w:proofErr w:type="spellStart"/>
      <w:r w:rsidRPr="00BF082B">
        <w:rPr>
          <w:i/>
        </w:rPr>
        <w:t>Diccionario</w:t>
      </w:r>
      <w:proofErr w:type="spellEnd"/>
      <w:r w:rsidRPr="00BF082B">
        <w:rPr>
          <w:i/>
        </w:rPr>
        <w:t xml:space="preserve"> de la </w:t>
      </w:r>
      <w:proofErr w:type="spellStart"/>
      <w:r w:rsidRPr="00BF082B">
        <w:rPr>
          <w:i/>
        </w:rPr>
        <w:t>Lengua</w:t>
      </w:r>
      <w:proofErr w:type="spellEnd"/>
      <w:r w:rsidRPr="00BF082B">
        <w:rPr>
          <w:i/>
        </w:rPr>
        <w:t xml:space="preserve"> Española</w:t>
      </w:r>
      <w:r w:rsidRPr="00BF082B">
        <w:t>, 2018.</w:t>
      </w:r>
    </w:p>
    <w:p w14:paraId="0327AEF9" w14:textId="77777777" w:rsidR="00E6764B" w:rsidRPr="00BF082B" w:rsidRDefault="00E6764B" w:rsidP="00BF082B">
      <w:pPr>
        <w:pStyle w:val="Textonotapie"/>
        <w:spacing w:after="0"/>
      </w:pPr>
    </w:p>
  </w:footnote>
  <w:footnote w:id="462">
    <w:p w14:paraId="24702614"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53.</w:t>
      </w:r>
    </w:p>
    <w:p w14:paraId="7D7199C4" w14:textId="77777777" w:rsidR="00E6764B" w:rsidRPr="00BF082B" w:rsidRDefault="00E6764B" w:rsidP="00BF082B">
      <w:pPr>
        <w:pStyle w:val="Textonotapie"/>
        <w:spacing w:after="0"/>
      </w:pPr>
    </w:p>
  </w:footnote>
  <w:footnote w:id="463">
    <w:p w14:paraId="0A24F682"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Para. 33, d).</w:t>
      </w:r>
    </w:p>
    <w:p w14:paraId="471187E8" w14:textId="77777777" w:rsidR="00E6764B" w:rsidRPr="00BF082B" w:rsidRDefault="00E6764B" w:rsidP="00BF082B">
      <w:pPr>
        <w:pStyle w:val="Textonotapie"/>
        <w:spacing w:after="0"/>
      </w:pPr>
      <w:r w:rsidRPr="00BF082B">
        <w:t xml:space="preserve"> </w:t>
      </w:r>
    </w:p>
  </w:footnote>
  <w:footnote w:id="464">
    <w:p w14:paraId="0697AF58"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rPr>
          <w:i/>
        </w:rPr>
        <w:t>Idem</w:t>
      </w:r>
      <w:r w:rsidRPr="00BF082B">
        <w:t>.</w:t>
      </w:r>
    </w:p>
    <w:p w14:paraId="042E7134" w14:textId="77777777" w:rsidR="00E6764B" w:rsidRPr="00BF082B" w:rsidRDefault="00E6764B" w:rsidP="00BF082B">
      <w:pPr>
        <w:pStyle w:val="Textonotapie"/>
        <w:spacing w:after="0"/>
      </w:pPr>
    </w:p>
  </w:footnote>
  <w:footnote w:id="465">
    <w:p w14:paraId="04B98E25" w14:textId="5BC26882" w:rsidR="00E6764B" w:rsidRDefault="00E6764B" w:rsidP="00BF082B">
      <w:pPr>
        <w:pStyle w:val="Textonotapie"/>
        <w:spacing w:after="0"/>
      </w:pPr>
      <w:r w:rsidRPr="00BF082B">
        <w:rPr>
          <w:rStyle w:val="Refdenotaalpie"/>
          <w:sz w:val="16"/>
        </w:rPr>
        <w:footnoteRef/>
      </w:r>
      <w:r w:rsidRPr="00BF082B">
        <w:t xml:space="preserve"> </w:t>
      </w:r>
      <w:r w:rsidRPr="00BF082B">
        <w:tab/>
        <w:t xml:space="preserve">Para. 83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4C302947" w14:textId="6EAC71C4" w:rsidR="000555E7" w:rsidRDefault="000555E7" w:rsidP="00BF082B">
      <w:pPr>
        <w:pStyle w:val="Textonotapie"/>
        <w:spacing w:after="0"/>
      </w:pPr>
    </w:p>
    <w:p w14:paraId="68955866" w14:textId="77777777" w:rsidR="000555E7" w:rsidRPr="00BF082B" w:rsidRDefault="000555E7" w:rsidP="00BF082B">
      <w:pPr>
        <w:pStyle w:val="Textonotapie"/>
        <w:spacing w:after="0"/>
      </w:pPr>
    </w:p>
    <w:p w14:paraId="5D8EC209" w14:textId="77777777" w:rsidR="00E6764B" w:rsidRPr="00BF082B" w:rsidRDefault="00E6764B" w:rsidP="00BF082B">
      <w:pPr>
        <w:pStyle w:val="Textonotapie"/>
        <w:spacing w:after="0"/>
      </w:pPr>
    </w:p>
  </w:footnote>
  <w:footnote w:id="466">
    <w:p w14:paraId="48B6ADA2"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84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232FFBF1" w14:textId="77777777" w:rsidR="00E6764B" w:rsidRPr="00BF082B" w:rsidRDefault="00E6764B" w:rsidP="00BF082B">
      <w:pPr>
        <w:pStyle w:val="Textonotapie"/>
        <w:spacing w:after="0"/>
      </w:pPr>
    </w:p>
  </w:footnote>
  <w:footnote w:id="467">
    <w:p w14:paraId="02E10919"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85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0E26AE92" w14:textId="77777777" w:rsidR="00E6764B" w:rsidRPr="00BF082B" w:rsidRDefault="00E6764B" w:rsidP="00BF082B">
      <w:pPr>
        <w:pStyle w:val="Textonotapie"/>
        <w:spacing w:after="0"/>
      </w:pPr>
    </w:p>
  </w:footnote>
  <w:footnote w:id="468">
    <w:p w14:paraId="7D03CA24"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Para.86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156EB347" w14:textId="77777777" w:rsidR="00E6764B" w:rsidRPr="00BF082B" w:rsidRDefault="00E6764B" w:rsidP="00BF082B">
      <w:pPr>
        <w:pStyle w:val="Textonotapie"/>
        <w:spacing w:after="0"/>
      </w:pPr>
    </w:p>
  </w:footnote>
  <w:footnote w:id="469">
    <w:p w14:paraId="52E0695B"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50.</w:t>
      </w:r>
    </w:p>
    <w:p w14:paraId="0636BB9A" w14:textId="77777777" w:rsidR="00E6764B" w:rsidRPr="00BF082B" w:rsidRDefault="00E6764B" w:rsidP="00BF082B">
      <w:pPr>
        <w:pStyle w:val="Textonotapie"/>
        <w:spacing w:after="0"/>
      </w:pPr>
    </w:p>
  </w:footnote>
  <w:footnote w:id="470">
    <w:p w14:paraId="7CC7B9DD" w14:textId="77777777" w:rsidR="00E6764B" w:rsidRPr="00BF082B" w:rsidRDefault="00E6764B" w:rsidP="00BF082B">
      <w:pPr>
        <w:pStyle w:val="Textonotapie"/>
        <w:spacing w:after="0"/>
      </w:pPr>
      <w:r w:rsidRPr="00BF082B">
        <w:rPr>
          <w:rStyle w:val="Refdenotaalpie"/>
          <w:sz w:val="16"/>
        </w:rPr>
        <w:footnoteRef/>
      </w:r>
      <w:r w:rsidRPr="00BF082B">
        <w:t xml:space="preserve">         Para. 33, d).</w:t>
      </w:r>
    </w:p>
    <w:p w14:paraId="153258F6" w14:textId="77777777" w:rsidR="00E6764B" w:rsidRPr="00BF082B" w:rsidRDefault="00E6764B" w:rsidP="00BF082B">
      <w:pPr>
        <w:pStyle w:val="Textonotapie"/>
        <w:spacing w:after="0"/>
      </w:pPr>
    </w:p>
  </w:footnote>
  <w:footnote w:id="471">
    <w:p w14:paraId="478B8AA4"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Hereinafter, whenever reference is made to the rights “</w:t>
      </w:r>
      <w:r w:rsidRPr="00BF082B">
        <w:rPr>
          <w:i/>
        </w:rPr>
        <w:t>recognized</w:t>
      </w:r>
      <w:r w:rsidRPr="00BF082B">
        <w:t>” in the Convention, it should also be understood to include those “</w:t>
      </w:r>
      <w:r w:rsidRPr="00BF082B">
        <w:rPr>
          <w:i/>
        </w:rPr>
        <w:t>established</w:t>
      </w:r>
      <w:r w:rsidRPr="00BF082B">
        <w:t>”, “</w:t>
      </w:r>
      <w:r w:rsidRPr="00BF082B">
        <w:rPr>
          <w:i/>
        </w:rPr>
        <w:t>guaranteed</w:t>
      </w:r>
      <w:r w:rsidRPr="00BF082B">
        <w:t>”, “</w:t>
      </w:r>
      <w:r w:rsidRPr="00BF082B">
        <w:rPr>
          <w:i/>
        </w:rPr>
        <w:t>enshrined</w:t>
      </w:r>
      <w:r w:rsidRPr="00BF082B">
        <w:t>” or “</w:t>
      </w:r>
      <w:r w:rsidRPr="00BF082B">
        <w:rPr>
          <w:i/>
        </w:rPr>
        <w:t>protected”</w:t>
      </w:r>
      <w:r w:rsidRPr="00BF082B">
        <w:t xml:space="preserve"> therein.</w:t>
      </w:r>
    </w:p>
    <w:p w14:paraId="4F529509" w14:textId="77777777" w:rsidR="00E6764B" w:rsidRPr="00BF082B" w:rsidRDefault="00E6764B" w:rsidP="00BF082B">
      <w:pPr>
        <w:pStyle w:val="Textonotapie"/>
        <w:spacing w:after="0"/>
      </w:pPr>
    </w:p>
  </w:footnote>
  <w:footnote w:id="472">
    <w:p w14:paraId="2E2C63D8"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85 of the </w:t>
      </w:r>
      <w:proofErr w:type="gramStart"/>
      <w:r w:rsidRPr="00BF082B">
        <w:t>Ruling[</w:t>
      </w:r>
      <w:proofErr w:type="gramEnd"/>
      <w:r w:rsidRPr="00BF082B">
        <w:t xml:space="preserve">Case of </w:t>
      </w:r>
      <w:proofErr w:type="spellStart"/>
      <w:r w:rsidRPr="00BF082B">
        <w:t>Cuscúl</w:t>
      </w:r>
      <w:proofErr w:type="spellEnd"/>
      <w:r w:rsidRPr="00BF082B">
        <w:t xml:space="preserve"> </w:t>
      </w:r>
      <w:proofErr w:type="spellStart"/>
      <w:r w:rsidRPr="00BF082B">
        <w:t>Pivaral</w:t>
      </w:r>
      <w:proofErr w:type="spellEnd"/>
      <w:r w:rsidRPr="00BF082B">
        <w:t>]</w:t>
      </w:r>
    </w:p>
    <w:p w14:paraId="77FF2CAF" w14:textId="77777777" w:rsidR="00E6764B" w:rsidRPr="00BF082B" w:rsidRDefault="00E6764B" w:rsidP="00BF082B">
      <w:pPr>
        <w:pStyle w:val="Textonotapie"/>
        <w:spacing w:after="0"/>
      </w:pPr>
    </w:p>
  </w:footnote>
  <w:footnote w:id="473">
    <w:p w14:paraId="13621FE7"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Paras. 88 and 89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366E8ACE" w14:textId="77777777" w:rsidR="00E6764B" w:rsidRPr="00BF082B" w:rsidRDefault="00E6764B" w:rsidP="00BF082B">
      <w:pPr>
        <w:pStyle w:val="Textonotapie"/>
        <w:spacing w:after="0"/>
      </w:pPr>
    </w:p>
  </w:footnote>
  <w:footnote w:id="474">
    <w:p w14:paraId="49CFC8EB"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89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435BAF2B" w14:textId="77777777" w:rsidR="00E6764B" w:rsidRPr="00BF082B" w:rsidRDefault="00E6764B" w:rsidP="00BF082B">
      <w:pPr>
        <w:pStyle w:val="Textonotapie"/>
        <w:spacing w:after="0"/>
      </w:pPr>
    </w:p>
  </w:footnote>
  <w:footnote w:id="475">
    <w:p w14:paraId="2F5BEF9F" w14:textId="77777777" w:rsidR="00E6764B" w:rsidRPr="00BF082B" w:rsidRDefault="00E6764B" w:rsidP="00BF082B">
      <w:pPr>
        <w:autoSpaceDE w:val="0"/>
        <w:autoSpaceDN w:val="0"/>
        <w:rPr>
          <w:rFonts w:ascii="Verdana" w:hAnsi="Verdana"/>
          <w:i/>
          <w:sz w:val="16"/>
          <w:szCs w:val="16"/>
          <w:lang w:val="en-US"/>
        </w:rPr>
      </w:pPr>
      <w:r w:rsidRPr="00BF082B">
        <w:rPr>
          <w:rStyle w:val="Refdenotaalpie"/>
          <w:sz w:val="16"/>
          <w:szCs w:val="16"/>
          <w:lang w:val="en-US"/>
        </w:rPr>
        <w:footnoteRef/>
      </w:r>
      <w:r w:rsidRPr="00BF082B">
        <w:rPr>
          <w:rFonts w:ascii="Verdana" w:hAnsi="Verdana"/>
          <w:sz w:val="16"/>
          <w:szCs w:val="16"/>
          <w:lang w:val="en-US"/>
        </w:rPr>
        <w:t xml:space="preserve"> </w:t>
      </w:r>
      <w:r w:rsidRPr="00BF082B">
        <w:rPr>
          <w:rFonts w:ascii="Verdana" w:hAnsi="Verdana"/>
          <w:sz w:val="16"/>
          <w:szCs w:val="16"/>
          <w:lang w:val="en-US"/>
        </w:rPr>
        <w:tab/>
        <w:t xml:space="preserve">Article </w:t>
      </w:r>
      <w:r w:rsidRPr="00BF082B">
        <w:rPr>
          <w:rFonts w:ascii="Verdana" w:hAnsi="Verdana"/>
          <w:bCs/>
          <w:sz w:val="16"/>
          <w:szCs w:val="16"/>
          <w:lang w:val="en-US"/>
        </w:rPr>
        <w:t xml:space="preserve">39: </w:t>
      </w:r>
      <w:r w:rsidRPr="00BF082B">
        <w:rPr>
          <w:rFonts w:ascii="Verdana" w:hAnsi="Verdana"/>
          <w:bCs/>
          <w:i/>
          <w:sz w:val="16"/>
          <w:szCs w:val="16"/>
          <w:lang w:val="en-US"/>
        </w:rPr>
        <w:t xml:space="preserve">“General rule regarding the amendment of treaties. </w:t>
      </w:r>
      <w:r w:rsidRPr="00BF082B">
        <w:rPr>
          <w:rFonts w:ascii="Verdana" w:hAnsi="Verdana"/>
          <w:i/>
          <w:sz w:val="16"/>
          <w:szCs w:val="16"/>
          <w:lang w:val="en-US"/>
        </w:rPr>
        <w:t>A treaty may be amended by agreement between the parties. The rules laid down in Part II apply to such an agreement except insofar as the treaty may otherwise provide.”</w:t>
      </w:r>
    </w:p>
    <w:p w14:paraId="750468EC"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bCs/>
          <w:i/>
          <w:sz w:val="16"/>
          <w:szCs w:val="16"/>
          <w:lang w:val="en-US"/>
        </w:rPr>
        <w:t>Article 40: “</w:t>
      </w:r>
      <w:r w:rsidRPr="00BF082B">
        <w:rPr>
          <w:rFonts w:ascii="Verdana" w:hAnsi="Verdana"/>
          <w:i/>
          <w:sz w:val="16"/>
          <w:szCs w:val="16"/>
          <w:lang w:val="en-US"/>
        </w:rPr>
        <w:t>Amendment of multilateral treaties</w:t>
      </w:r>
      <w:r w:rsidRPr="00BF082B">
        <w:rPr>
          <w:rFonts w:ascii="Verdana" w:hAnsi="Verdana"/>
          <w:bCs/>
          <w:i/>
          <w:sz w:val="16"/>
          <w:szCs w:val="16"/>
          <w:lang w:val="en-US"/>
        </w:rPr>
        <w:t xml:space="preserve">. </w:t>
      </w:r>
      <w:r w:rsidRPr="00BF082B">
        <w:rPr>
          <w:rFonts w:ascii="Verdana" w:hAnsi="Verdana"/>
          <w:i/>
          <w:sz w:val="16"/>
          <w:szCs w:val="16"/>
          <w:lang w:val="en-US"/>
        </w:rPr>
        <w:t>1. Unless the treaty otherwise provides, the amendment of multilateral treaties shall be governed by the following paragraphs.</w:t>
      </w:r>
    </w:p>
    <w:p w14:paraId="453A0E7C"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2. Any proposal to amend a multilateral treaty as between all the parties must be notified to all the contracting States, each one of which shall have the right to take part in:</w:t>
      </w:r>
    </w:p>
    <w:p w14:paraId="5F4A827D"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 xml:space="preserve">a) the decision as to the action to be taken in regard to such proposal; </w:t>
      </w:r>
    </w:p>
    <w:p w14:paraId="487CCE46"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b) the negotiation and conclusion of any agreement for the amendment of the treaty.</w:t>
      </w:r>
    </w:p>
    <w:p w14:paraId="77023D9A"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3. Every State entitled to become a party to the treaty shall also be entitled to become a party to the treaty as amended.</w:t>
      </w:r>
    </w:p>
    <w:p w14:paraId="2C02258C"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4. The amending agreement does not bind any State already a party to the treaty which does not become a party to the amending agreement; article 30, paragraph 4 (b), applies in relation to such State.</w:t>
      </w:r>
    </w:p>
    <w:p w14:paraId="69673536"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5. Any State which becomes a party to the treaty after the entry into force of the amending agreement shall, failing an expression of a different intention by that State:</w:t>
      </w:r>
    </w:p>
    <w:p w14:paraId="37715227"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 xml:space="preserve">a) be considered as a party to the treaty as amended; and </w:t>
      </w:r>
    </w:p>
    <w:p w14:paraId="11696D79"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b) be considered as a party to the unamended treaty in relation to any party to the treaty not bound by the amending agreement</w:t>
      </w:r>
      <w:r w:rsidRPr="00BF082B">
        <w:rPr>
          <w:rFonts w:ascii="Verdana" w:hAnsi="Verdana"/>
          <w:sz w:val="16"/>
          <w:szCs w:val="16"/>
          <w:lang w:val="en-US"/>
        </w:rPr>
        <w:t>.”</w:t>
      </w:r>
    </w:p>
    <w:p w14:paraId="1499837E" w14:textId="77777777" w:rsidR="00E6764B" w:rsidRPr="00BF082B" w:rsidRDefault="00E6764B" w:rsidP="00BF082B">
      <w:pPr>
        <w:autoSpaceDE w:val="0"/>
        <w:autoSpaceDN w:val="0"/>
        <w:rPr>
          <w:rFonts w:ascii="Verdana" w:hAnsi="Verdana"/>
          <w:bCs/>
          <w:i/>
          <w:sz w:val="16"/>
          <w:szCs w:val="16"/>
          <w:lang w:val="en-US"/>
        </w:rPr>
      </w:pPr>
      <w:r w:rsidRPr="00BF082B">
        <w:rPr>
          <w:rFonts w:ascii="Verdana" w:hAnsi="Verdana"/>
          <w:bCs/>
          <w:sz w:val="16"/>
          <w:szCs w:val="16"/>
          <w:lang w:val="en-US"/>
        </w:rPr>
        <w:t>Article 41: “</w:t>
      </w:r>
      <w:r w:rsidRPr="00BF082B">
        <w:rPr>
          <w:rFonts w:ascii="Verdana" w:hAnsi="Verdana"/>
          <w:bCs/>
          <w:i/>
          <w:sz w:val="16"/>
          <w:szCs w:val="16"/>
          <w:lang w:val="en-US"/>
        </w:rPr>
        <w:t xml:space="preserve">1. </w:t>
      </w:r>
      <w:r w:rsidRPr="00BF082B">
        <w:rPr>
          <w:rFonts w:ascii="Verdana" w:hAnsi="Verdana"/>
          <w:i/>
          <w:sz w:val="16"/>
          <w:szCs w:val="16"/>
          <w:lang w:val="en-US"/>
        </w:rPr>
        <w:t>Agreements to modify multilateral treaties between certain of the parties only</w:t>
      </w:r>
      <w:r w:rsidRPr="00BF082B">
        <w:rPr>
          <w:rFonts w:ascii="Verdana" w:hAnsi="Verdana"/>
          <w:bCs/>
          <w:i/>
          <w:sz w:val="16"/>
          <w:szCs w:val="16"/>
          <w:lang w:val="en-US"/>
        </w:rPr>
        <w:t xml:space="preserve">. </w:t>
      </w:r>
      <w:r w:rsidRPr="00BF082B">
        <w:rPr>
          <w:rFonts w:ascii="Verdana" w:hAnsi="Verdana"/>
          <w:i/>
          <w:sz w:val="16"/>
          <w:szCs w:val="16"/>
          <w:lang w:val="en-US"/>
        </w:rPr>
        <w:t>1. Two or more of the parties to a multilateral treaty may conclude an agreement to modify the treaty as between themselves alone if:</w:t>
      </w:r>
    </w:p>
    <w:p w14:paraId="605625A7"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 xml:space="preserve">a) the possibility of such a modification is provided for by the treaty; or </w:t>
      </w:r>
    </w:p>
    <w:p w14:paraId="63EF704D"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 xml:space="preserve">b) the modification in question is not prohibited by the treaty and: </w:t>
      </w:r>
    </w:p>
    <w:p w14:paraId="73B424BE" w14:textId="77777777" w:rsidR="00E6764B" w:rsidRPr="00BF082B" w:rsidRDefault="00E6764B" w:rsidP="00BF082B">
      <w:pPr>
        <w:autoSpaceDE w:val="0"/>
        <w:autoSpaceDN w:val="0"/>
        <w:rPr>
          <w:rFonts w:ascii="Verdana" w:hAnsi="Verdana"/>
          <w:i/>
          <w:sz w:val="16"/>
          <w:szCs w:val="16"/>
          <w:lang w:val="en-US"/>
        </w:rPr>
      </w:pPr>
      <w:proofErr w:type="spellStart"/>
      <w:r w:rsidRPr="00BF082B">
        <w:rPr>
          <w:rFonts w:ascii="Verdana" w:hAnsi="Verdana"/>
          <w:i/>
          <w:sz w:val="16"/>
          <w:szCs w:val="16"/>
          <w:lang w:val="en-US"/>
        </w:rPr>
        <w:t>i</w:t>
      </w:r>
      <w:proofErr w:type="spellEnd"/>
      <w:r w:rsidRPr="00BF082B">
        <w:rPr>
          <w:rFonts w:ascii="Verdana" w:hAnsi="Verdana"/>
          <w:i/>
          <w:sz w:val="16"/>
          <w:szCs w:val="16"/>
          <w:lang w:val="en-US"/>
        </w:rPr>
        <w:t xml:space="preserve">) does not affect the enjoyment by the other parties of their rights under the treaty or the performance of their obligations; </w:t>
      </w:r>
    </w:p>
    <w:p w14:paraId="60F28701"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ii) does not relate to a provision, derogation from which is incompatible with the effective execution of the object and purpose of the treaty as a whole</w:t>
      </w:r>
      <w:r w:rsidRPr="00BF082B">
        <w:rPr>
          <w:rFonts w:ascii="Verdana" w:hAnsi="Verdana"/>
          <w:sz w:val="16"/>
          <w:szCs w:val="16"/>
          <w:lang w:val="en-US"/>
        </w:rPr>
        <w:t>.</w:t>
      </w:r>
    </w:p>
    <w:p w14:paraId="5332267A" w14:textId="77777777" w:rsidR="00E6764B" w:rsidRPr="00BF082B" w:rsidRDefault="00E6764B" w:rsidP="00BF082B">
      <w:pPr>
        <w:autoSpaceDE w:val="0"/>
        <w:autoSpaceDN w:val="0"/>
        <w:rPr>
          <w:rFonts w:ascii="Verdana" w:hAnsi="Verdana"/>
          <w:i/>
          <w:sz w:val="16"/>
          <w:szCs w:val="16"/>
          <w:lang w:val="en-US"/>
        </w:rPr>
      </w:pPr>
      <w:r w:rsidRPr="00BF082B">
        <w:rPr>
          <w:rFonts w:ascii="Verdana" w:hAnsi="Verdana"/>
          <w:i/>
          <w:sz w:val="16"/>
          <w:szCs w:val="16"/>
          <w:lang w:val="en-US"/>
        </w:rPr>
        <w:t>2. Unless in a case falling under paragraph 1 (a) the treaty otherwise provides, the parties in question shall notify the other parties of their intention to conclude the agreement and of the modification to the treaty for which it provides.”</w:t>
      </w:r>
    </w:p>
    <w:p w14:paraId="45FAEC7D" w14:textId="77777777" w:rsidR="00E6764B" w:rsidRPr="00BF082B" w:rsidRDefault="00E6764B" w:rsidP="00BF082B">
      <w:pPr>
        <w:autoSpaceDE w:val="0"/>
        <w:autoSpaceDN w:val="0"/>
        <w:rPr>
          <w:rFonts w:ascii="Verdana" w:hAnsi="Verdana"/>
          <w:i/>
          <w:sz w:val="16"/>
          <w:szCs w:val="16"/>
          <w:lang w:val="en-US"/>
        </w:rPr>
      </w:pPr>
    </w:p>
  </w:footnote>
  <w:footnote w:id="476">
    <w:p w14:paraId="464F4CE7" w14:textId="0FE278C1" w:rsidR="00E6764B" w:rsidRPr="00BF082B" w:rsidRDefault="00E6764B" w:rsidP="00BF082B">
      <w:pPr>
        <w:rPr>
          <w:rFonts w:ascii="Verdana" w:hAnsi="Verdana"/>
          <w:i/>
          <w:sz w:val="16"/>
          <w:szCs w:val="16"/>
          <w:lang w:val="en-US"/>
        </w:rPr>
      </w:pPr>
      <w:r w:rsidRPr="00BF082B">
        <w:rPr>
          <w:rStyle w:val="Refdenotaalpie"/>
          <w:sz w:val="16"/>
          <w:szCs w:val="16"/>
          <w:lang w:val="en-US"/>
        </w:rPr>
        <w:footnoteRef/>
      </w:r>
      <w:r w:rsidRPr="00BF082B">
        <w:rPr>
          <w:rFonts w:ascii="Verdana" w:hAnsi="Verdana"/>
          <w:sz w:val="16"/>
          <w:szCs w:val="16"/>
          <w:lang w:val="en-US"/>
        </w:rPr>
        <w:t xml:space="preserve"> </w:t>
      </w:r>
      <w:r w:rsidR="000555E7">
        <w:rPr>
          <w:rFonts w:ascii="Verdana" w:hAnsi="Verdana"/>
          <w:sz w:val="16"/>
          <w:szCs w:val="16"/>
          <w:lang w:val="en-US"/>
        </w:rPr>
        <w:t xml:space="preserve">        </w:t>
      </w:r>
      <w:r w:rsidRPr="00BF082B">
        <w:rPr>
          <w:rFonts w:ascii="Verdana" w:hAnsi="Verdana"/>
          <w:sz w:val="16"/>
          <w:szCs w:val="16"/>
          <w:lang w:val="en-US"/>
        </w:rPr>
        <w:t>Footnote 16</w:t>
      </w:r>
    </w:p>
    <w:p w14:paraId="6B461D6C" w14:textId="77777777" w:rsidR="00E6764B" w:rsidRPr="00BF082B" w:rsidRDefault="00E6764B" w:rsidP="00BF082B">
      <w:pPr>
        <w:rPr>
          <w:rFonts w:ascii="Verdana" w:hAnsi="Verdana"/>
          <w:i/>
          <w:sz w:val="16"/>
          <w:szCs w:val="16"/>
          <w:lang w:val="en-US"/>
        </w:rPr>
      </w:pPr>
    </w:p>
  </w:footnote>
  <w:footnote w:id="477">
    <w:p w14:paraId="7BE39A76" w14:textId="5C0D78F7" w:rsidR="00E6764B" w:rsidRPr="00BF082B" w:rsidRDefault="00E6764B" w:rsidP="00BF082B">
      <w:pPr>
        <w:rPr>
          <w:rFonts w:ascii="Verdana" w:hAnsi="Verdana"/>
          <w:i/>
          <w:sz w:val="16"/>
          <w:szCs w:val="16"/>
          <w:lang w:val="en-US"/>
        </w:rPr>
      </w:pPr>
      <w:r w:rsidRPr="00BF082B">
        <w:rPr>
          <w:rStyle w:val="Refdenotaalpie"/>
          <w:sz w:val="16"/>
          <w:szCs w:val="16"/>
          <w:lang w:val="en-US"/>
        </w:rPr>
        <w:footnoteRef/>
      </w:r>
      <w:r w:rsidRPr="00BF082B">
        <w:rPr>
          <w:rFonts w:ascii="Verdana" w:hAnsi="Verdana"/>
          <w:sz w:val="16"/>
          <w:szCs w:val="16"/>
          <w:lang w:val="en-US"/>
        </w:rPr>
        <w:t xml:space="preserve"> </w:t>
      </w:r>
      <w:r w:rsidR="000555E7">
        <w:rPr>
          <w:rFonts w:ascii="Verdana" w:hAnsi="Verdana"/>
          <w:sz w:val="16"/>
          <w:szCs w:val="16"/>
          <w:lang w:val="en-US"/>
        </w:rPr>
        <w:t xml:space="preserve">        </w:t>
      </w:r>
      <w:r w:rsidRPr="00BF082B">
        <w:rPr>
          <w:rFonts w:ascii="Verdana" w:hAnsi="Verdana"/>
          <w:i/>
          <w:sz w:val="16"/>
          <w:szCs w:val="16"/>
          <w:lang w:val="en-US"/>
        </w:rPr>
        <w:t>Idem.</w:t>
      </w:r>
      <w:r w:rsidRPr="00BF082B">
        <w:rPr>
          <w:rFonts w:ascii="Verdana" w:hAnsi="Verdana"/>
          <w:sz w:val="16"/>
          <w:szCs w:val="16"/>
          <w:lang w:val="en-US"/>
        </w:rPr>
        <w:t xml:space="preserve"> </w:t>
      </w:r>
    </w:p>
    <w:p w14:paraId="65A9A62A" w14:textId="77777777" w:rsidR="00E6764B" w:rsidRPr="00BF082B" w:rsidRDefault="00E6764B" w:rsidP="00BF082B">
      <w:pPr>
        <w:pStyle w:val="Textonotapie"/>
        <w:spacing w:after="0"/>
      </w:pPr>
    </w:p>
  </w:footnote>
  <w:footnote w:id="478">
    <w:p w14:paraId="3858787E" w14:textId="22B4F9A9" w:rsidR="00E6764B" w:rsidRPr="00BF082B" w:rsidRDefault="00E6764B" w:rsidP="00BF082B">
      <w:pPr>
        <w:pStyle w:val="Textonotapie"/>
        <w:spacing w:after="0"/>
      </w:pPr>
      <w:r w:rsidRPr="00BF082B">
        <w:rPr>
          <w:rStyle w:val="Refdenotaalpie"/>
          <w:sz w:val="16"/>
        </w:rPr>
        <w:footnoteRef/>
      </w:r>
      <w:r w:rsidRPr="00BF082B">
        <w:t xml:space="preserve"> </w:t>
      </w:r>
      <w:r w:rsidRPr="00BF082B">
        <w:tab/>
      </w:r>
      <w:r w:rsidR="000555E7">
        <w:t xml:space="preserve">  </w:t>
      </w:r>
      <w:r w:rsidRPr="00BF082B">
        <w:t xml:space="preserve">Paras. 82 and 85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35134E72" w14:textId="77777777" w:rsidR="00E6764B" w:rsidRPr="00BF082B" w:rsidRDefault="00E6764B" w:rsidP="00BF082B">
      <w:pPr>
        <w:pStyle w:val="Textonotapie"/>
        <w:spacing w:after="0"/>
      </w:pPr>
    </w:p>
  </w:footnote>
  <w:footnote w:id="479">
    <w:p w14:paraId="40B528A1" w14:textId="45272E20" w:rsidR="00E6764B" w:rsidRPr="00BF082B" w:rsidRDefault="00E6764B" w:rsidP="00BF082B">
      <w:pPr>
        <w:pStyle w:val="Textonotapie"/>
        <w:spacing w:after="0"/>
      </w:pPr>
      <w:r w:rsidRPr="00BF082B">
        <w:rPr>
          <w:rStyle w:val="Refdenotaalpie"/>
          <w:sz w:val="16"/>
        </w:rPr>
        <w:footnoteRef/>
      </w:r>
      <w:r w:rsidRPr="00BF082B">
        <w:t xml:space="preserve"> </w:t>
      </w:r>
      <w:r w:rsidRPr="00BF082B">
        <w:tab/>
      </w:r>
      <w:r w:rsidR="000555E7">
        <w:t xml:space="preserve">  </w:t>
      </w:r>
      <w:r w:rsidRPr="00BF082B">
        <w:t>Footnote 50.</w:t>
      </w:r>
    </w:p>
    <w:p w14:paraId="00E491B1" w14:textId="77777777" w:rsidR="00E6764B" w:rsidRPr="00BF082B" w:rsidRDefault="00E6764B" w:rsidP="00BF082B">
      <w:pPr>
        <w:pStyle w:val="Textonotapie"/>
        <w:spacing w:after="0"/>
      </w:pPr>
    </w:p>
  </w:footnote>
  <w:footnote w:id="480">
    <w:p w14:paraId="5BB5E7AD" w14:textId="18E9FF7A" w:rsidR="00E6764B" w:rsidRPr="00BF082B" w:rsidRDefault="00E6764B" w:rsidP="00BF082B">
      <w:pPr>
        <w:rPr>
          <w:rFonts w:ascii="Verdana" w:hAnsi="Verdana" w:cstheme="minorHAnsi"/>
          <w:i/>
          <w:sz w:val="16"/>
          <w:szCs w:val="16"/>
          <w:lang w:val="en-US"/>
        </w:rPr>
      </w:pPr>
      <w:r w:rsidRPr="00BF082B">
        <w:rPr>
          <w:rStyle w:val="Refdenotaalpie"/>
          <w:sz w:val="16"/>
          <w:szCs w:val="16"/>
          <w:lang w:val="en-US"/>
        </w:rPr>
        <w:footnoteRef/>
      </w:r>
      <w:r w:rsidRPr="00BF082B">
        <w:rPr>
          <w:rFonts w:ascii="Verdana" w:hAnsi="Verdana"/>
          <w:sz w:val="16"/>
          <w:szCs w:val="16"/>
          <w:lang w:val="en-US"/>
        </w:rPr>
        <w:t xml:space="preserve"> </w:t>
      </w:r>
      <w:r w:rsidR="000555E7">
        <w:rPr>
          <w:rFonts w:ascii="Verdana" w:hAnsi="Verdana"/>
          <w:sz w:val="16"/>
          <w:szCs w:val="16"/>
          <w:lang w:val="en-US"/>
        </w:rPr>
        <w:t xml:space="preserve">        </w:t>
      </w:r>
      <w:r w:rsidRPr="00BF082B">
        <w:rPr>
          <w:rFonts w:ascii="Verdana" w:hAnsi="Verdana"/>
          <w:sz w:val="16"/>
          <w:szCs w:val="16"/>
          <w:lang w:val="en-US"/>
        </w:rPr>
        <w:t>Para. 17</w:t>
      </w:r>
    </w:p>
    <w:p w14:paraId="6C85B069" w14:textId="77777777" w:rsidR="00E6764B" w:rsidRPr="00BF082B" w:rsidRDefault="00E6764B" w:rsidP="00BF082B">
      <w:pPr>
        <w:pStyle w:val="Textonotapie"/>
        <w:spacing w:after="0"/>
      </w:pPr>
    </w:p>
  </w:footnote>
  <w:footnote w:id="481">
    <w:p w14:paraId="5FCDAC45"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Paras. 83 to 86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7056C448" w14:textId="77777777" w:rsidR="00E6764B" w:rsidRPr="00BF082B" w:rsidRDefault="00E6764B" w:rsidP="00BF082B">
      <w:pPr>
        <w:pStyle w:val="Textonotapie"/>
        <w:spacing w:after="0"/>
      </w:pPr>
    </w:p>
  </w:footnote>
  <w:footnote w:id="482">
    <w:p w14:paraId="4BB4E99A"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86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7672A510" w14:textId="77777777" w:rsidR="00E6764B" w:rsidRPr="00BF082B" w:rsidRDefault="00E6764B" w:rsidP="00BF082B">
      <w:pPr>
        <w:pStyle w:val="Textonotapie"/>
        <w:spacing w:after="0"/>
      </w:pPr>
    </w:p>
  </w:footnote>
  <w:footnote w:id="483">
    <w:p w14:paraId="27335B23"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Footnote 44</w:t>
      </w:r>
    </w:p>
    <w:p w14:paraId="783C1F29" w14:textId="77777777" w:rsidR="00E6764B" w:rsidRPr="00BF082B" w:rsidRDefault="00E6764B" w:rsidP="00BF082B">
      <w:pPr>
        <w:pStyle w:val="Textonotapie"/>
        <w:spacing w:after="0"/>
      </w:pPr>
    </w:p>
  </w:footnote>
  <w:footnote w:id="484">
    <w:p w14:paraId="3871A86E" w14:textId="2304FBBA" w:rsidR="00DF2C5B" w:rsidRDefault="00E6764B" w:rsidP="00BF082B">
      <w:pPr>
        <w:pStyle w:val="Textonotapie"/>
        <w:spacing w:after="0"/>
      </w:pPr>
      <w:r w:rsidRPr="00BF082B">
        <w:rPr>
          <w:rStyle w:val="Refdenotaalpie"/>
          <w:sz w:val="16"/>
        </w:rPr>
        <w:footnoteRef/>
      </w:r>
      <w:r w:rsidRPr="00BF082B">
        <w:t xml:space="preserve"> </w:t>
      </w:r>
      <w:r w:rsidRPr="00BF082B">
        <w:tab/>
        <w:t xml:space="preserve">Paras. 92 and 97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601865C4" w14:textId="77777777" w:rsidR="00DF2C5B" w:rsidRPr="00BF082B" w:rsidRDefault="00DF2C5B" w:rsidP="00BF082B">
      <w:pPr>
        <w:pStyle w:val="Textonotapie"/>
        <w:spacing w:after="0"/>
      </w:pPr>
    </w:p>
    <w:p w14:paraId="30671DC3" w14:textId="77777777" w:rsidR="00E6764B" w:rsidRPr="00BF082B" w:rsidRDefault="00E6764B" w:rsidP="00BF082B">
      <w:pPr>
        <w:pStyle w:val="Textonotapie"/>
        <w:spacing w:after="0"/>
      </w:pPr>
    </w:p>
  </w:footnote>
  <w:footnote w:id="485">
    <w:p w14:paraId="7EED9A67"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32, </w:t>
      </w:r>
      <w:proofErr w:type="spellStart"/>
      <w:r w:rsidRPr="00BF082B">
        <w:t>i</w:t>
      </w:r>
      <w:proofErr w:type="spellEnd"/>
      <w:r w:rsidRPr="00BF082B">
        <w:t>) to m).</w:t>
      </w:r>
    </w:p>
    <w:p w14:paraId="7C495614" w14:textId="77777777" w:rsidR="00E6764B" w:rsidRPr="00BF082B" w:rsidRDefault="00E6764B" w:rsidP="00BF082B">
      <w:pPr>
        <w:pStyle w:val="Textonotapie"/>
        <w:spacing w:after="0"/>
      </w:pPr>
    </w:p>
  </w:footnote>
  <w:footnote w:id="486">
    <w:p w14:paraId="2478366D"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85 of the Ruling [Case of </w:t>
      </w:r>
      <w:proofErr w:type="spellStart"/>
      <w:r w:rsidRPr="00BF082B">
        <w:t>Cuscúl</w:t>
      </w:r>
      <w:proofErr w:type="spellEnd"/>
      <w:r w:rsidRPr="00BF082B">
        <w:t xml:space="preserve"> </w:t>
      </w:r>
      <w:proofErr w:type="spellStart"/>
      <w:r w:rsidRPr="00BF082B">
        <w:t>Pivaral</w:t>
      </w:r>
      <w:proofErr w:type="spellEnd"/>
      <w:r w:rsidRPr="00BF082B">
        <w:t>]</w:t>
      </w:r>
    </w:p>
    <w:p w14:paraId="32CCC280" w14:textId="77777777" w:rsidR="00E6764B" w:rsidRPr="00BF082B" w:rsidRDefault="00E6764B" w:rsidP="00BF082B">
      <w:pPr>
        <w:pStyle w:val="Textonotapie"/>
        <w:spacing w:after="0"/>
      </w:pPr>
    </w:p>
  </w:footnote>
  <w:footnote w:id="487">
    <w:p w14:paraId="744E663D"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Para. 36 of the Judgment.</w:t>
      </w:r>
    </w:p>
    <w:p w14:paraId="7EB525C5" w14:textId="77777777" w:rsidR="00E6764B" w:rsidRPr="00BF082B" w:rsidRDefault="00E6764B" w:rsidP="00BF082B">
      <w:pPr>
        <w:pStyle w:val="Textonotapie"/>
        <w:spacing w:after="0"/>
      </w:pPr>
    </w:p>
  </w:footnote>
  <w:footnote w:id="488">
    <w:p w14:paraId="06770143"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Footnote 44. </w:t>
      </w:r>
    </w:p>
    <w:p w14:paraId="1E782336" w14:textId="77777777" w:rsidR="00E6764B" w:rsidRPr="00BF082B" w:rsidRDefault="00E6764B" w:rsidP="00BF082B">
      <w:pPr>
        <w:pStyle w:val="Textonotapie"/>
        <w:spacing w:after="0"/>
      </w:pPr>
    </w:p>
  </w:footnote>
  <w:footnote w:id="489">
    <w:p w14:paraId="01EB871E" w14:textId="77777777" w:rsidR="00E6764B" w:rsidRPr="00BF082B" w:rsidRDefault="00E6764B" w:rsidP="00BF082B">
      <w:pPr>
        <w:pStyle w:val="Textonotapie"/>
        <w:spacing w:after="0"/>
        <w:rPr>
          <w:i/>
        </w:rPr>
      </w:pPr>
      <w:r w:rsidRPr="00BF082B">
        <w:rPr>
          <w:rStyle w:val="Refdenotaalpie"/>
          <w:sz w:val="16"/>
        </w:rPr>
        <w:footnoteRef/>
      </w:r>
      <w:r w:rsidRPr="00BF082B">
        <w:t xml:space="preserve"> </w:t>
      </w:r>
      <w:r w:rsidRPr="00BF082B">
        <w:tab/>
        <w:t>Article 46: “</w:t>
      </w:r>
      <w:r w:rsidRPr="00BF082B">
        <w:rPr>
          <w:i/>
        </w:rPr>
        <w:t xml:space="preserve">1. </w:t>
      </w:r>
      <w:r w:rsidRPr="00BF082B">
        <w:rPr>
          <w:i/>
          <w:color w:val="000000"/>
        </w:rPr>
        <w:t>Admission by the Commission of a petition or communication lodged in accordance with Articles 44 or 45 shall be subject to the following requirements</w:t>
      </w:r>
      <w:r w:rsidRPr="00BF082B">
        <w:rPr>
          <w:i/>
        </w:rPr>
        <w:t>:</w:t>
      </w:r>
    </w:p>
    <w:p w14:paraId="43AB3BBA" w14:textId="77777777" w:rsidR="00E6764B" w:rsidRPr="00BF082B" w:rsidRDefault="00E6764B" w:rsidP="00BF082B">
      <w:pPr>
        <w:pStyle w:val="Textonotapie"/>
        <w:spacing w:after="0"/>
        <w:rPr>
          <w:i/>
        </w:rPr>
      </w:pPr>
      <w:r w:rsidRPr="00BF082B">
        <w:rPr>
          <w:i/>
        </w:rPr>
        <w:t xml:space="preserve"> a) </w:t>
      </w:r>
      <w:r w:rsidRPr="00BF082B">
        <w:rPr>
          <w:color w:val="000000"/>
        </w:rPr>
        <w:t> </w:t>
      </w:r>
      <w:r w:rsidRPr="00BF082B">
        <w:rPr>
          <w:i/>
          <w:color w:val="000000"/>
        </w:rPr>
        <w:t>that the remedies under domestic law have been pursued and exhausted in accordance with generally recognized principles of international law</w:t>
      </w:r>
      <w:r w:rsidRPr="00BF082B">
        <w:rPr>
          <w:i/>
        </w:rPr>
        <w:t>;</w:t>
      </w:r>
    </w:p>
    <w:p w14:paraId="1B1F2066" w14:textId="77777777" w:rsidR="00E6764B" w:rsidRPr="00BF082B" w:rsidRDefault="00E6764B" w:rsidP="00BF082B">
      <w:pPr>
        <w:pStyle w:val="Textonotapie"/>
        <w:spacing w:after="0"/>
        <w:rPr>
          <w:i/>
        </w:rPr>
      </w:pPr>
      <w:r w:rsidRPr="00BF082B">
        <w:rPr>
          <w:i/>
        </w:rPr>
        <w:t xml:space="preserve"> b) </w:t>
      </w:r>
      <w:r w:rsidRPr="00BF082B">
        <w:rPr>
          <w:i/>
          <w:color w:val="000000"/>
        </w:rPr>
        <w:t>that the petition or communication is lodged within a period of six months from the date on which the party alleging violation of his rights was notified of the final judgment</w:t>
      </w:r>
      <w:r w:rsidRPr="00BF082B">
        <w:rPr>
          <w:i/>
        </w:rPr>
        <w:t>;</w:t>
      </w:r>
    </w:p>
    <w:p w14:paraId="142A9AA9" w14:textId="77777777" w:rsidR="00E6764B" w:rsidRPr="00BF082B" w:rsidRDefault="00E6764B" w:rsidP="00BF082B">
      <w:pPr>
        <w:pStyle w:val="Textonotapie"/>
        <w:spacing w:after="0"/>
        <w:rPr>
          <w:i/>
        </w:rPr>
      </w:pPr>
      <w:r w:rsidRPr="00BF082B">
        <w:rPr>
          <w:i/>
        </w:rPr>
        <w:t xml:space="preserve"> c) </w:t>
      </w:r>
      <w:r w:rsidRPr="00BF082B">
        <w:rPr>
          <w:i/>
          <w:color w:val="000000"/>
        </w:rPr>
        <w:t>that the subject of the petition or communication is not pending in another international proceeding for settlement; and</w:t>
      </w:r>
      <w:r w:rsidRPr="00BF082B">
        <w:rPr>
          <w:i/>
        </w:rPr>
        <w:t xml:space="preserve"> </w:t>
      </w:r>
    </w:p>
    <w:p w14:paraId="417C0250" w14:textId="77777777" w:rsidR="00E6764B" w:rsidRPr="00BF082B" w:rsidRDefault="00E6764B" w:rsidP="00BF082B">
      <w:pPr>
        <w:pStyle w:val="Textonotapie"/>
        <w:spacing w:after="0"/>
        <w:rPr>
          <w:i/>
        </w:rPr>
      </w:pPr>
      <w:r w:rsidRPr="00BF082B">
        <w:rPr>
          <w:i/>
        </w:rPr>
        <w:t xml:space="preserve">d)  </w:t>
      </w:r>
      <w:r w:rsidRPr="00BF082B">
        <w:rPr>
          <w:i/>
          <w:color w:val="000000"/>
        </w:rPr>
        <w:t>that, in the case of Article 44, the petition contains the name, nationality, profession, domicile, and signature of the person or persons or of the legal representative of the entity lodging the petition</w:t>
      </w:r>
      <w:r w:rsidRPr="00BF082B">
        <w:rPr>
          <w:i/>
        </w:rPr>
        <w:t>.</w:t>
      </w:r>
    </w:p>
    <w:p w14:paraId="4D718463" w14:textId="77777777" w:rsidR="00E6764B" w:rsidRPr="00BF082B" w:rsidRDefault="00E6764B" w:rsidP="00BF082B">
      <w:pPr>
        <w:pStyle w:val="Textonotapie"/>
        <w:spacing w:after="0"/>
        <w:rPr>
          <w:i/>
        </w:rPr>
      </w:pPr>
      <w:r w:rsidRPr="00BF082B">
        <w:rPr>
          <w:i/>
        </w:rPr>
        <w:t xml:space="preserve"> 2. </w:t>
      </w:r>
      <w:r w:rsidRPr="00BF082B">
        <w:rPr>
          <w:i/>
          <w:color w:val="000000"/>
        </w:rPr>
        <w:t xml:space="preserve">The provisions of paragraphs 1(a) and 1(b) of this </w:t>
      </w:r>
      <w:proofErr w:type="gramStart"/>
      <w:r w:rsidRPr="00BF082B">
        <w:rPr>
          <w:i/>
          <w:color w:val="000000"/>
        </w:rPr>
        <w:t>article</w:t>
      </w:r>
      <w:proofErr w:type="gramEnd"/>
      <w:r w:rsidRPr="00BF082B">
        <w:rPr>
          <w:i/>
          <w:color w:val="000000"/>
        </w:rPr>
        <w:t xml:space="preserve"> shall not be applicable when:</w:t>
      </w:r>
    </w:p>
    <w:p w14:paraId="16F0B531" w14:textId="77777777" w:rsidR="00E6764B" w:rsidRPr="00BF082B" w:rsidRDefault="00E6764B" w:rsidP="00BF082B">
      <w:pPr>
        <w:pStyle w:val="Textonotapie"/>
        <w:spacing w:after="0"/>
        <w:rPr>
          <w:i/>
        </w:rPr>
      </w:pPr>
      <w:r w:rsidRPr="00BF082B">
        <w:rPr>
          <w:i/>
        </w:rPr>
        <w:t xml:space="preserve"> a) </w:t>
      </w:r>
      <w:r w:rsidRPr="00BF082B">
        <w:rPr>
          <w:i/>
          <w:color w:val="000000"/>
        </w:rPr>
        <w:t>the domestic legislation of the state concerned does not afford due process of law for the protection of the right or rights that have allegedly been violated</w:t>
      </w:r>
      <w:r w:rsidRPr="00BF082B">
        <w:rPr>
          <w:i/>
        </w:rPr>
        <w:t>;</w:t>
      </w:r>
    </w:p>
    <w:p w14:paraId="2B63C981" w14:textId="77777777" w:rsidR="00E6764B" w:rsidRPr="00BF082B" w:rsidRDefault="00E6764B" w:rsidP="00BF082B">
      <w:pPr>
        <w:pStyle w:val="Textonotapie"/>
        <w:spacing w:after="0"/>
        <w:rPr>
          <w:i/>
        </w:rPr>
      </w:pPr>
      <w:r w:rsidRPr="00BF082B">
        <w:rPr>
          <w:i/>
        </w:rPr>
        <w:t xml:space="preserve"> b) </w:t>
      </w:r>
      <w:r w:rsidRPr="00BF082B">
        <w:rPr>
          <w:i/>
          <w:color w:val="000000"/>
        </w:rPr>
        <w:t>the party alleging violation of his rights has been denied access to the remedies under domestic law or has been prevented from exhausting them; or</w:t>
      </w:r>
      <w:r w:rsidRPr="00BF082B">
        <w:rPr>
          <w:i/>
        </w:rPr>
        <w:t xml:space="preserve"> </w:t>
      </w:r>
    </w:p>
    <w:p w14:paraId="2E363640" w14:textId="77777777" w:rsidR="00E6764B" w:rsidRPr="00BF082B" w:rsidRDefault="00E6764B" w:rsidP="00BF082B">
      <w:pPr>
        <w:pStyle w:val="Textonotapie"/>
        <w:spacing w:after="0"/>
        <w:rPr>
          <w:i/>
        </w:rPr>
      </w:pPr>
      <w:r w:rsidRPr="00BF082B">
        <w:rPr>
          <w:i/>
        </w:rPr>
        <w:t xml:space="preserve"> c) </w:t>
      </w:r>
      <w:r w:rsidRPr="00BF082B">
        <w:rPr>
          <w:i/>
          <w:color w:val="000000"/>
        </w:rPr>
        <w:t>there has been unwarranted delay in rendering a final judgment under the aforementioned remedies</w:t>
      </w:r>
      <w:r w:rsidRPr="00BF082B">
        <w:rPr>
          <w:i/>
        </w:rPr>
        <w:t>.”</w:t>
      </w:r>
    </w:p>
    <w:p w14:paraId="70CC0DAA" w14:textId="77777777" w:rsidR="00E6764B" w:rsidRPr="00BF082B" w:rsidRDefault="00E6764B" w:rsidP="00BF082B">
      <w:pPr>
        <w:pStyle w:val="Textonotapie"/>
        <w:spacing w:after="0"/>
        <w:rPr>
          <w:i/>
        </w:rPr>
      </w:pPr>
      <w:r w:rsidRPr="00BF082B">
        <w:t xml:space="preserve">Article 61:” </w:t>
      </w:r>
      <w:r w:rsidRPr="00BF082B">
        <w:rPr>
          <w:i/>
        </w:rPr>
        <w:t xml:space="preserve">1. </w:t>
      </w:r>
      <w:r w:rsidRPr="00BF082B">
        <w:rPr>
          <w:i/>
          <w:color w:val="000000"/>
        </w:rPr>
        <w:t>Only the States Parties and the Commission shall have the right to submit a case to the Court.</w:t>
      </w:r>
      <w:r w:rsidRPr="00BF082B">
        <w:rPr>
          <w:i/>
        </w:rPr>
        <w:t xml:space="preserve"> </w:t>
      </w:r>
    </w:p>
    <w:p w14:paraId="5F35197C" w14:textId="77777777" w:rsidR="00E6764B" w:rsidRPr="00BF082B" w:rsidRDefault="00E6764B" w:rsidP="00BF082B">
      <w:pPr>
        <w:pStyle w:val="Textonotapie"/>
        <w:spacing w:after="0"/>
        <w:rPr>
          <w:i/>
        </w:rPr>
      </w:pPr>
      <w:r w:rsidRPr="00BF082B">
        <w:rPr>
          <w:i/>
        </w:rPr>
        <w:t xml:space="preserve"> 2. </w:t>
      </w:r>
      <w:r w:rsidRPr="00BF082B">
        <w:rPr>
          <w:i/>
          <w:color w:val="000000"/>
        </w:rPr>
        <w:t>In order for the Court to hear a case, it is necessary that the procedures set forth in Articles 48 and 50 shall have been completed</w:t>
      </w:r>
      <w:r w:rsidRPr="00BF082B">
        <w:rPr>
          <w:i/>
        </w:rPr>
        <w:t>.”</w:t>
      </w:r>
    </w:p>
    <w:p w14:paraId="131F8516" w14:textId="77777777" w:rsidR="00E6764B" w:rsidRPr="00BF082B" w:rsidRDefault="00E6764B" w:rsidP="00BF082B">
      <w:pPr>
        <w:pStyle w:val="Textonotapie"/>
        <w:spacing w:after="0"/>
      </w:pPr>
    </w:p>
  </w:footnote>
  <w:footnote w:id="490">
    <w:p w14:paraId="3B416B11" w14:textId="3A301E6B" w:rsidR="00E6764B" w:rsidRDefault="00E6764B" w:rsidP="00BF082B">
      <w:pPr>
        <w:pStyle w:val="Textonotapie"/>
        <w:spacing w:after="0"/>
      </w:pPr>
      <w:r w:rsidRPr="00BF082B">
        <w:rPr>
          <w:rStyle w:val="Refdenotaalpie"/>
          <w:sz w:val="16"/>
        </w:rPr>
        <w:footnoteRef/>
      </w:r>
      <w:r w:rsidRPr="00BF082B">
        <w:t xml:space="preserve">           Footnote 16.</w:t>
      </w:r>
    </w:p>
    <w:p w14:paraId="630BB72D" w14:textId="537F1E0D" w:rsidR="00DF2C5B" w:rsidRDefault="00DF2C5B" w:rsidP="00BF082B">
      <w:pPr>
        <w:pStyle w:val="Textonotapie"/>
        <w:spacing w:after="0"/>
      </w:pPr>
    </w:p>
    <w:p w14:paraId="4EB0B75B" w14:textId="77777777" w:rsidR="00DF2C5B" w:rsidRPr="00BF082B" w:rsidRDefault="00DF2C5B" w:rsidP="00BF082B">
      <w:pPr>
        <w:pStyle w:val="Textonotapie"/>
        <w:spacing w:after="0"/>
      </w:pPr>
    </w:p>
    <w:p w14:paraId="57B54F5B" w14:textId="77777777" w:rsidR="00E6764B" w:rsidRPr="00BF082B" w:rsidRDefault="00E6764B" w:rsidP="00BF082B">
      <w:pPr>
        <w:pStyle w:val="Textonotapie"/>
        <w:spacing w:after="0"/>
      </w:pPr>
    </w:p>
  </w:footnote>
  <w:footnote w:id="491">
    <w:p w14:paraId="61B22A47"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Para. 142. </w:t>
      </w:r>
    </w:p>
    <w:p w14:paraId="0B0CC5EE" w14:textId="77777777" w:rsidR="00E6764B" w:rsidRPr="00BF082B" w:rsidRDefault="00E6764B" w:rsidP="00BF082B">
      <w:pPr>
        <w:pStyle w:val="Textonotapie"/>
        <w:spacing w:after="0"/>
      </w:pPr>
    </w:p>
  </w:footnote>
  <w:footnote w:id="492">
    <w:p w14:paraId="0411F0AA"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The possibility exists that Protocols could be signed that do not imply the inclusion of rights within the protection system. For example, the </w:t>
      </w:r>
      <w:r w:rsidRPr="00BF082B">
        <w:rPr>
          <w:i/>
        </w:rPr>
        <w:t>Protocol to the American Convention on Human Rights to Abolish the Death Penalty</w:t>
      </w:r>
      <w:r w:rsidRPr="00BF082B">
        <w:t>, of 1990, was adopted in consideration that, under paragraph 6 of its Preamble, “</w:t>
      </w:r>
      <w:r w:rsidRPr="00BF082B">
        <w:rPr>
          <w:i/>
        </w:rPr>
        <w:t>an international agreement must be arrived at that will entail a progressive development of the American Convention on Human Rights</w:t>
      </w:r>
      <w:r w:rsidRPr="00BF082B">
        <w:t>.”</w:t>
      </w:r>
    </w:p>
    <w:p w14:paraId="3F4A5BE3" w14:textId="77777777" w:rsidR="00E6764B" w:rsidRPr="00BF082B" w:rsidRDefault="00E6764B" w:rsidP="00BF082B">
      <w:pPr>
        <w:pStyle w:val="Textonotapie"/>
        <w:spacing w:after="0"/>
      </w:pPr>
    </w:p>
  </w:footnote>
  <w:footnote w:id="493">
    <w:p w14:paraId="22B3DACC"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 xml:space="preserve">Article </w:t>
      </w:r>
      <w:proofErr w:type="gramStart"/>
      <w:r w:rsidRPr="00BF082B">
        <w:t>34:“</w:t>
      </w:r>
      <w:proofErr w:type="gramEnd"/>
      <w:r w:rsidRPr="00BF082B">
        <w:rPr>
          <w:rFonts w:cs="Tahoma"/>
          <w:i/>
          <w:shd w:val="clear" w:color="auto" w:fill="FFFFFF"/>
        </w:rPr>
        <w:t>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w:t>
      </w:r>
      <w:r w:rsidRPr="00BF082B">
        <w:rPr>
          <w:i/>
        </w:rPr>
        <w:t>:</w:t>
      </w:r>
    </w:p>
    <w:p w14:paraId="68DD9AF3" w14:textId="77777777" w:rsidR="00E6764B" w:rsidRPr="00BF082B" w:rsidRDefault="00E6764B" w:rsidP="00BF082B">
      <w:pPr>
        <w:pStyle w:val="Textonotapie"/>
        <w:spacing w:after="0"/>
        <w:rPr>
          <w:i/>
        </w:rPr>
      </w:pPr>
      <w:r w:rsidRPr="00BF082B">
        <w:rPr>
          <w:i/>
        </w:rPr>
        <w:t xml:space="preserve">a) </w:t>
      </w:r>
      <w:r w:rsidRPr="00BF082B">
        <w:rPr>
          <w:rFonts w:cs="Tahoma"/>
          <w:i/>
          <w:shd w:val="clear" w:color="auto" w:fill="FFFFFF"/>
        </w:rPr>
        <w:t>Substantial and self-sustained increase of per capita national product</w:t>
      </w:r>
      <w:r w:rsidRPr="00BF082B">
        <w:rPr>
          <w:i/>
        </w:rPr>
        <w:t xml:space="preserve">; </w:t>
      </w:r>
    </w:p>
    <w:p w14:paraId="188E4A20" w14:textId="77777777" w:rsidR="00E6764B" w:rsidRPr="00BF082B" w:rsidRDefault="00E6764B" w:rsidP="00BF082B">
      <w:pPr>
        <w:pStyle w:val="Textonotapie"/>
        <w:spacing w:after="0"/>
        <w:rPr>
          <w:i/>
        </w:rPr>
      </w:pPr>
      <w:r w:rsidRPr="00BF082B">
        <w:rPr>
          <w:i/>
        </w:rPr>
        <w:t xml:space="preserve">b) </w:t>
      </w:r>
      <w:r w:rsidRPr="00BF082B">
        <w:rPr>
          <w:rFonts w:cs="Tahoma"/>
          <w:i/>
          <w:shd w:val="clear" w:color="auto" w:fill="FFFFFF"/>
        </w:rPr>
        <w:t>Equitable distribution of national income;</w:t>
      </w:r>
      <w:r w:rsidRPr="00BF082B">
        <w:rPr>
          <w:i/>
        </w:rPr>
        <w:t xml:space="preserve"> </w:t>
      </w:r>
    </w:p>
    <w:p w14:paraId="25BE6C0B" w14:textId="77777777" w:rsidR="00E6764B" w:rsidRPr="00BF082B" w:rsidRDefault="00E6764B" w:rsidP="00BF082B">
      <w:pPr>
        <w:pStyle w:val="Textonotapie"/>
        <w:spacing w:after="0"/>
        <w:rPr>
          <w:i/>
        </w:rPr>
      </w:pPr>
      <w:r w:rsidRPr="00BF082B">
        <w:rPr>
          <w:i/>
        </w:rPr>
        <w:t xml:space="preserve">c) </w:t>
      </w:r>
      <w:r w:rsidRPr="00BF082B">
        <w:rPr>
          <w:rFonts w:cs="Tahoma"/>
          <w:i/>
          <w:shd w:val="clear" w:color="auto" w:fill="FFFFFF"/>
        </w:rPr>
        <w:t>Adequate and equitable systems of taxation;</w:t>
      </w:r>
      <w:r w:rsidRPr="00BF082B">
        <w:rPr>
          <w:i/>
        </w:rPr>
        <w:t xml:space="preserve"> </w:t>
      </w:r>
    </w:p>
    <w:p w14:paraId="1543A13D" w14:textId="77777777" w:rsidR="00E6764B" w:rsidRPr="00BF082B" w:rsidRDefault="00E6764B" w:rsidP="00BF082B">
      <w:pPr>
        <w:pStyle w:val="Textonotapie"/>
        <w:spacing w:after="0"/>
        <w:rPr>
          <w:i/>
        </w:rPr>
      </w:pPr>
      <w:r w:rsidRPr="00BF082B">
        <w:rPr>
          <w:i/>
        </w:rPr>
        <w:t xml:space="preserve">d) </w:t>
      </w:r>
      <w:r w:rsidRPr="00BF082B">
        <w:rPr>
          <w:rFonts w:cs="Tahoma"/>
          <w:i/>
          <w:shd w:val="clear" w:color="auto" w:fill="FFFFFF"/>
        </w:rPr>
        <w:t>Modernization of rural life and reforms leading to equitable and efficient land-tenure systems, increased agricultural productivity, expanded use of land, diversification of production and improved processing and marketing systems for agricultural products; and the strengthening and expansion of the means to attain these ends</w:t>
      </w:r>
      <w:r w:rsidRPr="00BF082B">
        <w:rPr>
          <w:i/>
        </w:rPr>
        <w:t>;</w:t>
      </w:r>
    </w:p>
    <w:p w14:paraId="5E8D6053" w14:textId="77777777" w:rsidR="00E6764B" w:rsidRPr="00BF082B" w:rsidRDefault="00E6764B" w:rsidP="00BF082B">
      <w:pPr>
        <w:pStyle w:val="Textonotapie"/>
        <w:spacing w:after="0"/>
        <w:rPr>
          <w:i/>
        </w:rPr>
      </w:pPr>
      <w:r w:rsidRPr="00BF082B">
        <w:rPr>
          <w:i/>
        </w:rPr>
        <w:t xml:space="preserve">e) </w:t>
      </w:r>
      <w:r w:rsidRPr="00BF082B">
        <w:rPr>
          <w:rFonts w:cs="Tahoma"/>
          <w:i/>
          <w:shd w:val="clear" w:color="auto" w:fill="FFFFFF"/>
        </w:rPr>
        <w:t>Accelerated and diversified industrialization, especially of capital and intermediate goods;</w:t>
      </w:r>
      <w:r w:rsidRPr="00BF082B">
        <w:rPr>
          <w:i/>
        </w:rPr>
        <w:t xml:space="preserve"> </w:t>
      </w:r>
    </w:p>
    <w:p w14:paraId="70B52EB6" w14:textId="77777777" w:rsidR="00E6764B" w:rsidRPr="00BF082B" w:rsidRDefault="00E6764B" w:rsidP="00BF082B">
      <w:pPr>
        <w:pStyle w:val="Textonotapie"/>
        <w:spacing w:after="0"/>
        <w:rPr>
          <w:i/>
        </w:rPr>
      </w:pPr>
      <w:r w:rsidRPr="00BF082B">
        <w:rPr>
          <w:i/>
        </w:rPr>
        <w:t xml:space="preserve">f) </w:t>
      </w:r>
      <w:r w:rsidRPr="00BF082B">
        <w:rPr>
          <w:rFonts w:cs="Tahoma"/>
          <w:i/>
          <w:shd w:val="clear" w:color="auto" w:fill="FFFFFF"/>
        </w:rPr>
        <w:t>Stability of domestic price levels, compatible with sustained economic development and the attainment of social justice;</w:t>
      </w:r>
      <w:r w:rsidRPr="00BF082B">
        <w:rPr>
          <w:i/>
        </w:rPr>
        <w:t xml:space="preserve"> </w:t>
      </w:r>
    </w:p>
    <w:p w14:paraId="71CDDECC" w14:textId="77777777" w:rsidR="00E6764B" w:rsidRPr="00BF082B" w:rsidRDefault="00E6764B" w:rsidP="00BF082B">
      <w:pPr>
        <w:pStyle w:val="Textonotapie"/>
        <w:spacing w:after="0"/>
        <w:rPr>
          <w:i/>
        </w:rPr>
      </w:pPr>
      <w:r w:rsidRPr="00BF082B">
        <w:rPr>
          <w:i/>
        </w:rPr>
        <w:t xml:space="preserve">g) </w:t>
      </w:r>
      <w:r w:rsidRPr="00BF082B">
        <w:rPr>
          <w:rFonts w:cs="Tahoma"/>
          <w:i/>
          <w:shd w:val="clear" w:color="auto" w:fill="FFFFFF"/>
        </w:rPr>
        <w:t>Fair wages, employment opportunities, and acceptable working conditions for all;</w:t>
      </w:r>
      <w:r w:rsidRPr="00BF082B">
        <w:rPr>
          <w:i/>
        </w:rPr>
        <w:t xml:space="preserve"> </w:t>
      </w:r>
    </w:p>
    <w:p w14:paraId="01E91A7F" w14:textId="77777777" w:rsidR="00E6764B" w:rsidRPr="00BF082B" w:rsidRDefault="00E6764B" w:rsidP="00BF082B">
      <w:pPr>
        <w:pStyle w:val="Textonotapie"/>
        <w:spacing w:after="0"/>
        <w:rPr>
          <w:i/>
        </w:rPr>
      </w:pPr>
      <w:r w:rsidRPr="00BF082B">
        <w:rPr>
          <w:i/>
        </w:rPr>
        <w:t xml:space="preserve">h) </w:t>
      </w:r>
      <w:r w:rsidRPr="00BF082B">
        <w:rPr>
          <w:rFonts w:cs="Tahoma"/>
          <w:i/>
          <w:shd w:val="clear" w:color="auto" w:fill="FFFFFF"/>
        </w:rPr>
        <w:t>Rapid eradication of illiteracy and expansion of educational opportunities for all;</w:t>
      </w:r>
      <w:r w:rsidRPr="00BF082B">
        <w:rPr>
          <w:i/>
        </w:rPr>
        <w:t xml:space="preserve"> </w:t>
      </w:r>
    </w:p>
    <w:p w14:paraId="66AA1A47" w14:textId="77777777" w:rsidR="00E6764B" w:rsidRPr="00BF082B" w:rsidRDefault="00E6764B" w:rsidP="00BF082B">
      <w:pPr>
        <w:pStyle w:val="Textonotapie"/>
        <w:spacing w:after="0"/>
        <w:rPr>
          <w:i/>
        </w:rPr>
      </w:pPr>
      <w:proofErr w:type="spellStart"/>
      <w:r w:rsidRPr="00BF082B">
        <w:rPr>
          <w:i/>
        </w:rPr>
        <w:t>i</w:t>
      </w:r>
      <w:proofErr w:type="spellEnd"/>
      <w:r w:rsidRPr="00BF082B">
        <w:rPr>
          <w:i/>
        </w:rPr>
        <w:t xml:space="preserve">) </w:t>
      </w:r>
      <w:r w:rsidRPr="00BF082B">
        <w:rPr>
          <w:rFonts w:cs="Tahoma"/>
          <w:i/>
          <w:shd w:val="clear" w:color="auto" w:fill="FFFFFF"/>
        </w:rPr>
        <w:t xml:space="preserve">Protection of </w:t>
      </w:r>
      <w:proofErr w:type="gramStart"/>
      <w:r w:rsidRPr="00BF082B">
        <w:rPr>
          <w:rFonts w:cs="Tahoma"/>
          <w:i/>
          <w:shd w:val="clear" w:color="auto" w:fill="FFFFFF"/>
        </w:rPr>
        <w:t>human  potential</w:t>
      </w:r>
      <w:proofErr w:type="gramEnd"/>
      <w:r w:rsidRPr="00BF082B">
        <w:rPr>
          <w:rFonts w:cs="Tahoma"/>
          <w:i/>
          <w:shd w:val="clear" w:color="auto" w:fill="FFFFFF"/>
        </w:rPr>
        <w:t xml:space="preserve"> through the extension and application of modern medical science;</w:t>
      </w:r>
      <w:r w:rsidRPr="00BF082B">
        <w:rPr>
          <w:i/>
        </w:rPr>
        <w:t xml:space="preserve"> </w:t>
      </w:r>
    </w:p>
    <w:p w14:paraId="26BF1314" w14:textId="77777777" w:rsidR="00E6764B" w:rsidRPr="00BF082B" w:rsidRDefault="00E6764B" w:rsidP="00BF082B">
      <w:pPr>
        <w:pStyle w:val="Textonotapie"/>
        <w:spacing w:after="0"/>
        <w:rPr>
          <w:i/>
        </w:rPr>
      </w:pPr>
      <w:r w:rsidRPr="00BF082B">
        <w:rPr>
          <w:i/>
        </w:rPr>
        <w:t xml:space="preserve">j) </w:t>
      </w:r>
      <w:r w:rsidRPr="00BF082B">
        <w:rPr>
          <w:rFonts w:cs="Tahoma"/>
          <w:i/>
          <w:shd w:val="clear" w:color="auto" w:fill="FFFFFF"/>
        </w:rPr>
        <w:t>Proper nutrition, especially through the acceleration of national efforts to increase the production and availability of food;</w:t>
      </w:r>
      <w:r w:rsidRPr="00BF082B">
        <w:rPr>
          <w:i/>
        </w:rPr>
        <w:t xml:space="preserve"> </w:t>
      </w:r>
    </w:p>
    <w:p w14:paraId="0B4BA55C" w14:textId="77777777" w:rsidR="00E6764B" w:rsidRPr="00BF082B" w:rsidRDefault="00E6764B" w:rsidP="00BF082B">
      <w:pPr>
        <w:pStyle w:val="Textonotapie"/>
        <w:spacing w:after="0"/>
        <w:rPr>
          <w:i/>
        </w:rPr>
      </w:pPr>
      <w:r w:rsidRPr="00BF082B">
        <w:rPr>
          <w:i/>
        </w:rPr>
        <w:t xml:space="preserve">k) </w:t>
      </w:r>
      <w:r w:rsidRPr="00BF082B">
        <w:rPr>
          <w:rFonts w:cs="Tahoma"/>
          <w:i/>
          <w:shd w:val="clear" w:color="auto" w:fill="FFFFFF"/>
        </w:rPr>
        <w:t>Adequate housing for all sectors of the population;</w:t>
      </w:r>
      <w:r w:rsidRPr="00BF082B">
        <w:rPr>
          <w:i/>
        </w:rPr>
        <w:t xml:space="preserve"> </w:t>
      </w:r>
    </w:p>
    <w:p w14:paraId="70136BA6" w14:textId="77777777" w:rsidR="00E6764B" w:rsidRPr="00BF082B" w:rsidRDefault="00E6764B" w:rsidP="00BF082B">
      <w:pPr>
        <w:pStyle w:val="Textonotapie"/>
        <w:spacing w:after="0"/>
        <w:rPr>
          <w:i/>
        </w:rPr>
      </w:pPr>
      <w:r w:rsidRPr="00BF082B">
        <w:rPr>
          <w:i/>
        </w:rPr>
        <w:t xml:space="preserve">l)  </w:t>
      </w:r>
      <w:r w:rsidRPr="00BF082B">
        <w:rPr>
          <w:rFonts w:cs="Tahoma"/>
          <w:i/>
          <w:shd w:val="clear" w:color="auto" w:fill="FFFFFF"/>
        </w:rPr>
        <w:t>Urban conditions that offer the opportunity for a healthful, productive, and full life;</w:t>
      </w:r>
      <w:r w:rsidRPr="00BF082B">
        <w:rPr>
          <w:i/>
        </w:rPr>
        <w:t xml:space="preserve"> </w:t>
      </w:r>
    </w:p>
    <w:p w14:paraId="3415A61B" w14:textId="77777777" w:rsidR="00E6764B" w:rsidRPr="00BF082B" w:rsidRDefault="00E6764B" w:rsidP="00BF082B">
      <w:pPr>
        <w:pStyle w:val="Textonotapie"/>
        <w:spacing w:after="0"/>
        <w:rPr>
          <w:i/>
        </w:rPr>
      </w:pPr>
      <w:r w:rsidRPr="00BF082B">
        <w:rPr>
          <w:i/>
        </w:rPr>
        <w:t xml:space="preserve">m) </w:t>
      </w:r>
      <w:r w:rsidRPr="00BF082B">
        <w:rPr>
          <w:rFonts w:cs="Tahoma"/>
          <w:i/>
          <w:shd w:val="clear" w:color="auto" w:fill="FFFFFF"/>
        </w:rPr>
        <w:t> Promotion of private initiative and investment in harmony with action in the public sector; and</w:t>
      </w:r>
      <w:r w:rsidRPr="00BF082B">
        <w:rPr>
          <w:i/>
        </w:rPr>
        <w:t xml:space="preserve"> </w:t>
      </w:r>
    </w:p>
    <w:p w14:paraId="3D923BBE" w14:textId="77777777" w:rsidR="00E6764B" w:rsidRPr="00BF082B" w:rsidRDefault="00E6764B" w:rsidP="00BF082B">
      <w:pPr>
        <w:pStyle w:val="Textonotapie"/>
        <w:spacing w:after="0"/>
        <w:rPr>
          <w:i/>
        </w:rPr>
      </w:pPr>
      <w:r w:rsidRPr="00BF082B">
        <w:rPr>
          <w:i/>
        </w:rPr>
        <w:t xml:space="preserve">n) </w:t>
      </w:r>
      <w:r w:rsidRPr="00BF082B">
        <w:rPr>
          <w:rFonts w:cs="Tahoma"/>
          <w:i/>
          <w:shd w:val="clear" w:color="auto" w:fill="FFFFFF"/>
        </w:rPr>
        <w:t>Expansion and diversification of exports</w:t>
      </w:r>
      <w:r w:rsidRPr="00BF082B">
        <w:rPr>
          <w:i/>
        </w:rPr>
        <w:t>.”</w:t>
      </w:r>
    </w:p>
    <w:p w14:paraId="2E0AAB03" w14:textId="77777777" w:rsidR="00E6764B" w:rsidRPr="00BF082B" w:rsidRDefault="00E6764B" w:rsidP="00BF082B">
      <w:pPr>
        <w:pStyle w:val="Textonotapie"/>
        <w:spacing w:after="0"/>
        <w:rPr>
          <w:i/>
        </w:rPr>
      </w:pPr>
      <w:r w:rsidRPr="00BF082B">
        <w:t>Article 45: “</w:t>
      </w:r>
      <w:r w:rsidRPr="00BF082B">
        <w:rPr>
          <w:rFonts w:cs="Tahoma"/>
          <w:i/>
          <w:shd w:val="clear" w:color="auto" w:fill="FFFFFF"/>
        </w:rPr>
        <w:t>The Member States, convinced that man can only achieve the full realization of his aspirations within a just social order, along with economic development and true peace, agree to dedicate every effort to the application of the following principles and mechanisms</w:t>
      </w:r>
      <w:r w:rsidRPr="00BF082B">
        <w:rPr>
          <w:i/>
        </w:rPr>
        <w:t>:</w:t>
      </w:r>
    </w:p>
    <w:p w14:paraId="6A4F5466" w14:textId="6C7707B5" w:rsidR="00E6764B" w:rsidRDefault="00E6764B" w:rsidP="00BF082B">
      <w:pPr>
        <w:pStyle w:val="Textonotapie"/>
        <w:spacing w:after="0"/>
        <w:rPr>
          <w:i/>
        </w:rPr>
      </w:pPr>
      <w:r w:rsidRPr="00BF082B">
        <w:rPr>
          <w:i/>
        </w:rPr>
        <w:t xml:space="preserve">a) </w:t>
      </w:r>
      <w:r w:rsidRPr="00BF082B">
        <w:rPr>
          <w:rFonts w:cs="Tahoma"/>
          <w:i/>
          <w:shd w:val="clear" w:color="auto" w:fill="FFFFFF"/>
        </w:rPr>
        <w:t>All human beings, without distinction as to race, sex, nationality, creed, or social condition, have a right to material well-being and to their spiritual development, under circumstances of liberty, dignity, equality of opportunity, and economic security;</w:t>
      </w:r>
      <w:r w:rsidRPr="00BF082B">
        <w:rPr>
          <w:i/>
        </w:rPr>
        <w:t xml:space="preserve"> </w:t>
      </w:r>
    </w:p>
    <w:p w14:paraId="2D6F88F1" w14:textId="77777777" w:rsidR="00DF2C5B" w:rsidRPr="00BF082B" w:rsidRDefault="00DF2C5B" w:rsidP="00BF082B">
      <w:pPr>
        <w:pStyle w:val="Textonotapie"/>
        <w:spacing w:after="0"/>
        <w:rPr>
          <w:i/>
        </w:rPr>
      </w:pPr>
    </w:p>
    <w:p w14:paraId="0065C3BF" w14:textId="77777777" w:rsidR="00E6764B" w:rsidRPr="00BF082B" w:rsidRDefault="00E6764B" w:rsidP="00BF082B">
      <w:pPr>
        <w:pStyle w:val="Textonotapie"/>
        <w:spacing w:after="0"/>
        <w:rPr>
          <w:i/>
        </w:rPr>
      </w:pPr>
      <w:r w:rsidRPr="00BF082B">
        <w:rPr>
          <w:i/>
        </w:rPr>
        <w:t xml:space="preserve">b) </w:t>
      </w:r>
      <w:r w:rsidRPr="00BF082B">
        <w:rPr>
          <w:rFonts w:cs="Tahoma"/>
          <w:i/>
          <w:shd w:val="clear" w:color="auto" w:fill="FFFFFF"/>
        </w:rPr>
        <w:t>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r w:rsidRPr="00BF082B">
        <w:rPr>
          <w:i/>
        </w:rPr>
        <w:t xml:space="preserve"> </w:t>
      </w:r>
    </w:p>
    <w:p w14:paraId="5B131F12" w14:textId="77777777" w:rsidR="00E6764B" w:rsidRPr="00BF082B" w:rsidRDefault="00E6764B" w:rsidP="00BF082B">
      <w:pPr>
        <w:pStyle w:val="Textonotapie"/>
        <w:spacing w:after="0"/>
        <w:rPr>
          <w:i/>
        </w:rPr>
      </w:pPr>
      <w:r w:rsidRPr="00BF082B">
        <w:rPr>
          <w:i/>
        </w:rPr>
        <w:t xml:space="preserve">c) </w:t>
      </w:r>
      <w:r w:rsidRPr="00BF082B">
        <w:rPr>
          <w:rFonts w:cs="Tahoma"/>
          <w:i/>
          <w:shd w:val="clear" w:color="auto" w:fill="FFFFFF"/>
        </w:rPr>
        <w:t>Employers and workers, both rural and urban, have the right to associate themselves freely for the defense and promotion of their interests, including the right to collective bargaining and the workers' right to strike, and recognition of the juridical personality of associations and the protection of their freedom and independence, all in accordance with applicable laws</w:t>
      </w:r>
      <w:r w:rsidRPr="00BF082B">
        <w:rPr>
          <w:i/>
        </w:rPr>
        <w:t>;</w:t>
      </w:r>
    </w:p>
    <w:p w14:paraId="079BE796" w14:textId="77777777" w:rsidR="00E6764B" w:rsidRPr="00BF082B" w:rsidRDefault="00E6764B" w:rsidP="00BF082B">
      <w:pPr>
        <w:pStyle w:val="Textonotapie"/>
        <w:spacing w:after="0"/>
        <w:rPr>
          <w:i/>
        </w:rPr>
      </w:pPr>
      <w:r w:rsidRPr="00BF082B">
        <w:rPr>
          <w:i/>
        </w:rPr>
        <w:t xml:space="preserve">d) </w:t>
      </w:r>
      <w:r w:rsidRPr="00BF082B">
        <w:rPr>
          <w:rFonts w:cs="Tahoma"/>
          <w:i/>
          <w:shd w:val="clear" w:color="auto" w:fill="FFFFFF"/>
        </w:rPr>
        <w:t>Fair and efficient systems and procedures for consultation and collaboration among the sectors of production, with due regard for safeguarding the interests of the entire society;</w:t>
      </w:r>
      <w:r w:rsidRPr="00BF082B">
        <w:rPr>
          <w:i/>
        </w:rPr>
        <w:t xml:space="preserve"> </w:t>
      </w:r>
    </w:p>
    <w:p w14:paraId="03101287" w14:textId="77777777" w:rsidR="00E6764B" w:rsidRPr="00BF082B" w:rsidRDefault="00E6764B" w:rsidP="00BF082B">
      <w:pPr>
        <w:pStyle w:val="Textonotapie"/>
        <w:spacing w:after="0"/>
        <w:rPr>
          <w:i/>
        </w:rPr>
      </w:pPr>
      <w:r w:rsidRPr="00BF082B">
        <w:rPr>
          <w:i/>
        </w:rPr>
        <w:t xml:space="preserve">e) </w:t>
      </w:r>
      <w:r w:rsidRPr="00BF082B">
        <w:rPr>
          <w:rFonts w:cs="Tahoma"/>
          <w:i/>
          <w:shd w:val="clear" w:color="auto" w:fill="FFFFFF"/>
        </w:rPr>
        <w:t>The operation of systems of public administration, banking and credit, enterprise, and distribution and sales, in such a way, in harmony with the private sector, as to meet the requirements and interests of the community;</w:t>
      </w:r>
      <w:r w:rsidRPr="00BF082B">
        <w:rPr>
          <w:i/>
        </w:rPr>
        <w:t xml:space="preserve"> </w:t>
      </w:r>
    </w:p>
    <w:p w14:paraId="1AA37EE4" w14:textId="77777777" w:rsidR="00E6764B" w:rsidRPr="00BF082B" w:rsidRDefault="00E6764B" w:rsidP="00BF082B">
      <w:pPr>
        <w:pStyle w:val="Textonotapie"/>
        <w:spacing w:after="0"/>
        <w:rPr>
          <w:i/>
        </w:rPr>
      </w:pPr>
      <w:r w:rsidRPr="00BF082B">
        <w:rPr>
          <w:i/>
        </w:rPr>
        <w:t xml:space="preserve">f) </w:t>
      </w:r>
      <w:r w:rsidRPr="00BF082B">
        <w:rPr>
          <w:rFonts w:cs="Tahoma"/>
          <w:i/>
          <w:shd w:val="clear" w:color="auto" w:fill="FFFFFF"/>
        </w:rPr>
        <w:t> The incorporation and increasing participation of the marginal sectors of the population, in both rural and urban areas, in the economic, social, civic, cultural, and political life of the nation, in order to achieve the full integration of the national community, acceleration of the process of social mobility, and the consolidation of the democratic system. The encouragement of all efforts of popular promotion and cooperation that have as their purpose the development and progress of the community;</w:t>
      </w:r>
      <w:r w:rsidRPr="00BF082B">
        <w:rPr>
          <w:i/>
        </w:rPr>
        <w:t xml:space="preserve"> </w:t>
      </w:r>
    </w:p>
    <w:p w14:paraId="0D47AD00" w14:textId="77777777" w:rsidR="00E6764B" w:rsidRPr="00BF082B" w:rsidRDefault="00E6764B" w:rsidP="00BF082B">
      <w:pPr>
        <w:pStyle w:val="Textonotapie"/>
        <w:spacing w:after="0"/>
        <w:rPr>
          <w:i/>
        </w:rPr>
      </w:pPr>
      <w:r w:rsidRPr="00BF082B">
        <w:rPr>
          <w:i/>
        </w:rPr>
        <w:t xml:space="preserve">g) </w:t>
      </w:r>
      <w:r w:rsidRPr="00BF082B">
        <w:rPr>
          <w:rFonts w:cs="Tahoma"/>
          <w:i/>
          <w:shd w:val="clear" w:color="auto" w:fill="FFFFFF"/>
        </w:rPr>
        <w:t>Recognition of the importance of the contribution of organizations such as labor unions, cooperatives, and cultural, professional, business, neighborhood, and community associations to the life of the society and to the development process;</w:t>
      </w:r>
      <w:r w:rsidRPr="00BF082B">
        <w:rPr>
          <w:i/>
        </w:rPr>
        <w:t xml:space="preserve"> </w:t>
      </w:r>
    </w:p>
    <w:p w14:paraId="11C49E03" w14:textId="77777777" w:rsidR="00E6764B" w:rsidRPr="00BF082B" w:rsidRDefault="00E6764B" w:rsidP="00BF082B">
      <w:pPr>
        <w:pStyle w:val="Textonotapie"/>
        <w:spacing w:after="0"/>
        <w:rPr>
          <w:i/>
        </w:rPr>
      </w:pPr>
      <w:r w:rsidRPr="00BF082B">
        <w:rPr>
          <w:i/>
        </w:rPr>
        <w:t xml:space="preserve">h) </w:t>
      </w:r>
      <w:r w:rsidRPr="00BF082B">
        <w:rPr>
          <w:rFonts w:cs="Tahoma"/>
          <w:i/>
          <w:shd w:val="clear" w:color="auto" w:fill="FFFFFF"/>
        </w:rPr>
        <w:t>Development of an efficient social security policy; and</w:t>
      </w:r>
      <w:r w:rsidRPr="00BF082B">
        <w:rPr>
          <w:i/>
        </w:rPr>
        <w:t xml:space="preserve"> </w:t>
      </w:r>
    </w:p>
    <w:p w14:paraId="3EEE97BB" w14:textId="77777777" w:rsidR="00E6764B" w:rsidRPr="00BF082B" w:rsidRDefault="00E6764B" w:rsidP="00BF082B">
      <w:pPr>
        <w:pStyle w:val="Textonotapie"/>
        <w:spacing w:after="0"/>
        <w:rPr>
          <w:i/>
        </w:rPr>
      </w:pPr>
      <w:proofErr w:type="spellStart"/>
      <w:r w:rsidRPr="00BF082B">
        <w:rPr>
          <w:i/>
        </w:rPr>
        <w:t>i</w:t>
      </w:r>
      <w:proofErr w:type="spellEnd"/>
      <w:r w:rsidRPr="00BF082B">
        <w:rPr>
          <w:i/>
        </w:rPr>
        <w:t xml:space="preserve">) </w:t>
      </w:r>
      <w:r w:rsidRPr="00BF082B">
        <w:rPr>
          <w:rFonts w:cs="Tahoma"/>
          <w:i/>
          <w:shd w:val="clear" w:color="auto" w:fill="FFFFFF"/>
        </w:rPr>
        <w:t>Adequate provision for all persons to have due legal aid in order to secure their rights.</w:t>
      </w:r>
      <w:r w:rsidRPr="00BF082B">
        <w:rPr>
          <w:i/>
        </w:rPr>
        <w:t>”</w:t>
      </w:r>
    </w:p>
    <w:p w14:paraId="623FB514" w14:textId="77777777" w:rsidR="00E6764B" w:rsidRPr="00BF082B" w:rsidRDefault="00E6764B" w:rsidP="00BF082B">
      <w:pPr>
        <w:pStyle w:val="Textonotapie"/>
        <w:spacing w:after="0"/>
      </w:pPr>
    </w:p>
    <w:p w14:paraId="4112996E" w14:textId="2C0701F2" w:rsidR="00E6764B" w:rsidRDefault="00E6764B" w:rsidP="00BF082B">
      <w:pPr>
        <w:pStyle w:val="Textonotapie"/>
        <w:spacing w:after="0"/>
        <w:rPr>
          <w:i/>
        </w:rPr>
      </w:pPr>
      <w:r w:rsidRPr="00BF082B">
        <w:t xml:space="preserve">Article 46:” </w:t>
      </w:r>
      <w:r w:rsidRPr="00BF082B">
        <w:rPr>
          <w:rFonts w:cs="Tahoma"/>
          <w:i/>
          <w:shd w:val="clear" w:color="auto" w:fill="FFFFFF"/>
        </w:rPr>
        <w:t>The Member States recognize that, in order 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 achieve this goal.</w:t>
      </w:r>
      <w:r w:rsidRPr="00BF082B">
        <w:rPr>
          <w:i/>
        </w:rPr>
        <w:t>”</w:t>
      </w:r>
    </w:p>
    <w:p w14:paraId="23E26494" w14:textId="77777777" w:rsidR="00DF2C5B" w:rsidRPr="00BF082B" w:rsidRDefault="00DF2C5B" w:rsidP="00BF082B">
      <w:pPr>
        <w:pStyle w:val="Textonotapie"/>
        <w:spacing w:after="0"/>
      </w:pPr>
    </w:p>
    <w:p w14:paraId="0194F0A6" w14:textId="77777777" w:rsidR="00E6764B" w:rsidRPr="00BF082B" w:rsidRDefault="00E6764B" w:rsidP="00BF082B">
      <w:pPr>
        <w:pStyle w:val="Textonotapie"/>
        <w:spacing w:after="0"/>
        <w:rPr>
          <w:i/>
        </w:rPr>
      </w:pPr>
    </w:p>
    <w:p w14:paraId="49E0C20F" w14:textId="77777777" w:rsidR="00E6764B" w:rsidRPr="00BF082B" w:rsidRDefault="00E6764B" w:rsidP="00BF082B">
      <w:pPr>
        <w:pStyle w:val="Textonotapie"/>
        <w:spacing w:after="0"/>
      </w:pPr>
    </w:p>
  </w:footnote>
  <w:footnote w:id="494">
    <w:p w14:paraId="4E81844E" w14:textId="77777777" w:rsidR="00E6764B" w:rsidRPr="00BF082B" w:rsidRDefault="00E6764B" w:rsidP="00BF082B">
      <w:pPr>
        <w:pStyle w:val="Textonotapie"/>
        <w:spacing w:after="0"/>
      </w:pPr>
      <w:r w:rsidRPr="00BF082B">
        <w:rPr>
          <w:rStyle w:val="Refdenotaalpie"/>
          <w:sz w:val="16"/>
        </w:rPr>
        <w:footnoteRef/>
      </w:r>
      <w:r w:rsidRPr="00BF082B">
        <w:t xml:space="preserve">             Para. 172.</w:t>
      </w:r>
    </w:p>
    <w:p w14:paraId="59BD74E2" w14:textId="77777777" w:rsidR="00E6764B" w:rsidRPr="00BF082B" w:rsidRDefault="00E6764B" w:rsidP="00BF082B">
      <w:pPr>
        <w:pStyle w:val="Textonotapie"/>
        <w:spacing w:after="0"/>
      </w:pPr>
    </w:p>
  </w:footnote>
  <w:footnote w:id="495">
    <w:p w14:paraId="5439E60E" w14:textId="77777777" w:rsidR="00E6764B" w:rsidRPr="00BF082B" w:rsidRDefault="00E6764B" w:rsidP="00BF082B">
      <w:pPr>
        <w:pStyle w:val="Textonotapie"/>
        <w:spacing w:after="0"/>
        <w:rPr>
          <w:rFonts w:cs="Tahoma"/>
          <w:i/>
          <w:shd w:val="clear" w:color="auto" w:fill="FFFFFF"/>
        </w:rPr>
      </w:pPr>
      <w:r w:rsidRPr="00BF082B">
        <w:rPr>
          <w:rStyle w:val="Refdenotaalpie"/>
          <w:sz w:val="16"/>
        </w:rPr>
        <w:footnoteRef/>
      </w:r>
      <w:r w:rsidRPr="00BF082B">
        <w:t xml:space="preserve"> </w:t>
      </w:r>
      <w:r w:rsidRPr="00BF082B">
        <w:tab/>
        <w:t>“</w:t>
      </w:r>
      <w:r w:rsidRPr="00BF082B">
        <w:rPr>
          <w:rFonts w:cs="Tahoma"/>
          <w:i/>
          <w:shd w:val="clear" w:color="auto" w:fill="FFFFFF"/>
        </w:rPr>
        <w:t>The American States reaffirm the following principles:</w:t>
      </w:r>
      <w:r w:rsidRPr="00BF082B">
        <w:rPr>
          <w:i/>
        </w:rPr>
        <w:t xml:space="preserve"> (</w:t>
      </w:r>
      <w:r w:rsidRPr="00BF082B">
        <w:rPr>
          <w:rFonts w:cs="Tahoma"/>
          <w:i/>
          <w:shd w:val="clear" w:color="auto" w:fill="FFFFFF"/>
        </w:rPr>
        <w:t>j) Social justice and social security are bases of lasting peace.”</w:t>
      </w:r>
    </w:p>
    <w:p w14:paraId="4C3B8CC3" w14:textId="77777777" w:rsidR="00E6764B" w:rsidRPr="00BF082B" w:rsidRDefault="00E6764B" w:rsidP="00BF082B">
      <w:pPr>
        <w:pStyle w:val="Textonotapie"/>
        <w:spacing w:after="0"/>
      </w:pPr>
    </w:p>
  </w:footnote>
  <w:footnote w:id="496">
    <w:p w14:paraId="23940157" w14:textId="77777777" w:rsidR="00E6764B" w:rsidRPr="00BF082B" w:rsidRDefault="00E6764B" w:rsidP="00BF082B">
      <w:pPr>
        <w:pStyle w:val="style1"/>
        <w:shd w:val="clear" w:color="auto" w:fill="FFFFFF"/>
        <w:spacing w:before="0" w:beforeAutospacing="0" w:after="0" w:afterAutospacing="0"/>
        <w:jc w:val="both"/>
        <w:rPr>
          <w:rFonts w:ascii="Verdana" w:hAnsi="Verdana" w:cs="Tahoma"/>
          <w:sz w:val="16"/>
          <w:szCs w:val="16"/>
        </w:rPr>
      </w:pPr>
      <w:r w:rsidRPr="00BF082B">
        <w:rPr>
          <w:rStyle w:val="Refdenotaalpie"/>
          <w:rFonts w:eastAsia="Batang"/>
          <w:sz w:val="16"/>
          <w:szCs w:val="16"/>
        </w:rPr>
        <w:footnoteRef/>
      </w:r>
      <w:r w:rsidRPr="00BF082B">
        <w:rPr>
          <w:rFonts w:ascii="Verdana" w:hAnsi="Verdana"/>
          <w:sz w:val="16"/>
          <w:szCs w:val="16"/>
        </w:rPr>
        <w:t xml:space="preserve"> </w:t>
      </w:r>
      <w:r w:rsidRPr="00BF082B">
        <w:rPr>
          <w:rFonts w:ascii="Verdana" w:hAnsi="Verdana"/>
          <w:sz w:val="16"/>
          <w:szCs w:val="16"/>
        </w:rPr>
        <w:tab/>
        <w:t>“</w:t>
      </w:r>
      <w:r w:rsidRPr="00BF082B">
        <w:rPr>
          <w:rFonts w:ascii="Verdana" w:hAnsi="Verdana" w:cs="Tahoma"/>
          <w:i/>
          <w:sz w:val="16"/>
          <w:szCs w:val="16"/>
          <w:shd w:val="clear" w:color="auto" w:fill="FFFFFF"/>
        </w:rPr>
        <w:t>The Member States, convinced that man can only achieve the full realization of his aspirations within a just social order, along with economic development and true peace, agree to dedicate every effort to the application of the following principles and mechanisms</w:t>
      </w:r>
      <w:r w:rsidRPr="00BF082B">
        <w:rPr>
          <w:rFonts w:ascii="Verdana" w:hAnsi="Verdana"/>
          <w:i/>
          <w:sz w:val="16"/>
          <w:szCs w:val="16"/>
        </w:rPr>
        <w:t>: …</w:t>
      </w:r>
      <w:r w:rsidRPr="00BF082B">
        <w:rPr>
          <w:rFonts w:ascii="Verdana" w:hAnsi="Verdana" w:cs="Tahoma"/>
          <w:i/>
          <w:sz w:val="16"/>
          <w:szCs w:val="16"/>
        </w:rPr>
        <w:t>b) </w:t>
      </w:r>
      <w:r w:rsidRPr="00BF082B">
        <w:rPr>
          <w:rFonts w:ascii="Verdana" w:hAnsi="Verdana" w:cs="Tahoma"/>
          <w:i/>
          <w:sz w:val="16"/>
          <w:szCs w:val="16"/>
          <w:shd w:val="clear" w:color="auto" w:fill="FFFFFF"/>
        </w:rPr>
        <w:t>Work is a right and a social duty, it gives dignity to the one who performs it, and it should be performed under conditions, including a system of fair wages, that ensure life, health, and a decent standard of living for the worker and his family, both during his working years and in his old age, or when any circumstance deprives him of the possibility of working.</w:t>
      </w:r>
      <w:r w:rsidRPr="00BF082B">
        <w:rPr>
          <w:rFonts w:ascii="Verdana" w:hAnsi="Verdana" w:cs="Tahoma"/>
          <w:sz w:val="16"/>
          <w:szCs w:val="16"/>
        </w:rPr>
        <w:t>”</w:t>
      </w:r>
    </w:p>
    <w:p w14:paraId="00041AAF" w14:textId="77777777" w:rsidR="00E6764B" w:rsidRPr="00BF082B" w:rsidRDefault="00E6764B" w:rsidP="00BF082B">
      <w:pPr>
        <w:pStyle w:val="style1"/>
        <w:shd w:val="clear" w:color="auto" w:fill="FFFFFF"/>
        <w:spacing w:before="0" w:beforeAutospacing="0" w:after="0" w:afterAutospacing="0"/>
        <w:jc w:val="both"/>
        <w:rPr>
          <w:rFonts w:ascii="Verdana" w:hAnsi="Verdana" w:cs="Tahoma"/>
          <w:sz w:val="16"/>
          <w:szCs w:val="16"/>
        </w:rPr>
      </w:pPr>
    </w:p>
  </w:footnote>
  <w:footnote w:id="497">
    <w:p w14:paraId="38806844" w14:textId="77777777" w:rsidR="00E6764B" w:rsidRPr="00BF082B" w:rsidRDefault="00E6764B" w:rsidP="00BF082B">
      <w:pPr>
        <w:pStyle w:val="Textonotapie"/>
        <w:spacing w:after="0"/>
        <w:rPr>
          <w:i/>
        </w:rPr>
      </w:pPr>
      <w:r w:rsidRPr="00BF082B">
        <w:rPr>
          <w:rStyle w:val="Refdenotaalpie"/>
          <w:sz w:val="16"/>
        </w:rPr>
        <w:footnoteRef/>
      </w:r>
      <w:r w:rsidRPr="00BF082B">
        <w:t xml:space="preserve"> </w:t>
      </w:r>
      <w:r w:rsidRPr="00BF082B">
        <w:tab/>
        <w:t>“</w:t>
      </w:r>
      <w:r w:rsidRPr="00BF082B">
        <w:rPr>
          <w:rFonts w:cs="Tahoma"/>
          <w:i/>
          <w:shd w:val="clear" w:color="auto" w:fill="FFFFFF"/>
        </w:rPr>
        <w:t>The Member States, convinced that man can only achieve the full realization of his aspirations within a just social order, along with economic development and true peace, agree to dedicate every effort to the application of the following principles and mechanisms</w:t>
      </w:r>
      <w:r w:rsidRPr="00BF082B">
        <w:rPr>
          <w:i/>
        </w:rPr>
        <w:t xml:space="preserve">: h) </w:t>
      </w:r>
      <w:r w:rsidRPr="00BF082B">
        <w:rPr>
          <w:rFonts w:cs="Tahoma"/>
          <w:i/>
          <w:shd w:val="clear" w:color="auto" w:fill="FFFFFF"/>
        </w:rPr>
        <w:t xml:space="preserve">[d] </w:t>
      </w:r>
      <w:proofErr w:type="spellStart"/>
      <w:r w:rsidRPr="00BF082B">
        <w:rPr>
          <w:rFonts w:cs="Tahoma"/>
          <w:i/>
          <w:shd w:val="clear" w:color="auto" w:fill="FFFFFF"/>
        </w:rPr>
        <w:t>evelopment</w:t>
      </w:r>
      <w:proofErr w:type="spellEnd"/>
      <w:r w:rsidRPr="00BF082B">
        <w:rPr>
          <w:rFonts w:cs="Tahoma"/>
          <w:i/>
          <w:shd w:val="clear" w:color="auto" w:fill="FFFFFF"/>
        </w:rPr>
        <w:t xml:space="preserve"> of an efficient social security policy</w:t>
      </w:r>
      <w:r w:rsidRPr="00BF082B">
        <w:rPr>
          <w:i/>
        </w:rPr>
        <w:t>.”</w:t>
      </w:r>
    </w:p>
    <w:p w14:paraId="312CD77D" w14:textId="77777777" w:rsidR="00E6764B" w:rsidRPr="00BF082B" w:rsidRDefault="00E6764B" w:rsidP="00BF082B">
      <w:pPr>
        <w:pStyle w:val="Textonotapie"/>
        <w:spacing w:after="0"/>
        <w:rPr>
          <w:i/>
        </w:rPr>
      </w:pPr>
    </w:p>
  </w:footnote>
  <w:footnote w:id="498">
    <w:p w14:paraId="2053B57F"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w:t>
      </w:r>
      <w:r w:rsidRPr="00BF082B">
        <w:rPr>
          <w:rFonts w:cs="Tahoma"/>
          <w:i/>
          <w:shd w:val="clear" w:color="auto" w:fill="FFFFFF"/>
        </w:rPr>
        <w:t>The Member States recognize that, in order to facilitate the process of Latin American regional integration, it is necessary to harmonize the social legislation of the developing countries, especially in the labor and social security fields, so that the rights of the workers shall be equally protected, and they agree to make the greatest efforts possible to achieve this goal.</w:t>
      </w:r>
      <w:r w:rsidRPr="00BF082B">
        <w:rPr>
          <w:rFonts w:cs="Tahoma"/>
          <w:color w:val="000000"/>
          <w:shd w:val="clear" w:color="auto" w:fill="FFFFFF"/>
        </w:rPr>
        <w:t>”</w:t>
      </w:r>
      <w:r w:rsidRPr="00BF082B" w:rsidDel="00AE364B">
        <w:t xml:space="preserve"> </w:t>
      </w:r>
    </w:p>
    <w:p w14:paraId="46668FDE" w14:textId="77777777" w:rsidR="00E6764B" w:rsidRPr="00BF082B" w:rsidRDefault="00E6764B" w:rsidP="00BF082B">
      <w:pPr>
        <w:pStyle w:val="Textonotapie"/>
        <w:spacing w:after="0"/>
      </w:pPr>
    </w:p>
  </w:footnote>
  <w:footnote w:id="499">
    <w:p w14:paraId="67AA2378" w14:textId="77777777" w:rsidR="00E6764B" w:rsidRPr="00BF082B" w:rsidRDefault="00E6764B" w:rsidP="00BF082B">
      <w:pPr>
        <w:pStyle w:val="Textonotapie"/>
        <w:spacing w:after="0"/>
        <w:rPr>
          <w:i/>
        </w:rPr>
      </w:pPr>
      <w:r w:rsidRPr="00BF082B">
        <w:rPr>
          <w:rStyle w:val="Refdenotaalpie"/>
          <w:sz w:val="16"/>
        </w:rPr>
        <w:footnoteRef/>
      </w:r>
      <w:r w:rsidRPr="00BF082B">
        <w:rPr>
          <w:i/>
        </w:rPr>
        <w:tab/>
        <w:t>“</w:t>
      </w:r>
      <w:r w:rsidRPr="00BF082B">
        <w:rPr>
          <w:rFonts w:cs="Tahoma"/>
          <w:i/>
          <w:shd w:val="clear" w:color="auto" w:fill="FFFFFF"/>
        </w:rPr>
        <w:t>The Member States, inspired by the principles of inter-</w:t>
      </w:r>
      <w:r w:rsidRPr="00BF082B">
        <w:rPr>
          <w:rFonts w:cs="Tahoma"/>
          <w:i/>
          <w:shd w:val="clear" w:color="auto" w:fill="FFFFFF"/>
        </w:rPr>
        <w:softHyphen/>
        <w:t>American solidarity and cooperation, pledge themselves to a united effort to ensure international social justice in their relations and integral development for their peoples, as conditions essential to peace and security. Integral development encompasses the economic, social, educational, cultural, scientific, and technological fields through which the goals that each country sets for accomplishing it should be achieved</w:t>
      </w:r>
      <w:r w:rsidRPr="00BF082B">
        <w:rPr>
          <w:i/>
        </w:rPr>
        <w:t>.”</w:t>
      </w:r>
    </w:p>
    <w:p w14:paraId="051F9B0C" w14:textId="77777777" w:rsidR="00E6764B" w:rsidRPr="00BF082B" w:rsidRDefault="00E6764B" w:rsidP="00BF082B">
      <w:pPr>
        <w:pStyle w:val="Textonotapie"/>
        <w:spacing w:after="0"/>
        <w:rPr>
          <w:i/>
        </w:rPr>
      </w:pPr>
    </w:p>
  </w:footnote>
  <w:footnote w:id="500">
    <w:p w14:paraId="288BD6C7" w14:textId="77777777" w:rsidR="00E6764B" w:rsidRPr="00BF082B" w:rsidRDefault="00E6764B" w:rsidP="00BF082B">
      <w:pPr>
        <w:pStyle w:val="Textonotapie"/>
        <w:spacing w:after="0"/>
      </w:pPr>
      <w:r w:rsidRPr="00BF082B">
        <w:rPr>
          <w:rStyle w:val="Refdenotaalpie"/>
          <w:sz w:val="16"/>
        </w:rPr>
        <w:footnoteRef/>
      </w:r>
      <w:r w:rsidRPr="00BF082B">
        <w:t xml:space="preserve"> </w:t>
      </w:r>
      <w:r w:rsidRPr="00BF082B">
        <w:tab/>
        <w:t>Adopted at the 28</w:t>
      </w:r>
      <w:r w:rsidRPr="00BF082B">
        <w:rPr>
          <w:vertAlign w:val="superscript"/>
        </w:rPr>
        <w:t>th</w:t>
      </w:r>
      <w:r w:rsidRPr="00BF082B">
        <w:t xml:space="preserve"> Special Session of the OAS General Assembly, September 11, 2001, Lima, Peru. </w:t>
      </w:r>
    </w:p>
    <w:p w14:paraId="17BB6BB5" w14:textId="77777777" w:rsidR="00E6764B" w:rsidRPr="00BF082B" w:rsidRDefault="00E6764B" w:rsidP="00BF082B">
      <w:pPr>
        <w:pStyle w:val="Textonotapie"/>
        <w:spacing w:after="0"/>
      </w:pPr>
      <w:r w:rsidRPr="00BF082B">
        <w:t>Article 3: “</w:t>
      </w:r>
      <w:r w:rsidRPr="00BF082B">
        <w:rPr>
          <w:i/>
          <w:color w:val="000000"/>
          <w:shd w:val="clear" w:color="auto" w:fill="FFFFFF"/>
        </w:rPr>
        <w:t>Essential elements of representative democracy include, </w:t>
      </w:r>
      <w:r w:rsidRPr="00BF082B">
        <w:rPr>
          <w:i/>
          <w:iCs/>
          <w:color w:val="000000"/>
          <w:shd w:val="clear" w:color="auto" w:fill="FFFFFF"/>
        </w:rPr>
        <w:t>inter alia</w:t>
      </w:r>
      <w:r w:rsidRPr="00BF082B">
        <w:rPr>
          <w:i/>
          <w:color w:val="000000"/>
          <w:shd w:val="clear" w:color="auto" w:fill="FFFFFF"/>
        </w:rPr>
        <w:t>, respect for human rights and fundamental freedoms, access to and the exercise of power in accordance with the rule of law, the holding of periodic, free, and fair elections based on secret balloting and universal suffrage as an expression of the sovereignty of the people, the pluralistic system of political parties and organizations, and the separation of powers and independence of the branches of government.</w:t>
      </w:r>
      <w:r w:rsidRPr="00BF082B">
        <w:t>.”</w:t>
      </w:r>
    </w:p>
    <w:p w14:paraId="0C1FC950" w14:textId="77777777" w:rsidR="00E6764B" w:rsidRPr="00BF082B" w:rsidRDefault="00E6764B" w:rsidP="00BF082B">
      <w:pPr>
        <w:pStyle w:val="Textonotapie"/>
        <w:spacing w:after="0"/>
      </w:pPr>
      <w:r w:rsidRPr="00BF082B">
        <w:t>Article 6: “</w:t>
      </w:r>
      <w:r w:rsidRPr="00BF082B">
        <w:rPr>
          <w:i/>
          <w:color w:val="000000"/>
          <w:shd w:val="clear" w:color="auto" w:fill="FFFFFF"/>
        </w:rPr>
        <w:t>It is the right and responsibility of all citizens to participate in decisions relating to their own development. This is also a necessary condition for the full and effective exercise of democracy. Promoting and fostering diverse forms of participation strengthens democracy</w:t>
      </w:r>
      <w:r w:rsidRPr="00BF082B">
        <w:t>.”</w:t>
      </w:r>
    </w:p>
    <w:p w14:paraId="3A7AAB46" w14:textId="77777777" w:rsidR="00E6764B" w:rsidRPr="00BF082B" w:rsidRDefault="00E6764B" w:rsidP="00BF082B">
      <w:pPr>
        <w:pStyle w:val="Textonotapie"/>
        <w:spacing w:after="0"/>
      </w:pPr>
    </w:p>
  </w:footnote>
  <w:footnote w:id="501">
    <w:p w14:paraId="32AAFE2E" w14:textId="21F5B5C6" w:rsidR="006168EA" w:rsidRPr="007720B1" w:rsidRDefault="006168EA" w:rsidP="007720B1">
      <w:pPr>
        <w:pStyle w:val="Textonotapie"/>
        <w:spacing w:after="0"/>
        <w:rPr>
          <w:rStyle w:val="Textoennegrita"/>
          <w:b w:val="0"/>
          <w:color w:val="000000"/>
          <w:shd w:val="clear" w:color="auto" w:fill="FFFFFF"/>
        </w:rPr>
      </w:pPr>
      <w:r w:rsidRPr="006168EA">
        <w:rPr>
          <w:rStyle w:val="Refdenotaalpie"/>
          <w:sz w:val="16"/>
        </w:rPr>
        <w:footnoteRef/>
      </w:r>
      <w:r w:rsidRPr="007720B1">
        <w:tab/>
      </w:r>
      <w:r w:rsidRPr="007720B1">
        <w:rPr>
          <w:i/>
        </w:rPr>
        <w:t>Cf.</w:t>
      </w:r>
      <w:r w:rsidRPr="007720B1">
        <w:t xml:space="preserve"> </w:t>
      </w:r>
      <w:r w:rsidRPr="007720B1">
        <w:rPr>
          <w:rStyle w:val="Textoennegrita"/>
          <w:b w:val="0"/>
          <w:i/>
          <w:color w:val="000000"/>
        </w:rPr>
        <w:t xml:space="preserve">Case of Lagos del Campo v. Peru. </w:t>
      </w:r>
      <w:r w:rsidRPr="007720B1">
        <w:rPr>
          <w:bCs/>
          <w:i/>
          <w:color w:val="000000"/>
        </w:rPr>
        <w:t xml:space="preserve">Preliminary objections, merits, reparations and costs. </w:t>
      </w:r>
      <w:r w:rsidRPr="007720B1">
        <w:rPr>
          <w:bCs/>
          <w:color w:val="000000"/>
        </w:rPr>
        <w:t>Judgment of August 31, 2017. Series C No. 340.</w:t>
      </w:r>
      <w:r w:rsidRPr="007720B1">
        <w:rPr>
          <w:bCs/>
          <w:i/>
          <w:color w:val="000000"/>
        </w:rPr>
        <w:t xml:space="preserve"> </w:t>
      </w:r>
      <w:r w:rsidRPr="007720B1">
        <w:rPr>
          <w:rStyle w:val="Textoennegrita"/>
          <w:b w:val="0"/>
          <w:color w:val="000000"/>
        </w:rPr>
        <w:t>Partially dissenting opinion of Judge Antonio Humberto Sierra Porto.</w:t>
      </w:r>
      <w:r w:rsidRPr="007720B1">
        <w:rPr>
          <w:rStyle w:val="Textoennegrita"/>
          <w:b w:val="0"/>
          <w:color w:val="000000"/>
          <w:shd w:val="clear" w:color="auto" w:fill="FFFFFF"/>
        </w:rPr>
        <w:t xml:space="preserve"> </w:t>
      </w:r>
    </w:p>
    <w:p w14:paraId="6A4B38FB" w14:textId="77777777" w:rsidR="007720B1" w:rsidRPr="007720B1" w:rsidRDefault="007720B1" w:rsidP="007720B1">
      <w:pPr>
        <w:pStyle w:val="Textonotapie"/>
        <w:spacing w:after="0"/>
        <w:rPr>
          <w:bCs/>
          <w:color w:val="000000"/>
          <w:shd w:val="clear" w:color="auto" w:fill="FFFFFF"/>
        </w:rPr>
      </w:pPr>
    </w:p>
  </w:footnote>
  <w:footnote w:id="502">
    <w:p w14:paraId="64E602C0" w14:textId="62D5DD08"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ab/>
      </w:r>
      <w:r w:rsidRPr="007720B1">
        <w:rPr>
          <w:i/>
        </w:rPr>
        <w:t xml:space="preserve">Cf. </w:t>
      </w:r>
      <w:r w:rsidRPr="007720B1">
        <w:rPr>
          <w:bCs/>
          <w:i/>
        </w:rPr>
        <w:t xml:space="preserve">Case of Case of Dismissed Employees of </w:t>
      </w:r>
      <w:proofErr w:type="spellStart"/>
      <w:r w:rsidRPr="007720B1">
        <w:rPr>
          <w:bCs/>
          <w:i/>
        </w:rPr>
        <w:t>PetroPeru</w:t>
      </w:r>
      <w:proofErr w:type="spellEnd"/>
      <w:r w:rsidRPr="007720B1">
        <w:rPr>
          <w:bCs/>
          <w:i/>
        </w:rPr>
        <w:t xml:space="preserve"> et al. v. Peru. Preliminary objections, merits, reparations and costs. </w:t>
      </w:r>
      <w:r w:rsidRPr="007720B1">
        <w:rPr>
          <w:bCs/>
        </w:rPr>
        <w:t>Judgment of November 23, 2017. Series C No. 344</w:t>
      </w:r>
      <w:r w:rsidRPr="007720B1">
        <w:rPr>
          <w:bCs/>
          <w:i/>
        </w:rPr>
        <w:t>.</w:t>
      </w:r>
      <w:r w:rsidRPr="007720B1">
        <w:rPr>
          <w:bCs/>
        </w:rPr>
        <w:t xml:space="preserve"> </w:t>
      </w:r>
      <w:r w:rsidRPr="007720B1">
        <w:rPr>
          <w:rStyle w:val="Textoennegrita"/>
          <w:b w:val="0"/>
          <w:color w:val="000000"/>
        </w:rPr>
        <w:t>Partially dissenting opinion of Judge Antonio Humberto</w:t>
      </w:r>
      <w:r w:rsidRPr="007720B1">
        <w:rPr>
          <w:rStyle w:val="Textoennegrita"/>
          <w:b w:val="0"/>
          <w:color w:val="000000"/>
          <w:shd w:val="clear" w:color="auto" w:fill="FFFFFF"/>
        </w:rPr>
        <w:t xml:space="preserve"> </w:t>
      </w:r>
      <w:r w:rsidRPr="007720B1">
        <w:rPr>
          <w:rStyle w:val="Textoennegrita"/>
          <w:b w:val="0"/>
          <w:color w:val="000000"/>
        </w:rPr>
        <w:t>Sierra Porto.</w:t>
      </w:r>
      <w:r w:rsidRPr="007720B1">
        <w:rPr>
          <w:rStyle w:val="Textoennegrita"/>
          <w:b w:val="0"/>
          <w:color w:val="000000"/>
          <w:shd w:val="clear" w:color="auto" w:fill="FFFFFF"/>
        </w:rPr>
        <w:t xml:space="preserve"> </w:t>
      </w:r>
    </w:p>
    <w:p w14:paraId="418D72AB" w14:textId="77777777" w:rsidR="007720B1" w:rsidRPr="007720B1" w:rsidRDefault="007720B1" w:rsidP="007720B1">
      <w:pPr>
        <w:pStyle w:val="Textonotapie"/>
        <w:spacing w:after="0"/>
        <w:rPr>
          <w:rFonts w:eastAsia="Calibri"/>
          <w:bCs/>
          <w:color w:val="000000"/>
          <w:shd w:val="clear" w:color="auto" w:fill="FFFFFF"/>
        </w:rPr>
      </w:pPr>
    </w:p>
  </w:footnote>
  <w:footnote w:id="503">
    <w:p w14:paraId="670469FF" w14:textId="6A74E023" w:rsidR="006168EA" w:rsidRPr="007720B1" w:rsidRDefault="006168EA" w:rsidP="007720B1">
      <w:pPr>
        <w:pStyle w:val="Textonotapie"/>
        <w:spacing w:after="0"/>
        <w:rPr>
          <w:rStyle w:val="Textoennegrita"/>
          <w:b w:val="0"/>
          <w:color w:val="000000"/>
        </w:rPr>
      </w:pPr>
      <w:r w:rsidRPr="007720B1">
        <w:rPr>
          <w:rStyle w:val="Refdenotaalpie"/>
          <w:sz w:val="16"/>
        </w:rPr>
        <w:footnoteRef/>
      </w:r>
      <w:r w:rsidRPr="007720B1">
        <w:tab/>
      </w:r>
      <w:r w:rsidRPr="007720B1">
        <w:rPr>
          <w:i/>
        </w:rPr>
        <w:t xml:space="preserve">Cf. </w:t>
      </w:r>
      <w:r w:rsidRPr="007720B1">
        <w:rPr>
          <w:rStyle w:val="Textoennegrita"/>
          <w:b w:val="0"/>
          <w:i/>
          <w:color w:val="000000"/>
        </w:rPr>
        <w:t>Case of San Miguel Sosa et al. v.  Venezuela. Merits, reparations and costs.</w:t>
      </w:r>
      <w:r w:rsidRPr="007720B1">
        <w:rPr>
          <w:rStyle w:val="Textoennegrita"/>
          <w:b w:val="0"/>
          <w:color w:val="000000"/>
        </w:rPr>
        <w:t xml:space="preserve"> Judgment of February 8,</w:t>
      </w:r>
      <w:r w:rsidRPr="007720B1">
        <w:rPr>
          <w:rStyle w:val="Textoennegrita"/>
          <w:b w:val="0"/>
          <w:color w:val="000000"/>
          <w:shd w:val="clear" w:color="auto" w:fill="FFFFFF"/>
        </w:rPr>
        <w:t xml:space="preserve"> </w:t>
      </w:r>
      <w:r w:rsidRPr="007720B1">
        <w:rPr>
          <w:rStyle w:val="Textoennegrita"/>
          <w:b w:val="0"/>
          <w:color w:val="000000"/>
        </w:rPr>
        <w:t>2018. Series C No. 348. Partially dissenting opinion of Judge Humberto Antonio Sierra Porto.</w:t>
      </w:r>
    </w:p>
    <w:p w14:paraId="20C78CA3" w14:textId="77777777" w:rsidR="007720B1" w:rsidRPr="007720B1" w:rsidRDefault="007720B1" w:rsidP="007720B1">
      <w:pPr>
        <w:pStyle w:val="Textonotapie"/>
        <w:spacing w:after="0"/>
      </w:pPr>
    </w:p>
  </w:footnote>
  <w:footnote w:id="504">
    <w:p w14:paraId="2F634B35" w14:textId="226B0E9A"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ab/>
      </w:r>
      <w:r w:rsidRPr="007720B1">
        <w:rPr>
          <w:i/>
        </w:rPr>
        <w:t xml:space="preserve">Cf. </w:t>
      </w:r>
      <w:r w:rsidRPr="007720B1">
        <w:rPr>
          <w:rStyle w:val="Textoennegrita"/>
          <w:b w:val="0"/>
          <w:i/>
          <w:color w:val="000000"/>
        </w:rPr>
        <w:t xml:space="preserve">Case of Gonzales </w:t>
      </w:r>
      <w:proofErr w:type="spellStart"/>
      <w:r w:rsidRPr="007720B1">
        <w:rPr>
          <w:rStyle w:val="Textoennegrita"/>
          <w:b w:val="0"/>
          <w:i/>
          <w:color w:val="000000"/>
        </w:rPr>
        <w:t>Lluy</w:t>
      </w:r>
      <w:proofErr w:type="spellEnd"/>
      <w:r w:rsidRPr="007720B1">
        <w:rPr>
          <w:rStyle w:val="Textoennegrita"/>
          <w:b w:val="0"/>
          <w:i/>
          <w:color w:val="000000"/>
        </w:rPr>
        <w:t xml:space="preserve"> et al. v. Ecuador. </w:t>
      </w:r>
      <w:r w:rsidRPr="007720B1">
        <w:rPr>
          <w:bCs/>
          <w:i/>
          <w:color w:val="000000"/>
        </w:rPr>
        <w:t xml:space="preserve">Preliminary objections, merits, reparations and costs. </w:t>
      </w:r>
      <w:r w:rsidRPr="007720B1">
        <w:rPr>
          <w:bCs/>
          <w:color w:val="000000"/>
        </w:rPr>
        <w:t xml:space="preserve">Judgment of </w:t>
      </w:r>
      <w:r w:rsidRPr="007720B1">
        <w:rPr>
          <w:bCs/>
          <w:color w:val="000000"/>
          <w:shd w:val="clear" w:color="auto" w:fill="FFFFFF"/>
        </w:rPr>
        <w:t>September</w:t>
      </w:r>
      <w:r w:rsidRPr="007720B1">
        <w:rPr>
          <w:bCs/>
          <w:color w:val="000000"/>
        </w:rPr>
        <w:t xml:space="preserve"> 1, 2015. Series C No. 298.</w:t>
      </w:r>
      <w:r w:rsidRPr="007720B1">
        <w:rPr>
          <w:rStyle w:val="Textoennegrita"/>
          <w:b w:val="0"/>
          <w:color w:val="000000"/>
        </w:rPr>
        <w:t xml:space="preserve"> Concurring Opinion of Judge Humberto Antonio Sierra Porto.</w:t>
      </w:r>
      <w:r w:rsidRPr="007720B1">
        <w:rPr>
          <w:rStyle w:val="Textoennegrita"/>
          <w:b w:val="0"/>
          <w:color w:val="000000"/>
          <w:shd w:val="clear" w:color="auto" w:fill="FFFFFF"/>
        </w:rPr>
        <w:t xml:space="preserve"> </w:t>
      </w:r>
    </w:p>
    <w:p w14:paraId="001BE511" w14:textId="77777777" w:rsidR="007720B1" w:rsidRPr="007720B1" w:rsidRDefault="007720B1" w:rsidP="007720B1">
      <w:pPr>
        <w:pStyle w:val="Textonotapie"/>
        <w:spacing w:after="0"/>
        <w:rPr>
          <w:bCs/>
          <w:color w:val="000000"/>
          <w:shd w:val="clear" w:color="auto" w:fill="FFFFFF"/>
        </w:rPr>
      </w:pPr>
    </w:p>
  </w:footnote>
  <w:footnote w:id="505">
    <w:p w14:paraId="0F48F57E" w14:textId="492F7CB7" w:rsidR="006168EA" w:rsidRPr="007720B1" w:rsidRDefault="006168EA" w:rsidP="007720B1">
      <w:pPr>
        <w:rPr>
          <w:rStyle w:val="Textoennegrita"/>
          <w:rFonts w:ascii="Verdana" w:hAnsi="Verdana"/>
          <w:b w:val="0"/>
          <w:color w:val="000000"/>
          <w:sz w:val="16"/>
          <w:szCs w:val="16"/>
        </w:rPr>
      </w:pPr>
      <w:r w:rsidRPr="007720B1">
        <w:rPr>
          <w:rStyle w:val="Refdenotaalpie"/>
          <w:sz w:val="16"/>
          <w:szCs w:val="16"/>
        </w:rPr>
        <w:footnoteRef/>
      </w:r>
      <w:r w:rsidRPr="007720B1">
        <w:rPr>
          <w:rFonts w:ascii="Verdana" w:hAnsi="Verdana"/>
          <w:sz w:val="16"/>
          <w:szCs w:val="16"/>
        </w:rPr>
        <w:tab/>
      </w:r>
      <w:r w:rsidRPr="007720B1">
        <w:rPr>
          <w:rFonts w:ascii="Verdana" w:hAnsi="Verdana"/>
          <w:i/>
          <w:sz w:val="16"/>
          <w:szCs w:val="16"/>
        </w:rPr>
        <w:t xml:space="preserve">Cf. </w:t>
      </w:r>
      <w:r w:rsidRPr="007720B1">
        <w:rPr>
          <w:rStyle w:val="Textoennegrita"/>
          <w:rFonts w:ascii="Verdana" w:hAnsi="Verdana"/>
          <w:b w:val="0"/>
          <w:i/>
          <w:sz w:val="16"/>
          <w:szCs w:val="16"/>
        </w:rPr>
        <w:t xml:space="preserve">Case </w:t>
      </w:r>
      <w:proofErr w:type="spellStart"/>
      <w:r w:rsidRPr="007720B1">
        <w:rPr>
          <w:rStyle w:val="Textoennegrita"/>
          <w:rFonts w:ascii="Verdana" w:hAnsi="Verdana"/>
          <w:b w:val="0"/>
          <w:i/>
          <w:sz w:val="16"/>
          <w:szCs w:val="16"/>
        </w:rPr>
        <w:t>of</w:t>
      </w:r>
      <w:proofErr w:type="spellEnd"/>
      <w:r w:rsidRPr="007720B1">
        <w:rPr>
          <w:rStyle w:val="Textoennegrita"/>
          <w:rFonts w:ascii="Verdana" w:hAnsi="Verdana"/>
          <w:b w:val="0"/>
          <w:i/>
          <w:sz w:val="16"/>
          <w:szCs w:val="16"/>
        </w:rPr>
        <w:t xml:space="preserve"> Poblete Vilches et al. v. Chile. </w:t>
      </w:r>
      <w:proofErr w:type="spellStart"/>
      <w:r w:rsidRPr="007720B1">
        <w:rPr>
          <w:rStyle w:val="Textoennegrita"/>
          <w:rFonts w:ascii="Verdana" w:hAnsi="Verdana"/>
          <w:b w:val="0"/>
          <w:i/>
          <w:sz w:val="16"/>
          <w:szCs w:val="16"/>
        </w:rPr>
        <w:t>Merits</w:t>
      </w:r>
      <w:proofErr w:type="spellEnd"/>
      <w:r w:rsidRPr="007720B1">
        <w:rPr>
          <w:rStyle w:val="Textoennegrita"/>
          <w:rFonts w:ascii="Verdana" w:hAnsi="Verdana"/>
          <w:b w:val="0"/>
          <w:i/>
          <w:sz w:val="16"/>
          <w:szCs w:val="16"/>
        </w:rPr>
        <w:t xml:space="preserve">, </w:t>
      </w:r>
      <w:proofErr w:type="spellStart"/>
      <w:r w:rsidRPr="007720B1">
        <w:rPr>
          <w:rStyle w:val="Textoennegrita"/>
          <w:rFonts w:ascii="Verdana" w:hAnsi="Verdana"/>
          <w:b w:val="0"/>
          <w:i/>
          <w:sz w:val="16"/>
          <w:szCs w:val="16"/>
        </w:rPr>
        <w:t>reparations</w:t>
      </w:r>
      <w:proofErr w:type="spellEnd"/>
      <w:r w:rsidRPr="007720B1">
        <w:rPr>
          <w:rStyle w:val="Textoennegrita"/>
          <w:rFonts w:ascii="Verdana" w:hAnsi="Verdana"/>
          <w:b w:val="0"/>
          <w:i/>
          <w:sz w:val="16"/>
          <w:szCs w:val="16"/>
        </w:rPr>
        <w:t xml:space="preserve"> and </w:t>
      </w:r>
      <w:proofErr w:type="spellStart"/>
      <w:r w:rsidRPr="007720B1">
        <w:rPr>
          <w:rStyle w:val="Textoennegrita"/>
          <w:rFonts w:ascii="Verdana" w:hAnsi="Verdana"/>
          <w:b w:val="0"/>
          <w:i/>
          <w:sz w:val="16"/>
          <w:szCs w:val="16"/>
        </w:rPr>
        <w:t>costs</w:t>
      </w:r>
      <w:proofErr w:type="spellEnd"/>
      <w:r w:rsidRPr="007720B1">
        <w:rPr>
          <w:rStyle w:val="Textoennegrita"/>
          <w:rFonts w:ascii="Verdana" w:hAnsi="Verdana"/>
          <w:b w:val="0"/>
          <w:sz w:val="16"/>
          <w:szCs w:val="16"/>
        </w:rPr>
        <w:t xml:space="preserve">. </w:t>
      </w:r>
      <w:proofErr w:type="spellStart"/>
      <w:r w:rsidRPr="007720B1">
        <w:rPr>
          <w:rStyle w:val="Textoennegrita"/>
          <w:rFonts w:ascii="Verdana" w:hAnsi="Verdana"/>
          <w:b w:val="0"/>
          <w:sz w:val="16"/>
          <w:szCs w:val="16"/>
        </w:rPr>
        <w:t>Judgment</w:t>
      </w:r>
      <w:proofErr w:type="spellEnd"/>
      <w:r w:rsidRPr="007720B1">
        <w:rPr>
          <w:rStyle w:val="Textoennegrita"/>
          <w:rFonts w:ascii="Verdana" w:hAnsi="Verdana"/>
          <w:b w:val="0"/>
          <w:sz w:val="16"/>
          <w:szCs w:val="16"/>
        </w:rPr>
        <w:t xml:space="preserve"> </w:t>
      </w:r>
      <w:proofErr w:type="spellStart"/>
      <w:r w:rsidRPr="007720B1">
        <w:rPr>
          <w:rStyle w:val="Textoennegrita"/>
          <w:rFonts w:ascii="Verdana" w:hAnsi="Verdana"/>
          <w:b w:val="0"/>
          <w:sz w:val="16"/>
          <w:szCs w:val="16"/>
        </w:rPr>
        <w:t>of</w:t>
      </w:r>
      <w:proofErr w:type="spellEnd"/>
      <w:r w:rsidRPr="007720B1">
        <w:rPr>
          <w:rStyle w:val="Textoennegrita"/>
          <w:rFonts w:ascii="Verdana" w:hAnsi="Verdana"/>
          <w:b w:val="0"/>
          <w:sz w:val="16"/>
          <w:szCs w:val="16"/>
        </w:rPr>
        <w:t xml:space="preserve"> March 8, 2018. Series C No. 349.</w:t>
      </w:r>
      <w:r w:rsidRPr="007720B1">
        <w:rPr>
          <w:rStyle w:val="Textoennegrita"/>
          <w:rFonts w:ascii="Verdana" w:hAnsi="Verdana"/>
          <w:b w:val="0"/>
          <w:color w:val="000000"/>
          <w:sz w:val="16"/>
          <w:szCs w:val="16"/>
        </w:rPr>
        <w:t xml:space="preserve"> </w:t>
      </w:r>
      <w:proofErr w:type="spellStart"/>
      <w:r w:rsidRPr="007720B1">
        <w:rPr>
          <w:rStyle w:val="Textoennegrita"/>
          <w:rFonts w:ascii="Verdana" w:hAnsi="Verdana"/>
          <w:b w:val="0"/>
          <w:color w:val="000000"/>
          <w:sz w:val="16"/>
          <w:szCs w:val="16"/>
        </w:rPr>
        <w:t>Concurring</w:t>
      </w:r>
      <w:proofErr w:type="spellEnd"/>
      <w:r w:rsidRPr="007720B1">
        <w:rPr>
          <w:rStyle w:val="Textoennegrita"/>
          <w:rFonts w:ascii="Verdana" w:hAnsi="Verdana"/>
          <w:b w:val="0"/>
          <w:color w:val="000000"/>
          <w:sz w:val="16"/>
          <w:szCs w:val="16"/>
        </w:rPr>
        <w:t xml:space="preserve"> </w:t>
      </w:r>
      <w:proofErr w:type="spellStart"/>
      <w:r w:rsidRPr="007720B1">
        <w:rPr>
          <w:rStyle w:val="Textoennegrita"/>
          <w:rFonts w:ascii="Verdana" w:hAnsi="Verdana"/>
          <w:b w:val="0"/>
          <w:color w:val="000000"/>
          <w:sz w:val="16"/>
          <w:szCs w:val="16"/>
        </w:rPr>
        <w:t>Opinion</w:t>
      </w:r>
      <w:proofErr w:type="spellEnd"/>
      <w:r w:rsidRPr="007720B1">
        <w:rPr>
          <w:rStyle w:val="Textoennegrita"/>
          <w:rFonts w:ascii="Verdana" w:hAnsi="Verdana"/>
          <w:b w:val="0"/>
          <w:color w:val="000000"/>
          <w:sz w:val="16"/>
          <w:szCs w:val="16"/>
        </w:rPr>
        <w:t xml:space="preserve"> </w:t>
      </w:r>
      <w:proofErr w:type="spellStart"/>
      <w:r w:rsidRPr="007720B1">
        <w:rPr>
          <w:rStyle w:val="Textoennegrita"/>
          <w:rFonts w:ascii="Verdana" w:hAnsi="Verdana"/>
          <w:b w:val="0"/>
          <w:color w:val="000000"/>
          <w:sz w:val="16"/>
          <w:szCs w:val="16"/>
        </w:rPr>
        <w:t>of</w:t>
      </w:r>
      <w:proofErr w:type="spellEnd"/>
      <w:r w:rsidRPr="007720B1">
        <w:rPr>
          <w:rStyle w:val="Textoennegrita"/>
          <w:rFonts w:ascii="Verdana" w:hAnsi="Verdana"/>
          <w:b w:val="0"/>
          <w:color w:val="000000"/>
          <w:sz w:val="16"/>
          <w:szCs w:val="16"/>
        </w:rPr>
        <w:t xml:space="preserve"> </w:t>
      </w:r>
      <w:proofErr w:type="spellStart"/>
      <w:r w:rsidRPr="007720B1">
        <w:rPr>
          <w:rStyle w:val="Textoennegrita"/>
          <w:rFonts w:ascii="Verdana" w:hAnsi="Verdana"/>
          <w:b w:val="0"/>
          <w:color w:val="000000"/>
          <w:sz w:val="16"/>
          <w:szCs w:val="16"/>
        </w:rPr>
        <w:t>Judge</w:t>
      </w:r>
      <w:proofErr w:type="spellEnd"/>
      <w:r w:rsidRPr="007720B1">
        <w:rPr>
          <w:rStyle w:val="Textoennegrita"/>
          <w:rFonts w:ascii="Verdana" w:hAnsi="Verdana"/>
          <w:b w:val="0"/>
          <w:color w:val="000000"/>
          <w:sz w:val="16"/>
          <w:szCs w:val="16"/>
        </w:rPr>
        <w:t xml:space="preserve"> Humberto Antonio Sierra Porto.</w:t>
      </w:r>
    </w:p>
    <w:p w14:paraId="3DD05385" w14:textId="77777777" w:rsidR="007720B1" w:rsidRPr="007720B1" w:rsidRDefault="007720B1" w:rsidP="007720B1">
      <w:pPr>
        <w:rPr>
          <w:rFonts w:ascii="Verdana" w:hAnsi="Verdana"/>
          <w:bCs/>
          <w:color w:val="000000"/>
          <w:sz w:val="16"/>
          <w:szCs w:val="16"/>
          <w:shd w:val="clear" w:color="auto" w:fill="FFFFFF"/>
        </w:rPr>
      </w:pPr>
    </w:p>
  </w:footnote>
  <w:footnote w:id="506">
    <w:p w14:paraId="3603EC60" w14:textId="4F8FFF75" w:rsidR="006168EA" w:rsidRPr="006168EA" w:rsidRDefault="006168EA" w:rsidP="007720B1">
      <w:pPr>
        <w:pStyle w:val="Textonotapie"/>
        <w:spacing w:after="0"/>
        <w:rPr>
          <w:bCs/>
          <w:color w:val="000000"/>
        </w:rPr>
      </w:pPr>
      <w:r w:rsidRPr="007720B1">
        <w:rPr>
          <w:rStyle w:val="Refdenotaalpie"/>
          <w:sz w:val="16"/>
        </w:rPr>
        <w:footnoteRef/>
      </w:r>
      <w:r w:rsidRPr="007720B1">
        <w:t xml:space="preserve"> </w:t>
      </w:r>
      <w:r w:rsidRPr="007720B1">
        <w:tab/>
      </w:r>
      <w:r w:rsidRPr="007720B1">
        <w:rPr>
          <w:i/>
        </w:rPr>
        <w:t>Cf.</w:t>
      </w:r>
      <w:r w:rsidRPr="007720B1">
        <w:t xml:space="preserve"> </w:t>
      </w:r>
      <w:r w:rsidRPr="007720B1">
        <w:rPr>
          <w:i/>
        </w:rPr>
        <w:t xml:space="preserve">Case of </w:t>
      </w:r>
      <w:proofErr w:type="spellStart"/>
      <w:r w:rsidRPr="007720B1">
        <w:rPr>
          <w:i/>
        </w:rPr>
        <w:t>Cuscul</w:t>
      </w:r>
      <w:proofErr w:type="spellEnd"/>
      <w:r w:rsidRPr="007720B1">
        <w:rPr>
          <w:i/>
        </w:rPr>
        <w:t xml:space="preserve"> </w:t>
      </w:r>
      <w:proofErr w:type="spellStart"/>
      <w:r w:rsidRPr="007720B1">
        <w:rPr>
          <w:i/>
        </w:rPr>
        <w:t>Pivaral</w:t>
      </w:r>
      <w:proofErr w:type="spellEnd"/>
      <w:r w:rsidRPr="007720B1">
        <w:rPr>
          <w:i/>
        </w:rPr>
        <w:t xml:space="preserve"> et al. v. Guatemala</w:t>
      </w:r>
      <w:r w:rsidRPr="007720B1">
        <w:t xml:space="preserve">. </w:t>
      </w:r>
      <w:r w:rsidRPr="007720B1">
        <w:rPr>
          <w:i/>
        </w:rPr>
        <w:t>Preliminary objection, merits, reparations and costs</w:t>
      </w:r>
      <w:r w:rsidRPr="007720B1">
        <w:t xml:space="preserve">. Judgment of August 23, 2018. Series C No. 359. </w:t>
      </w:r>
      <w:r w:rsidRPr="007720B1">
        <w:rPr>
          <w:rStyle w:val="Textoennegrita"/>
          <w:b w:val="0"/>
          <w:color w:val="000000"/>
        </w:rPr>
        <w:t>Partially dissenting opinion of Judge Humberto Antonio Sierra Porto.</w:t>
      </w:r>
    </w:p>
  </w:footnote>
  <w:footnote w:id="507">
    <w:p w14:paraId="4CE571C9" w14:textId="77777777" w:rsidR="006168EA" w:rsidRPr="006168EA" w:rsidRDefault="006168EA" w:rsidP="007720B1">
      <w:pPr>
        <w:tabs>
          <w:tab w:val="left" w:pos="567"/>
        </w:tabs>
        <w:rPr>
          <w:rFonts w:ascii="Verdana" w:hAnsi="Verdana"/>
          <w:spacing w:val="-12"/>
          <w:sz w:val="16"/>
          <w:szCs w:val="16"/>
        </w:rPr>
      </w:pPr>
      <w:r w:rsidRPr="006168EA">
        <w:rPr>
          <w:rFonts w:ascii="Verdana" w:hAnsi="Verdana"/>
          <w:spacing w:val="-12"/>
          <w:sz w:val="16"/>
          <w:szCs w:val="16"/>
          <w:vertAlign w:val="superscript"/>
        </w:rPr>
        <w:footnoteRef/>
      </w:r>
      <w:r w:rsidRPr="006168EA">
        <w:rPr>
          <w:rFonts w:ascii="Verdana" w:hAnsi="Verdana"/>
          <w:spacing w:val="-12"/>
          <w:sz w:val="16"/>
          <w:szCs w:val="16"/>
        </w:rPr>
        <w:t xml:space="preserve"> </w:t>
      </w:r>
      <w:r w:rsidRPr="006168EA">
        <w:rPr>
          <w:rFonts w:ascii="Verdana" w:hAnsi="Verdana"/>
          <w:spacing w:val="-12"/>
          <w:sz w:val="16"/>
          <w:szCs w:val="16"/>
        </w:rPr>
        <w:tab/>
      </w:r>
      <w:r w:rsidRPr="006168EA">
        <w:rPr>
          <w:rFonts w:ascii="Verdana" w:hAnsi="Verdana"/>
          <w:i/>
          <w:spacing w:val="-12"/>
          <w:sz w:val="16"/>
          <w:szCs w:val="16"/>
        </w:rPr>
        <w:t xml:space="preserve">Cf. Case </w:t>
      </w:r>
      <w:proofErr w:type="spellStart"/>
      <w:r w:rsidRPr="006168EA">
        <w:rPr>
          <w:rFonts w:ascii="Verdana" w:hAnsi="Verdana"/>
          <w:i/>
          <w:spacing w:val="-12"/>
          <w:sz w:val="16"/>
          <w:szCs w:val="16"/>
        </w:rPr>
        <w:t>of</w:t>
      </w:r>
      <w:proofErr w:type="spellEnd"/>
      <w:r w:rsidRPr="006168EA">
        <w:rPr>
          <w:rFonts w:ascii="Verdana" w:hAnsi="Verdana"/>
          <w:i/>
          <w:spacing w:val="-12"/>
          <w:sz w:val="16"/>
          <w:szCs w:val="16"/>
        </w:rPr>
        <w:t xml:space="preserve"> Las Palmeras v. Colombia. </w:t>
      </w:r>
      <w:proofErr w:type="spellStart"/>
      <w:r w:rsidRPr="006168EA">
        <w:rPr>
          <w:rFonts w:ascii="Verdana" w:hAnsi="Verdana"/>
          <w:i/>
          <w:spacing w:val="-12"/>
          <w:sz w:val="16"/>
          <w:szCs w:val="16"/>
        </w:rPr>
        <w:t>Preliminary</w:t>
      </w:r>
      <w:proofErr w:type="spellEnd"/>
      <w:r w:rsidRPr="006168EA">
        <w:rPr>
          <w:rFonts w:ascii="Verdana" w:hAnsi="Verdana"/>
          <w:i/>
          <w:spacing w:val="-12"/>
          <w:sz w:val="16"/>
          <w:szCs w:val="16"/>
        </w:rPr>
        <w:t xml:space="preserve"> </w:t>
      </w:r>
      <w:proofErr w:type="spellStart"/>
      <w:r w:rsidRPr="006168EA">
        <w:rPr>
          <w:rFonts w:ascii="Verdana" w:hAnsi="Verdana"/>
          <w:i/>
          <w:spacing w:val="-12"/>
          <w:sz w:val="16"/>
          <w:szCs w:val="16"/>
        </w:rPr>
        <w:t>objections</w:t>
      </w:r>
      <w:proofErr w:type="spellEnd"/>
      <w:r w:rsidRPr="006168EA">
        <w:rPr>
          <w:rFonts w:ascii="Verdana" w:hAnsi="Verdana"/>
          <w:i/>
          <w:spacing w:val="-12"/>
          <w:sz w:val="16"/>
          <w:szCs w:val="16"/>
        </w:rPr>
        <w:t xml:space="preserve">. </w:t>
      </w:r>
      <w:proofErr w:type="spellStart"/>
      <w:r w:rsidRPr="006168EA">
        <w:rPr>
          <w:rFonts w:ascii="Verdana" w:hAnsi="Verdana"/>
          <w:spacing w:val="-12"/>
          <w:sz w:val="16"/>
          <w:szCs w:val="16"/>
        </w:rPr>
        <w:t>Judgment</w:t>
      </w:r>
      <w:proofErr w:type="spellEnd"/>
      <w:r w:rsidRPr="006168EA">
        <w:rPr>
          <w:rFonts w:ascii="Verdana" w:hAnsi="Verdana"/>
          <w:spacing w:val="-12"/>
          <w:sz w:val="16"/>
          <w:szCs w:val="16"/>
        </w:rPr>
        <w:t xml:space="preserve"> </w:t>
      </w:r>
      <w:proofErr w:type="spellStart"/>
      <w:r w:rsidRPr="006168EA">
        <w:rPr>
          <w:rFonts w:ascii="Verdana" w:hAnsi="Verdana"/>
          <w:spacing w:val="-12"/>
          <w:sz w:val="16"/>
          <w:szCs w:val="16"/>
        </w:rPr>
        <w:t>of</w:t>
      </w:r>
      <w:proofErr w:type="spellEnd"/>
      <w:r w:rsidRPr="006168EA">
        <w:rPr>
          <w:rFonts w:ascii="Verdana" w:hAnsi="Verdana"/>
          <w:spacing w:val="-12"/>
          <w:sz w:val="16"/>
          <w:szCs w:val="16"/>
        </w:rPr>
        <w:t xml:space="preserve"> </w:t>
      </w:r>
      <w:proofErr w:type="spellStart"/>
      <w:r w:rsidRPr="006168EA">
        <w:rPr>
          <w:rFonts w:ascii="Verdana" w:hAnsi="Verdana"/>
          <w:spacing w:val="-12"/>
          <w:sz w:val="16"/>
          <w:szCs w:val="16"/>
        </w:rPr>
        <w:t>February</w:t>
      </w:r>
      <w:proofErr w:type="spellEnd"/>
      <w:r w:rsidRPr="006168EA">
        <w:rPr>
          <w:rFonts w:ascii="Verdana" w:hAnsi="Verdana"/>
          <w:spacing w:val="-12"/>
          <w:sz w:val="16"/>
          <w:szCs w:val="16"/>
        </w:rPr>
        <w:t xml:space="preserve"> 4, 2000. Series C No. 67, para. 34, and </w:t>
      </w:r>
      <w:r w:rsidRPr="006168EA">
        <w:rPr>
          <w:rStyle w:val="Textoennegrita"/>
          <w:rFonts w:ascii="Verdana" w:hAnsi="Verdana"/>
          <w:b w:val="0"/>
          <w:i/>
          <w:color w:val="000000"/>
          <w:sz w:val="16"/>
          <w:szCs w:val="16"/>
          <w:shd w:val="clear" w:color="auto" w:fill="FFFFFF"/>
        </w:rPr>
        <w:t xml:space="preserve">Case </w:t>
      </w:r>
      <w:proofErr w:type="spellStart"/>
      <w:r w:rsidRPr="006168EA">
        <w:rPr>
          <w:rStyle w:val="Textoennegrita"/>
          <w:rFonts w:ascii="Verdana" w:hAnsi="Verdana"/>
          <w:b w:val="0"/>
          <w:i/>
          <w:color w:val="000000"/>
          <w:sz w:val="16"/>
          <w:szCs w:val="16"/>
          <w:shd w:val="clear" w:color="auto" w:fill="FFFFFF"/>
        </w:rPr>
        <w:t>of</w:t>
      </w:r>
      <w:proofErr w:type="spellEnd"/>
      <w:r w:rsidRPr="006168EA">
        <w:rPr>
          <w:rStyle w:val="Textoennegrita"/>
          <w:rFonts w:ascii="Verdana" w:hAnsi="Verdana"/>
          <w:b w:val="0"/>
          <w:i/>
          <w:color w:val="000000"/>
          <w:sz w:val="16"/>
          <w:szCs w:val="16"/>
          <w:shd w:val="clear" w:color="auto" w:fill="FFFFFF"/>
        </w:rPr>
        <w:t xml:space="preserve"> Herzog et al. v. </w:t>
      </w:r>
      <w:proofErr w:type="spellStart"/>
      <w:r w:rsidRPr="006168EA">
        <w:rPr>
          <w:rStyle w:val="Textoennegrita"/>
          <w:rFonts w:ascii="Verdana" w:hAnsi="Verdana"/>
          <w:b w:val="0"/>
          <w:i/>
          <w:color w:val="000000"/>
          <w:sz w:val="16"/>
          <w:szCs w:val="16"/>
          <w:shd w:val="clear" w:color="auto" w:fill="FFFFFF"/>
        </w:rPr>
        <w:t>Brazil</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Preliminary</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objections</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merits</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reparations</w:t>
      </w:r>
      <w:proofErr w:type="spellEnd"/>
      <w:r w:rsidRPr="006168EA">
        <w:rPr>
          <w:rStyle w:val="Textoennegrita"/>
          <w:rFonts w:ascii="Verdana" w:hAnsi="Verdana"/>
          <w:b w:val="0"/>
          <w:i/>
          <w:color w:val="000000"/>
          <w:sz w:val="16"/>
          <w:szCs w:val="16"/>
          <w:shd w:val="clear" w:color="auto" w:fill="FFFFFF"/>
        </w:rPr>
        <w:t xml:space="preserve"> and </w:t>
      </w:r>
      <w:proofErr w:type="spellStart"/>
      <w:r w:rsidRPr="006168EA">
        <w:rPr>
          <w:rStyle w:val="Textoennegrita"/>
          <w:rFonts w:ascii="Verdana" w:hAnsi="Verdana"/>
          <w:b w:val="0"/>
          <w:i/>
          <w:color w:val="000000"/>
          <w:sz w:val="16"/>
          <w:szCs w:val="16"/>
          <w:shd w:val="clear" w:color="auto" w:fill="FFFFFF"/>
        </w:rPr>
        <w:t>costs</w:t>
      </w:r>
      <w:proofErr w:type="spellEnd"/>
      <w:r w:rsidRPr="006168EA">
        <w:rPr>
          <w:rStyle w:val="Textoennegrita"/>
          <w:rFonts w:ascii="Verdana" w:hAnsi="Verdana"/>
          <w:b w:val="0"/>
          <w:i/>
          <w:color w:val="000000"/>
          <w:sz w:val="16"/>
          <w:szCs w:val="16"/>
          <w:shd w:val="clear" w:color="auto" w:fill="FFFFFF"/>
        </w:rPr>
        <w:t>.</w:t>
      </w:r>
      <w:r w:rsidRPr="006168EA">
        <w:rPr>
          <w:rStyle w:val="Textoennegrita"/>
          <w:rFonts w:ascii="Verdana" w:hAnsi="Verdana"/>
          <w:b w:val="0"/>
          <w:color w:val="000000"/>
          <w:sz w:val="16"/>
          <w:szCs w:val="16"/>
          <w:shd w:val="clear" w:color="auto" w:fill="FFFFFF"/>
        </w:rPr>
        <w:t xml:space="preserve"> </w:t>
      </w:r>
      <w:proofErr w:type="spellStart"/>
      <w:r w:rsidRPr="006168EA">
        <w:rPr>
          <w:rStyle w:val="Textoennegrita"/>
          <w:rFonts w:ascii="Verdana" w:hAnsi="Verdana"/>
          <w:b w:val="0"/>
          <w:color w:val="000000"/>
          <w:sz w:val="16"/>
          <w:szCs w:val="16"/>
          <w:shd w:val="clear" w:color="auto" w:fill="FFFFFF"/>
        </w:rPr>
        <w:t>Judgment</w:t>
      </w:r>
      <w:proofErr w:type="spellEnd"/>
      <w:r w:rsidRPr="006168EA">
        <w:rPr>
          <w:rStyle w:val="Textoennegrita"/>
          <w:rFonts w:ascii="Verdana" w:hAnsi="Verdana"/>
          <w:b w:val="0"/>
          <w:color w:val="000000"/>
          <w:sz w:val="16"/>
          <w:szCs w:val="16"/>
          <w:shd w:val="clear" w:color="auto" w:fill="FFFFFF"/>
        </w:rPr>
        <w:t xml:space="preserve"> </w:t>
      </w:r>
      <w:proofErr w:type="spellStart"/>
      <w:r w:rsidRPr="006168EA">
        <w:rPr>
          <w:rStyle w:val="Textoennegrita"/>
          <w:rFonts w:ascii="Verdana" w:hAnsi="Verdana"/>
          <w:b w:val="0"/>
          <w:color w:val="000000"/>
          <w:sz w:val="16"/>
          <w:szCs w:val="16"/>
          <w:shd w:val="clear" w:color="auto" w:fill="FFFFFF"/>
        </w:rPr>
        <w:t>of</w:t>
      </w:r>
      <w:proofErr w:type="spellEnd"/>
      <w:r w:rsidRPr="006168EA">
        <w:rPr>
          <w:rStyle w:val="Textoennegrita"/>
          <w:rFonts w:ascii="Verdana" w:hAnsi="Verdana"/>
          <w:b w:val="0"/>
          <w:color w:val="000000"/>
          <w:sz w:val="16"/>
          <w:szCs w:val="16"/>
          <w:shd w:val="clear" w:color="auto" w:fill="FFFFFF"/>
        </w:rPr>
        <w:t xml:space="preserve"> March 15, 2018. Series C No. 353, para. 97.</w:t>
      </w:r>
    </w:p>
  </w:footnote>
  <w:footnote w:id="508">
    <w:p w14:paraId="194B0676" w14:textId="77777777" w:rsidR="006168EA" w:rsidRPr="006168EA" w:rsidRDefault="006168EA" w:rsidP="007720B1">
      <w:pPr>
        <w:pStyle w:val="Textonotapie"/>
        <w:spacing w:after="0"/>
      </w:pPr>
      <w:r w:rsidRPr="006168EA">
        <w:rPr>
          <w:rStyle w:val="Refdenotaalpie"/>
          <w:sz w:val="16"/>
        </w:rPr>
        <w:footnoteRef/>
      </w:r>
      <w:r w:rsidRPr="006168EA">
        <w:t xml:space="preserve"> </w:t>
      </w:r>
      <w:r w:rsidRPr="006168EA">
        <w:tab/>
      </w:r>
      <w:r w:rsidRPr="006168EA">
        <w:rPr>
          <w:i/>
        </w:rPr>
        <w:t>Cf.</w:t>
      </w:r>
      <w:r w:rsidRPr="006168EA">
        <w:t xml:space="preserve"> </w:t>
      </w:r>
      <w:r w:rsidRPr="006168EA">
        <w:rPr>
          <w:i/>
        </w:rPr>
        <w:t xml:space="preserve">Case of </w:t>
      </w:r>
      <w:proofErr w:type="spellStart"/>
      <w:r w:rsidRPr="006168EA">
        <w:rPr>
          <w:i/>
        </w:rPr>
        <w:t>Castañeda</w:t>
      </w:r>
      <w:proofErr w:type="spellEnd"/>
      <w:r w:rsidRPr="006168EA">
        <w:rPr>
          <w:i/>
        </w:rPr>
        <w:t xml:space="preserve"> Gutman v. Mexico</w:t>
      </w:r>
      <w:r w:rsidRPr="006168EA">
        <w:t xml:space="preserve">, para. 39, and </w:t>
      </w:r>
      <w:r w:rsidRPr="006168EA">
        <w:rPr>
          <w:rStyle w:val="Textoennegrita"/>
          <w:b w:val="0"/>
          <w:i/>
          <w:color w:val="000000"/>
          <w:shd w:val="clear" w:color="auto" w:fill="FFFFFF"/>
        </w:rPr>
        <w:t>Case of Herzog et al. v. Brazil. Preliminary objections, merits, reparations and costs.</w:t>
      </w:r>
      <w:r w:rsidRPr="006168EA">
        <w:rPr>
          <w:rStyle w:val="Textoennegrita"/>
          <w:b w:val="0"/>
          <w:color w:val="000000"/>
          <w:shd w:val="clear" w:color="auto" w:fill="FFFFFF"/>
        </w:rPr>
        <w:t xml:space="preserve"> Judgment of March 15, 2018. Series C No. 353, para. 97.</w:t>
      </w:r>
    </w:p>
  </w:footnote>
  <w:footnote w:id="509">
    <w:p w14:paraId="6E43998E" w14:textId="77777777" w:rsidR="006168EA" w:rsidRPr="006168EA" w:rsidRDefault="006168EA" w:rsidP="007720B1">
      <w:pPr>
        <w:tabs>
          <w:tab w:val="left" w:pos="567"/>
        </w:tabs>
        <w:rPr>
          <w:rFonts w:ascii="Verdana" w:hAnsi="Verdana"/>
          <w:bCs/>
          <w:color w:val="000000"/>
          <w:sz w:val="16"/>
          <w:szCs w:val="16"/>
          <w:shd w:val="clear" w:color="auto" w:fill="FFFFFF"/>
        </w:rPr>
      </w:pPr>
      <w:r w:rsidRPr="006168EA">
        <w:rPr>
          <w:rFonts w:ascii="Verdana" w:hAnsi="Verdana"/>
          <w:spacing w:val="-12"/>
          <w:sz w:val="16"/>
          <w:szCs w:val="16"/>
          <w:vertAlign w:val="superscript"/>
        </w:rPr>
        <w:footnoteRef/>
      </w:r>
      <w:r w:rsidRPr="006168EA">
        <w:rPr>
          <w:rFonts w:ascii="Verdana" w:hAnsi="Verdana"/>
          <w:spacing w:val="-12"/>
          <w:sz w:val="16"/>
          <w:szCs w:val="16"/>
        </w:rPr>
        <w:t xml:space="preserve">  </w:t>
      </w:r>
      <w:r w:rsidRPr="006168EA">
        <w:rPr>
          <w:rFonts w:ascii="Verdana" w:hAnsi="Verdana"/>
          <w:spacing w:val="-12"/>
          <w:sz w:val="16"/>
          <w:szCs w:val="16"/>
        </w:rPr>
        <w:tab/>
      </w:r>
      <w:r w:rsidRPr="006168EA">
        <w:rPr>
          <w:rFonts w:ascii="Verdana" w:hAnsi="Verdana"/>
          <w:i/>
          <w:spacing w:val="-12"/>
          <w:sz w:val="16"/>
          <w:szCs w:val="16"/>
        </w:rPr>
        <w:t xml:space="preserve">Cf. Case </w:t>
      </w:r>
      <w:proofErr w:type="spellStart"/>
      <w:r w:rsidRPr="006168EA">
        <w:rPr>
          <w:rFonts w:ascii="Verdana" w:hAnsi="Verdana"/>
          <w:i/>
          <w:spacing w:val="-12"/>
          <w:sz w:val="16"/>
          <w:szCs w:val="16"/>
        </w:rPr>
        <w:t>of</w:t>
      </w:r>
      <w:proofErr w:type="spellEnd"/>
      <w:r w:rsidRPr="006168EA">
        <w:rPr>
          <w:rFonts w:ascii="Verdana" w:hAnsi="Verdana"/>
          <w:i/>
          <w:spacing w:val="-12"/>
          <w:sz w:val="16"/>
          <w:szCs w:val="16"/>
        </w:rPr>
        <w:t xml:space="preserve"> Castañeda Gutman v. </w:t>
      </w:r>
      <w:proofErr w:type="spellStart"/>
      <w:r w:rsidRPr="006168EA">
        <w:rPr>
          <w:rFonts w:ascii="Verdana" w:hAnsi="Verdana"/>
          <w:i/>
          <w:spacing w:val="-12"/>
          <w:sz w:val="16"/>
          <w:szCs w:val="16"/>
        </w:rPr>
        <w:t>Mexico</w:t>
      </w:r>
      <w:proofErr w:type="spellEnd"/>
      <w:r w:rsidRPr="006168EA">
        <w:rPr>
          <w:rFonts w:ascii="Verdana" w:hAnsi="Verdana"/>
          <w:i/>
          <w:spacing w:val="-12"/>
          <w:sz w:val="16"/>
          <w:szCs w:val="16"/>
        </w:rPr>
        <w:t xml:space="preserve">. </w:t>
      </w:r>
      <w:proofErr w:type="spellStart"/>
      <w:r w:rsidRPr="006168EA">
        <w:rPr>
          <w:rFonts w:ascii="Verdana" w:hAnsi="Verdana"/>
          <w:i/>
          <w:spacing w:val="-12"/>
          <w:sz w:val="16"/>
          <w:szCs w:val="16"/>
        </w:rPr>
        <w:t>Preliminary</w:t>
      </w:r>
      <w:proofErr w:type="spellEnd"/>
      <w:r w:rsidRPr="006168EA">
        <w:rPr>
          <w:rFonts w:ascii="Verdana" w:hAnsi="Verdana"/>
          <w:i/>
          <w:spacing w:val="-12"/>
          <w:sz w:val="16"/>
          <w:szCs w:val="16"/>
        </w:rPr>
        <w:t xml:space="preserve"> </w:t>
      </w:r>
      <w:proofErr w:type="spellStart"/>
      <w:r w:rsidRPr="006168EA">
        <w:rPr>
          <w:rFonts w:ascii="Verdana" w:hAnsi="Verdana"/>
          <w:i/>
          <w:spacing w:val="-12"/>
          <w:sz w:val="16"/>
          <w:szCs w:val="16"/>
        </w:rPr>
        <w:t>objections</w:t>
      </w:r>
      <w:proofErr w:type="spellEnd"/>
      <w:r w:rsidRPr="006168EA">
        <w:rPr>
          <w:rFonts w:ascii="Verdana" w:hAnsi="Verdana"/>
          <w:i/>
          <w:spacing w:val="-12"/>
          <w:sz w:val="16"/>
          <w:szCs w:val="16"/>
        </w:rPr>
        <w:t xml:space="preserve">, </w:t>
      </w:r>
      <w:proofErr w:type="spellStart"/>
      <w:r w:rsidRPr="006168EA">
        <w:rPr>
          <w:rFonts w:ascii="Verdana" w:hAnsi="Verdana"/>
          <w:i/>
          <w:spacing w:val="-12"/>
          <w:sz w:val="16"/>
          <w:szCs w:val="16"/>
        </w:rPr>
        <w:t>Merits</w:t>
      </w:r>
      <w:proofErr w:type="spellEnd"/>
      <w:r w:rsidRPr="006168EA">
        <w:rPr>
          <w:rFonts w:ascii="Verdana" w:hAnsi="Verdana"/>
          <w:i/>
          <w:spacing w:val="-12"/>
          <w:sz w:val="16"/>
          <w:szCs w:val="16"/>
        </w:rPr>
        <w:t xml:space="preserve">, </w:t>
      </w:r>
      <w:proofErr w:type="spellStart"/>
      <w:r w:rsidRPr="006168EA">
        <w:rPr>
          <w:rFonts w:ascii="Verdana" w:hAnsi="Verdana"/>
          <w:i/>
          <w:spacing w:val="-12"/>
          <w:sz w:val="16"/>
          <w:szCs w:val="16"/>
        </w:rPr>
        <w:t>reparations</w:t>
      </w:r>
      <w:proofErr w:type="spellEnd"/>
      <w:r w:rsidRPr="006168EA">
        <w:rPr>
          <w:rFonts w:ascii="Verdana" w:hAnsi="Verdana"/>
          <w:i/>
          <w:spacing w:val="-12"/>
          <w:sz w:val="16"/>
          <w:szCs w:val="16"/>
        </w:rPr>
        <w:t xml:space="preserve"> and </w:t>
      </w:r>
      <w:proofErr w:type="spellStart"/>
      <w:r w:rsidRPr="006168EA">
        <w:rPr>
          <w:rFonts w:ascii="Verdana" w:hAnsi="Verdana"/>
          <w:i/>
          <w:spacing w:val="-12"/>
          <w:sz w:val="16"/>
          <w:szCs w:val="16"/>
        </w:rPr>
        <w:t>costs</w:t>
      </w:r>
      <w:proofErr w:type="spellEnd"/>
      <w:r w:rsidRPr="006168EA">
        <w:rPr>
          <w:rFonts w:ascii="Verdana" w:hAnsi="Verdana"/>
          <w:i/>
          <w:spacing w:val="-12"/>
          <w:sz w:val="16"/>
          <w:szCs w:val="16"/>
        </w:rPr>
        <w:t xml:space="preserve">. </w:t>
      </w:r>
      <w:proofErr w:type="spellStart"/>
      <w:r w:rsidRPr="006168EA">
        <w:rPr>
          <w:rFonts w:ascii="Verdana" w:hAnsi="Verdana"/>
          <w:spacing w:val="-12"/>
          <w:sz w:val="16"/>
          <w:szCs w:val="16"/>
        </w:rPr>
        <w:t>Judgment</w:t>
      </w:r>
      <w:proofErr w:type="spellEnd"/>
      <w:r w:rsidRPr="006168EA">
        <w:rPr>
          <w:rFonts w:ascii="Verdana" w:hAnsi="Verdana"/>
          <w:spacing w:val="-12"/>
          <w:sz w:val="16"/>
          <w:szCs w:val="16"/>
        </w:rPr>
        <w:t xml:space="preserve"> </w:t>
      </w:r>
      <w:proofErr w:type="spellStart"/>
      <w:r w:rsidRPr="006168EA">
        <w:rPr>
          <w:rFonts w:ascii="Verdana" w:hAnsi="Verdana"/>
          <w:spacing w:val="-12"/>
          <w:sz w:val="16"/>
          <w:szCs w:val="16"/>
        </w:rPr>
        <w:t>of</w:t>
      </w:r>
      <w:proofErr w:type="spellEnd"/>
      <w:r w:rsidRPr="006168EA">
        <w:rPr>
          <w:rFonts w:ascii="Verdana" w:hAnsi="Verdana"/>
          <w:spacing w:val="-12"/>
          <w:sz w:val="16"/>
          <w:szCs w:val="16"/>
        </w:rPr>
        <w:t xml:space="preserve"> August 6, 2008. Series C No. 184, para. 39, and </w:t>
      </w:r>
      <w:r w:rsidRPr="006168EA">
        <w:rPr>
          <w:rStyle w:val="Textoennegrita"/>
          <w:rFonts w:ascii="Verdana" w:hAnsi="Verdana"/>
          <w:b w:val="0"/>
          <w:i/>
          <w:color w:val="000000"/>
          <w:sz w:val="16"/>
          <w:szCs w:val="16"/>
          <w:shd w:val="clear" w:color="auto" w:fill="FFFFFF"/>
        </w:rPr>
        <w:t xml:space="preserve">Case </w:t>
      </w:r>
      <w:proofErr w:type="spellStart"/>
      <w:r w:rsidRPr="006168EA">
        <w:rPr>
          <w:rStyle w:val="Textoennegrita"/>
          <w:rFonts w:ascii="Verdana" w:hAnsi="Verdana"/>
          <w:b w:val="0"/>
          <w:i/>
          <w:color w:val="000000"/>
          <w:sz w:val="16"/>
          <w:szCs w:val="16"/>
          <w:shd w:val="clear" w:color="auto" w:fill="FFFFFF"/>
        </w:rPr>
        <w:t>of</w:t>
      </w:r>
      <w:proofErr w:type="spellEnd"/>
      <w:r w:rsidRPr="006168EA">
        <w:rPr>
          <w:rStyle w:val="Textoennegrita"/>
          <w:rFonts w:ascii="Verdana" w:hAnsi="Verdana"/>
          <w:b w:val="0"/>
          <w:i/>
          <w:color w:val="000000"/>
          <w:sz w:val="16"/>
          <w:szCs w:val="16"/>
          <w:shd w:val="clear" w:color="auto" w:fill="FFFFFF"/>
        </w:rPr>
        <w:t xml:space="preserve"> Lagos del Campo v. </w:t>
      </w:r>
      <w:proofErr w:type="spellStart"/>
      <w:r w:rsidRPr="006168EA">
        <w:rPr>
          <w:rStyle w:val="Textoennegrita"/>
          <w:rFonts w:ascii="Verdana" w:hAnsi="Verdana"/>
          <w:b w:val="0"/>
          <w:i/>
          <w:color w:val="000000"/>
          <w:sz w:val="16"/>
          <w:szCs w:val="16"/>
          <w:shd w:val="clear" w:color="auto" w:fill="FFFFFF"/>
        </w:rPr>
        <w:t>Peru</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Preliminary</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objections</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Merits</w:t>
      </w:r>
      <w:proofErr w:type="spellEnd"/>
      <w:r w:rsidRPr="006168EA">
        <w:rPr>
          <w:rStyle w:val="Textoennegrita"/>
          <w:rFonts w:ascii="Verdana" w:hAnsi="Verdana"/>
          <w:b w:val="0"/>
          <w:i/>
          <w:color w:val="000000"/>
          <w:sz w:val="16"/>
          <w:szCs w:val="16"/>
          <w:shd w:val="clear" w:color="auto" w:fill="FFFFFF"/>
        </w:rPr>
        <w:t xml:space="preserve">, </w:t>
      </w:r>
      <w:proofErr w:type="spellStart"/>
      <w:r w:rsidRPr="006168EA">
        <w:rPr>
          <w:rStyle w:val="Textoennegrita"/>
          <w:rFonts w:ascii="Verdana" w:hAnsi="Verdana"/>
          <w:b w:val="0"/>
          <w:i/>
          <w:color w:val="000000"/>
          <w:sz w:val="16"/>
          <w:szCs w:val="16"/>
          <w:shd w:val="clear" w:color="auto" w:fill="FFFFFF"/>
        </w:rPr>
        <w:t>reparations</w:t>
      </w:r>
      <w:proofErr w:type="spellEnd"/>
      <w:r w:rsidRPr="006168EA">
        <w:rPr>
          <w:rStyle w:val="Textoennegrita"/>
          <w:rFonts w:ascii="Verdana" w:hAnsi="Verdana"/>
          <w:b w:val="0"/>
          <w:i/>
          <w:color w:val="000000"/>
          <w:sz w:val="16"/>
          <w:szCs w:val="16"/>
          <w:shd w:val="clear" w:color="auto" w:fill="FFFFFF"/>
        </w:rPr>
        <w:t xml:space="preserve"> and </w:t>
      </w:r>
      <w:proofErr w:type="spellStart"/>
      <w:r w:rsidRPr="006168EA">
        <w:rPr>
          <w:rStyle w:val="Textoennegrita"/>
          <w:rFonts w:ascii="Verdana" w:hAnsi="Verdana"/>
          <w:b w:val="0"/>
          <w:i/>
          <w:color w:val="000000"/>
          <w:sz w:val="16"/>
          <w:szCs w:val="16"/>
          <w:shd w:val="clear" w:color="auto" w:fill="FFFFFF"/>
        </w:rPr>
        <w:t>costs</w:t>
      </w:r>
      <w:proofErr w:type="spellEnd"/>
      <w:r w:rsidRPr="006168EA">
        <w:rPr>
          <w:rStyle w:val="Textoennegrita"/>
          <w:rFonts w:ascii="Verdana" w:hAnsi="Verdana"/>
          <w:b w:val="0"/>
          <w:color w:val="000000"/>
          <w:sz w:val="16"/>
          <w:szCs w:val="16"/>
          <w:shd w:val="clear" w:color="auto" w:fill="FFFFFF"/>
        </w:rPr>
        <w:t xml:space="preserve">. </w:t>
      </w:r>
      <w:proofErr w:type="spellStart"/>
      <w:r w:rsidRPr="006168EA">
        <w:rPr>
          <w:rStyle w:val="Textoennegrita"/>
          <w:rFonts w:ascii="Verdana" w:hAnsi="Verdana"/>
          <w:b w:val="0"/>
          <w:color w:val="000000"/>
          <w:sz w:val="16"/>
          <w:szCs w:val="16"/>
          <w:shd w:val="clear" w:color="auto" w:fill="FFFFFF"/>
        </w:rPr>
        <w:t>Judgment</w:t>
      </w:r>
      <w:proofErr w:type="spellEnd"/>
      <w:r w:rsidRPr="006168EA">
        <w:rPr>
          <w:rStyle w:val="Textoennegrita"/>
          <w:rFonts w:ascii="Verdana" w:hAnsi="Verdana"/>
          <w:b w:val="0"/>
          <w:color w:val="000000"/>
          <w:sz w:val="16"/>
          <w:szCs w:val="16"/>
          <w:shd w:val="clear" w:color="auto" w:fill="FFFFFF"/>
        </w:rPr>
        <w:t xml:space="preserve"> </w:t>
      </w:r>
      <w:proofErr w:type="spellStart"/>
      <w:r w:rsidRPr="006168EA">
        <w:rPr>
          <w:rStyle w:val="Textoennegrita"/>
          <w:rFonts w:ascii="Verdana" w:hAnsi="Verdana"/>
          <w:b w:val="0"/>
          <w:color w:val="000000"/>
          <w:sz w:val="16"/>
          <w:szCs w:val="16"/>
          <w:shd w:val="clear" w:color="auto" w:fill="FFFFFF"/>
        </w:rPr>
        <w:t>of</w:t>
      </w:r>
      <w:proofErr w:type="spellEnd"/>
      <w:r w:rsidRPr="006168EA">
        <w:rPr>
          <w:rStyle w:val="Textoennegrita"/>
          <w:rFonts w:ascii="Verdana" w:hAnsi="Verdana"/>
          <w:b w:val="0"/>
          <w:color w:val="000000"/>
          <w:sz w:val="16"/>
          <w:szCs w:val="16"/>
          <w:shd w:val="clear" w:color="auto" w:fill="FFFFFF"/>
        </w:rPr>
        <w:t xml:space="preserve"> August 31, 2017. Series C No. 340, para. 17.</w:t>
      </w:r>
    </w:p>
  </w:footnote>
  <w:footnote w:id="510">
    <w:p w14:paraId="3266E1BC" w14:textId="77777777" w:rsidR="006168EA" w:rsidRPr="006168EA" w:rsidRDefault="006168EA" w:rsidP="007720B1">
      <w:pPr>
        <w:pStyle w:val="Textonotapie"/>
        <w:spacing w:after="0"/>
      </w:pPr>
      <w:r w:rsidRPr="006168EA">
        <w:rPr>
          <w:rStyle w:val="Refdenotaalpie"/>
          <w:sz w:val="16"/>
        </w:rPr>
        <w:footnoteRef/>
      </w:r>
      <w:r w:rsidRPr="006168EA">
        <w:t xml:space="preserve"> </w:t>
      </w:r>
      <w:r w:rsidRPr="006168EA">
        <w:tab/>
      </w:r>
      <w:r w:rsidRPr="006168EA">
        <w:rPr>
          <w:i/>
        </w:rPr>
        <w:t>Cf.</w:t>
      </w:r>
      <w:r w:rsidRPr="006168EA">
        <w:t xml:space="preserve"> </w:t>
      </w:r>
      <w:r w:rsidRPr="006168EA">
        <w:rPr>
          <w:rStyle w:val="Textoennegrita"/>
          <w:b w:val="0"/>
          <w:i/>
          <w:color w:val="000000"/>
          <w:shd w:val="clear" w:color="auto" w:fill="FFFFFF"/>
        </w:rPr>
        <w:t xml:space="preserve">Case of Acevedo </w:t>
      </w:r>
      <w:proofErr w:type="spellStart"/>
      <w:r w:rsidRPr="006168EA">
        <w:rPr>
          <w:rStyle w:val="Textoennegrita"/>
          <w:b w:val="0"/>
          <w:i/>
          <w:color w:val="000000"/>
          <w:shd w:val="clear" w:color="auto" w:fill="FFFFFF"/>
        </w:rPr>
        <w:t>Buendía</w:t>
      </w:r>
      <w:proofErr w:type="spellEnd"/>
      <w:r w:rsidRPr="006168EA">
        <w:rPr>
          <w:rStyle w:val="Textoennegrita"/>
          <w:b w:val="0"/>
          <w:i/>
          <w:color w:val="000000"/>
          <w:shd w:val="clear" w:color="auto" w:fill="FFFFFF"/>
        </w:rPr>
        <w:t xml:space="preserve"> et al. (“Discharged and Retired Employees of the Comptroller’s Office”) v. Peru. Preliminary objection, merits, reparations and costs.</w:t>
      </w:r>
      <w:r w:rsidRPr="006168EA">
        <w:rPr>
          <w:rStyle w:val="Textoennegrita"/>
          <w:b w:val="0"/>
          <w:color w:val="000000"/>
          <w:shd w:val="clear" w:color="auto" w:fill="FFFFFF"/>
        </w:rPr>
        <w:t xml:space="preserve"> Judgment of July 1, 2009. Series C No. 198, paras. 12 to 19.</w:t>
      </w:r>
    </w:p>
  </w:footnote>
  <w:footnote w:id="511">
    <w:p w14:paraId="2FEEBA98" w14:textId="77777777" w:rsidR="006168EA" w:rsidRPr="006168EA" w:rsidRDefault="006168EA" w:rsidP="007720B1">
      <w:pPr>
        <w:pStyle w:val="Textonotapie"/>
        <w:spacing w:after="0"/>
      </w:pPr>
      <w:r w:rsidRPr="006168EA">
        <w:rPr>
          <w:rStyle w:val="Refdenotaalpie"/>
          <w:sz w:val="16"/>
        </w:rPr>
        <w:footnoteRef/>
      </w:r>
      <w:r w:rsidRPr="006168EA">
        <w:t xml:space="preserve"> </w:t>
      </w:r>
      <w:r w:rsidRPr="006168EA">
        <w:tab/>
      </w:r>
      <w:r w:rsidRPr="006168EA">
        <w:rPr>
          <w:i/>
        </w:rPr>
        <w:t>Cf.</w:t>
      </w:r>
      <w:r w:rsidRPr="006168EA">
        <w:t xml:space="preserve"> </w:t>
      </w:r>
      <w:r w:rsidRPr="006168EA">
        <w:rPr>
          <w:rStyle w:val="Textoennegrita"/>
          <w:b w:val="0"/>
          <w:i/>
          <w:color w:val="000000"/>
          <w:shd w:val="clear" w:color="auto" w:fill="FFFFFF"/>
        </w:rPr>
        <w:t xml:space="preserve">Case of Acevedo </w:t>
      </w:r>
      <w:proofErr w:type="spellStart"/>
      <w:r w:rsidRPr="006168EA">
        <w:rPr>
          <w:rStyle w:val="Textoennegrita"/>
          <w:b w:val="0"/>
          <w:i/>
          <w:color w:val="000000"/>
          <w:shd w:val="clear" w:color="auto" w:fill="FFFFFF"/>
        </w:rPr>
        <w:t>Buendía</w:t>
      </w:r>
      <w:proofErr w:type="spellEnd"/>
      <w:r w:rsidRPr="006168EA">
        <w:rPr>
          <w:rStyle w:val="Textoennegrita"/>
          <w:b w:val="0"/>
          <w:i/>
          <w:color w:val="000000"/>
          <w:shd w:val="clear" w:color="auto" w:fill="FFFFFF"/>
        </w:rPr>
        <w:t xml:space="preserve"> et al. (“Discharged and Retired Employees of the Comptroller’s Office”) v. Peru. Preliminary objection, merits, reparations and costs.</w:t>
      </w:r>
      <w:r w:rsidRPr="006168EA">
        <w:rPr>
          <w:rStyle w:val="Textoennegrita"/>
          <w:b w:val="0"/>
          <w:color w:val="000000"/>
          <w:shd w:val="clear" w:color="auto" w:fill="FFFFFF"/>
        </w:rPr>
        <w:t xml:space="preserve"> Judgment of July 1, 2009. Series C No. 198, paras.103.</w:t>
      </w:r>
    </w:p>
  </w:footnote>
  <w:footnote w:id="512">
    <w:p w14:paraId="74793621" w14:textId="77777777" w:rsidR="006168EA" w:rsidRPr="006168EA" w:rsidRDefault="006168EA" w:rsidP="007720B1">
      <w:pPr>
        <w:pStyle w:val="Textonotapie"/>
        <w:spacing w:after="0"/>
      </w:pPr>
      <w:r w:rsidRPr="006168EA">
        <w:rPr>
          <w:rStyle w:val="Refdenotaalpie"/>
          <w:sz w:val="16"/>
        </w:rPr>
        <w:footnoteRef/>
      </w:r>
      <w:r w:rsidRPr="006168EA">
        <w:t xml:space="preserve"> </w:t>
      </w:r>
      <w:r w:rsidRPr="006168EA">
        <w:tab/>
      </w:r>
      <w:r w:rsidRPr="006168EA">
        <w:rPr>
          <w:i/>
        </w:rPr>
        <w:t>Cf.</w:t>
      </w:r>
      <w:r w:rsidRPr="006168EA">
        <w:t xml:space="preserve"> </w:t>
      </w:r>
      <w:r w:rsidRPr="006168EA">
        <w:rPr>
          <w:bCs/>
        </w:rPr>
        <w:t xml:space="preserve">Case of “Five Pensioners” v. Peru. </w:t>
      </w:r>
      <w:r w:rsidRPr="006168EA">
        <w:t>Merits, reparations and costs, para. 147.</w:t>
      </w:r>
    </w:p>
  </w:footnote>
  <w:footnote w:id="513">
    <w:p w14:paraId="691E72D1" w14:textId="77777777" w:rsidR="006168EA" w:rsidRPr="00B76212" w:rsidRDefault="006168EA" w:rsidP="007720B1">
      <w:pPr>
        <w:pStyle w:val="Textonotapie"/>
        <w:spacing w:after="0"/>
      </w:pPr>
      <w:r w:rsidRPr="006168EA">
        <w:rPr>
          <w:rStyle w:val="Refdenotaalpie"/>
          <w:sz w:val="16"/>
        </w:rPr>
        <w:footnoteRef/>
      </w:r>
      <w:r w:rsidRPr="006168EA">
        <w:t xml:space="preserve"> </w:t>
      </w:r>
      <w:r w:rsidRPr="006168EA">
        <w:tab/>
      </w:r>
      <w:r w:rsidRPr="006168EA">
        <w:rPr>
          <w:i/>
        </w:rPr>
        <w:t>Cf.</w:t>
      </w:r>
      <w:r w:rsidRPr="006168EA">
        <w:t xml:space="preserve"> </w:t>
      </w:r>
      <w:r w:rsidRPr="006168EA">
        <w:rPr>
          <w:bCs/>
        </w:rPr>
        <w:t xml:space="preserve">Case of “Five Pensioners” v. Peru. </w:t>
      </w:r>
      <w:r w:rsidRPr="006168EA">
        <w:t>Merits, reparations and costs, para. 147.</w:t>
      </w:r>
    </w:p>
  </w:footnote>
  <w:footnote w:id="514">
    <w:p w14:paraId="1D07AB14" w14:textId="13DD0BBD" w:rsidR="006168EA" w:rsidRDefault="006168EA" w:rsidP="006168EA">
      <w:pPr>
        <w:pStyle w:val="Textonotapie"/>
      </w:pPr>
      <w:r w:rsidRPr="007720B1">
        <w:rPr>
          <w:rStyle w:val="Refdenotaalpie"/>
          <w:sz w:val="16"/>
        </w:rPr>
        <w:footnoteRef/>
      </w:r>
      <w:r w:rsidRPr="007720B1">
        <w:tab/>
      </w:r>
      <w:r w:rsidRPr="007720B1">
        <w:rPr>
          <w:i/>
        </w:rPr>
        <w:t>Cf.</w:t>
      </w:r>
      <w:r w:rsidRPr="007720B1">
        <w:t xml:space="preserve"> Gender</w:t>
      </w:r>
      <w:r w:rsidRPr="00B76212">
        <w:t xml:space="preserve"> identity, </w:t>
      </w:r>
      <w:r>
        <w:t xml:space="preserve">and </w:t>
      </w:r>
      <w:r w:rsidRPr="00B76212">
        <w:t xml:space="preserve">equality and non-discrimination </w:t>
      </w:r>
      <w:r>
        <w:t>with regard to same-</w:t>
      </w:r>
      <w:r w:rsidRPr="00B76212">
        <w:t xml:space="preserve">sex couples. </w:t>
      </w:r>
      <w:r>
        <w:t>State o</w:t>
      </w:r>
      <w:r w:rsidRPr="00B76212">
        <w:t xml:space="preserve">bligations </w:t>
      </w:r>
      <w:r>
        <w:t xml:space="preserve">in relation to </w:t>
      </w:r>
      <w:r w:rsidRPr="00B76212">
        <w:t>change of</w:t>
      </w:r>
      <w:r>
        <w:t xml:space="preserve"> name, gender identity, and </w:t>
      </w:r>
      <w:r w:rsidRPr="00B76212">
        <w:t>rights deriv</w:t>
      </w:r>
      <w:r>
        <w:t>ing from a relationship between same-</w:t>
      </w:r>
      <w:r w:rsidRPr="00B76212">
        <w:t>sex couples (interpr</w:t>
      </w:r>
      <w:r>
        <w:t>etation and scope of Articles 1(</w:t>
      </w:r>
      <w:r w:rsidRPr="00B76212">
        <w:t>1</w:t>
      </w:r>
      <w:r>
        <w:t>), 3, 7, 11(</w:t>
      </w:r>
      <w:r w:rsidRPr="00B76212">
        <w:t>2</w:t>
      </w:r>
      <w:r>
        <w:t>)</w:t>
      </w:r>
      <w:r w:rsidRPr="00B76212">
        <w:t>, 13, 17, 18 and 24, in relation to Article 1 of the American Convention on Human Rights). Advisory Opinion OC-24/17 of November 24, 2017. Series A No. 24, para. 55; Environment and human rights (</w:t>
      </w:r>
      <w:r>
        <w:t xml:space="preserve">State </w:t>
      </w:r>
      <w:r w:rsidRPr="00B76212">
        <w:t xml:space="preserve">obligations in relation </w:t>
      </w:r>
      <w:r>
        <w:t xml:space="preserve">to </w:t>
      </w:r>
      <w:r w:rsidRPr="00B76212">
        <w:t xml:space="preserve">the environment in the </w:t>
      </w:r>
      <w:r>
        <w:t xml:space="preserve">context of the </w:t>
      </w:r>
      <w:r w:rsidRPr="00B76212">
        <w:t xml:space="preserve">protection and </w:t>
      </w:r>
      <w:r>
        <w:t xml:space="preserve">guarantee </w:t>
      </w:r>
      <w:r w:rsidRPr="00B76212">
        <w:t xml:space="preserve">of the rights to life and </w:t>
      </w:r>
      <w:r>
        <w:t xml:space="preserve">to </w:t>
      </w:r>
      <w:r w:rsidRPr="00B76212">
        <w:t xml:space="preserve">personal integrity - interpretation and scope of Articles 4(1) and 5(1), in relation to Articles 1(1) and 2 of the American Convention on Human Rights). Advisory Opinion OC-23/17 of November 15, 2017. Series A No. 23, para. 40; Case of the Workers of Hacienda Brazil Verde v. Brazil. Preliminary objections, Merits, reparations and costs. Judgment of October 20, 2016. Series C No. 318, para. 246; Case of </w:t>
      </w:r>
      <w:proofErr w:type="spellStart"/>
      <w:r w:rsidRPr="00B76212">
        <w:t>Artavia</w:t>
      </w:r>
      <w:proofErr w:type="spellEnd"/>
      <w:r w:rsidRPr="00B76212">
        <w:t xml:space="preserve"> Murillo et al. ("</w:t>
      </w:r>
      <w:r>
        <w:t>In-vitro f</w:t>
      </w:r>
      <w:r w:rsidRPr="00B76212">
        <w:t>e</w:t>
      </w:r>
      <w:r>
        <w:t xml:space="preserve">rtilization </w:t>
      </w:r>
      <w:r w:rsidRPr="00B76212">
        <w:t xml:space="preserve">") v. Costa Rica. Preliminary objections, Merits, reparations and costs. Judgment of November 28, 2012. Series C No. 257, para. 173, and </w:t>
      </w:r>
      <w:r>
        <w:t>Case of</w:t>
      </w:r>
      <w:r w:rsidRPr="00B76212">
        <w:t xml:space="preserve"> González </w:t>
      </w:r>
      <w:r>
        <w:t xml:space="preserve">et al. </w:t>
      </w:r>
      <w:r w:rsidRPr="00B76212">
        <w:t xml:space="preserve">(“Cotton Field”) v. Mexico. Preliminary objection, merits, reparations and costs. Judgment </w:t>
      </w:r>
      <w:r>
        <w:t xml:space="preserve">of </w:t>
      </w:r>
      <w:r w:rsidRPr="00B76212">
        <w:t xml:space="preserve">November </w:t>
      </w:r>
      <w:r>
        <w:t xml:space="preserve">16, </w:t>
      </w:r>
      <w:r w:rsidRPr="00B76212">
        <w:t>2009. Series C No. 205, para. 32.</w:t>
      </w:r>
    </w:p>
    <w:p w14:paraId="221817A5" w14:textId="77777777" w:rsidR="007720B1" w:rsidRPr="00B76212" w:rsidRDefault="007720B1" w:rsidP="006168EA">
      <w:pPr>
        <w:pStyle w:val="Textonotapie"/>
      </w:pPr>
    </w:p>
  </w:footnote>
  <w:footnote w:id="515">
    <w:p w14:paraId="4A3AEEF7" w14:textId="77777777" w:rsidR="006168EA" w:rsidRPr="007720B1" w:rsidRDefault="006168EA" w:rsidP="006168EA">
      <w:pPr>
        <w:pStyle w:val="NormalWeb"/>
        <w:tabs>
          <w:tab w:val="left" w:pos="567"/>
        </w:tabs>
        <w:spacing w:before="0"/>
        <w:jc w:val="both"/>
        <w:rPr>
          <w:rFonts w:ascii="Verdana" w:hAnsi="Verdana" w:cs="Tahoma"/>
          <w:b/>
          <w:color w:val="000000"/>
          <w:sz w:val="16"/>
          <w:szCs w:val="16"/>
          <w:lang w:val="en-US"/>
        </w:rPr>
      </w:pPr>
      <w:r w:rsidRPr="007720B1">
        <w:rPr>
          <w:rStyle w:val="Refdenotaalpie"/>
          <w:sz w:val="16"/>
          <w:szCs w:val="16"/>
          <w:lang w:val="en-US"/>
        </w:rPr>
        <w:footnoteRef/>
      </w:r>
      <w:r w:rsidRPr="007720B1">
        <w:rPr>
          <w:rFonts w:ascii="Verdana" w:hAnsi="Verdana"/>
          <w:sz w:val="16"/>
          <w:szCs w:val="16"/>
          <w:lang w:val="en-US"/>
        </w:rPr>
        <w:t xml:space="preserve"> </w:t>
      </w:r>
      <w:r w:rsidRPr="007720B1">
        <w:rPr>
          <w:rFonts w:ascii="Verdana" w:hAnsi="Verdana"/>
          <w:sz w:val="16"/>
          <w:szCs w:val="16"/>
          <w:lang w:val="en-US"/>
        </w:rPr>
        <w:tab/>
        <w:t>Article 29 of the Convention establishes: “Standards of interpretation:</w:t>
      </w:r>
      <w:r w:rsidRPr="007720B1">
        <w:rPr>
          <w:rFonts w:ascii="Verdana" w:hAnsi="Verdana" w:cs="Tahoma"/>
          <w:color w:val="000000"/>
          <w:sz w:val="16"/>
          <w:szCs w:val="16"/>
          <w:lang w:val="en-US"/>
        </w:rPr>
        <w:t xml:space="preserve"> No provision of this Convention shall be interpreted as:  a) </w:t>
      </w:r>
      <w:r w:rsidRPr="007720B1">
        <w:rPr>
          <w:rFonts w:ascii="Verdana" w:hAnsi="Verdana"/>
          <w:color w:val="000000"/>
          <w:sz w:val="16"/>
          <w:szCs w:val="16"/>
          <w:lang w:val="en-US"/>
        </w:rPr>
        <w:t>permitting any State Party, group, or person to suppress the enjoyment or exercise of the rights and freedoms recognized in this Convention or to restrict them to a greater extent than is provided for herein</w:t>
      </w:r>
      <w:r w:rsidRPr="007720B1">
        <w:rPr>
          <w:rFonts w:ascii="Verdana" w:hAnsi="Verdana" w:cs="Tahoma"/>
          <w:color w:val="000000"/>
          <w:sz w:val="16"/>
          <w:szCs w:val="16"/>
          <w:lang w:val="en-US"/>
        </w:rPr>
        <w:t xml:space="preserve">;  b) </w:t>
      </w:r>
      <w:r w:rsidRPr="007720B1">
        <w:rPr>
          <w:rFonts w:ascii="Verdana" w:hAnsi="Verdana"/>
          <w:color w:val="000000"/>
          <w:sz w:val="16"/>
          <w:szCs w:val="16"/>
          <w:lang w:val="en-US"/>
        </w:rPr>
        <w:t>restricting the enjoyment or exercise of any right or freedom recognized by virtue of the laws of any State Party or by virtue of another convention to which one of the said States is a party</w:t>
      </w:r>
      <w:r w:rsidRPr="007720B1">
        <w:rPr>
          <w:rFonts w:ascii="Verdana" w:hAnsi="Verdana" w:cs="Tahoma"/>
          <w:color w:val="000000"/>
          <w:sz w:val="16"/>
          <w:szCs w:val="16"/>
          <w:lang w:val="en-US"/>
        </w:rPr>
        <w:t xml:space="preserve">;  c) </w:t>
      </w:r>
      <w:r w:rsidRPr="007720B1">
        <w:rPr>
          <w:rFonts w:ascii="Verdana" w:hAnsi="Verdana"/>
          <w:color w:val="000000"/>
          <w:sz w:val="16"/>
          <w:szCs w:val="16"/>
          <w:lang w:val="en-US"/>
        </w:rPr>
        <w:t>precluding other rights or guarantees that are inherent in the human personality or derived from representative democracy as a form of government;</w:t>
      </w:r>
      <w:r w:rsidRPr="007720B1">
        <w:rPr>
          <w:rFonts w:ascii="Verdana" w:hAnsi="Verdana" w:cs="Tahoma"/>
          <w:color w:val="000000"/>
          <w:sz w:val="16"/>
          <w:szCs w:val="16"/>
          <w:lang w:val="en-US"/>
        </w:rPr>
        <w:t xml:space="preserve"> and,  d) </w:t>
      </w:r>
      <w:r w:rsidRPr="007720B1">
        <w:rPr>
          <w:rFonts w:ascii="Verdana" w:hAnsi="Verdana"/>
          <w:color w:val="000000"/>
          <w:sz w:val="16"/>
          <w:szCs w:val="16"/>
          <w:lang w:val="en-US"/>
        </w:rPr>
        <w:t>excluding or limiting the effect that the American Declaration of the Rights and Duties of Man and other international acts of the same nature may have</w:t>
      </w:r>
      <w:r w:rsidRPr="007720B1">
        <w:rPr>
          <w:rFonts w:ascii="Verdana" w:hAnsi="Verdana" w:cs="Tahoma"/>
          <w:color w:val="000000"/>
          <w:sz w:val="16"/>
          <w:szCs w:val="16"/>
          <w:lang w:val="en-US"/>
        </w:rPr>
        <w:t>.”</w:t>
      </w:r>
    </w:p>
  </w:footnote>
  <w:footnote w:id="516">
    <w:p w14:paraId="51EE4542" w14:textId="77777777" w:rsidR="006168EA" w:rsidRPr="007720B1" w:rsidRDefault="006168EA" w:rsidP="006168EA">
      <w:pPr>
        <w:tabs>
          <w:tab w:val="left" w:pos="567"/>
        </w:tabs>
        <w:autoSpaceDE w:val="0"/>
        <w:autoSpaceDN w:val="0"/>
        <w:rPr>
          <w:rFonts w:ascii="Verdana" w:hAnsi="Verdana" w:cs="Verdana"/>
          <w:sz w:val="16"/>
          <w:szCs w:val="16"/>
        </w:rPr>
      </w:pPr>
      <w:r w:rsidRPr="007720B1">
        <w:rPr>
          <w:rStyle w:val="Refdenotaalpie"/>
          <w:sz w:val="16"/>
          <w:szCs w:val="16"/>
        </w:rPr>
        <w:footnoteRef/>
      </w:r>
      <w:r w:rsidRPr="007720B1">
        <w:rPr>
          <w:rFonts w:ascii="Verdana" w:hAnsi="Verdana"/>
          <w:sz w:val="16"/>
          <w:szCs w:val="16"/>
        </w:rPr>
        <w:tab/>
      </w:r>
      <w:r w:rsidRPr="007720B1">
        <w:rPr>
          <w:rFonts w:ascii="Verdana" w:hAnsi="Verdana"/>
          <w:i/>
          <w:sz w:val="16"/>
          <w:szCs w:val="16"/>
        </w:rPr>
        <w:t xml:space="preserve">Cf. </w:t>
      </w:r>
      <w:r w:rsidRPr="007720B1">
        <w:rPr>
          <w:rStyle w:val="Textoennegrita"/>
          <w:rFonts w:ascii="Verdana" w:hAnsi="Verdana"/>
          <w:b w:val="0"/>
          <w:i/>
          <w:color w:val="000000"/>
          <w:sz w:val="16"/>
          <w:szCs w:val="16"/>
          <w:shd w:val="clear" w:color="auto" w:fill="FFFFFF"/>
        </w:rPr>
        <w:t xml:space="preserve">Case </w:t>
      </w:r>
      <w:proofErr w:type="spellStart"/>
      <w:r w:rsidRPr="007720B1">
        <w:rPr>
          <w:rStyle w:val="Textoennegrita"/>
          <w:rFonts w:ascii="Verdana" w:hAnsi="Verdana"/>
          <w:b w:val="0"/>
          <w:i/>
          <w:color w:val="000000"/>
          <w:sz w:val="16"/>
          <w:szCs w:val="16"/>
          <w:shd w:val="clear" w:color="auto" w:fill="FFFFFF"/>
        </w:rPr>
        <w:t>of</w:t>
      </w:r>
      <w:proofErr w:type="spellEnd"/>
      <w:r w:rsidRPr="007720B1">
        <w:rPr>
          <w:rStyle w:val="Textoennegrita"/>
          <w:rFonts w:ascii="Verdana" w:hAnsi="Verdana"/>
          <w:b w:val="0"/>
          <w:i/>
          <w:color w:val="000000"/>
          <w:sz w:val="16"/>
          <w:szCs w:val="16"/>
          <w:shd w:val="clear" w:color="auto" w:fill="FFFFFF"/>
        </w:rPr>
        <w:t xml:space="preserve"> Acevedo Buendía et al. (“</w:t>
      </w:r>
      <w:proofErr w:type="spellStart"/>
      <w:r w:rsidRPr="007720B1">
        <w:rPr>
          <w:rStyle w:val="Textoennegrita"/>
          <w:rFonts w:ascii="Verdana" w:hAnsi="Verdana"/>
          <w:b w:val="0"/>
          <w:i/>
          <w:color w:val="000000"/>
          <w:sz w:val="16"/>
          <w:szCs w:val="16"/>
          <w:shd w:val="clear" w:color="auto" w:fill="FFFFFF"/>
        </w:rPr>
        <w:t>Discharged</w:t>
      </w:r>
      <w:proofErr w:type="spellEnd"/>
      <w:r w:rsidRPr="007720B1">
        <w:rPr>
          <w:rStyle w:val="Textoennegrita"/>
          <w:rFonts w:ascii="Verdana" w:hAnsi="Verdana"/>
          <w:b w:val="0"/>
          <w:i/>
          <w:color w:val="000000"/>
          <w:sz w:val="16"/>
          <w:szCs w:val="16"/>
          <w:shd w:val="clear" w:color="auto" w:fill="FFFFFF"/>
        </w:rPr>
        <w:t xml:space="preserve"> and </w:t>
      </w:r>
      <w:proofErr w:type="spellStart"/>
      <w:r w:rsidRPr="007720B1">
        <w:rPr>
          <w:rStyle w:val="Textoennegrita"/>
          <w:rFonts w:ascii="Verdana" w:hAnsi="Verdana"/>
          <w:b w:val="0"/>
          <w:i/>
          <w:color w:val="000000"/>
          <w:sz w:val="16"/>
          <w:szCs w:val="16"/>
          <w:shd w:val="clear" w:color="auto" w:fill="FFFFFF"/>
        </w:rPr>
        <w:t>Retired</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Employees</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of</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the</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Comptroller’s</w:t>
      </w:r>
      <w:proofErr w:type="spellEnd"/>
      <w:r w:rsidRPr="007720B1">
        <w:rPr>
          <w:rStyle w:val="Textoennegrita"/>
          <w:rFonts w:ascii="Verdana" w:hAnsi="Verdana"/>
          <w:b w:val="0"/>
          <w:i/>
          <w:color w:val="000000"/>
          <w:sz w:val="16"/>
          <w:szCs w:val="16"/>
          <w:shd w:val="clear" w:color="auto" w:fill="FFFFFF"/>
        </w:rPr>
        <w:t xml:space="preserve"> Office”) v. </w:t>
      </w:r>
      <w:proofErr w:type="spellStart"/>
      <w:r w:rsidRPr="007720B1">
        <w:rPr>
          <w:rStyle w:val="Textoennegrita"/>
          <w:rFonts w:ascii="Verdana" w:hAnsi="Verdana"/>
          <w:b w:val="0"/>
          <w:i/>
          <w:color w:val="000000"/>
          <w:sz w:val="16"/>
          <w:szCs w:val="16"/>
          <w:shd w:val="clear" w:color="auto" w:fill="FFFFFF"/>
        </w:rPr>
        <w:t>Peru</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Preliminary</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objection</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merits</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reparations</w:t>
      </w:r>
      <w:proofErr w:type="spellEnd"/>
      <w:r w:rsidRPr="007720B1">
        <w:rPr>
          <w:rStyle w:val="Textoennegrita"/>
          <w:rFonts w:ascii="Verdana" w:hAnsi="Verdana"/>
          <w:b w:val="0"/>
          <w:i/>
          <w:color w:val="000000"/>
          <w:sz w:val="16"/>
          <w:szCs w:val="16"/>
          <w:shd w:val="clear" w:color="auto" w:fill="FFFFFF"/>
        </w:rPr>
        <w:t xml:space="preserve"> and </w:t>
      </w:r>
      <w:proofErr w:type="spellStart"/>
      <w:r w:rsidRPr="007720B1">
        <w:rPr>
          <w:rStyle w:val="Textoennegrita"/>
          <w:rFonts w:ascii="Verdana" w:hAnsi="Verdana"/>
          <w:b w:val="0"/>
          <w:i/>
          <w:color w:val="000000"/>
          <w:sz w:val="16"/>
          <w:szCs w:val="16"/>
          <w:shd w:val="clear" w:color="auto" w:fill="FFFFFF"/>
        </w:rPr>
        <w:t>costs</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Judgment</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of</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July</w:t>
      </w:r>
      <w:proofErr w:type="spellEnd"/>
      <w:r w:rsidRPr="007720B1">
        <w:rPr>
          <w:rStyle w:val="Textoennegrita"/>
          <w:rFonts w:ascii="Verdana" w:hAnsi="Verdana"/>
          <w:b w:val="0"/>
          <w:color w:val="000000"/>
          <w:sz w:val="16"/>
          <w:szCs w:val="16"/>
          <w:shd w:val="clear" w:color="auto" w:fill="FFFFFF"/>
        </w:rPr>
        <w:t xml:space="preserve"> 1, 2009. Series C No. 198</w:t>
      </w:r>
      <w:r w:rsidRPr="007720B1">
        <w:rPr>
          <w:rFonts w:ascii="Verdana" w:hAnsi="Verdana"/>
          <w:sz w:val="16"/>
          <w:szCs w:val="16"/>
        </w:rPr>
        <w:t xml:space="preserve">, para. 102, and </w:t>
      </w:r>
      <w:r w:rsidRPr="007720B1">
        <w:rPr>
          <w:rStyle w:val="Textoennegrita"/>
          <w:rFonts w:ascii="Verdana" w:hAnsi="Verdana"/>
          <w:b w:val="0"/>
          <w:i/>
          <w:color w:val="000000"/>
          <w:sz w:val="16"/>
          <w:szCs w:val="16"/>
          <w:shd w:val="clear" w:color="auto" w:fill="FFFFFF"/>
        </w:rPr>
        <w:t xml:space="preserve">Case </w:t>
      </w:r>
      <w:proofErr w:type="spellStart"/>
      <w:r w:rsidRPr="007720B1">
        <w:rPr>
          <w:rStyle w:val="Textoennegrita"/>
          <w:rFonts w:ascii="Verdana" w:hAnsi="Verdana"/>
          <w:b w:val="0"/>
          <w:i/>
          <w:color w:val="000000"/>
          <w:sz w:val="16"/>
          <w:szCs w:val="16"/>
          <w:shd w:val="clear" w:color="auto" w:fill="FFFFFF"/>
        </w:rPr>
        <w:t>of</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Cuscul</w:t>
      </w:r>
      <w:proofErr w:type="spellEnd"/>
      <w:r w:rsidRPr="007720B1">
        <w:rPr>
          <w:rStyle w:val="Textoennegrita"/>
          <w:rFonts w:ascii="Verdana" w:hAnsi="Verdana"/>
          <w:b w:val="0"/>
          <w:i/>
          <w:color w:val="000000"/>
          <w:sz w:val="16"/>
          <w:szCs w:val="16"/>
          <w:shd w:val="clear" w:color="auto" w:fill="FFFFFF"/>
        </w:rPr>
        <w:t xml:space="preserve"> Pivaral et al. v. Guatemala. </w:t>
      </w:r>
      <w:proofErr w:type="spellStart"/>
      <w:r w:rsidRPr="007720B1">
        <w:rPr>
          <w:rStyle w:val="Textoennegrita"/>
          <w:rFonts w:ascii="Verdana" w:hAnsi="Verdana"/>
          <w:b w:val="0"/>
          <w:i/>
          <w:color w:val="000000"/>
          <w:sz w:val="16"/>
          <w:szCs w:val="16"/>
          <w:shd w:val="clear" w:color="auto" w:fill="FFFFFF"/>
        </w:rPr>
        <w:t>Preliminary</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objection</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merits</w:t>
      </w:r>
      <w:proofErr w:type="spellEnd"/>
      <w:r w:rsidRPr="007720B1">
        <w:rPr>
          <w:rStyle w:val="Textoennegrita"/>
          <w:rFonts w:ascii="Verdana" w:hAnsi="Verdana"/>
          <w:b w:val="0"/>
          <w:i/>
          <w:color w:val="000000"/>
          <w:sz w:val="16"/>
          <w:szCs w:val="16"/>
          <w:shd w:val="clear" w:color="auto" w:fill="FFFFFF"/>
        </w:rPr>
        <w:t xml:space="preserve">, </w:t>
      </w:r>
      <w:proofErr w:type="spellStart"/>
      <w:r w:rsidRPr="007720B1">
        <w:rPr>
          <w:rStyle w:val="Textoennegrita"/>
          <w:rFonts w:ascii="Verdana" w:hAnsi="Verdana"/>
          <w:b w:val="0"/>
          <w:i/>
          <w:color w:val="000000"/>
          <w:sz w:val="16"/>
          <w:szCs w:val="16"/>
          <w:shd w:val="clear" w:color="auto" w:fill="FFFFFF"/>
        </w:rPr>
        <w:t>reparations</w:t>
      </w:r>
      <w:proofErr w:type="spellEnd"/>
      <w:r w:rsidRPr="007720B1">
        <w:rPr>
          <w:rStyle w:val="Textoennegrita"/>
          <w:rFonts w:ascii="Verdana" w:hAnsi="Verdana"/>
          <w:b w:val="0"/>
          <w:i/>
          <w:color w:val="000000"/>
          <w:sz w:val="16"/>
          <w:szCs w:val="16"/>
          <w:shd w:val="clear" w:color="auto" w:fill="FFFFFF"/>
        </w:rPr>
        <w:t xml:space="preserve"> and </w:t>
      </w:r>
      <w:proofErr w:type="spellStart"/>
      <w:r w:rsidRPr="007720B1">
        <w:rPr>
          <w:rStyle w:val="Textoennegrita"/>
          <w:rFonts w:ascii="Verdana" w:hAnsi="Verdana"/>
          <w:b w:val="0"/>
          <w:i/>
          <w:color w:val="000000"/>
          <w:sz w:val="16"/>
          <w:szCs w:val="16"/>
          <w:shd w:val="clear" w:color="auto" w:fill="FFFFFF"/>
        </w:rPr>
        <w:t>costs</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Judgment</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of</w:t>
      </w:r>
      <w:proofErr w:type="spellEnd"/>
      <w:r w:rsidRPr="007720B1">
        <w:rPr>
          <w:rStyle w:val="Textoennegrita"/>
          <w:rFonts w:ascii="Verdana" w:hAnsi="Verdana"/>
          <w:b w:val="0"/>
          <w:color w:val="000000"/>
          <w:sz w:val="16"/>
          <w:szCs w:val="16"/>
          <w:shd w:val="clear" w:color="auto" w:fill="FFFFFF"/>
        </w:rPr>
        <w:t xml:space="preserve"> August 23, 2018. Series C No. 359, para. 80. </w:t>
      </w:r>
      <w:proofErr w:type="spellStart"/>
      <w:r w:rsidRPr="007720B1">
        <w:rPr>
          <w:rStyle w:val="Textoennegrita"/>
          <w:rFonts w:ascii="Verdana" w:hAnsi="Verdana"/>
          <w:b w:val="0"/>
          <w:color w:val="000000"/>
          <w:sz w:val="16"/>
          <w:szCs w:val="16"/>
          <w:shd w:val="clear" w:color="auto" w:fill="FFFFFF"/>
        </w:rPr>
        <w:t>See</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also</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Fonts w:ascii="Verdana" w:hAnsi="Verdana"/>
          <w:sz w:val="16"/>
          <w:szCs w:val="16"/>
        </w:rPr>
        <w:t>Committee</w:t>
      </w:r>
      <w:proofErr w:type="spellEnd"/>
      <w:r w:rsidRPr="007720B1">
        <w:rPr>
          <w:rFonts w:ascii="Verdana" w:hAnsi="Verdana"/>
          <w:sz w:val="16"/>
          <w:szCs w:val="16"/>
        </w:rPr>
        <w:t xml:space="preserve"> </w:t>
      </w:r>
      <w:proofErr w:type="spellStart"/>
      <w:r w:rsidRPr="007720B1">
        <w:rPr>
          <w:rFonts w:ascii="Verdana" w:hAnsi="Verdana"/>
          <w:sz w:val="16"/>
          <w:szCs w:val="16"/>
        </w:rPr>
        <w:t>on</w:t>
      </w:r>
      <w:proofErr w:type="spellEnd"/>
      <w:r w:rsidRPr="007720B1">
        <w:rPr>
          <w:rFonts w:ascii="Verdana" w:hAnsi="Verdana"/>
          <w:sz w:val="16"/>
          <w:szCs w:val="16"/>
        </w:rPr>
        <w:t xml:space="preserve"> </w:t>
      </w:r>
      <w:proofErr w:type="spellStart"/>
      <w:r w:rsidRPr="007720B1">
        <w:rPr>
          <w:rFonts w:ascii="Verdana" w:hAnsi="Verdana"/>
          <w:sz w:val="16"/>
          <w:szCs w:val="16"/>
        </w:rPr>
        <w:t>Economic</w:t>
      </w:r>
      <w:proofErr w:type="spellEnd"/>
      <w:r w:rsidRPr="007720B1">
        <w:rPr>
          <w:rFonts w:ascii="Verdana" w:hAnsi="Verdana"/>
          <w:sz w:val="16"/>
          <w:szCs w:val="16"/>
        </w:rPr>
        <w:t xml:space="preserve">, Social and Cultural </w:t>
      </w:r>
      <w:proofErr w:type="spellStart"/>
      <w:r w:rsidRPr="007720B1">
        <w:rPr>
          <w:rFonts w:ascii="Verdana" w:hAnsi="Verdana"/>
          <w:sz w:val="16"/>
          <w:szCs w:val="16"/>
        </w:rPr>
        <w:t>Rights</w:t>
      </w:r>
      <w:proofErr w:type="spellEnd"/>
      <w:r w:rsidRPr="007720B1">
        <w:rPr>
          <w:rFonts w:ascii="Verdana" w:hAnsi="Verdana"/>
          <w:sz w:val="16"/>
          <w:szCs w:val="16"/>
        </w:rPr>
        <w:t xml:space="preserve">, General </w:t>
      </w:r>
      <w:proofErr w:type="spellStart"/>
      <w:r w:rsidRPr="007720B1">
        <w:rPr>
          <w:rFonts w:ascii="Verdana" w:hAnsi="Verdana"/>
          <w:sz w:val="16"/>
          <w:szCs w:val="16"/>
        </w:rPr>
        <w:t>Comment</w:t>
      </w:r>
      <w:proofErr w:type="spellEnd"/>
      <w:r w:rsidRPr="007720B1">
        <w:rPr>
          <w:rFonts w:ascii="Verdana" w:hAnsi="Verdana"/>
          <w:sz w:val="16"/>
          <w:szCs w:val="16"/>
        </w:rPr>
        <w:t xml:space="preserve"> No. 3: </w:t>
      </w:r>
      <w:proofErr w:type="spellStart"/>
      <w:r w:rsidRPr="007720B1">
        <w:rPr>
          <w:rFonts w:ascii="Verdana" w:hAnsi="Verdana"/>
          <w:sz w:val="16"/>
          <w:szCs w:val="16"/>
        </w:rPr>
        <w:t>The</w:t>
      </w:r>
      <w:proofErr w:type="spellEnd"/>
      <w:r w:rsidRPr="007720B1">
        <w:rPr>
          <w:rFonts w:ascii="Verdana" w:hAnsi="Verdana"/>
          <w:sz w:val="16"/>
          <w:szCs w:val="16"/>
        </w:rPr>
        <w:t xml:space="preserve"> </w:t>
      </w:r>
      <w:proofErr w:type="spellStart"/>
      <w:r w:rsidRPr="007720B1">
        <w:rPr>
          <w:rFonts w:ascii="Verdana" w:hAnsi="Verdana"/>
          <w:sz w:val="16"/>
          <w:szCs w:val="16"/>
        </w:rPr>
        <w:t>nature</w:t>
      </w:r>
      <w:proofErr w:type="spellEnd"/>
      <w:r w:rsidRPr="007720B1">
        <w:rPr>
          <w:rFonts w:ascii="Verdana" w:hAnsi="Verdana"/>
          <w:sz w:val="16"/>
          <w:szCs w:val="16"/>
        </w:rPr>
        <w:t xml:space="preserve"> </w:t>
      </w:r>
      <w:proofErr w:type="spellStart"/>
      <w:r w:rsidRPr="007720B1">
        <w:rPr>
          <w:rFonts w:ascii="Verdana" w:hAnsi="Verdana"/>
          <w:sz w:val="16"/>
          <w:szCs w:val="16"/>
        </w:rPr>
        <w:t>of</w:t>
      </w:r>
      <w:proofErr w:type="spellEnd"/>
      <w:r w:rsidRPr="007720B1">
        <w:rPr>
          <w:rFonts w:ascii="Verdana" w:hAnsi="Verdana"/>
          <w:sz w:val="16"/>
          <w:szCs w:val="16"/>
        </w:rPr>
        <w:t xml:space="preserve"> </w:t>
      </w:r>
      <w:proofErr w:type="spellStart"/>
      <w:r w:rsidRPr="007720B1">
        <w:rPr>
          <w:rFonts w:ascii="Verdana" w:hAnsi="Verdana"/>
          <w:sz w:val="16"/>
          <w:szCs w:val="16"/>
        </w:rPr>
        <w:t>States</w:t>
      </w:r>
      <w:proofErr w:type="spellEnd"/>
      <w:r w:rsidRPr="007720B1">
        <w:rPr>
          <w:rFonts w:ascii="Verdana" w:hAnsi="Verdana"/>
          <w:sz w:val="16"/>
          <w:szCs w:val="16"/>
        </w:rPr>
        <w:t xml:space="preserve"> </w:t>
      </w:r>
      <w:proofErr w:type="spellStart"/>
      <w:r w:rsidRPr="007720B1">
        <w:rPr>
          <w:rFonts w:ascii="Verdana" w:hAnsi="Verdana"/>
          <w:sz w:val="16"/>
          <w:szCs w:val="16"/>
        </w:rPr>
        <w:t>Parties</w:t>
      </w:r>
      <w:proofErr w:type="spellEnd"/>
      <w:r w:rsidRPr="007720B1">
        <w:rPr>
          <w:rFonts w:ascii="Verdana" w:hAnsi="Verdana"/>
          <w:sz w:val="16"/>
          <w:szCs w:val="16"/>
        </w:rPr>
        <w:t xml:space="preserve">’ </w:t>
      </w:r>
      <w:proofErr w:type="spellStart"/>
      <w:r w:rsidRPr="007720B1">
        <w:rPr>
          <w:rFonts w:ascii="Verdana" w:hAnsi="Verdana"/>
          <w:sz w:val="16"/>
          <w:szCs w:val="16"/>
        </w:rPr>
        <w:t>obligations</w:t>
      </w:r>
      <w:proofErr w:type="spellEnd"/>
      <w:r w:rsidRPr="007720B1">
        <w:rPr>
          <w:rFonts w:ascii="Verdana" w:hAnsi="Verdana"/>
          <w:sz w:val="16"/>
          <w:szCs w:val="16"/>
        </w:rPr>
        <w:t xml:space="preserve"> (</w:t>
      </w:r>
      <w:proofErr w:type="spellStart"/>
      <w:r w:rsidRPr="007720B1">
        <w:rPr>
          <w:rFonts w:ascii="Verdana" w:hAnsi="Verdana"/>
          <w:sz w:val="16"/>
          <w:szCs w:val="16"/>
        </w:rPr>
        <w:t>Article</w:t>
      </w:r>
      <w:proofErr w:type="spellEnd"/>
      <w:r w:rsidRPr="007720B1">
        <w:rPr>
          <w:rFonts w:ascii="Verdana" w:hAnsi="Verdana"/>
          <w:sz w:val="16"/>
          <w:szCs w:val="16"/>
        </w:rPr>
        <w:t xml:space="preserve"> 2, </w:t>
      </w:r>
      <w:proofErr w:type="spellStart"/>
      <w:r w:rsidRPr="007720B1">
        <w:rPr>
          <w:rFonts w:ascii="Verdana" w:hAnsi="Verdana"/>
          <w:sz w:val="16"/>
          <w:szCs w:val="16"/>
        </w:rPr>
        <w:t>paragraph</w:t>
      </w:r>
      <w:proofErr w:type="spellEnd"/>
      <w:r w:rsidRPr="007720B1">
        <w:rPr>
          <w:rFonts w:ascii="Verdana" w:hAnsi="Verdana"/>
          <w:sz w:val="16"/>
          <w:szCs w:val="16"/>
        </w:rPr>
        <w:t xml:space="preserve"> 1 </w:t>
      </w:r>
      <w:proofErr w:type="spellStart"/>
      <w:r w:rsidRPr="007720B1">
        <w:rPr>
          <w:rFonts w:ascii="Verdana" w:hAnsi="Verdana"/>
          <w:sz w:val="16"/>
          <w:szCs w:val="16"/>
        </w:rPr>
        <w:t>of</w:t>
      </w:r>
      <w:proofErr w:type="spellEnd"/>
      <w:r w:rsidRPr="007720B1">
        <w:rPr>
          <w:rFonts w:ascii="Verdana" w:hAnsi="Verdana"/>
          <w:sz w:val="16"/>
          <w:szCs w:val="16"/>
        </w:rPr>
        <w:t xml:space="preserve"> </w:t>
      </w:r>
      <w:proofErr w:type="spellStart"/>
      <w:r w:rsidRPr="007720B1">
        <w:rPr>
          <w:rFonts w:ascii="Verdana" w:hAnsi="Verdana"/>
          <w:sz w:val="16"/>
          <w:szCs w:val="16"/>
        </w:rPr>
        <w:t>the</w:t>
      </w:r>
      <w:proofErr w:type="spellEnd"/>
      <w:r w:rsidRPr="007720B1">
        <w:rPr>
          <w:rFonts w:ascii="Verdana" w:hAnsi="Verdana"/>
          <w:sz w:val="16"/>
          <w:szCs w:val="16"/>
        </w:rPr>
        <w:t xml:space="preserve"> </w:t>
      </w:r>
      <w:proofErr w:type="spellStart"/>
      <w:r w:rsidRPr="007720B1">
        <w:rPr>
          <w:rFonts w:ascii="Verdana" w:hAnsi="Verdana"/>
          <w:sz w:val="16"/>
          <w:szCs w:val="16"/>
        </w:rPr>
        <w:t>Covenant</w:t>
      </w:r>
      <w:proofErr w:type="spellEnd"/>
      <w:r w:rsidRPr="007720B1">
        <w:rPr>
          <w:rFonts w:ascii="Verdana" w:hAnsi="Verdana"/>
          <w:sz w:val="16"/>
          <w:szCs w:val="16"/>
        </w:rPr>
        <w:t xml:space="preserve">), </w:t>
      </w:r>
      <w:proofErr w:type="spellStart"/>
      <w:r w:rsidRPr="007720B1">
        <w:rPr>
          <w:rFonts w:ascii="Verdana" w:hAnsi="Verdana"/>
          <w:sz w:val="16"/>
          <w:szCs w:val="16"/>
        </w:rPr>
        <w:t>December</w:t>
      </w:r>
      <w:proofErr w:type="spellEnd"/>
      <w:r w:rsidRPr="007720B1">
        <w:rPr>
          <w:rFonts w:ascii="Verdana" w:hAnsi="Verdana"/>
          <w:sz w:val="16"/>
          <w:szCs w:val="16"/>
        </w:rPr>
        <w:t xml:space="preserve"> 14, 1990, U.N. Doc. E/1991/23</w:t>
      </w:r>
      <w:r w:rsidRPr="007720B1">
        <w:rPr>
          <w:rFonts w:ascii="Verdana" w:hAnsi="Verdana" w:cs="Verdana"/>
          <w:sz w:val="16"/>
          <w:szCs w:val="16"/>
        </w:rPr>
        <w:t>, para. 9.</w:t>
      </w:r>
    </w:p>
    <w:p w14:paraId="3CE3D26A" w14:textId="77777777" w:rsidR="006168EA" w:rsidRPr="00B76212" w:rsidRDefault="006168EA" w:rsidP="006168EA">
      <w:pPr>
        <w:tabs>
          <w:tab w:val="left" w:pos="567"/>
        </w:tabs>
        <w:autoSpaceDE w:val="0"/>
        <w:autoSpaceDN w:val="0"/>
        <w:rPr>
          <w:sz w:val="16"/>
          <w:szCs w:val="16"/>
        </w:rPr>
      </w:pPr>
    </w:p>
  </w:footnote>
  <w:footnote w:id="517">
    <w:p w14:paraId="0B0BF365"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color w:val="000000"/>
          <w:sz w:val="16"/>
        </w:rPr>
        <w:footnoteRef/>
      </w:r>
      <w:r w:rsidRPr="007720B1">
        <w:t xml:space="preserve"> </w:t>
      </w:r>
      <w:r w:rsidRPr="007720B1">
        <w:tab/>
      </w:r>
      <w:r w:rsidRPr="007720B1">
        <w:rPr>
          <w:i/>
        </w:rPr>
        <w:t>Cf.</w:t>
      </w:r>
      <w:r w:rsidRPr="007720B1">
        <w:t xml:space="preserve"> U.N. Committee on Rights Economic, Social and Cultural, General Comment No. 14: The right to the highest attainable standard of health, E/C.12/2000/4, August 11, 2000, para. 31, and </w:t>
      </w:r>
      <w:r w:rsidRPr="007720B1">
        <w:rPr>
          <w:rStyle w:val="Textoennegrita"/>
          <w:b w:val="0"/>
          <w:i/>
          <w:color w:val="000000"/>
          <w:shd w:val="clear" w:color="auto" w:fill="FFFFFF"/>
        </w:rPr>
        <w:t xml:space="preserve">Case of Poblete </w:t>
      </w:r>
      <w:proofErr w:type="spellStart"/>
      <w:r w:rsidRPr="007720B1">
        <w:rPr>
          <w:rStyle w:val="Textoennegrita"/>
          <w:b w:val="0"/>
          <w:i/>
          <w:color w:val="000000"/>
          <w:shd w:val="clear" w:color="auto" w:fill="FFFFFF"/>
        </w:rPr>
        <w:t>Vilches</w:t>
      </w:r>
      <w:proofErr w:type="spellEnd"/>
      <w:r w:rsidRPr="007720B1">
        <w:rPr>
          <w:rStyle w:val="Textoennegrita"/>
          <w:b w:val="0"/>
          <w:i/>
          <w:color w:val="000000"/>
          <w:shd w:val="clear" w:color="auto" w:fill="FFFFFF"/>
        </w:rPr>
        <w:t xml:space="preserve"> et al. v.  Chile. Merits, reparations and costs.</w:t>
      </w:r>
      <w:r w:rsidRPr="007720B1">
        <w:rPr>
          <w:rStyle w:val="Textoennegrita"/>
          <w:b w:val="0"/>
          <w:color w:val="000000"/>
          <w:shd w:val="clear" w:color="auto" w:fill="FFFFFF"/>
        </w:rPr>
        <w:t xml:space="preserve"> Judgment of March 8, 2018. Series C No. 349, para. 104.</w:t>
      </w:r>
    </w:p>
    <w:p w14:paraId="648516B9" w14:textId="77777777" w:rsidR="006168EA" w:rsidRPr="007720B1" w:rsidRDefault="006168EA" w:rsidP="007720B1">
      <w:pPr>
        <w:pStyle w:val="Textonotapie"/>
        <w:spacing w:after="0"/>
      </w:pPr>
    </w:p>
  </w:footnote>
  <w:footnote w:id="518">
    <w:p w14:paraId="60C5976A"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Cf.</w:t>
      </w:r>
      <w:r w:rsidRPr="007720B1">
        <w:t xml:space="preserve"> </w:t>
      </w:r>
      <w:r w:rsidRPr="007720B1">
        <w:rPr>
          <w:bCs/>
        </w:rPr>
        <w:t xml:space="preserve">Case of “Five Pensioners” v Peru. </w:t>
      </w:r>
      <w:r w:rsidRPr="007720B1">
        <w:t>Merits, reparations and costs. Judgment of February 28, 2003. Series C No. 98, para. 147.</w:t>
      </w:r>
    </w:p>
    <w:p w14:paraId="174EA00B" w14:textId="77777777" w:rsidR="006168EA" w:rsidRPr="007720B1" w:rsidRDefault="006168EA" w:rsidP="007720B1">
      <w:pPr>
        <w:pStyle w:val="Textonotapie"/>
        <w:spacing w:after="0"/>
      </w:pPr>
    </w:p>
  </w:footnote>
  <w:footnote w:id="519">
    <w:p w14:paraId="3E5E7401" w14:textId="77777777" w:rsidR="006168EA" w:rsidRPr="007720B1" w:rsidRDefault="006168EA" w:rsidP="007720B1">
      <w:pPr>
        <w:pStyle w:val="Estilo1"/>
        <w:tabs>
          <w:tab w:val="left" w:pos="709"/>
        </w:tabs>
        <w:spacing w:after="0"/>
        <w:ind w:left="0" w:firstLine="0"/>
        <w:rPr>
          <w:rFonts w:cs="Verdana"/>
          <w:i w:val="0"/>
          <w:sz w:val="16"/>
          <w:szCs w:val="16"/>
          <w:lang w:val="en-US"/>
        </w:rPr>
      </w:pPr>
      <w:r w:rsidRPr="007720B1">
        <w:rPr>
          <w:rStyle w:val="Refdenotaalpie"/>
          <w:sz w:val="16"/>
          <w:szCs w:val="16"/>
          <w:lang w:val="en-US"/>
        </w:rPr>
        <w:footnoteRef/>
      </w:r>
      <w:r w:rsidRPr="007720B1">
        <w:rPr>
          <w:sz w:val="16"/>
          <w:szCs w:val="16"/>
          <w:lang w:val="en-US"/>
        </w:rPr>
        <w:t xml:space="preserve"> </w:t>
      </w:r>
      <w:r w:rsidRPr="007720B1">
        <w:rPr>
          <w:sz w:val="16"/>
          <w:szCs w:val="16"/>
          <w:lang w:val="en-US"/>
        </w:rPr>
        <w:tab/>
        <w:t>In this regard</w:t>
      </w:r>
      <w:r w:rsidRPr="007720B1">
        <w:rPr>
          <w:rFonts w:cs="Verdana"/>
          <w:sz w:val="16"/>
          <w:szCs w:val="16"/>
          <w:lang w:val="en-US"/>
        </w:rPr>
        <w:t xml:space="preserve">, the Court has endorsed the view expressed by the CESCR in the sense that “any deliberately retrogressive measures in that regard would require the most careful consideration and would need to be fully justified by reference to the totality of the rights provided for in the [International] Covenant [on Economic, Social and Cultural Rights] and in the context of the full use of the maximum available resources [to the State].” </w:t>
      </w:r>
      <w:r w:rsidRPr="007720B1">
        <w:rPr>
          <w:sz w:val="16"/>
          <w:szCs w:val="16"/>
          <w:lang w:val="en-US"/>
        </w:rPr>
        <w:t xml:space="preserve">Cf. Case of Acevedo </w:t>
      </w:r>
      <w:proofErr w:type="spellStart"/>
      <w:r w:rsidRPr="007720B1">
        <w:rPr>
          <w:sz w:val="16"/>
          <w:szCs w:val="16"/>
          <w:lang w:val="en-US"/>
        </w:rPr>
        <w:t>Buendía</w:t>
      </w:r>
      <w:proofErr w:type="spellEnd"/>
      <w:r w:rsidRPr="007720B1">
        <w:rPr>
          <w:sz w:val="16"/>
          <w:szCs w:val="16"/>
          <w:lang w:val="en-US"/>
        </w:rPr>
        <w:t xml:space="preserve"> et al. (“Discharged and Retired Employees of the Comptroller’s Office”) v. Peru. Preliminary objection, merits, reparations and costs. Judgment of July 1, 2009. Series C No. 198, para. 103; Committee on Economic, Social and Cultural Rights, General Comment No. 3: The nature of States Parties’ obligations (Article 2, paragraph 1 of the Covenant), December 14, 1990, U.N. Doc. E/1991/23</w:t>
      </w:r>
      <w:r w:rsidRPr="007720B1">
        <w:rPr>
          <w:rFonts w:cs="Verdana"/>
          <w:sz w:val="16"/>
          <w:szCs w:val="16"/>
          <w:lang w:val="en-US"/>
        </w:rPr>
        <w:t>.</w:t>
      </w:r>
    </w:p>
    <w:p w14:paraId="48951212" w14:textId="77777777" w:rsidR="006168EA" w:rsidRPr="00B76212" w:rsidRDefault="006168EA" w:rsidP="007720B1">
      <w:pPr>
        <w:pStyle w:val="Estilo1"/>
        <w:tabs>
          <w:tab w:val="left" w:pos="709"/>
        </w:tabs>
        <w:spacing w:after="0"/>
        <w:ind w:left="0" w:firstLine="0"/>
        <w:rPr>
          <w:rFonts w:eastAsia="Times" w:cs="Arial"/>
          <w:i w:val="0"/>
          <w:sz w:val="16"/>
          <w:szCs w:val="16"/>
          <w:lang w:val="en-US"/>
        </w:rPr>
      </w:pPr>
      <w:r w:rsidRPr="007720B1">
        <w:rPr>
          <w:rFonts w:cs="Verdana"/>
          <w:sz w:val="16"/>
          <w:szCs w:val="16"/>
          <w:lang w:val="en-US"/>
        </w:rPr>
        <w:t xml:space="preserve">Similarly, the Inter-American Commission has considered that in order to determine whether a retrogressive measure is compatible with the American Convention, it is necessary to “determine if it is justified by strong reasons.” </w:t>
      </w:r>
      <w:r w:rsidRPr="007720B1">
        <w:rPr>
          <w:sz w:val="16"/>
          <w:szCs w:val="16"/>
          <w:lang w:val="en-US"/>
        </w:rPr>
        <w:t xml:space="preserve">Cf. Case of Acevedo </w:t>
      </w:r>
      <w:proofErr w:type="spellStart"/>
      <w:r w:rsidRPr="007720B1">
        <w:rPr>
          <w:sz w:val="16"/>
          <w:szCs w:val="16"/>
          <w:lang w:val="en-US"/>
        </w:rPr>
        <w:t>Buendía</w:t>
      </w:r>
      <w:proofErr w:type="spellEnd"/>
      <w:r w:rsidRPr="007720B1">
        <w:rPr>
          <w:sz w:val="16"/>
          <w:szCs w:val="16"/>
          <w:lang w:val="en-US"/>
        </w:rPr>
        <w:t xml:space="preserve"> et al. (“Discharged and Retired Employees of the Comptroller’s Office”) v. Peru. Preliminary objection, merits, reparations and costs. Judgment of July 1, 2009. Series C No. 198, para. 103, and Reports on Admissibility and Merits No. 38/09, Case 12.670, National Association of Ex-Employees of the Peruvian Social Security Institute et al. v.  Peru, issued by the Inter-American Commission of Human Rights, on March 27, 2009, paras.140 to 147.</w:t>
      </w:r>
    </w:p>
  </w:footnote>
  <w:footnote w:id="520">
    <w:p w14:paraId="19E30FDD"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 xml:space="preserve"> </w:t>
      </w:r>
      <w:r w:rsidRPr="007720B1">
        <w:tab/>
      </w:r>
      <w:r w:rsidRPr="007720B1">
        <w:rPr>
          <w:i/>
        </w:rPr>
        <w:t>Cf. Case of González et al (“Cotton Field”) v. Mexico. Preliminary objection, merits, reparations and costs</w:t>
      </w:r>
      <w:r w:rsidRPr="007720B1">
        <w:t xml:space="preserve">. Judgment of November 16, 2009. Series C No. 205, para. 43, and </w:t>
      </w:r>
      <w:r w:rsidRPr="007720B1">
        <w:rPr>
          <w:rStyle w:val="Textoennegrita"/>
          <w:b w:val="0"/>
          <w:i/>
          <w:color w:val="000000"/>
          <w:shd w:val="clear" w:color="auto" w:fill="FFFFFF"/>
        </w:rPr>
        <w:t xml:space="preserve">Case of </w:t>
      </w:r>
      <w:proofErr w:type="spellStart"/>
      <w:r w:rsidRPr="007720B1">
        <w:rPr>
          <w:rStyle w:val="Textoennegrita"/>
          <w:b w:val="0"/>
          <w:i/>
          <w:color w:val="000000"/>
          <w:shd w:val="clear" w:color="auto" w:fill="FFFFFF"/>
        </w:rPr>
        <w:t>Cuscul</w:t>
      </w:r>
      <w:proofErr w:type="spellEnd"/>
      <w:r w:rsidRPr="007720B1">
        <w:rPr>
          <w:rStyle w:val="Textoennegrita"/>
          <w:b w:val="0"/>
          <w:i/>
          <w:color w:val="000000"/>
          <w:shd w:val="clear" w:color="auto" w:fill="FFFFFF"/>
        </w:rPr>
        <w:t xml:space="preserve"> </w:t>
      </w:r>
      <w:proofErr w:type="spellStart"/>
      <w:r w:rsidRPr="007720B1">
        <w:rPr>
          <w:rStyle w:val="Textoennegrita"/>
          <w:b w:val="0"/>
          <w:i/>
          <w:color w:val="000000"/>
          <w:shd w:val="clear" w:color="auto" w:fill="FFFFFF"/>
        </w:rPr>
        <w:t>Pivaral</w:t>
      </w:r>
      <w:proofErr w:type="spellEnd"/>
      <w:r w:rsidRPr="007720B1">
        <w:rPr>
          <w:rStyle w:val="Textoennegrita"/>
          <w:b w:val="0"/>
          <w:i/>
          <w:color w:val="000000"/>
          <w:shd w:val="clear" w:color="auto" w:fill="FFFFFF"/>
        </w:rPr>
        <w:t xml:space="preserve"> et al. v.  Guatemala. Preliminary objection, merits, reparations and costs</w:t>
      </w:r>
      <w:r w:rsidRPr="007720B1">
        <w:rPr>
          <w:rStyle w:val="Textoennegrita"/>
          <w:b w:val="0"/>
          <w:color w:val="000000"/>
          <w:shd w:val="clear" w:color="auto" w:fill="FFFFFF"/>
        </w:rPr>
        <w:t>. Judgment of August 23, 2018. Series C No. 359, para. 82.</w:t>
      </w:r>
    </w:p>
    <w:p w14:paraId="36E4442A" w14:textId="77777777" w:rsidR="006168EA" w:rsidRPr="007720B1" w:rsidRDefault="006168EA" w:rsidP="007720B1">
      <w:pPr>
        <w:pStyle w:val="Textonotapie"/>
        <w:spacing w:after="0"/>
      </w:pPr>
    </w:p>
  </w:footnote>
  <w:footnote w:id="521">
    <w:p w14:paraId="6E17BF8B" w14:textId="77777777" w:rsidR="006168EA" w:rsidRPr="007720B1" w:rsidRDefault="006168EA" w:rsidP="007720B1">
      <w:pPr>
        <w:pStyle w:val="Textonotapie"/>
        <w:spacing w:after="0"/>
      </w:pPr>
      <w:r w:rsidRPr="007720B1">
        <w:rPr>
          <w:rStyle w:val="Refdenotaalpie"/>
          <w:sz w:val="16"/>
        </w:rPr>
        <w:footnoteRef/>
      </w:r>
      <w:r w:rsidRPr="007720B1">
        <w:tab/>
      </w:r>
      <w:r w:rsidRPr="007720B1">
        <w:rPr>
          <w:i/>
        </w:rPr>
        <w:t>Cf.</w:t>
      </w:r>
      <w:r w:rsidRPr="007720B1">
        <w:t xml:space="preserve"> The Right to Information on Consular Assistance in the framework of the Guarantees of Due Process of Law. Advisory Opinion OC-16/99 of October 1, 1999. Series A No. 16, para. 113, and </w:t>
      </w:r>
      <w:r w:rsidRPr="007720B1">
        <w:rPr>
          <w:rStyle w:val="Textoennegrita"/>
          <w:b w:val="0"/>
          <w:i/>
          <w:color w:val="000000"/>
          <w:shd w:val="clear" w:color="auto" w:fill="FFFFFF"/>
        </w:rPr>
        <w:t xml:space="preserve">Case of </w:t>
      </w:r>
      <w:proofErr w:type="spellStart"/>
      <w:r w:rsidRPr="007720B1">
        <w:rPr>
          <w:rStyle w:val="Textoennegrita"/>
          <w:b w:val="0"/>
          <w:i/>
          <w:color w:val="000000"/>
          <w:shd w:val="clear" w:color="auto" w:fill="FFFFFF"/>
        </w:rPr>
        <w:t>Cuscul</w:t>
      </w:r>
      <w:proofErr w:type="spellEnd"/>
      <w:r w:rsidRPr="007720B1">
        <w:rPr>
          <w:rStyle w:val="Textoennegrita"/>
          <w:b w:val="0"/>
          <w:i/>
          <w:color w:val="000000"/>
          <w:shd w:val="clear" w:color="auto" w:fill="FFFFFF"/>
        </w:rPr>
        <w:t xml:space="preserve"> </w:t>
      </w:r>
      <w:proofErr w:type="spellStart"/>
      <w:r w:rsidRPr="007720B1">
        <w:rPr>
          <w:rStyle w:val="Textoennegrita"/>
          <w:b w:val="0"/>
          <w:i/>
          <w:color w:val="000000"/>
          <w:shd w:val="clear" w:color="auto" w:fill="FFFFFF"/>
        </w:rPr>
        <w:t>Pivaral</w:t>
      </w:r>
      <w:proofErr w:type="spellEnd"/>
      <w:r w:rsidRPr="007720B1">
        <w:rPr>
          <w:rStyle w:val="Textoennegrita"/>
          <w:b w:val="0"/>
          <w:i/>
          <w:color w:val="000000"/>
          <w:shd w:val="clear" w:color="auto" w:fill="FFFFFF"/>
        </w:rPr>
        <w:t xml:space="preserve"> et al. v.  Guatemala. Preliminary objection, merits, reparations and costs</w:t>
      </w:r>
      <w:r w:rsidRPr="007720B1">
        <w:rPr>
          <w:rStyle w:val="Textoennegrita"/>
          <w:b w:val="0"/>
          <w:color w:val="000000"/>
          <w:shd w:val="clear" w:color="auto" w:fill="FFFFFF"/>
        </w:rPr>
        <w:t>. Judgment of August 23, 2018. Series C No. 359, para. 82.</w:t>
      </w:r>
    </w:p>
  </w:footnote>
  <w:footnote w:id="522">
    <w:p w14:paraId="201C31DB"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ab/>
      </w:r>
      <w:r w:rsidRPr="007720B1">
        <w:rPr>
          <w:i/>
        </w:rPr>
        <w:t>Cf.</w:t>
      </w:r>
      <w:r w:rsidRPr="007720B1">
        <w:t xml:space="preserve"> </w:t>
      </w:r>
      <w:r w:rsidRPr="007720B1">
        <w:rPr>
          <w:i/>
        </w:rPr>
        <w:t xml:space="preserve">Case of Acevedo </w:t>
      </w:r>
      <w:proofErr w:type="spellStart"/>
      <w:r w:rsidRPr="007720B1">
        <w:rPr>
          <w:i/>
        </w:rPr>
        <w:t>Buendía</w:t>
      </w:r>
      <w:proofErr w:type="spellEnd"/>
      <w:r w:rsidRPr="007720B1">
        <w:rPr>
          <w:i/>
        </w:rPr>
        <w:t xml:space="preserve"> et al. (“Discharged and Retired Employees of the Comptroller’s Office”) V. Peru. Preliminary objection, merits, reparations and costs</w:t>
      </w:r>
      <w:r w:rsidRPr="007720B1">
        <w:t xml:space="preserve">. Judgment of July 1, 2009. Series C No 198, para. 100, and </w:t>
      </w:r>
      <w:r w:rsidRPr="007720B1">
        <w:rPr>
          <w:rStyle w:val="Textoennegrita"/>
          <w:b w:val="0"/>
          <w:i/>
          <w:color w:val="000000"/>
          <w:shd w:val="clear" w:color="auto" w:fill="FFFFFF"/>
        </w:rPr>
        <w:t xml:space="preserve">Case of </w:t>
      </w:r>
      <w:proofErr w:type="spellStart"/>
      <w:r w:rsidRPr="007720B1">
        <w:rPr>
          <w:rStyle w:val="Textoennegrita"/>
          <w:b w:val="0"/>
          <w:i/>
          <w:color w:val="000000"/>
          <w:shd w:val="clear" w:color="auto" w:fill="FFFFFF"/>
        </w:rPr>
        <w:t>Cuscul</w:t>
      </w:r>
      <w:proofErr w:type="spellEnd"/>
      <w:r w:rsidRPr="007720B1">
        <w:rPr>
          <w:rStyle w:val="Textoennegrita"/>
          <w:b w:val="0"/>
          <w:i/>
          <w:color w:val="000000"/>
          <w:shd w:val="clear" w:color="auto" w:fill="FFFFFF"/>
        </w:rPr>
        <w:t xml:space="preserve"> </w:t>
      </w:r>
      <w:proofErr w:type="spellStart"/>
      <w:r w:rsidRPr="007720B1">
        <w:rPr>
          <w:rStyle w:val="Textoennegrita"/>
          <w:b w:val="0"/>
          <w:i/>
          <w:color w:val="000000"/>
          <w:shd w:val="clear" w:color="auto" w:fill="FFFFFF"/>
        </w:rPr>
        <w:t>Pivaral</w:t>
      </w:r>
      <w:proofErr w:type="spellEnd"/>
      <w:r w:rsidRPr="007720B1">
        <w:rPr>
          <w:rStyle w:val="Textoennegrita"/>
          <w:b w:val="0"/>
          <w:i/>
          <w:color w:val="000000"/>
          <w:shd w:val="clear" w:color="auto" w:fill="FFFFFF"/>
        </w:rPr>
        <w:t xml:space="preserve"> et al. v.  Guatemala. Preliminary objection, merits, reparations and costs</w:t>
      </w:r>
      <w:r w:rsidRPr="007720B1">
        <w:rPr>
          <w:rStyle w:val="Textoennegrita"/>
          <w:b w:val="0"/>
          <w:color w:val="000000"/>
          <w:shd w:val="clear" w:color="auto" w:fill="FFFFFF"/>
        </w:rPr>
        <w:t xml:space="preserve">. Judgment of August 23, 2018. Series C No. 359, para. 83. </w:t>
      </w:r>
    </w:p>
    <w:p w14:paraId="74B169DC" w14:textId="77777777" w:rsidR="006168EA" w:rsidRPr="007720B1" w:rsidRDefault="006168EA" w:rsidP="007720B1">
      <w:pPr>
        <w:pStyle w:val="Textonotapie"/>
        <w:spacing w:after="0"/>
      </w:pPr>
    </w:p>
  </w:footnote>
  <w:footnote w:id="523">
    <w:p w14:paraId="55370BD1" w14:textId="77777777" w:rsidR="006168EA" w:rsidRPr="00B76212" w:rsidRDefault="006168EA" w:rsidP="007720B1">
      <w:pPr>
        <w:pStyle w:val="Textonotapie"/>
        <w:spacing w:after="0"/>
      </w:pPr>
      <w:r w:rsidRPr="007720B1">
        <w:rPr>
          <w:rStyle w:val="Refdenotaalpie"/>
          <w:sz w:val="16"/>
        </w:rPr>
        <w:footnoteRef/>
      </w:r>
      <w:r w:rsidRPr="007720B1">
        <w:t xml:space="preserve"> </w:t>
      </w:r>
      <w:r w:rsidRPr="007720B1">
        <w:tab/>
        <w:t>To date, 16 States have ratified the Protocol of San Salvador, namely: Argentina, Bolivia, Brazil, Colombia, Costa</w:t>
      </w:r>
      <w:r w:rsidRPr="00B76212">
        <w:t xml:space="preserve"> Rica, Ecuador, Hon</w:t>
      </w:r>
      <w:r>
        <w:t>duras, Mexico, Nicaragua, Panama</w:t>
      </w:r>
      <w:r w:rsidRPr="00B76212">
        <w:t xml:space="preserve">, Paraguay, Peru, </w:t>
      </w:r>
      <w:r>
        <w:t>El Salvador, Guatemala, Surinam</w:t>
      </w:r>
      <w:r w:rsidRPr="00B76212">
        <w:t xml:space="preserve"> and Uruguay. </w:t>
      </w:r>
    </w:p>
    <w:p w14:paraId="3BCD242C" w14:textId="77777777" w:rsidR="006168EA" w:rsidRPr="00B76212" w:rsidRDefault="006168EA" w:rsidP="006168EA">
      <w:pPr>
        <w:pStyle w:val="Textonotapie"/>
      </w:pPr>
    </w:p>
  </w:footnote>
  <w:footnote w:id="524">
    <w:p w14:paraId="47F17E41" w14:textId="77777777" w:rsidR="006168EA" w:rsidRPr="007720B1" w:rsidRDefault="006168EA" w:rsidP="006168EA">
      <w:pPr>
        <w:pStyle w:val="Textonotapie"/>
      </w:pPr>
      <w:r w:rsidRPr="007720B1">
        <w:rPr>
          <w:rStyle w:val="Refdenotaalpie"/>
          <w:sz w:val="16"/>
        </w:rPr>
        <w:footnoteRef/>
      </w:r>
      <w:r w:rsidRPr="007720B1">
        <w:t xml:space="preserve"> </w:t>
      </w:r>
      <w:r w:rsidRPr="007720B1">
        <w:tab/>
        <w:t xml:space="preserve">See, Definitions of basic terms in the United Nations Treaty Collection. Consulted at: </w:t>
      </w:r>
      <w:hyperlink r:id="rId14" w:anchor="protocols" w:history="1">
        <w:r w:rsidRPr="007720B1">
          <w:rPr>
            <w:rStyle w:val="Hipervnculo"/>
          </w:rPr>
          <w:t>http://www.un.org/es/treaty/untc.shtml#protocols</w:t>
        </w:r>
      </w:hyperlink>
      <w:r w:rsidRPr="007720B1">
        <w:rPr>
          <w:rStyle w:val="Hipervnculo"/>
        </w:rPr>
        <w:t>.</w:t>
      </w:r>
    </w:p>
  </w:footnote>
  <w:footnote w:id="525">
    <w:p w14:paraId="16856E64"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ab/>
      </w:r>
      <w:r w:rsidRPr="007720B1">
        <w:rPr>
          <w:i/>
        </w:rPr>
        <w:t>Cf. Case of González et al. (“Cotton Field”) v. Mexico. Preliminary objection, merits, reparations and costs</w:t>
      </w:r>
      <w:r w:rsidRPr="007720B1">
        <w:t xml:space="preserve">. Judgment of November 16, 2009. Series C No. 205, para. 59, and </w:t>
      </w:r>
      <w:r w:rsidRPr="007720B1">
        <w:rPr>
          <w:rStyle w:val="Textoennegrita"/>
          <w:b w:val="0"/>
          <w:i/>
          <w:color w:val="000000"/>
          <w:shd w:val="clear" w:color="auto" w:fill="FFFFFF"/>
        </w:rPr>
        <w:t xml:space="preserve">Case of </w:t>
      </w:r>
      <w:proofErr w:type="spellStart"/>
      <w:r w:rsidRPr="007720B1">
        <w:rPr>
          <w:rStyle w:val="Textoennegrita"/>
          <w:b w:val="0"/>
          <w:i/>
          <w:color w:val="000000"/>
          <w:shd w:val="clear" w:color="auto" w:fill="FFFFFF"/>
        </w:rPr>
        <w:t>Cuscul</w:t>
      </w:r>
      <w:proofErr w:type="spellEnd"/>
      <w:r w:rsidRPr="007720B1">
        <w:rPr>
          <w:rStyle w:val="Textoennegrita"/>
          <w:b w:val="0"/>
          <w:i/>
          <w:color w:val="000000"/>
          <w:shd w:val="clear" w:color="auto" w:fill="FFFFFF"/>
        </w:rPr>
        <w:t xml:space="preserve"> </w:t>
      </w:r>
      <w:proofErr w:type="spellStart"/>
      <w:r w:rsidRPr="007720B1">
        <w:rPr>
          <w:rStyle w:val="Textoennegrita"/>
          <w:b w:val="0"/>
          <w:i/>
          <w:color w:val="000000"/>
          <w:shd w:val="clear" w:color="auto" w:fill="FFFFFF"/>
        </w:rPr>
        <w:t>Pivaral</w:t>
      </w:r>
      <w:proofErr w:type="spellEnd"/>
      <w:r w:rsidRPr="007720B1">
        <w:rPr>
          <w:rStyle w:val="Textoennegrita"/>
          <w:b w:val="0"/>
          <w:i/>
          <w:color w:val="000000"/>
          <w:shd w:val="clear" w:color="auto" w:fill="FFFFFF"/>
        </w:rPr>
        <w:t xml:space="preserve"> et al. v.  Guatemala. Preliminary objection, merits, reparations and costs</w:t>
      </w:r>
      <w:r w:rsidRPr="007720B1">
        <w:rPr>
          <w:rStyle w:val="Textoennegrita"/>
          <w:b w:val="0"/>
          <w:color w:val="000000"/>
          <w:shd w:val="clear" w:color="auto" w:fill="FFFFFF"/>
        </w:rPr>
        <w:t>. Judgment of August 23, 2018. Series C No. 359, para. 90.</w:t>
      </w:r>
    </w:p>
    <w:p w14:paraId="17E89F96" w14:textId="77777777" w:rsidR="006168EA" w:rsidRPr="007720B1" w:rsidRDefault="006168EA" w:rsidP="007720B1">
      <w:pPr>
        <w:pStyle w:val="Textonotapie"/>
        <w:spacing w:after="0"/>
      </w:pPr>
    </w:p>
  </w:footnote>
  <w:footnote w:id="526">
    <w:p w14:paraId="523F0C3E"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t xml:space="preserve">Article 29 of the American Convention establishes the following: “Standards of Interpretation: </w:t>
      </w:r>
      <w:r w:rsidRPr="007720B1">
        <w:rPr>
          <w:rFonts w:cs="Tahoma"/>
          <w:color w:val="000000"/>
        </w:rPr>
        <w:t xml:space="preserve">No provision of this Convention shall be interpreted as:  a) </w:t>
      </w:r>
      <w:r w:rsidRPr="007720B1">
        <w:rPr>
          <w:color w:val="000000"/>
        </w:rPr>
        <w:t>permitting any State Party, group, or person to suppress the enjoyment or exercise of the rights and freedoms recognized in this Convention or to restrict them to a greater extent than is provided for herein</w:t>
      </w:r>
      <w:r w:rsidRPr="007720B1">
        <w:rPr>
          <w:rFonts w:cs="Tahoma"/>
          <w:color w:val="000000"/>
        </w:rPr>
        <w:t xml:space="preserve">;  b) </w:t>
      </w:r>
      <w:r w:rsidRPr="007720B1">
        <w:rPr>
          <w:color w:val="000000"/>
        </w:rPr>
        <w:t>restricting the enjoyment or exercise of any right or freedom recognized by virtue of the laws of any State Party or by virtue of another convention to which one of the said States is a party</w:t>
      </w:r>
      <w:r w:rsidRPr="007720B1">
        <w:rPr>
          <w:rFonts w:cs="Tahoma"/>
          <w:color w:val="000000"/>
        </w:rPr>
        <w:t xml:space="preserve">;  c) </w:t>
      </w:r>
      <w:r w:rsidRPr="007720B1">
        <w:rPr>
          <w:color w:val="000000"/>
        </w:rPr>
        <w:t>precluding other rights or guarantees that are inherent in the human personality or derived from representative democracy as a form of government;</w:t>
      </w:r>
      <w:r w:rsidRPr="007720B1">
        <w:rPr>
          <w:rFonts w:cs="Tahoma"/>
          <w:color w:val="000000"/>
        </w:rPr>
        <w:t xml:space="preserve"> and,  d) </w:t>
      </w:r>
      <w:r w:rsidRPr="007720B1">
        <w:rPr>
          <w:color w:val="000000"/>
        </w:rPr>
        <w:t>excluding or limiting the effect that the American Declaration of the Rights and Duties of Man and other international acts of the same nature may have</w:t>
      </w:r>
      <w:r w:rsidRPr="007720B1">
        <w:t>.”</w:t>
      </w:r>
    </w:p>
    <w:p w14:paraId="57C57CB1" w14:textId="77777777" w:rsidR="006168EA" w:rsidRPr="007720B1" w:rsidRDefault="006168EA" w:rsidP="007720B1">
      <w:pPr>
        <w:pStyle w:val="Textonotapie"/>
        <w:spacing w:after="0"/>
      </w:pPr>
    </w:p>
  </w:footnote>
  <w:footnote w:id="527">
    <w:p w14:paraId="4E4D67CB"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 xml:space="preserve"> </w:t>
      </w:r>
      <w:r w:rsidRPr="007720B1">
        <w:tab/>
      </w:r>
      <w:r w:rsidRPr="007720B1">
        <w:rPr>
          <w:i/>
        </w:rPr>
        <w:t>Cf.</w:t>
      </w:r>
      <w:r w:rsidRPr="007720B1">
        <w:rPr>
          <w:rStyle w:val="Textoennegrita"/>
          <w:b w:val="0"/>
          <w:color w:val="000000"/>
          <w:shd w:val="clear" w:color="auto" w:fill="FFFFFF"/>
        </w:rPr>
        <w:t xml:space="preserve"> </w:t>
      </w:r>
      <w:r w:rsidRPr="007720B1">
        <w:rPr>
          <w:rStyle w:val="Textoennegrita"/>
          <w:b w:val="0"/>
          <w:i/>
          <w:color w:val="000000"/>
          <w:shd w:val="clear" w:color="auto" w:fill="FFFFFF"/>
        </w:rPr>
        <w:t>The Institution of Asylum and its Recognition as a Human Right in the Inter-American System of Protection (Interpretation and Scope of Articles 5, 22(7) and 22(8), in relation to Article 1(1) of the American Convention on Human Rights).</w:t>
      </w:r>
      <w:r w:rsidRPr="007720B1">
        <w:rPr>
          <w:rStyle w:val="Textoennegrita"/>
          <w:b w:val="0"/>
          <w:color w:val="000000"/>
          <w:shd w:val="clear" w:color="auto" w:fill="FFFFFF"/>
        </w:rPr>
        <w:t xml:space="preserve"> Advisory Opinion OC-25/18 of May 30, 2018. Series A No. 25, para. 148.</w:t>
      </w:r>
    </w:p>
    <w:p w14:paraId="0A93BA41" w14:textId="77777777" w:rsidR="006168EA" w:rsidRPr="007720B1" w:rsidRDefault="006168EA" w:rsidP="007720B1">
      <w:pPr>
        <w:pStyle w:val="Textonotapie"/>
        <w:spacing w:after="0"/>
      </w:pPr>
    </w:p>
  </w:footnote>
  <w:footnote w:id="528">
    <w:p w14:paraId="605D0B7B"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 xml:space="preserve"> </w:t>
      </w:r>
      <w:r w:rsidRPr="007720B1">
        <w:tab/>
      </w:r>
      <w:r w:rsidRPr="007720B1">
        <w:rPr>
          <w:i/>
        </w:rPr>
        <w:t>Cf.</w:t>
      </w:r>
      <w:r w:rsidRPr="007720B1">
        <w:rPr>
          <w:rStyle w:val="Textoennegrita"/>
          <w:b w:val="0"/>
          <w:color w:val="000000"/>
          <w:shd w:val="clear" w:color="auto" w:fill="FFFFFF"/>
        </w:rPr>
        <w:t xml:space="preserve"> </w:t>
      </w:r>
      <w:r w:rsidRPr="007720B1">
        <w:rPr>
          <w:rStyle w:val="Textoennegrita"/>
          <w:b w:val="0"/>
          <w:i/>
          <w:color w:val="000000"/>
          <w:shd w:val="clear" w:color="auto" w:fill="FFFFFF"/>
        </w:rPr>
        <w:t>The Institution of Asylum and its Recognition as a Human Right in the Inter-American System of Protection (Interpretation and Scope of Articles 5, 22(7) and 22(8), in relation to Article 1(1) of the American Convention on Human Rights).</w:t>
      </w:r>
      <w:r w:rsidRPr="007720B1">
        <w:rPr>
          <w:rStyle w:val="Textoennegrita"/>
          <w:b w:val="0"/>
          <w:color w:val="000000"/>
          <w:shd w:val="clear" w:color="auto" w:fill="FFFFFF"/>
        </w:rPr>
        <w:t xml:space="preserve"> Advisory Opinion OC-25/18 of May 30, 2018. Series A No. 25, para. 149.</w:t>
      </w:r>
    </w:p>
    <w:p w14:paraId="6C8E4C8A" w14:textId="77777777" w:rsidR="006168EA" w:rsidRPr="00B76212" w:rsidRDefault="006168EA" w:rsidP="006168EA">
      <w:pPr>
        <w:pStyle w:val="Textonotapie"/>
      </w:pPr>
    </w:p>
  </w:footnote>
  <w:footnote w:id="529">
    <w:p w14:paraId="2A1B48B0"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t xml:space="preserve">Similarly, see: </w:t>
      </w:r>
      <w:r w:rsidRPr="007720B1">
        <w:rPr>
          <w:bCs/>
          <w:i/>
        </w:rPr>
        <w:t>Case of González et al. (“Cotton Field”) v. Mexico</w:t>
      </w:r>
      <w:r w:rsidRPr="007720B1">
        <w:rPr>
          <w:bCs/>
        </w:rPr>
        <w:t xml:space="preserve">. </w:t>
      </w:r>
      <w:r w:rsidRPr="007720B1">
        <w:t>Preliminary objection, merits, reparations and costs. Judgment of November 16, 2009. Series C No. 205, para. 78.</w:t>
      </w:r>
    </w:p>
    <w:p w14:paraId="73C059D5" w14:textId="77777777" w:rsidR="006168EA" w:rsidRPr="007720B1" w:rsidRDefault="006168EA" w:rsidP="007720B1">
      <w:pPr>
        <w:pStyle w:val="Textonotapie"/>
        <w:spacing w:after="0"/>
      </w:pPr>
    </w:p>
  </w:footnote>
  <w:footnote w:id="530">
    <w:p w14:paraId="35432EAD" w14:textId="77777777" w:rsidR="006168EA" w:rsidRPr="007720B1" w:rsidRDefault="006168EA" w:rsidP="007720B1">
      <w:pPr>
        <w:tabs>
          <w:tab w:val="left" w:pos="567"/>
          <w:tab w:val="left" w:pos="709"/>
        </w:tabs>
        <w:autoSpaceDE w:val="0"/>
        <w:autoSpaceDN w:val="0"/>
        <w:rPr>
          <w:rFonts w:ascii="Verdana" w:hAnsi="Verdana"/>
          <w:sz w:val="16"/>
          <w:szCs w:val="16"/>
        </w:rPr>
      </w:pPr>
      <w:r w:rsidRPr="007720B1">
        <w:rPr>
          <w:rStyle w:val="Refdenotaalpie"/>
          <w:sz w:val="16"/>
          <w:szCs w:val="16"/>
        </w:rPr>
        <w:footnoteRef/>
      </w:r>
      <w:r w:rsidRPr="007720B1">
        <w:rPr>
          <w:rFonts w:ascii="Verdana" w:hAnsi="Verdana"/>
          <w:sz w:val="16"/>
          <w:szCs w:val="16"/>
        </w:rPr>
        <w:t xml:space="preserve"> </w:t>
      </w:r>
      <w:r w:rsidRPr="007720B1">
        <w:rPr>
          <w:rFonts w:ascii="Verdana" w:hAnsi="Verdana"/>
          <w:sz w:val="16"/>
          <w:szCs w:val="16"/>
        </w:rPr>
        <w:tab/>
      </w:r>
      <w:r w:rsidRPr="007720B1">
        <w:rPr>
          <w:rFonts w:ascii="Verdana" w:hAnsi="Verdana"/>
          <w:i/>
          <w:sz w:val="16"/>
          <w:szCs w:val="16"/>
        </w:rPr>
        <w:t xml:space="preserve">Cf. </w:t>
      </w:r>
      <w:proofErr w:type="spellStart"/>
      <w:r w:rsidRPr="007720B1">
        <w:rPr>
          <w:rFonts w:ascii="Verdana" w:hAnsi="Verdana" w:cs="Courier New"/>
          <w:sz w:val="16"/>
          <w:szCs w:val="16"/>
        </w:rPr>
        <w:t>Advisory</w:t>
      </w:r>
      <w:proofErr w:type="spellEnd"/>
      <w:r w:rsidRPr="007720B1">
        <w:rPr>
          <w:rFonts w:ascii="Verdana" w:hAnsi="Verdana" w:cs="Courier New"/>
          <w:sz w:val="16"/>
          <w:szCs w:val="16"/>
        </w:rPr>
        <w:t xml:space="preserve"> </w:t>
      </w:r>
      <w:proofErr w:type="spellStart"/>
      <w:r w:rsidRPr="007720B1">
        <w:rPr>
          <w:rFonts w:ascii="Verdana" w:hAnsi="Verdana" w:cs="Courier New"/>
          <w:sz w:val="16"/>
          <w:szCs w:val="16"/>
        </w:rPr>
        <w:t>Opinion</w:t>
      </w:r>
      <w:proofErr w:type="spellEnd"/>
      <w:r w:rsidRPr="007720B1">
        <w:rPr>
          <w:rFonts w:ascii="Verdana" w:hAnsi="Verdana" w:cs="Courier New"/>
          <w:sz w:val="16"/>
          <w:szCs w:val="16"/>
        </w:rPr>
        <w:t xml:space="preserve"> OC-16/99, </w:t>
      </w:r>
      <w:r w:rsidRPr="007720B1">
        <w:rPr>
          <w:rFonts w:ascii="Verdana" w:hAnsi="Verdana" w:cs="Courier New"/>
          <w:i/>
          <w:sz w:val="16"/>
          <w:szCs w:val="16"/>
        </w:rPr>
        <w:t>supra</w:t>
      </w:r>
      <w:r w:rsidRPr="007720B1">
        <w:rPr>
          <w:rFonts w:ascii="Verdana" w:hAnsi="Verdana" w:cs="Courier New"/>
          <w:sz w:val="16"/>
          <w:szCs w:val="16"/>
        </w:rPr>
        <w:t xml:space="preserve">, </w:t>
      </w:r>
      <w:r w:rsidRPr="007720B1">
        <w:rPr>
          <w:rFonts w:ascii="Verdana" w:hAnsi="Verdana"/>
          <w:sz w:val="16"/>
          <w:szCs w:val="16"/>
        </w:rPr>
        <w:t xml:space="preserve">para. 114, and </w:t>
      </w:r>
      <w:proofErr w:type="spellStart"/>
      <w:r w:rsidRPr="007720B1">
        <w:rPr>
          <w:rStyle w:val="Textoennegrita"/>
          <w:rFonts w:ascii="Verdana" w:hAnsi="Verdana"/>
          <w:b w:val="0"/>
          <w:color w:val="000000"/>
          <w:sz w:val="16"/>
          <w:szCs w:val="16"/>
          <w:shd w:val="clear" w:color="auto" w:fill="FFFFFF"/>
        </w:rPr>
        <w:t>Advisory</w:t>
      </w:r>
      <w:proofErr w:type="spellEnd"/>
      <w:r w:rsidRPr="007720B1">
        <w:rPr>
          <w:rStyle w:val="Textoennegrita"/>
          <w:rFonts w:ascii="Verdana" w:hAnsi="Verdana"/>
          <w:b w:val="0"/>
          <w:color w:val="000000"/>
          <w:sz w:val="16"/>
          <w:szCs w:val="16"/>
          <w:shd w:val="clear" w:color="auto" w:fill="FFFFFF"/>
        </w:rPr>
        <w:t xml:space="preserve"> </w:t>
      </w:r>
      <w:proofErr w:type="spellStart"/>
      <w:r w:rsidRPr="007720B1">
        <w:rPr>
          <w:rStyle w:val="Textoennegrita"/>
          <w:rFonts w:ascii="Verdana" w:hAnsi="Verdana"/>
          <w:b w:val="0"/>
          <w:color w:val="000000"/>
          <w:sz w:val="16"/>
          <w:szCs w:val="16"/>
          <w:shd w:val="clear" w:color="auto" w:fill="FFFFFF"/>
        </w:rPr>
        <w:t>Opinion</w:t>
      </w:r>
      <w:proofErr w:type="spellEnd"/>
      <w:r w:rsidRPr="007720B1">
        <w:rPr>
          <w:rStyle w:val="Textoennegrita"/>
          <w:rFonts w:ascii="Verdana" w:hAnsi="Verdana"/>
          <w:b w:val="0"/>
          <w:color w:val="000000"/>
          <w:sz w:val="16"/>
          <w:szCs w:val="16"/>
          <w:shd w:val="clear" w:color="auto" w:fill="FFFFFF"/>
        </w:rPr>
        <w:t xml:space="preserve"> OC-24/17</w:t>
      </w:r>
      <w:r w:rsidRPr="007720B1">
        <w:rPr>
          <w:rFonts w:ascii="Verdana" w:hAnsi="Verdana"/>
          <w:sz w:val="16"/>
          <w:szCs w:val="16"/>
        </w:rPr>
        <w:t xml:space="preserve">, </w:t>
      </w:r>
      <w:r w:rsidRPr="007720B1">
        <w:rPr>
          <w:rFonts w:ascii="Verdana" w:hAnsi="Verdana"/>
          <w:i/>
          <w:sz w:val="16"/>
          <w:szCs w:val="16"/>
        </w:rPr>
        <w:t>supra</w:t>
      </w:r>
      <w:r w:rsidRPr="007720B1">
        <w:rPr>
          <w:rFonts w:ascii="Verdana" w:hAnsi="Verdana"/>
          <w:sz w:val="16"/>
          <w:szCs w:val="16"/>
        </w:rPr>
        <w:t xml:space="preserve">, para. 58. </w:t>
      </w:r>
      <w:proofErr w:type="spellStart"/>
      <w:r w:rsidRPr="007720B1">
        <w:rPr>
          <w:rFonts w:ascii="Verdana" w:hAnsi="Verdana"/>
          <w:sz w:val="16"/>
          <w:szCs w:val="16"/>
        </w:rPr>
        <w:t>Cuscul</w:t>
      </w:r>
      <w:proofErr w:type="spellEnd"/>
      <w:r w:rsidRPr="007720B1">
        <w:rPr>
          <w:rFonts w:ascii="Verdana" w:hAnsi="Verdana"/>
          <w:sz w:val="16"/>
          <w:szCs w:val="16"/>
        </w:rPr>
        <w:t>, para. 102.</w:t>
      </w:r>
    </w:p>
  </w:footnote>
  <w:footnote w:id="531">
    <w:p w14:paraId="6D6264B5" w14:textId="77777777" w:rsidR="006168EA" w:rsidRPr="007720B1" w:rsidRDefault="006168EA" w:rsidP="007720B1">
      <w:pPr>
        <w:pStyle w:val="Textonotapie"/>
        <w:spacing w:after="0"/>
      </w:pPr>
      <w:r w:rsidRPr="007720B1">
        <w:rPr>
          <w:rStyle w:val="Refdenotaalpie"/>
          <w:sz w:val="16"/>
        </w:rPr>
        <w:footnoteRef/>
      </w:r>
      <w:r w:rsidRPr="007720B1">
        <w:tab/>
      </w:r>
      <w:r w:rsidRPr="007720B1">
        <w:rPr>
          <w:i/>
        </w:rPr>
        <w:t xml:space="preserve">Case of Atala </w:t>
      </w:r>
      <w:proofErr w:type="spellStart"/>
      <w:r w:rsidRPr="007720B1">
        <w:rPr>
          <w:i/>
        </w:rPr>
        <w:t>Riffo</w:t>
      </w:r>
      <w:proofErr w:type="spellEnd"/>
      <w:r w:rsidRPr="007720B1">
        <w:rPr>
          <w:i/>
        </w:rPr>
        <w:t xml:space="preserve"> and Daughters v. Chile. Merits, reparations and costs.</w:t>
      </w:r>
      <w:r w:rsidRPr="007720B1">
        <w:t xml:space="preserve"> Judgment of February 24, 2012. Series C No. 239, para. 91.</w:t>
      </w:r>
    </w:p>
    <w:p w14:paraId="72BE66FE" w14:textId="77777777" w:rsidR="006168EA" w:rsidRPr="007720B1" w:rsidRDefault="006168EA" w:rsidP="007720B1">
      <w:pPr>
        <w:pStyle w:val="Textonotapie"/>
        <w:spacing w:after="0"/>
      </w:pPr>
    </w:p>
  </w:footnote>
  <w:footnote w:id="532">
    <w:p w14:paraId="0D820634"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 xml:space="preserve"> </w:t>
      </w:r>
      <w:r w:rsidRPr="007720B1">
        <w:tab/>
      </w:r>
      <w:r w:rsidRPr="007720B1">
        <w:rPr>
          <w:i/>
        </w:rPr>
        <w:t>Cf.</w:t>
      </w:r>
      <w:r w:rsidRPr="007720B1">
        <w:t xml:space="preserve"> </w:t>
      </w:r>
      <w:r w:rsidRPr="007720B1">
        <w:rPr>
          <w:rStyle w:val="Textoennegrita"/>
          <w:b w:val="0"/>
          <w:i/>
          <w:color w:val="000000"/>
          <w:shd w:val="clear" w:color="auto" w:fill="FFFFFF"/>
        </w:rPr>
        <w:t xml:space="preserve">Case of </w:t>
      </w:r>
      <w:proofErr w:type="spellStart"/>
      <w:r w:rsidRPr="007720B1">
        <w:rPr>
          <w:rStyle w:val="Textoennegrita"/>
          <w:b w:val="0"/>
          <w:i/>
          <w:color w:val="000000"/>
          <w:shd w:val="clear" w:color="auto" w:fill="FFFFFF"/>
        </w:rPr>
        <w:t>Cuscul</w:t>
      </w:r>
      <w:proofErr w:type="spellEnd"/>
      <w:r w:rsidRPr="007720B1">
        <w:rPr>
          <w:rStyle w:val="Textoennegrita"/>
          <w:b w:val="0"/>
          <w:i/>
          <w:color w:val="000000"/>
          <w:shd w:val="clear" w:color="auto" w:fill="FFFFFF"/>
        </w:rPr>
        <w:t xml:space="preserve"> </w:t>
      </w:r>
      <w:proofErr w:type="spellStart"/>
      <w:r w:rsidRPr="007720B1">
        <w:rPr>
          <w:rStyle w:val="Textoennegrita"/>
          <w:b w:val="0"/>
          <w:i/>
          <w:color w:val="000000"/>
          <w:shd w:val="clear" w:color="auto" w:fill="FFFFFF"/>
        </w:rPr>
        <w:t>Pivaral</w:t>
      </w:r>
      <w:proofErr w:type="spellEnd"/>
      <w:r w:rsidRPr="007720B1">
        <w:rPr>
          <w:rStyle w:val="Textoennegrita"/>
          <w:b w:val="0"/>
          <w:i/>
          <w:color w:val="000000"/>
          <w:shd w:val="clear" w:color="auto" w:fill="FFFFFF"/>
        </w:rPr>
        <w:t xml:space="preserve"> et al. v.  Guatemala. Preliminary objection, merits, reparations and costs</w:t>
      </w:r>
      <w:r w:rsidRPr="007720B1">
        <w:rPr>
          <w:rStyle w:val="Textoennegrita"/>
          <w:b w:val="0"/>
          <w:color w:val="000000"/>
          <w:shd w:val="clear" w:color="auto" w:fill="FFFFFF"/>
        </w:rPr>
        <w:t xml:space="preserve">. Judgment </w:t>
      </w:r>
      <w:proofErr w:type="gramStart"/>
      <w:r w:rsidRPr="007720B1">
        <w:rPr>
          <w:rStyle w:val="Textoennegrita"/>
          <w:b w:val="0"/>
          <w:color w:val="000000"/>
          <w:shd w:val="clear" w:color="auto" w:fill="FFFFFF"/>
        </w:rPr>
        <w:t>of  August</w:t>
      </w:r>
      <w:proofErr w:type="gramEnd"/>
      <w:r w:rsidRPr="007720B1">
        <w:rPr>
          <w:rStyle w:val="Textoennegrita"/>
          <w:b w:val="0"/>
          <w:color w:val="000000"/>
          <w:shd w:val="clear" w:color="auto" w:fill="FFFFFF"/>
        </w:rPr>
        <w:t xml:space="preserve"> 23, f 2018. Series C No. 359, para. 94.</w:t>
      </w:r>
    </w:p>
    <w:p w14:paraId="5034A9F8" w14:textId="77777777" w:rsidR="006168EA" w:rsidRPr="007720B1" w:rsidRDefault="006168EA" w:rsidP="007720B1">
      <w:pPr>
        <w:pStyle w:val="Textonotapie"/>
        <w:spacing w:after="0"/>
      </w:pPr>
    </w:p>
  </w:footnote>
  <w:footnote w:id="533">
    <w:p w14:paraId="0F6967F6" w14:textId="77777777" w:rsidR="006168EA" w:rsidRPr="007720B1" w:rsidRDefault="006168EA" w:rsidP="007720B1">
      <w:pPr>
        <w:pStyle w:val="Textonotapie"/>
        <w:spacing w:after="0"/>
        <w:rPr>
          <w:rStyle w:val="Textoennegrita"/>
          <w:b w:val="0"/>
          <w:color w:val="000000"/>
          <w:shd w:val="clear" w:color="auto" w:fill="FFFFFF"/>
        </w:rPr>
      </w:pPr>
      <w:r w:rsidRPr="007720B1">
        <w:rPr>
          <w:rStyle w:val="Refdenotaalpie"/>
          <w:sz w:val="16"/>
        </w:rPr>
        <w:footnoteRef/>
      </w:r>
      <w:r w:rsidRPr="007720B1">
        <w:t xml:space="preserve"> </w:t>
      </w:r>
      <w:r w:rsidRPr="007720B1">
        <w:tab/>
        <w:t xml:space="preserve">In such cases: “[t]he Court recalls that the content of Article 26 of the Convention was the subject of intense debate in the preparatory works, arising from the interest of the States Parties to assign a “direct reference” to economic, social and cultural “rights;” “a provision establishing certain legal mandates […] for its compliance and application” [Chile]; as well as “the [respective] mechanisms [for its] promotion and protection” [Chile]; since the Preliminary Draft of the treaty prepared by the Inter-American Commission made reference to such mechanisms in two Articles which, according to some States, only “contemplated, in a merely declarative text, the conclusions reached at the Buenos Aires Conference” [Uruguay]. The review of said preparatory works of the Convention also proves that the main observations, upon which the approval of the Convention was based, placed a special emphasis on “granting the economic, social and cultural rights the maximum protection compatible with the specific conditions in most of the American States.” [Brazil]. Accordingly, as part of the debate during the preparatory works, it was also proposed that “[the] exercise [of those rights] be made possible through the action of the courts” [Guatemala]”. </w:t>
      </w:r>
      <w:r w:rsidRPr="007720B1">
        <w:rPr>
          <w:i/>
        </w:rPr>
        <w:t xml:space="preserve">Cf. Case of Acevedo </w:t>
      </w:r>
      <w:proofErr w:type="spellStart"/>
      <w:r w:rsidRPr="007720B1">
        <w:rPr>
          <w:i/>
        </w:rPr>
        <w:t>Buendía</w:t>
      </w:r>
      <w:proofErr w:type="spellEnd"/>
      <w:r w:rsidRPr="007720B1">
        <w:rPr>
          <w:i/>
        </w:rPr>
        <w:t xml:space="preserve"> et al. (“Discharged and Retired Employees of the Comptroller’s Office”) v. Peru. Preliminary objection, merits, reparations and costs.</w:t>
      </w:r>
      <w:r w:rsidRPr="007720B1">
        <w:t xml:space="preserve"> Judgment of July 1, 2009. Series C No. 198, para. 99; </w:t>
      </w:r>
      <w:r w:rsidRPr="007720B1">
        <w:rPr>
          <w:i/>
        </w:rPr>
        <w:t xml:space="preserve">Case of Poblete </w:t>
      </w:r>
      <w:proofErr w:type="spellStart"/>
      <w:r w:rsidRPr="007720B1">
        <w:rPr>
          <w:i/>
        </w:rPr>
        <w:t>Vilches</w:t>
      </w:r>
      <w:proofErr w:type="spellEnd"/>
      <w:r w:rsidRPr="007720B1">
        <w:rPr>
          <w:i/>
        </w:rPr>
        <w:t xml:space="preserve"> et al. v.  Chile. Merits, reparations and costs. </w:t>
      </w:r>
      <w:r w:rsidRPr="007720B1">
        <w:t xml:space="preserve">Judgment of March 8, 2018. Series C No. 349, para. 101, and </w:t>
      </w:r>
      <w:r w:rsidRPr="007720B1">
        <w:rPr>
          <w:rStyle w:val="Textoennegrita"/>
          <w:b w:val="0"/>
          <w:i/>
          <w:color w:val="000000"/>
          <w:shd w:val="clear" w:color="auto" w:fill="FFFFFF"/>
        </w:rPr>
        <w:t xml:space="preserve">Case of </w:t>
      </w:r>
      <w:proofErr w:type="spellStart"/>
      <w:r w:rsidRPr="007720B1">
        <w:rPr>
          <w:rStyle w:val="Textoennegrita"/>
          <w:b w:val="0"/>
          <w:i/>
          <w:color w:val="000000"/>
          <w:shd w:val="clear" w:color="auto" w:fill="FFFFFF"/>
        </w:rPr>
        <w:t>Cuscul</w:t>
      </w:r>
      <w:proofErr w:type="spellEnd"/>
      <w:r w:rsidRPr="007720B1">
        <w:rPr>
          <w:rStyle w:val="Textoennegrita"/>
          <w:b w:val="0"/>
          <w:i/>
          <w:color w:val="000000"/>
          <w:shd w:val="clear" w:color="auto" w:fill="FFFFFF"/>
        </w:rPr>
        <w:t xml:space="preserve"> </w:t>
      </w:r>
      <w:proofErr w:type="spellStart"/>
      <w:r w:rsidRPr="007720B1">
        <w:rPr>
          <w:rStyle w:val="Textoennegrita"/>
          <w:b w:val="0"/>
          <w:i/>
          <w:color w:val="000000"/>
          <w:shd w:val="clear" w:color="auto" w:fill="FFFFFF"/>
        </w:rPr>
        <w:t>Pivaral</w:t>
      </w:r>
      <w:proofErr w:type="spellEnd"/>
      <w:r w:rsidRPr="007720B1">
        <w:rPr>
          <w:rStyle w:val="Textoennegrita"/>
          <w:b w:val="0"/>
          <w:i/>
          <w:color w:val="000000"/>
          <w:shd w:val="clear" w:color="auto" w:fill="FFFFFF"/>
        </w:rPr>
        <w:t xml:space="preserve"> et al. v.  Guatemala. Preliminary objection, merits, reparations and costs</w:t>
      </w:r>
      <w:r w:rsidRPr="007720B1">
        <w:rPr>
          <w:rStyle w:val="Textoennegrita"/>
          <w:b w:val="0"/>
          <w:color w:val="000000"/>
          <w:shd w:val="clear" w:color="auto" w:fill="FFFFFF"/>
        </w:rPr>
        <w:t>. Judgment of August 23, 2018. Series C No. 359, para. 95.</w:t>
      </w:r>
    </w:p>
    <w:p w14:paraId="59C60C2D" w14:textId="77777777" w:rsidR="006168EA" w:rsidRPr="00B76212" w:rsidRDefault="006168EA" w:rsidP="006168EA">
      <w:pPr>
        <w:pStyle w:val="Textonotapie"/>
      </w:pPr>
    </w:p>
  </w:footnote>
  <w:footnote w:id="534">
    <w:p w14:paraId="1DCE02F3"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Cf.</w:t>
      </w:r>
      <w:r w:rsidRPr="007720B1">
        <w:t xml:space="preserve"> Uruguay. Records of the Inter-American Specialized Conference on Human Rights, November 7-22, 1969, OEA/</w:t>
      </w:r>
      <w:proofErr w:type="spellStart"/>
      <w:r w:rsidRPr="007720B1">
        <w:t>Ser.K</w:t>
      </w:r>
      <w:proofErr w:type="spellEnd"/>
      <w:r w:rsidRPr="007720B1">
        <w:t>/XVI/1.2, p. 37.</w:t>
      </w:r>
    </w:p>
    <w:p w14:paraId="0353EDA3" w14:textId="77777777" w:rsidR="006168EA" w:rsidRPr="007720B1" w:rsidRDefault="006168EA" w:rsidP="007720B1">
      <w:pPr>
        <w:pStyle w:val="Textonotapie"/>
        <w:spacing w:after="0"/>
      </w:pPr>
    </w:p>
  </w:footnote>
  <w:footnote w:id="535">
    <w:p w14:paraId="45D03306"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Cf.</w:t>
      </w:r>
      <w:r w:rsidRPr="007720B1">
        <w:t xml:space="preserve"> Dominican Republic. Records of the Inter-American Specialized Conference on Human Rights, November 7-22, 1969, OEA/</w:t>
      </w:r>
      <w:proofErr w:type="spellStart"/>
      <w:r w:rsidRPr="007720B1">
        <w:t>Ser.K</w:t>
      </w:r>
      <w:proofErr w:type="spellEnd"/>
      <w:r w:rsidRPr="007720B1">
        <w:t>/XVI/1.2, pp. 69 and 70.</w:t>
      </w:r>
    </w:p>
  </w:footnote>
  <w:footnote w:id="536">
    <w:p w14:paraId="5F42387C"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Cf.</w:t>
      </w:r>
      <w:r w:rsidRPr="007720B1">
        <w:t xml:space="preserve"> Chile. Records of the Inter-American Specialized Conference on Human Rights, November 7-22, 1969, OEA/</w:t>
      </w:r>
      <w:proofErr w:type="spellStart"/>
      <w:r w:rsidRPr="007720B1">
        <w:t>Ser.K</w:t>
      </w:r>
      <w:proofErr w:type="spellEnd"/>
      <w:r w:rsidRPr="007720B1">
        <w:t>/XVI/1.2, pp. 42 and 43.</w:t>
      </w:r>
    </w:p>
    <w:p w14:paraId="0A7DCC96" w14:textId="77777777" w:rsidR="006168EA" w:rsidRPr="007720B1" w:rsidRDefault="006168EA" w:rsidP="007720B1">
      <w:pPr>
        <w:pStyle w:val="Textonotapie"/>
        <w:spacing w:after="0"/>
      </w:pPr>
    </w:p>
  </w:footnote>
  <w:footnote w:id="537">
    <w:p w14:paraId="171E3A50"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Cf.</w:t>
      </w:r>
      <w:r w:rsidRPr="007720B1">
        <w:t xml:space="preserve"> Mexico. Records of the Inter-American Specialized Conference on Human Rights, November 7-22, 1969, OEA/</w:t>
      </w:r>
      <w:proofErr w:type="spellStart"/>
      <w:r w:rsidRPr="007720B1">
        <w:t>Ser.K</w:t>
      </w:r>
      <w:proofErr w:type="spellEnd"/>
      <w:r w:rsidRPr="007720B1">
        <w:t>/XVI/1.2, p. 101.</w:t>
      </w:r>
    </w:p>
    <w:p w14:paraId="7DAFBBCB" w14:textId="77777777" w:rsidR="006168EA" w:rsidRPr="007720B1" w:rsidRDefault="006168EA" w:rsidP="007720B1">
      <w:pPr>
        <w:pStyle w:val="Textonotapie"/>
        <w:spacing w:after="0"/>
      </w:pPr>
    </w:p>
  </w:footnote>
  <w:footnote w:id="538">
    <w:p w14:paraId="59C44571" w14:textId="77777777" w:rsidR="006168EA" w:rsidRPr="007720B1"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 xml:space="preserve">Cf. </w:t>
      </w:r>
      <w:r w:rsidRPr="007720B1">
        <w:t>Guatemala. Records of the Inter-American Specialized Conference on Human Rights, November 7-22, 1969, OEA/</w:t>
      </w:r>
      <w:proofErr w:type="spellStart"/>
      <w:r w:rsidRPr="007720B1">
        <w:t>Ser.K</w:t>
      </w:r>
      <w:proofErr w:type="spellEnd"/>
      <w:r w:rsidRPr="007720B1">
        <w:t>/XVI/1.2, pp. 115 and 116.</w:t>
      </w:r>
    </w:p>
    <w:p w14:paraId="59A8F311" w14:textId="77777777" w:rsidR="006168EA" w:rsidRPr="007720B1" w:rsidRDefault="006168EA" w:rsidP="007720B1">
      <w:pPr>
        <w:pStyle w:val="Textonotapie"/>
        <w:spacing w:after="0"/>
      </w:pPr>
    </w:p>
  </w:footnote>
  <w:footnote w:id="539">
    <w:p w14:paraId="4181A60C" w14:textId="77777777" w:rsidR="006168EA" w:rsidRPr="00B76212" w:rsidRDefault="006168EA" w:rsidP="007720B1">
      <w:pPr>
        <w:pStyle w:val="Textonotapie"/>
        <w:spacing w:after="0"/>
      </w:pPr>
      <w:r w:rsidRPr="007720B1">
        <w:rPr>
          <w:rStyle w:val="Refdenotaalpie"/>
          <w:sz w:val="16"/>
        </w:rPr>
        <w:footnoteRef/>
      </w:r>
      <w:r w:rsidRPr="007720B1">
        <w:t xml:space="preserve"> </w:t>
      </w:r>
      <w:r w:rsidRPr="007720B1">
        <w:tab/>
      </w:r>
      <w:r w:rsidRPr="007720B1">
        <w:rPr>
          <w:i/>
        </w:rPr>
        <w:t xml:space="preserve">Cf. </w:t>
      </w:r>
      <w:r w:rsidRPr="007720B1">
        <w:t>Brazil. Records of the Inter-American Specialized Conference on Human Rights, November 7-22, 1969, OEA/</w:t>
      </w:r>
      <w:proofErr w:type="spellStart"/>
      <w:r w:rsidRPr="007720B1">
        <w:t>Ser.K</w:t>
      </w:r>
      <w:proofErr w:type="spellEnd"/>
      <w:r w:rsidRPr="007720B1">
        <w:t>/XVI/1.2, pp. 124 and 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5E242" w14:textId="77777777" w:rsidR="00E6764B" w:rsidRPr="00B24BC6" w:rsidRDefault="00E6764B">
    <w:pPr>
      <w:pStyle w:val="Encabezado"/>
      <w:jc w:val="center"/>
      <w:rPr>
        <w:rFonts w:ascii="Verdana" w:hAnsi="Verdana"/>
        <w:sz w:val="20"/>
        <w:szCs w:val="20"/>
      </w:rPr>
    </w:pPr>
    <w:r w:rsidRPr="00B24BC6">
      <w:rPr>
        <w:rFonts w:ascii="Verdana" w:hAnsi="Verdana"/>
        <w:sz w:val="20"/>
        <w:szCs w:val="20"/>
      </w:rPr>
      <w:fldChar w:fldCharType="begin"/>
    </w:r>
    <w:r w:rsidRPr="00B24BC6">
      <w:rPr>
        <w:rFonts w:ascii="Verdana" w:hAnsi="Verdana"/>
        <w:sz w:val="20"/>
        <w:szCs w:val="20"/>
      </w:rPr>
      <w:instrText>PAGE   \* MERGEFORMAT</w:instrText>
    </w:r>
    <w:r w:rsidRPr="00B24BC6">
      <w:rPr>
        <w:rFonts w:ascii="Verdana" w:hAnsi="Verdana"/>
        <w:sz w:val="20"/>
        <w:szCs w:val="20"/>
      </w:rPr>
      <w:fldChar w:fldCharType="separate"/>
    </w:r>
    <w:r w:rsidRPr="00107D2F">
      <w:rPr>
        <w:rFonts w:ascii="Verdana" w:hAnsi="Verdana"/>
        <w:noProof/>
        <w:sz w:val="20"/>
        <w:szCs w:val="20"/>
        <w:lang w:val="es-ES"/>
      </w:rPr>
      <w:t>70</w:t>
    </w:r>
    <w:r w:rsidRPr="00B24BC6">
      <w:rPr>
        <w:rFonts w:ascii="Verdana" w:hAnsi="Verdana"/>
        <w:sz w:val="20"/>
        <w:szCs w:val="20"/>
      </w:rPr>
      <w:fldChar w:fldCharType="end"/>
    </w:r>
  </w:p>
  <w:p w14:paraId="2475EB26" w14:textId="77777777" w:rsidR="00E6764B" w:rsidRPr="00BA1769" w:rsidRDefault="00E6764B" w:rsidP="00B44D4F">
    <w:pPr>
      <w:pStyle w:val="Encabezado"/>
      <w:jc w:val="right"/>
      <w:rPr>
        <w:rFonts w:ascii="Verdana" w:hAnsi="Verdana"/>
        <w:sz w:val="20"/>
        <w:szCs w:val="20"/>
      </w:rPr>
    </w:pPr>
    <w:r w:rsidRPr="00BA1769">
      <w:rPr>
        <w:rFonts w:ascii="Verdana" w:hAnsi="Verdana"/>
        <w:sz w:val="20"/>
        <w:szCs w:val="20"/>
      </w:rPr>
      <w:tab/>
    </w:r>
    <w:r w:rsidRPr="00BA1769">
      <w:rPr>
        <w:rFonts w:ascii="Verdana" w:hAnsi="Verdana"/>
        <w:sz w:val="20"/>
        <w:szCs w:val="20"/>
      </w:rPr>
      <w:tab/>
    </w:r>
  </w:p>
  <w:p w14:paraId="5ACADD4E" w14:textId="77777777" w:rsidR="00E6764B" w:rsidRDefault="00E676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D83"/>
    <w:multiLevelType w:val="hybridMultilevel"/>
    <w:tmpl w:val="ECF034F4"/>
    <w:lvl w:ilvl="0" w:tplc="56AA1A3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E17B53"/>
    <w:multiLevelType w:val="hybridMultilevel"/>
    <w:tmpl w:val="25489D30"/>
    <w:lvl w:ilvl="0" w:tplc="D06656DE">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3" w15:restartNumberingAfterBreak="0">
    <w:nsid w:val="05FC320B"/>
    <w:multiLevelType w:val="hybridMultilevel"/>
    <w:tmpl w:val="73E6A92E"/>
    <w:lvl w:ilvl="0" w:tplc="8A1612C2">
      <w:start w:val="1"/>
      <w:numFmt w:val="decimal"/>
      <w:lvlText w:val="%1."/>
      <w:lvlJc w:val="left"/>
      <w:pPr>
        <w:ind w:left="720" w:hanging="360"/>
      </w:pPr>
      <w:rPr>
        <w:rFonts w:ascii="Verdana" w:hAnsi="Verdana" w:hint="default"/>
        <w:sz w:val="20"/>
        <w:szCs w:val="20"/>
        <w:lang w:val="es-A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7" w15:restartNumberingAfterBreak="0">
    <w:nsid w:val="0F2A625C"/>
    <w:multiLevelType w:val="hybridMultilevel"/>
    <w:tmpl w:val="53CC4FFA"/>
    <w:lvl w:ilvl="0" w:tplc="984AC154">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9" w15:restartNumberingAfterBreak="0">
    <w:nsid w:val="136F2E83"/>
    <w:multiLevelType w:val="hybridMultilevel"/>
    <w:tmpl w:val="30467760"/>
    <w:lvl w:ilvl="0" w:tplc="FEAE2600">
      <w:start w:val="1"/>
      <w:numFmt w:val="decimal"/>
      <w:pStyle w:val="Estilo4"/>
      <w:lvlText w:val="%1."/>
      <w:lvlJc w:val="left"/>
      <w:pPr>
        <w:ind w:left="3763"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1"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MS Gothic"/>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color="000000"/>
        <w:lang w:val="es-ES_tradnl"/>
      </w:rPr>
    </w:lvl>
  </w:abstractNum>
  <w:abstractNum w:abstractNumId="12" w15:restartNumberingAfterBreak="0">
    <w:nsid w:val="1D046532"/>
    <w:multiLevelType w:val="hybridMultilevel"/>
    <w:tmpl w:val="4E685FE6"/>
    <w:lvl w:ilvl="0" w:tplc="7284C29C">
      <w:start w:val="1"/>
      <w:numFmt w:val="lowerRoman"/>
      <w:lvlText w:val="%1)"/>
      <w:lvlJc w:val="left"/>
      <w:pPr>
        <w:ind w:left="1854" w:hanging="720"/>
      </w:pPr>
      <w:rPr>
        <w:rFonts w:hint="default"/>
      </w:r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13"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4"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5"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16" w15:restartNumberingAfterBreak="0">
    <w:nsid w:val="1F6C1840"/>
    <w:multiLevelType w:val="hybridMultilevel"/>
    <w:tmpl w:val="3378EDC4"/>
    <w:lvl w:ilvl="0" w:tplc="0C28D8C6">
      <w:start w:val="1"/>
      <w:numFmt w:val="lowerRoman"/>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8"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19"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20" w15:restartNumberingAfterBreak="0">
    <w:nsid w:val="235A7C47"/>
    <w:multiLevelType w:val="hybridMultilevel"/>
    <w:tmpl w:val="F2A8C792"/>
    <w:lvl w:ilvl="0" w:tplc="2898A83C">
      <w:start w:val="1"/>
      <w:numFmt w:val="decimal"/>
      <w:lvlText w:val="%1."/>
      <w:lvlJc w:val="left"/>
      <w:pPr>
        <w:ind w:left="1919" w:hanging="360"/>
      </w:pPr>
      <w:rPr>
        <w:b w:val="0"/>
        <w:i w:val="0"/>
      </w:rPr>
    </w:lvl>
    <w:lvl w:ilvl="1" w:tplc="340A0019">
      <w:start w:val="1"/>
      <w:numFmt w:val="lowerLetter"/>
      <w:lvlText w:val="%2."/>
      <w:lvlJc w:val="left"/>
      <w:pPr>
        <w:ind w:left="5400" w:hanging="360"/>
      </w:pPr>
    </w:lvl>
    <w:lvl w:ilvl="2" w:tplc="340A001B" w:tentative="1">
      <w:start w:val="1"/>
      <w:numFmt w:val="lowerRoman"/>
      <w:lvlText w:val="%3."/>
      <w:lvlJc w:val="right"/>
      <w:pPr>
        <w:ind w:left="6120" w:hanging="180"/>
      </w:pPr>
    </w:lvl>
    <w:lvl w:ilvl="3" w:tplc="340A000F" w:tentative="1">
      <w:start w:val="1"/>
      <w:numFmt w:val="decimal"/>
      <w:lvlText w:val="%4."/>
      <w:lvlJc w:val="left"/>
      <w:pPr>
        <w:ind w:left="6840" w:hanging="360"/>
      </w:pPr>
    </w:lvl>
    <w:lvl w:ilvl="4" w:tplc="340A0019" w:tentative="1">
      <w:start w:val="1"/>
      <w:numFmt w:val="lowerLetter"/>
      <w:lvlText w:val="%5."/>
      <w:lvlJc w:val="left"/>
      <w:pPr>
        <w:ind w:left="7560" w:hanging="360"/>
      </w:pPr>
    </w:lvl>
    <w:lvl w:ilvl="5" w:tplc="340A001B" w:tentative="1">
      <w:start w:val="1"/>
      <w:numFmt w:val="lowerRoman"/>
      <w:lvlText w:val="%6."/>
      <w:lvlJc w:val="right"/>
      <w:pPr>
        <w:ind w:left="8280" w:hanging="180"/>
      </w:pPr>
    </w:lvl>
    <w:lvl w:ilvl="6" w:tplc="340A000F" w:tentative="1">
      <w:start w:val="1"/>
      <w:numFmt w:val="decimal"/>
      <w:lvlText w:val="%7."/>
      <w:lvlJc w:val="left"/>
      <w:pPr>
        <w:ind w:left="9000" w:hanging="360"/>
      </w:pPr>
    </w:lvl>
    <w:lvl w:ilvl="7" w:tplc="340A0019" w:tentative="1">
      <w:start w:val="1"/>
      <w:numFmt w:val="lowerLetter"/>
      <w:lvlText w:val="%8."/>
      <w:lvlJc w:val="left"/>
      <w:pPr>
        <w:ind w:left="9720" w:hanging="360"/>
      </w:pPr>
    </w:lvl>
    <w:lvl w:ilvl="8" w:tplc="340A001B" w:tentative="1">
      <w:start w:val="1"/>
      <w:numFmt w:val="lowerRoman"/>
      <w:lvlText w:val="%9."/>
      <w:lvlJc w:val="right"/>
      <w:pPr>
        <w:ind w:left="10440" w:hanging="180"/>
      </w:pPr>
    </w:lvl>
  </w:abstractNum>
  <w:abstractNum w:abstractNumId="21" w15:restartNumberingAfterBreak="0">
    <w:nsid w:val="252374D3"/>
    <w:multiLevelType w:val="hybridMultilevel"/>
    <w:tmpl w:val="2D8C9D6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3"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4"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5"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6" w15:restartNumberingAfterBreak="0">
    <w:nsid w:val="2CBA1D04"/>
    <w:multiLevelType w:val="hybridMultilevel"/>
    <w:tmpl w:val="A2B2F2E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2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2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MS Gothic"/>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MS Gothic"/>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color w:val="000000"/>
        <w:position w:val="0"/>
        <w:sz w:val="22"/>
        <w:szCs w:val="22"/>
        <w:u w:color="000000"/>
        <w:lang w:val="es-ES_tradnl"/>
      </w:r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36" w15:restartNumberingAfterBreak="0">
    <w:nsid w:val="3E285041"/>
    <w:multiLevelType w:val="hybridMultilevel"/>
    <w:tmpl w:val="37284C20"/>
    <w:lvl w:ilvl="0" w:tplc="FB4086BE">
      <w:start w:val="1"/>
      <w:numFmt w:val="lowerRoman"/>
      <w:pStyle w:val="Ttulo5"/>
      <w:lvlText w:val="(%1)"/>
      <w:lvlJc w:val="left"/>
      <w:pPr>
        <w:ind w:left="1776"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3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2" w15:restartNumberingAfterBreak="0">
    <w:nsid w:val="46782CD6"/>
    <w:multiLevelType w:val="hybridMultilevel"/>
    <w:tmpl w:val="8C68099A"/>
    <w:lvl w:ilvl="0" w:tplc="140A0013">
      <w:start w:val="1"/>
      <w:numFmt w:val="upp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4" w15:restartNumberingAfterBreak="0">
    <w:nsid w:val="490D42A9"/>
    <w:multiLevelType w:val="hybridMultilevel"/>
    <w:tmpl w:val="225C8D94"/>
    <w:styleLink w:val="Estiloimportado3"/>
    <w:lvl w:ilvl="0" w:tplc="D75EE32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AA2DB0">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6E90BA">
      <w:start w:val="1"/>
      <w:numFmt w:val="lowerLetter"/>
      <w:lvlText w:val="%3)"/>
      <w:lvlJc w:val="left"/>
      <w:pPr>
        <w:ind w:left="1620"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C70BA">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869E0">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A5562">
      <w:start w:val="1"/>
      <w:numFmt w:val="lowerRoman"/>
      <w:lvlText w:val="%6."/>
      <w:lvlJc w:val="left"/>
      <w:pPr>
        <w:ind w:left="3600" w:hanging="5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ED8CA">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64CEDC">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98B4BE">
      <w:start w:val="1"/>
      <w:numFmt w:val="lowerRoman"/>
      <w:lvlText w:val="%9."/>
      <w:lvlJc w:val="left"/>
      <w:pPr>
        <w:ind w:left="5760"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MS Gothic"/>
        <w:b/>
        <w:bCs/>
        <w:color w:val="000000"/>
        <w:position w:val="0"/>
        <w:sz w:val="22"/>
        <w:szCs w:val="22"/>
        <w:u w:val="single" w:color="000000"/>
        <w:lang w:val="es-ES_tradnl"/>
      </w:rPr>
    </w:lvl>
  </w:abstractNum>
  <w:abstractNum w:abstractNumId="4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4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4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2" w15:restartNumberingAfterBreak="0">
    <w:nsid w:val="55FF6FE2"/>
    <w:multiLevelType w:val="hybridMultilevel"/>
    <w:tmpl w:val="C0C8571A"/>
    <w:lvl w:ilvl="0" w:tplc="D40EB75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54" w15:restartNumberingAfterBreak="0">
    <w:nsid w:val="5B6DD95E"/>
    <w:multiLevelType w:val="multilevel"/>
    <w:tmpl w:val="5B6DD95E"/>
    <w:name w:val="Lista numerada 38"/>
    <w:lvl w:ilvl="0">
      <w:start w:val="1"/>
      <w:numFmt w:val="decimal"/>
      <w:lvlText w:val="%1."/>
      <w:lvlJc w:val="left"/>
      <w:rPr>
        <w:rFonts w:ascii="Verdana" w:hAnsi="Verdana"/>
        <w:b w:val="0"/>
        <w:i w:val="0"/>
        <w:strike w:val="0"/>
        <w:color w:val="000000"/>
        <w:position w:val="0"/>
        <w:sz w:val="20"/>
        <w:vertAlign w:val="baseline"/>
      </w:rPr>
    </w:lvl>
    <w:lvl w:ilvl="1">
      <w:start w:val="1"/>
      <w:numFmt w:val="lowerLetter"/>
      <w:lvlText w:val="%2."/>
      <w:lvlJc w:val="left"/>
      <w:rPr>
        <w:rFonts w:ascii="Verdana" w:hAnsi="Verdana"/>
        <w:i/>
      </w:rPr>
    </w:lvl>
    <w:lvl w:ilvl="2">
      <w:start w:val="1"/>
      <w:numFmt w:val="lowerRoman"/>
      <w:lvlText w:val="%3."/>
      <w:lvlJc w:val="left"/>
      <w:rPr>
        <w:i/>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56" w15:restartNumberingAfterBreak="0">
    <w:nsid w:val="5CEA4AF1"/>
    <w:multiLevelType w:val="hybridMultilevel"/>
    <w:tmpl w:val="4956CE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5F4C2233"/>
    <w:multiLevelType w:val="hybridMultilevel"/>
    <w:tmpl w:val="7EA8578E"/>
    <w:lvl w:ilvl="0" w:tplc="6E46E8B0">
      <w:start w:val="1"/>
      <w:numFmt w:val="lowerLetter"/>
      <w:lvlText w:val="%1)"/>
      <w:lvlJc w:val="left"/>
      <w:pPr>
        <w:ind w:left="720"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59" w15:restartNumberingAfterBreak="0">
    <w:nsid w:val="62966BAF"/>
    <w:multiLevelType w:val="hybridMultilevel"/>
    <w:tmpl w:val="BBC89D4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450298B"/>
    <w:multiLevelType w:val="hybridMultilevel"/>
    <w:tmpl w:val="384E59F6"/>
    <w:lvl w:ilvl="0" w:tplc="B958DD32">
      <w:start w:val="1"/>
      <w:numFmt w:val="decimal"/>
      <w:pStyle w:val="PrrafodeSentencia"/>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1" w15:restartNumberingAfterBreak="0">
    <w:nsid w:val="64EB5A5A"/>
    <w:multiLevelType w:val="hybridMultilevel"/>
    <w:tmpl w:val="DEC232CE"/>
    <w:lvl w:ilvl="0" w:tplc="7C648A3E">
      <w:start w:val="1"/>
      <w:numFmt w:val="lowerLetter"/>
      <w:lvlText w:val="%1)"/>
      <w:lvlJc w:val="left"/>
      <w:pPr>
        <w:ind w:left="1068" w:hanging="360"/>
      </w:pPr>
      <w:rPr>
        <w:rFonts w:ascii="Verdana" w:eastAsia="Calibri" w:hAnsi="Verdana" w:cs="Times New Roman"/>
        <w:i/>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color="000000"/>
        <w:lang w:val="es-ES_tradnl"/>
      </w:rPr>
    </w:lvl>
  </w:abstractNum>
  <w:abstractNum w:abstractNumId="63" w15:restartNumberingAfterBreak="0">
    <w:nsid w:val="69942C6B"/>
    <w:multiLevelType w:val="hybridMultilevel"/>
    <w:tmpl w:val="35824AC4"/>
    <w:lvl w:ilvl="0" w:tplc="B328AD26">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MS Gothic"/>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MS Gothic"/>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MS Gothic"/>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MS Gothic"/>
        <w:b/>
        <w:bCs/>
        <w:color w:val="000000"/>
        <w:position w:val="0"/>
        <w:sz w:val="22"/>
        <w:szCs w:val="22"/>
        <w:u w:val="single" w:color="000000"/>
        <w:lang w:val="es-ES_tradnl"/>
      </w:rPr>
    </w:lvl>
  </w:abstractNum>
  <w:abstractNum w:abstractNumId="65" w15:restartNumberingAfterBreak="0">
    <w:nsid w:val="6C5E2D29"/>
    <w:multiLevelType w:val="hybridMultilevel"/>
    <w:tmpl w:val="29E6D96A"/>
    <w:lvl w:ilvl="0" w:tplc="040A0017">
      <w:start w:val="4"/>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7" w15:restartNumberingAfterBreak="0">
    <w:nsid w:val="705A6F5C"/>
    <w:multiLevelType w:val="hybridMultilevel"/>
    <w:tmpl w:val="554EE8C4"/>
    <w:lvl w:ilvl="0" w:tplc="6722D962">
      <w:start w:val="1"/>
      <w:numFmt w:val="decimal"/>
      <w:pStyle w:val="Numberedparagraphs"/>
      <w:lvlText w:val="%1."/>
      <w:lvlJc w:val="left"/>
      <w:pPr>
        <w:tabs>
          <w:tab w:val="num" w:pos="720"/>
        </w:tabs>
        <w:ind w:left="0" w:firstLine="0"/>
      </w:pPr>
      <w:rPr>
        <w:rFonts w:ascii="Verdana" w:hAnsi="Verdana" w:hint="default"/>
        <w:b w:val="0"/>
        <w:i w:val="0"/>
        <w:strike w:val="0"/>
        <w:dstrike w:val="0"/>
        <w:color w:val="auto"/>
        <w:sz w:val="20"/>
        <w:szCs w:val="20"/>
        <w:u w:val="none"/>
        <w:effect w:val="none"/>
        <w:lang w:val="es-AR"/>
      </w:rPr>
    </w:lvl>
    <w:lvl w:ilvl="1" w:tplc="5C6C0158">
      <w:start w:val="7"/>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6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MS Gothic"/>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MS Gothic"/>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MS Gothic"/>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MS Gothic"/>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MS Gothic"/>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MS Gothic"/>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MS Gothic"/>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MS Gothic"/>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MS Gothic"/>
        <w:b/>
        <w:bCs/>
        <w:color w:val="000000"/>
        <w:position w:val="0"/>
        <w:sz w:val="22"/>
        <w:szCs w:val="22"/>
        <w:u w:color="000000"/>
        <w:lang w:val="es-ES_tradnl"/>
      </w:rPr>
    </w:lvl>
  </w:abstractNum>
  <w:abstractNum w:abstractNumId="71" w15:restartNumberingAfterBreak="0">
    <w:nsid w:val="79354707"/>
    <w:multiLevelType w:val="hybridMultilevel"/>
    <w:tmpl w:val="B90EDDB8"/>
    <w:lvl w:ilvl="0" w:tplc="985C757E">
      <w:start w:val="1"/>
      <w:numFmt w:val="decimal"/>
      <w:lvlText w:val="%1."/>
      <w:lvlJc w:val="left"/>
      <w:pPr>
        <w:ind w:left="1109"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start w:val="1"/>
      <w:numFmt w:val="decimal"/>
      <w:lvlText w:val="%4."/>
      <w:lvlJc w:val="left"/>
      <w:pPr>
        <w:ind w:left="3164" w:hanging="360"/>
      </w:pPr>
    </w:lvl>
    <w:lvl w:ilvl="4" w:tplc="140A0019">
      <w:start w:val="1"/>
      <w:numFmt w:val="lowerLetter"/>
      <w:lvlText w:val="%5."/>
      <w:lvlJc w:val="left"/>
      <w:pPr>
        <w:ind w:left="3884" w:hanging="360"/>
      </w:pPr>
    </w:lvl>
    <w:lvl w:ilvl="5" w:tplc="140A001B">
      <w:start w:val="1"/>
      <w:numFmt w:val="lowerRoman"/>
      <w:lvlText w:val="%6."/>
      <w:lvlJc w:val="right"/>
      <w:pPr>
        <w:ind w:left="4604" w:hanging="180"/>
      </w:pPr>
    </w:lvl>
    <w:lvl w:ilvl="6" w:tplc="140A000F">
      <w:start w:val="1"/>
      <w:numFmt w:val="decimal"/>
      <w:lvlText w:val="%7."/>
      <w:lvlJc w:val="left"/>
      <w:pPr>
        <w:ind w:left="5324" w:hanging="360"/>
      </w:pPr>
    </w:lvl>
    <w:lvl w:ilvl="7" w:tplc="140A0019">
      <w:start w:val="1"/>
      <w:numFmt w:val="lowerLetter"/>
      <w:lvlText w:val="%8."/>
      <w:lvlJc w:val="left"/>
      <w:pPr>
        <w:ind w:left="6044" w:hanging="360"/>
      </w:pPr>
    </w:lvl>
    <w:lvl w:ilvl="8" w:tplc="140A001B">
      <w:start w:val="1"/>
      <w:numFmt w:val="lowerRoman"/>
      <w:lvlText w:val="%9."/>
      <w:lvlJc w:val="right"/>
      <w:pPr>
        <w:ind w:left="6764" w:hanging="180"/>
      </w:pPr>
    </w:lvl>
  </w:abstractNum>
  <w:abstractNum w:abstractNumId="7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3" w15:restartNumberingAfterBreak="0">
    <w:nsid w:val="79DE05C3"/>
    <w:multiLevelType w:val="hybridMultilevel"/>
    <w:tmpl w:val="56CEA9CE"/>
    <w:lvl w:ilvl="0" w:tplc="DE3051DE">
      <w:start w:val="1"/>
      <w:numFmt w:val="decimal"/>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6" w15:restartNumberingAfterBreak="0">
    <w:nsid w:val="7CE64D32"/>
    <w:multiLevelType w:val="hybridMultilevel"/>
    <w:tmpl w:val="F84AD750"/>
    <w:lvl w:ilvl="0" w:tplc="93EAE40E">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MX"/>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pStyle w:val="Ttulo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77" w15:restartNumberingAfterBreak="0">
    <w:nsid w:val="7D9E5C76"/>
    <w:multiLevelType w:val="hybridMultilevel"/>
    <w:tmpl w:val="19DC9730"/>
    <w:lvl w:ilvl="0" w:tplc="9802EE0A">
      <w:start w:val="1"/>
      <w:numFmt w:val="upperLetter"/>
      <w:pStyle w:val="Ttulo2"/>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MS Gothic"/>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MS Gothic"/>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MS Gothic"/>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MS Gothic"/>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MS Gothic"/>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MS Gothic"/>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MS Gothic"/>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MS Gothic"/>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MS Gothic"/>
        <w:color w:val="000000"/>
        <w:position w:val="0"/>
        <w:sz w:val="22"/>
        <w:szCs w:val="22"/>
        <w:u w:color="000000"/>
        <w:lang w:val="es-ES_tradnl"/>
      </w:rPr>
    </w:lvl>
  </w:abstractNum>
  <w:abstractNum w:abstractNumId="7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MS Gothic"/>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MS Gothic"/>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MS Gothic"/>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MS Gothic"/>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MS Gothic"/>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MS Gothic"/>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MS Gothic"/>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MS Gothic"/>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MS Gothic"/>
        <w:b/>
        <w:bCs/>
        <w:color w:val="000000"/>
        <w:position w:val="0"/>
        <w:sz w:val="22"/>
        <w:szCs w:val="22"/>
        <w:u w:val="single" w:color="000000"/>
        <w:lang w:val="es-ES_tradnl"/>
      </w:rPr>
    </w:lvl>
  </w:abstractNum>
  <w:abstractNum w:abstractNumId="80" w15:restartNumberingAfterBreak="0">
    <w:nsid w:val="7FBA44E2"/>
    <w:multiLevelType w:val="hybridMultilevel"/>
    <w:tmpl w:val="C2F48ED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0"/>
  </w:num>
  <w:num w:numId="2">
    <w:abstractNumId w:val="61"/>
  </w:num>
  <w:num w:numId="3">
    <w:abstractNumId w:val="71"/>
  </w:num>
  <w:num w:numId="4">
    <w:abstractNumId w:val="9"/>
  </w:num>
  <w:num w:numId="5">
    <w:abstractNumId w:val="77"/>
  </w:num>
  <w:num w:numId="6">
    <w:abstractNumId w:val="77"/>
    <w:lvlOverride w:ilvl="0">
      <w:startOverride w:val="1"/>
    </w:lvlOverride>
  </w:num>
  <w:num w:numId="7">
    <w:abstractNumId w:val="56"/>
  </w:num>
  <w:num w:numId="8">
    <w:abstractNumId w:val="12"/>
  </w:num>
  <w:num w:numId="9">
    <w:abstractNumId w:val="12"/>
    <w:lvlOverride w:ilvl="0">
      <w:startOverride w:val="1"/>
    </w:lvlOverride>
  </w:num>
  <w:num w:numId="10">
    <w:abstractNumId w:val="6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7"/>
    <w:lvlOverride w:ilvl="0">
      <w:startOverride w:val="1"/>
    </w:lvlOverride>
  </w:num>
  <w:num w:numId="14">
    <w:abstractNumId w:val="77"/>
    <w:lvlOverride w:ilvl="0">
      <w:startOverride w:val="1"/>
    </w:lvlOverride>
  </w:num>
  <w:num w:numId="15">
    <w:abstractNumId w:val="7"/>
  </w:num>
  <w:num w:numId="16">
    <w:abstractNumId w:val="1"/>
  </w:num>
  <w:num w:numId="17">
    <w:abstractNumId w:val="26"/>
  </w:num>
  <w:num w:numId="18">
    <w:abstractNumId w:val="65"/>
  </w:num>
  <w:num w:numId="19">
    <w:abstractNumId w:val="20"/>
  </w:num>
  <w:num w:numId="20">
    <w:abstractNumId w:val="63"/>
  </w:num>
  <w:num w:numId="21">
    <w:abstractNumId w:val="21"/>
  </w:num>
  <w:num w:numId="22">
    <w:abstractNumId w:val="59"/>
  </w:num>
  <w:num w:numId="23">
    <w:abstractNumId w:val="57"/>
  </w:num>
  <w:num w:numId="24">
    <w:abstractNumId w:val="80"/>
  </w:num>
  <w:num w:numId="25">
    <w:abstractNumId w:val="0"/>
  </w:num>
  <w:num w:numId="26">
    <w:abstractNumId w:val="52"/>
  </w:num>
  <w:num w:numId="27">
    <w:abstractNumId w:val="76"/>
  </w:num>
  <w:num w:numId="28">
    <w:abstractNumId w:val="6"/>
  </w:num>
  <w:num w:numId="29">
    <w:abstractNumId w:val="8"/>
  </w:num>
  <w:num w:numId="30">
    <w:abstractNumId w:val="70"/>
  </w:num>
  <w:num w:numId="31">
    <w:abstractNumId w:val="29"/>
  </w:num>
  <w:num w:numId="32">
    <w:abstractNumId w:val="62"/>
  </w:num>
  <w:num w:numId="33">
    <w:abstractNumId w:val="34"/>
  </w:num>
  <w:num w:numId="34">
    <w:abstractNumId w:val="10"/>
  </w:num>
  <w:num w:numId="35">
    <w:abstractNumId w:val="24"/>
  </w:num>
  <w:num w:numId="36">
    <w:abstractNumId w:val="51"/>
  </w:num>
  <w:num w:numId="37">
    <w:abstractNumId w:val="2"/>
  </w:num>
  <w:num w:numId="38">
    <w:abstractNumId w:val="46"/>
  </w:num>
  <w:num w:numId="39">
    <w:abstractNumId w:val="47"/>
  </w:num>
  <w:num w:numId="40">
    <w:abstractNumId w:val="53"/>
  </w:num>
  <w:num w:numId="41">
    <w:abstractNumId w:val="4"/>
  </w:num>
  <w:num w:numId="42">
    <w:abstractNumId w:val="5"/>
  </w:num>
  <w:num w:numId="43">
    <w:abstractNumId w:val="11"/>
  </w:num>
  <w:num w:numId="44">
    <w:abstractNumId w:val="13"/>
  </w:num>
  <w:num w:numId="45">
    <w:abstractNumId w:val="14"/>
  </w:num>
  <w:num w:numId="46">
    <w:abstractNumId w:val="15"/>
  </w:num>
  <w:num w:numId="47">
    <w:abstractNumId w:val="17"/>
  </w:num>
  <w:num w:numId="48">
    <w:abstractNumId w:val="18"/>
  </w:num>
  <w:num w:numId="49">
    <w:abstractNumId w:val="19"/>
  </w:num>
  <w:num w:numId="50">
    <w:abstractNumId w:val="22"/>
  </w:num>
  <w:num w:numId="51">
    <w:abstractNumId w:val="23"/>
  </w:num>
  <w:num w:numId="52">
    <w:abstractNumId w:val="25"/>
  </w:num>
  <w:num w:numId="53">
    <w:abstractNumId w:val="27"/>
  </w:num>
  <w:num w:numId="54">
    <w:abstractNumId w:val="30"/>
  </w:num>
  <w:num w:numId="55">
    <w:abstractNumId w:val="31"/>
  </w:num>
  <w:num w:numId="56">
    <w:abstractNumId w:val="32"/>
  </w:num>
  <w:num w:numId="57">
    <w:abstractNumId w:val="33"/>
  </w:num>
  <w:num w:numId="58">
    <w:abstractNumId w:val="35"/>
  </w:num>
  <w:num w:numId="59">
    <w:abstractNumId w:val="37"/>
  </w:num>
  <w:num w:numId="60">
    <w:abstractNumId w:val="38"/>
  </w:num>
  <w:num w:numId="61">
    <w:abstractNumId w:val="39"/>
  </w:num>
  <w:num w:numId="62">
    <w:abstractNumId w:val="40"/>
  </w:num>
  <w:num w:numId="63">
    <w:abstractNumId w:val="41"/>
  </w:num>
  <w:num w:numId="64">
    <w:abstractNumId w:val="43"/>
  </w:num>
  <w:num w:numId="65">
    <w:abstractNumId w:val="45"/>
  </w:num>
  <w:num w:numId="66">
    <w:abstractNumId w:val="48"/>
  </w:num>
  <w:num w:numId="67">
    <w:abstractNumId w:val="49"/>
  </w:num>
  <w:num w:numId="68">
    <w:abstractNumId w:val="58"/>
  </w:num>
  <w:num w:numId="69">
    <w:abstractNumId w:val="64"/>
  </w:num>
  <w:num w:numId="70">
    <w:abstractNumId w:val="66"/>
  </w:num>
  <w:num w:numId="71">
    <w:abstractNumId w:val="68"/>
  </w:num>
  <w:num w:numId="72">
    <w:abstractNumId w:val="69"/>
  </w:num>
  <w:num w:numId="73">
    <w:abstractNumId w:val="72"/>
  </w:num>
  <w:num w:numId="74">
    <w:abstractNumId w:val="74"/>
  </w:num>
  <w:num w:numId="75">
    <w:abstractNumId w:val="75"/>
  </w:num>
  <w:num w:numId="76">
    <w:abstractNumId w:val="78"/>
  </w:num>
  <w:num w:numId="77">
    <w:abstractNumId w:val="79"/>
  </w:num>
  <w:num w:numId="78">
    <w:abstractNumId w:val="28"/>
  </w:num>
  <w:num w:numId="79">
    <w:abstractNumId w:val="50"/>
  </w:num>
  <w:num w:numId="80">
    <w:abstractNumId w:val="55"/>
  </w:num>
  <w:num w:numId="81">
    <w:abstractNumId w:val="36"/>
  </w:num>
  <w:num w:numId="82">
    <w:abstractNumId w:val="44"/>
  </w:num>
  <w:num w:numId="83">
    <w:abstractNumId w:val="3"/>
  </w:num>
  <w:num w:numId="84">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61E"/>
    <w:rsid w:val="00002945"/>
    <w:rsid w:val="00003F51"/>
    <w:rsid w:val="00006FCC"/>
    <w:rsid w:val="00015770"/>
    <w:rsid w:val="000158BF"/>
    <w:rsid w:val="000158D8"/>
    <w:rsid w:val="00017D19"/>
    <w:rsid w:val="0002285E"/>
    <w:rsid w:val="00023FBB"/>
    <w:rsid w:val="00027D90"/>
    <w:rsid w:val="00034DFB"/>
    <w:rsid w:val="00036BF9"/>
    <w:rsid w:val="00040965"/>
    <w:rsid w:val="00041035"/>
    <w:rsid w:val="00052483"/>
    <w:rsid w:val="000547A1"/>
    <w:rsid w:val="000555E7"/>
    <w:rsid w:val="0005664B"/>
    <w:rsid w:val="00057A97"/>
    <w:rsid w:val="00057B9A"/>
    <w:rsid w:val="000607A6"/>
    <w:rsid w:val="000647CA"/>
    <w:rsid w:val="0006662E"/>
    <w:rsid w:val="00067925"/>
    <w:rsid w:val="000726A0"/>
    <w:rsid w:val="000732B0"/>
    <w:rsid w:val="00074913"/>
    <w:rsid w:val="0007591A"/>
    <w:rsid w:val="00075B54"/>
    <w:rsid w:val="00075F37"/>
    <w:rsid w:val="00076DFB"/>
    <w:rsid w:val="0008012D"/>
    <w:rsid w:val="0008071C"/>
    <w:rsid w:val="00080B23"/>
    <w:rsid w:val="00082CA8"/>
    <w:rsid w:val="00082E8B"/>
    <w:rsid w:val="00083947"/>
    <w:rsid w:val="0008528B"/>
    <w:rsid w:val="00085FB9"/>
    <w:rsid w:val="00086AD7"/>
    <w:rsid w:val="00090C64"/>
    <w:rsid w:val="00093844"/>
    <w:rsid w:val="00094BCD"/>
    <w:rsid w:val="00094FAB"/>
    <w:rsid w:val="0009568F"/>
    <w:rsid w:val="000956CA"/>
    <w:rsid w:val="000A0355"/>
    <w:rsid w:val="000A2384"/>
    <w:rsid w:val="000A29EC"/>
    <w:rsid w:val="000A516E"/>
    <w:rsid w:val="000B1100"/>
    <w:rsid w:val="000B4FC1"/>
    <w:rsid w:val="000B674A"/>
    <w:rsid w:val="000C13AC"/>
    <w:rsid w:val="000C1C12"/>
    <w:rsid w:val="000C25A4"/>
    <w:rsid w:val="000C3495"/>
    <w:rsid w:val="000C4188"/>
    <w:rsid w:val="000C43D3"/>
    <w:rsid w:val="000D2E5C"/>
    <w:rsid w:val="000D387B"/>
    <w:rsid w:val="000D59F3"/>
    <w:rsid w:val="000D7A9C"/>
    <w:rsid w:val="000E0D7D"/>
    <w:rsid w:val="000E2A49"/>
    <w:rsid w:val="000E6DDC"/>
    <w:rsid w:val="000E73BC"/>
    <w:rsid w:val="000E7594"/>
    <w:rsid w:val="000F189D"/>
    <w:rsid w:val="000F1D66"/>
    <w:rsid w:val="000F4C84"/>
    <w:rsid w:val="0010274B"/>
    <w:rsid w:val="00103C6F"/>
    <w:rsid w:val="00105A0C"/>
    <w:rsid w:val="0010779F"/>
    <w:rsid w:val="00107D2F"/>
    <w:rsid w:val="00115D9A"/>
    <w:rsid w:val="00122E2D"/>
    <w:rsid w:val="00124218"/>
    <w:rsid w:val="00124DF2"/>
    <w:rsid w:val="00131BC2"/>
    <w:rsid w:val="0013290A"/>
    <w:rsid w:val="00132DB9"/>
    <w:rsid w:val="001340BB"/>
    <w:rsid w:val="001344C3"/>
    <w:rsid w:val="00135EBB"/>
    <w:rsid w:val="00136943"/>
    <w:rsid w:val="00136BC1"/>
    <w:rsid w:val="00137369"/>
    <w:rsid w:val="00142101"/>
    <w:rsid w:val="00142471"/>
    <w:rsid w:val="00142ADE"/>
    <w:rsid w:val="0014317A"/>
    <w:rsid w:val="00144448"/>
    <w:rsid w:val="001446B2"/>
    <w:rsid w:val="00145691"/>
    <w:rsid w:val="001477FB"/>
    <w:rsid w:val="001546E7"/>
    <w:rsid w:val="00155A37"/>
    <w:rsid w:val="00161965"/>
    <w:rsid w:val="00161C9A"/>
    <w:rsid w:val="001647BE"/>
    <w:rsid w:val="001659CD"/>
    <w:rsid w:val="00167893"/>
    <w:rsid w:val="001724EF"/>
    <w:rsid w:val="001740E2"/>
    <w:rsid w:val="00175095"/>
    <w:rsid w:val="00175578"/>
    <w:rsid w:val="0018070E"/>
    <w:rsid w:val="00181BC4"/>
    <w:rsid w:val="00190DC1"/>
    <w:rsid w:val="001913AD"/>
    <w:rsid w:val="00192930"/>
    <w:rsid w:val="001938D5"/>
    <w:rsid w:val="001942BE"/>
    <w:rsid w:val="00196747"/>
    <w:rsid w:val="0019683A"/>
    <w:rsid w:val="001A0484"/>
    <w:rsid w:val="001A2D5D"/>
    <w:rsid w:val="001A363F"/>
    <w:rsid w:val="001A51F9"/>
    <w:rsid w:val="001A56E4"/>
    <w:rsid w:val="001A5E6F"/>
    <w:rsid w:val="001A7BA0"/>
    <w:rsid w:val="001B08A9"/>
    <w:rsid w:val="001B5FC3"/>
    <w:rsid w:val="001B607A"/>
    <w:rsid w:val="001C12AA"/>
    <w:rsid w:val="001C21E7"/>
    <w:rsid w:val="001C38C1"/>
    <w:rsid w:val="001C4CF3"/>
    <w:rsid w:val="001C5ADF"/>
    <w:rsid w:val="001C79C8"/>
    <w:rsid w:val="001D4B23"/>
    <w:rsid w:val="001D5F89"/>
    <w:rsid w:val="001E1731"/>
    <w:rsid w:val="001E65C6"/>
    <w:rsid w:val="001E67CA"/>
    <w:rsid w:val="001E729B"/>
    <w:rsid w:val="001E7323"/>
    <w:rsid w:val="001F14EF"/>
    <w:rsid w:val="001F3144"/>
    <w:rsid w:val="001F48F2"/>
    <w:rsid w:val="001F5C26"/>
    <w:rsid w:val="001F76E0"/>
    <w:rsid w:val="0020076A"/>
    <w:rsid w:val="002014F9"/>
    <w:rsid w:val="00202A69"/>
    <w:rsid w:val="00202CBC"/>
    <w:rsid w:val="002035CD"/>
    <w:rsid w:val="0020551B"/>
    <w:rsid w:val="00205C82"/>
    <w:rsid w:val="00205E90"/>
    <w:rsid w:val="00212C72"/>
    <w:rsid w:val="0021613E"/>
    <w:rsid w:val="002243ED"/>
    <w:rsid w:val="0022501A"/>
    <w:rsid w:val="00225C37"/>
    <w:rsid w:val="002268CD"/>
    <w:rsid w:val="00227B2D"/>
    <w:rsid w:val="00234611"/>
    <w:rsid w:val="00240A8A"/>
    <w:rsid w:val="00241A67"/>
    <w:rsid w:val="00242BEB"/>
    <w:rsid w:val="002439F5"/>
    <w:rsid w:val="00245C89"/>
    <w:rsid w:val="00251309"/>
    <w:rsid w:val="002538FA"/>
    <w:rsid w:val="00255140"/>
    <w:rsid w:val="00257B80"/>
    <w:rsid w:val="00261996"/>
    <w:rsid w:val="002622D9"/>
    <w:rsid w:val="00266200"/>
    <w:rsid w:val="00267C9C"/>
    <w:rsid w:val="0027115E"/>
    <w:rsid w:val="00272ADB"/>
    <w:rsid w:val="002734FB"/>
    <w:rsid w:val="00273827"/>
    <w:rsid w:val="00273EFD"/>
    <w:rsid w:val="0027514B"/>
    <w:rsid w:val="00275553"/>
    <w:rsid w:val="00275869"/>
    <w:rsid w:val="0027618E"/>
    <w:rsid w:val="00276389"/>
    <w:rsid w:val="00280E1C"/>
    <w:rsid w:val="002832C0"/>
    <w:rsid w:val="00283A71"/>
    <w:rsid w:val="00291323"/>
    <w:rsid w:val="0029571A"/>
    <w:rsid w:val="00297364"/>
    <w:rsid w:val="00297BB6"/>
    <w:rsid w:val="002A1F04"/>
    <w:rsid w:val="002A4293"/>
    <w:rsid w:val="002A43D2"/>
    <w:rsid w:val="002A62E4"/>
    <w:rsid w:val="002A68B3"/>
    <w:rsid w:val="002A76BA"/>
    <w:rsid w:val="002B0B5A"/>
    <w:rsid w:val="002B1E99"/>
    <w:rsid w:val="002B3583"/>
    <w:rsid w:val="002B57AC"/>
    <w:rsid w:val="002B65F1"/>
    <w:rsid w:val="002B6755"/>
    <w:rsid w:val="002B6DF8"/>
    <w:rsid w:val="002B794A"/>
    <w:rsid w:val="002C0D5B"/>
    <w:rsid w:val="002D1A5D"/>
    <w:rsid w:val="002D5A6C"/>
    <w:rsid w:val="00301442"/>
    <w:rsid w:val="003063B0"/>
    <w:rsid w:val="00314010"/>
    <w:rsid w:val="0031574A"/>
    <w:rsid w:val="00316B52"/>
    <w:rsid w:val="00322053"/>
    <w:rsid w:val="0032230F"/>
    <w:rsid w:val="00326E3E"/>
    <w:rsid w:val="0032785C"/>
    <w:rsid w:val="0033155A"/>
    <w:rsid w:val="00331A1C"/>
    <w:rsid w:val="00332B2C"/>
    <w:rsid w:val="00334494"/>
    <w:rsid w:val="00335181"/>
    <w:rsid w:val="00341993"/>
    <w:rsid w:val="00343765"/>
    <w:rsid w:val="00350A13"/>
    <w:rsid w:val="0035170C"/>
    <w:rsid w:val="00351CF7"/>
    <w:rsid w:val="00352BCC"/>
    <w:rsid w:val="0035441A"/>
    <w:rsid w:val="00354532"/>
    <w:rsid w:val="003568C7"/>
    <w:rsid w:val="003579FC"/>
    <w:rsid w:val="00361755"/>
    <w:rsid w:val="003624C0"/>
    <w:rsid w:val="00363F61"/>
    <w:rsid w:val="003642E1"/>
    <w:rsid w:val="00367BC3"/>
    <w:rsid w:val="00371D1D"/>
    <w:rsid w:val="003724C1"/>
    <w:rsid w:val="003756B7"/>
    <w:rsid w:val="00376E67"/>
    <w:rsid w:val="00377462"/>
    <w:rsid w:val="00383452"/>
    <w:rsid w:val="0038744C"/>
    <w:rsid w:val="00390280"/>
    <w:rsid w:val="00391F0C"/>
    <w:rsid w:val="00394B8C"/>
    <w:rsid w:val="00395B8C"/>
    <w:rsid w:val="0039713D"/>
    <w:rsid w:val="003A2D3D"/>
    <w:rsid w:val="003B00A5"/>
    <w:rsid w:val="003B6CC9"/>
    <w:rsid w:val="003C3077"/>
    <w:rsid w:val="003C394D"/>
    <w:rsid w:val="003C4E2D"/>
    <w:rsid w:val="003C7C65"/>
    <w:rsid w:val="003D1070"/>
    <w:rsid w:val="003E009F"/>
    <w:rsid w:val="003E0116"/>
    <w:rsid w:val="003E237C"/>
    <w:rsid w:val="003E6E56"/>
    <w:rsid w:val="003E7BAA"/>
    <w:rsid w:val="003F6980"/>
    <w:rsid w:val="00400FFA"/>
    <w:rsid w:val="004046C9"/>
    <w:rsid w:val="004055C3"/>
    <w:rsid w:val="004058DC"/>
    <w:rsid w:val="004071AF"/>
    <w:rsid w:val="00410876"/>
    <w:rsid w:val="00412479"/>
    <w:rsid w:val="004150BB"/>
    <w:rsid w:val="004150BD"/>
    <w:rsid w:val="00415C65"/>
    <w:rsid w:val="00415E45"/>
    <w:rsid w:val="0041627C"/>
    <w:rsid w:val="004163DB"/>
    <w:rsid w:val="0041644A"/>
    <w:rsid w:val="004212B0"/>
    <w:rsid w:val="00423153"/>
    <w:rsid w:val="00423371"/>
    <w:rsid w:val="004277E5"/>
    <w:rsid w:val="0044199D"/>
    <w:rsid w:val="00444FC0"/>
    <w:rsid w:val="004459C1"/>
    <w:rsid w:val="0044633A"/>
    <w:rsid w:val="00451BF9"/>
    <w:rsid w:val="004551BA"/>
    <w:rsid w:val="00455518"/>
    <w:rsid w:val="00456193"/>
    <w:rsid w:val="0046025F"/>
    <w:rsid w:val="004616A2"/>
    <w:rsid w:val="00461D97"/>
    <w:rsid w:val="004651DD"/>
    <w:rsid w:val="00466898"/>
    <w:rsid w:val="00467894"/>
    <w:rsid w:val="00470911"/>
    <w:rsid w:val="0047717A"/>
    <w:rsid w:val="00481A08"/>
    <w:rsid w:val="00482F70"/>
    <w:rsid w:val="00485EC8"/>
    <w:rsid w:val="00494115"/>
    <w:rsid w:val="00494ED1"/>
    <w:rsid w:val="00497CD7"/>
    <w:rsid w:val="004A057E"/>
    <w:rsid w:val="004A2ED2"/>
    <w:rsid w:val="004A37F8"/>
    <w:rsid w:val="004B6B35"/>
    <w:rsid w:val="004B6F1E"/>
    <w:rsid w:val="004B7941"/>
    <w:rsid w:val="004C0215"/>
    <w:rsid w:val="004C047A"/>
    <w:rsid w:val="004C15F7"/>
    <w:rsid w:val="004C2591"/>
    <w:rsid w:val="004C6825"/>
    <w:rsid w:val="004D1491"/>
    <w:rsid w:val="004D63F4"/>
    <w:rsid w:val="004D6B9D"/>
    <w:rsid w:val="004E4B49"/>
    <w:rsid w:val="004E5805"/>
    <w:rsid w:val="004E6447"/>
    <w:rsid w:val="004E6AD2"/>
    <w:rsid w:val="004F278A"/>
    <w:rsid w:val="004F4557"/>
    <w:rsid w:val="004F758D"/>
    <w:rsid w:val="00500F8B"/>
    <w:rsid w:val="0050127E"/>
    <w:rsid w:val="00504396"/>
    <w:rsid w:val="005068FE"/>
    <w:rsid w:val="00510282"/>
    <w:rsid w:val="005102DA"/>
    <w:rsid w:val="00512B97"/>
    <w:rsid w:val="00513719"/>
    <w:rsid w:val="00514D42"/>
    <w:rsid w:val="005165CD"/>
    <w:rsid w:val="0051676C"/>
    <w:rsid w:val="00517108"/>
    <w:rsid w:val="00517149"/>
    <w:rsid w:val="00520162"/>
    <w:rsid w:val="00520B5A"/>
    <w:rsid w:val="00520BB1"/>
    <w:rsid w:val="00526BEF"/>
    <w:rsid w:val="005273B4"/>
    <w:rsid w:val="005378BB"/>
    <w:rsid w:val="005525CB"/>
    <w:rsid w:val="00555708"/>
    <w:rsid w:val="005577AA"/>
    <w:rsid w:val="0056038D"/>
    <w:rsid w:val="005636B7"/>
    <w:rsid w:val="0056768D"/>
    <w:rsid w:val="0057003F"/>
    <w:rsid w:val="00572CF9"/>
    <w:rsid w:val="005815AA"/>
    <w:rsid w:val="005831E9"/>
    <w:rsid w:val="00584DDE"/>
    <w:rsid w:val="00587339"/>
    <w:rsid w:val="00590F27"/>
    <w:rsid w:val="00591C7D"/>
    <w:rsid w:val="00591F4E"/>
    <w:rsid w:val="00592F1B"/>
    <w:rsid w:val="00593143"/>
    <w:rsid w:val="00594704"/>
    <w:rsid w:val="005968D1"/>
    <w:rsid w:val="00597EE2"/>
    <w:rsid w:val="005A13EA"/>
    <w:rsid w:val="005A1791"/>
    <w:rsid w:val="005A4010"/>
    <w:rsid w:val="005A4738"/>
    <w:rsid w:val="005A49D4"/>
    <w:rsid w:val="005A6E72"/>
    <w:rsid w:val="005B1251"/>
    <w:rsid w:val="005B3899"/>
    <w:rsid w:val="005B4BEE"/>
    <w:rsid w:val="005B7299"/>
    <w:rsid w:val="005C0CFD"/>
    <w:rsid w:val="005C48A4"/>
    <w:rsid w:val="005C4A34"/>
    <w:rsid w:val="005C5315"/>
    <w:rsid w:val="005C5958"/>
    <w:rsid w:val="005C5AD9"/>
    <w:rsid w:val="005C6B72"/>
    <w:rsid w:val="005C7DB5"/>
    <w:rsid w:val="005D0D88"/>
    <w:rsid w:val="005D0DC8"/>
    <w:rsid w:val="005D25FA"/>
    <w:rsid w:val="005D3EE5"/>
    <w:rsid w:val="005E2D51"/>
    <w:rsid w:val="005E3A15"/>
    <w:rsid w:val="005E4572"/>
    <w:rsid w:val="005E5FED"/>
    <w:rsid w:val="005F0777"/>
    <w:rsid w:val="005F68BC"/>
    <w:rsid w:val="005F71DC"/>
    <w:rsid w:val="006014E2"/>
    <w:rsid w:val="006026A8"/>
    <w:rsid w:val="00605A7E"/>
    <w:rsid w:val="00607801"/>
    <w:rsid w:val="00610E5D"/>
    <w:rsid w:val="006114B7"/>
    <w:rsid w:val="006120C1"/>
    <w:rsid w:val="006121A0"/>
    <w:rsid w:val="00612446"/>
    <w:rsid w:val="00613F8E"/>
    <w:rsid w:val="006142E1"/>
    <w:rsid w:val="0061633B"/>
    <w:rsid w:val="006168EA"/>
    <w:rsid w:val="00616B52"/>
    <w:rsid w:val="00617F82"/>
    <w:rsid w:val="00620820"/>
    <w:rsid w:val="0062154B"/>
    <w:rsid w:val="00623FA2"/>
    <w:rsid w:val="006263A0"/>
    <w:rsid w:val="00637CF7"/>
    <w:rsid w:val="00637E96"/>
    <w:rsid w:val="00641278"/>
    <w:rsid w:val="00641D65"/>
    <w:rsid w:val="006443E8"/>
    <w:rsid w:val="00647ED9"/>
    <w:rsid w:val="006509BA"/>
    <w:rsid w:val="00650C0B"/>
    <w:rsid w:val="00652108"/>
    <w:rsid w:val="0066171C"/>
    <w:rsid w:val="0066272E"/>
    <w:rsid w:val="006672D8"/>
    <w:rsid w:val="00667948"/>
    <w:rsid w:val="00670D3E"/>
    <w:rsid w:val="00675FF4"/>
    <w:rsid w:val="00685CE1"/>
    <w:rsid w:val="006864B5"/>
    <w:rsid w:val="00687305"/>
    <w:rsid w:val="00687A1C"/>
    <w:rsid w:val="00692A2E"/>
    <w:rsid w:val="00693179"/>
    <w:rsid w:val="006932C9"/>
    <w:rsid w:val="00693B22"/>
    <w:rsid w:val="00693C7E"/>
    <w:rsid w:val="00694580"/>
    <w:rsid w:val="006A0B95"/>
    <w:rsid w:val="006A2DC0"/>
    <w:rsid w:val="006A3390"/>
    <w:rsid w:val="006A5896"/>
    <w:rsid w:val="006B06D5"/>
    <w:rsid w:val="006B1F44"/>
    <w:rsid w:val="006B2D8B"/>
    <w:rsid w:val="006B336C"/>
    <w:rsid w:val="006B4B9F"/>
    <w:rsid w:val="006B4FB0"/>
    <w:rsid w:val="006B597C"/>
    <w:rsid w:val="006B7365"/>
    <w:rsid w:val="006C1F8B"/>
    <w:rsid w:val="006C3A3C"/>
    <w:rsid w:val="006E04AA"/>
    <w:rsid w:val="006E08E0"/>
    <w:rsid w:val="006E5711"/>
    <w:rsid w:val="006F214B"/>
    <w:rsid w:val="006F2D46"/>
    <w:rsid w:val="006F3EF9"/>
    <w:rsid w:val="006F4D0C"/>
    <w:rsid w:val="006F4DBB"/>
    <w:rsid w:val="007032D0"/>
    <w:rsid w:val="007041E8"/>
    <w:rsid w:val="007051A5"/>
    <w:rsid w:val="007067F3"/>
    <w:rsid w:val="00707024"/>
    <w:rsid w:val="0070729B"/>
    <w:rsid w:val="00707E32"/>
    <w:rsid w:val="00713A8B"/>
    <w:rsid w:val="007157CA"/>
    <w:rsid w:val="007206D9"/>
    <w:rsid w:val="00721022"/>
    <w:rsid w:val="00721F15"/>
    <w:rsid w:val="00723869"/>
    <w:rsid w:val="00726507"/>
    <w:rsid w:val="00726CD9"/>
    <w:rsid w:val="00730B72"/>
    <w:rsid w:val="007324E3"/>
    <w:rsid w:val="00732D14"/>
    <w:rsid w:val="00735BEE"/>
    <w:rsid w:val="00736EBA"/>
    <w:rsid w:val="00743AC0"/>
    <w:rsid w:val="00744854"/>
    <w:rsid w:val="00747D92"/>
    <w:rsid w:val="007530A6"/>
    <w:rsid w:val="00761210"/>
    <w:rsid w:val="00763C53"/>
    <w:rsid w:val="00763E65"/>
    <w:rsid w:val="007648E3"/>
    <w:rsid w:val="007657B8"/>
    <w:rsid w:val="007666EF"/>
    <w:rsid w:val="00766978"/>
    <w:rsid w:val="00770ACA"/>
    <w:rsid w:val="00770CBE"/>
    <w:rsid w:val="007720B1"/>
    <w:rsid w:val="00772B35"/>
    <w:rsid w:val="00775DD7"/>
    <w:rsid w:val="00781F4D"/>
    <w:rsid w:val="00781FD0"/>
    <w:rsid w:val="007854EA"/>
    <w:rsid w:val="007866D7"/>
    <w:rsid w:val="007871BC"/>
    <w:rsid w:val="00790B4A"/>
    <w:rsid w:val="0079129E"/>
    <w:rsid w:val="00792F51"/>
    <w:rsid w:val="007959CD"/>
    <w:rsid w:val="00797B2B"/>
    <w:rsid w:val="007A22DB"/>
    <w:rsid w:val="007A3047"/>
    <w:rsid w:val="007A5C86"/>
    <w:rsid w:val="007A5CCE"/>
    <w:rsid w:val="007A6AA7"/>
    <w:rsid w:val="007A6D7D"/>
    <w:rsid w:val="007B08A1"/>
    <w:rsid w:val="007B2035"/>
    <w:rsid w:val="007B2372"/>
    <w:rsid w:val="007B34FF"/>
    <w:rsid w:val="007B6900"/>
    <w:rsid w:val="007B6DE9"/>
    <w:rsid w:val="007C220F"/>
    <w:rsid w:val="007C2812"/>
    <w:rsid w:val="007C29C5"/>
    <w:rsid w:val="007C5B69"/>
    <w:rsid w:val="007D0840"/>
    <w:rsid w:val="007D0DD4"/>
    <w:rsid w:val="007D1347"/>
    <w:rsid w:val="007D19C6"/>
    <w:rsid w:val="007D44FA"/>
    <w:rsid w:val="007D45F6"/>
    <w:rsid w:val="007D4765"/>
    <w:rsid w:val="007D70CE"/>
    <w:rsid w:val="007E053B"/>
    <w:rsid w:val="007E3D6C"/>
    <w:rsid w:val="007E58C4"/>
    <w:rsid w:val="007E7025"/>
    <w:rsid w:val="007E7391"/>
    <w:rsid w:val="007E749A"/>
    <w:rsid w:val="007F26AB"/>
    <w:rsid w:val="007F3319"/>
    <w:rsid w:val="007F3DF5"/>
    <w:rsid w:val="007F5550"/>
    <w:rsid w:val="007F66BC"/>
    <w:rsid w:val="00800C9F"/>
    <w:rsid w:val="00803258"/>
    <w:rsid w:val="00806BAD"/>
    <w:rsid w:val="0080732B"/>
    <w:rsid w:val="00810E97"/>
    <w:rsid w:val="00811092"/>
    <w:rsid w:val="00822363"/>
    <w:rsid w:val="00824832"/>
    <w:rsid w:val="008258E6"/>
    <w:rsid w:val="00831092"/>
    <w:rsid w:val="008324DF"/>
    <w:rsid w:val="0083341D"/>
    <w:rsid w:val="008346EC"/>
    <w:rsid w:val="00834E03"/>
    <w:rsid w:val="00835718"/>
    <w:rsid w:val="00835ED7"/>
    <w:rsid w:val="00836EF4"/>
    <w:rsid w:val="0083711C"/>
    <w:rsid w:val="00837416"/>
    <w:rsid w:val="008377FC"/>
    <w:rsid w:val="00840075"/>
    <w:rsid w:val="008477FA"/>
    <w:rsid w:val="00847D9C"/>
    <w:rsid w:val="00851277"/>
    <w:rsid w:val="00851590"/>
    <w:rsid w:val="00853F18"/>
    <w:rsid w:val="00855AB5"/>
    <w:rsid w:val="00856A74"/>
    <w:rsid w:val="00862993"/>
    <w:rsid w:val="00870D98"/>
    <w:rsid w:val="00872A2F"/>
    <w:rsid w:val="008823B2"/>
    <w:rsid w:val="00882D8E"/>
    <w:rsid w:val="0088402C"/>
    <w:rsid w:val="008846B1"/>
    <w:rsid w:val="00884841"/>
    <w:rsid w:val="00884CEA"/>
    <w:rsid w:val="00886DC7"/>
    <w:rsid w:val="00886E7C"/>
    <w:rsid w:val="008912C5"/>
    <w:rsid w:val="008926B1"/>
    <w:rsid w:val="008961D3"/>
    <w:rsid w:val="008A0C6F"/>
    <w:rsid w:val="008A1239"/>
    <w:rsid w:val="008A199B"/>
    <w:rsid w:val="008A3125"/>
    <w:rsid w:val="008A3740"/>
    <w:rsid w:val="008B1240"/>
    <w:rsid w:val="008B201D"/>
    <w:rsid w:val="008B2109"/>
    <w:rsid w:val="008B3AD0"/>
    <w:rsid w:val="008B6FB0"/>
    <w:rsid w:val="008C2421"/>
    <w:rsid w:val="008C350A"/>
    <w:rsid w:val="008C42BA"/>
    <w:rsid w:val="008C4716"/>
    <w:rsid w:val="008C55C7"/>
    <w:rsid w:val="008C6C18"/>
    <w:rsid w:val="008C7252"/>
    <w:rsid w:val="008D18BE"/>
    <w:rsid w:val="008D1A9C"/>
    <w:rsid w:val="008D4695"/>
    <w:rsid w:val="008D5425"/>
    <w:rsid w:val="008D6D5B"/>
    <w:rsid w:val="008D6DD5"/>
    <w:rsid w:val="008E2A49"/>
    <w:rsid w:val="008E3277"/>
    <w:rsid w:val="008E6A56"/>
    <w:rsid w:val="008E6BFC"/>
    <w:rsid w:val="008F120D"/>
    <w:rsid w:val="008F4E20"/>
    <w:rsid w:val="00900826"/>
    <w:rsid w:val="009050BD"/>
    <w:rsid w:val="0090570A"/>
    <w:rsid w:val="00905835"/>
    <w:rsid w:val="009100F0"/>
    <w:rsid w:val="009118EF"/>
    <w:rsid w:val="00917430"/>
    <w:rsid w:val="009206AB"/>
    <w:rsid w:val="00923477"/>
    <w:rsid w:val="00924702"/>
    <w:rsid w:val="0092698A"/>
    <w:rsid w:val="00927F27"/>
    <w:rsid w:val="00933ECB"/>
    <w:rsid w:val="00937FFA"/>
    <w:rsid w:val="00940269"/>
    <w:rsid w:val="0094186C"/>
    <w:rsid w:val="00950BDA"/>
    <w:rsid w:val="00952A39"/>
    <w:rsid w:val="00956BEF"/>
    <w:rsid w:val="00960D1C"/>
    <w:rsid w:val="00960EE8"/>
    <w:rsid w:val="00960F8D"/>
    <w:rsid w:val="00961B34"/>
    <w:rsid w:val="00962E4F"/>
    <w:rsid w:val="00965899"/>
    <w:rsid w:val="00970253"/>
    <w:rsid w:val="00974FFD"/>
    <w:rsid w:val="00977C05"/>
    <w:rsid w:val="00980A3B"/>
    <w:rsid w:val="00982F9E"/>
    <w:rsid w:val="0098323D"/>
    <w:rsid w:val="00983AAE"/>
    <w:rsid w:val="00990226"/>
    <w:rsid w:val="0099076B"/>
    <w:rsid w:val="00992351"/>
    <w:rsid w:val="00996474"/>
    <w:rsid w:val="009A133A"/>
    <w:rsid w:val="009A38E3"/>
    <w:rsid w:val="009A649F"/>
    <w:rsid w:val="009B3796"/>
    <w:rsid w:val="009B3DE2"/>
    <w:rsid w:val="009B57BA"/>
    <w:rsid w:val="009B6571"/>
    <w:rsid w:val="009B6AA6"/>
    <w:rsid w:val="009B6B47"/>
    <w:rsid w:val="009B7A1C"/>
    <w:rsid w:val="009C1061"/>
    <w:rsid w:val="009C26FB"/>
    <w:rsid w:val="009C2783"/>
    <w:rsid w:val="009D0DD7"/>
    <w:rsid w:val="009D1785"/>
    <w:rsid w:val="009D1C1A"/>
    <w:rsid w:val="009D1D7D"/>
    <w:rsid w:val="009E13E5"/>
    <w:rsid w:val="009E2C03"/>
    <w:rsid w:val="009E3080"/>
    <w:rsid w:val="009E7734"/>
    <w:rsid w:val="009F06AA"/>
    <w:rsid w:val="009F28C3"/>
    <w:rsid w:val="009F3D10"/>
    <w:rsid w:val="009F42B6"/>
    <w:rsid w:val="009F6689"/>
    <w:rsid w:val="009F6C6E"/>
    <w:rsid w:val="00A013B5"/>
    <w:rsid w:val="00A01730"/>
    <w:rsid w:val="00A0212E"/>
    <w:rsid w:val="00A04B3F"/>
    <w:rsid w:val="00A067D7"/>
    <w:rsid w:val="00A070E5"/>
    <w:rsid w:val="00A12A8E"/>
    <w:rsid w:val="00A1358C"/>
    <w:rsid w:val="00A1785A"/>
    <w:rsid w:val="00A17CDF"/>
    <w:rsid w:val="00A20C76"/>
    <w:rsid w:val="00A21AF0"/>
    <w:rsid w:val="00A30219"/>
    <w:rsid w:val="00A30553"/>
    <w:rsid w:val="00A409A3"/>
    <w:rsid w:val="00A41231"/>
    <w:rsid w:val="00A4293B"/>
    <w:rsid w:val="00A450B2"/>
    <w:rsid w:val="00A4584E"/>
    <w:rsid w:val="00A51A42"/>
    <w:rsid w:val="00A51BB0"/>
    <w:rsid w:val="00A53BA9"/>
    <w:rsid w:val="00A54B10"/>
    <w:rsid w:val="00A57F9A"/>
    <w:rsid w:val="00A60F8D"/>
    <w:rsid w:val="00A62BBA"/>
    <w:rsid w:val="00A6400F"/>
    <w:rsid w:val="00A64672"/>
    <w:rsid w:val="00A64F6C"/>
    <w:rsid w:val="00A64F6F"/>
    <w:rsid w:val="00A65D84"/>
    <w:rsid w:val="00A66B99"/>
    <w:rsid w:val="00A671E6"/>
    <w:rsid w:val="00A70B7B"/>
    <w:rsid w:val="00A73B6C"/>
    <w:rsid w:val="00A77157"/>
    <w:rsid w:val="00A8034A"/>
    <w:rsid w:val="00A82000"/>
    <w:rsid w:val="00A8217A"/>
    <w:rsid w:val="00A837AD"/>
    <w:rsid w:val="00A84FC8"/>
    <w:rsid w:val="00A85D9F"/>
    <w:rsid w:val="00A865E8"/>
    <w:rsid w:val="00A87138"/>
    <w:rsid w:val="00A87420"/>
    <w:rsid w:val="00A9149D"/>
    <w:rsid w:val="00AA0325"/>
    <w:rsid w:val="00AA0D7D"/>
    <w:rsid w:val="00AA37EF"/>
    <w:rsid w:val="00AA415B"/>
    <w:rsid w:val="00AA4D66"/>
    <w:rsid w:val="00AA7635"/>
    <w:rsid w:val="00AB1538"/>
    <w:rsid w:val="00AB66F5"/>
    <w:rsid w:val="00AB75AF"/>
    <w:rsid w:val="00AC1A9B"/>
    <w:rsid w:val="00AC3FDD"/>
    <w:rsid w:val="00AC43A6"/>
    <w:rsid w:val="00AC4BC0"/>
    <w:rsid w:val="00AC66DE"/>
    <w:rsid w:val="00AC6CCF"/>
    <w:rsid w:val="00AD0540"/>
    <w:rsid w:val="00AD195C"/>
    <w:rsid w:val="00AD3F8A"/>
    <w:rsid w:val="00AD4E35"/>
    <w:rsid w:val="00AD5B47"/>
    <w:rsid w:val="00AD7D4D"/>
    <w:rsid w:val="00AE3324"/>
    <w:rsid w:val="00AE47A7"/>
    <w:rsid w:val="00AE7619"/>
    <w:rsid w:val="00AF1451"/>
    <w:rsid w:val="00AF1AFF"/>
    <w:rsid w:val="00AF2EA1"/>
    <w:rsid w:val="00AF461E"/>
    <w:rsid w:val="00AF63DF"/>
    <w:rsid w:val="00B060CD"/>
    <w:rsid w:val="00B067D6"/>
    <w:rsid w:val="00B11C8B"/>
    <w:rsid w:val="00B14149"/>
    <w:rsid w:val="00B17691"/>
    <w:rsid w:val="00B17EDA"/>
    <w:rsid w:val="00B21F41"/>
    <w:rsid w:val="00B227F3"/>
    <w:rsid w:val="00B2463B"/>
    <w:rsid w:val="00B24A10"/>
    <w:rsid w:val="00B253CF"/>
    <w:rsid w:val="00B25822"/>
    <w:rsid w:val="00B27597"/>
    <w:rsid w:val="00B32461"/>
    <w:rsid w:val="00B37AB7"/>
    <w:rsid w:val="00B37CCB"/>
    <w:rsid w:val="00B420B5"/>
    <w:rsid w:val="00B44D4F"/>
    <w:rsid w:val="00B4511B"/>
    <w:rsid w:val="00B4665D"/>
    <w:rsid w:val="00B508C5"/>
    <w:rsid w:val="00B53299"/>
    <w:rsid w:val="00B55732"/>
    <w:rsid w:val="00B560C3"/>
    <w:rsid w:val="00B57B01"/>
    <w:rsid w:val="00B60DBC"/>
    <w:rsid w:val="00B61D25"/>
    <w:rsid w:val="00B66980"/>
    <w:rsid w:val="00B718F3"/>
    <w:rsid w:val="00B725DA"/>
    <w:rsid w:val="00B7261C"/>
    <w:rsid w:val="00B758FF"/>
    <w:rsid w:val="00B76814"/>
    <w:rsid w:val="00B768DD"/>
    <w:rsid w:val="00B76BDE"/>
    <w:rsid w:val="00B776B8"/>
    <w:rsid w:val="00B77DD1"/>
    <w:rsid w:val="00B816B4"/>
    <w:rsid w:val="00B82DCC"/>
    <w:rsid w:val="00B84AE7"/>
    <w:rsid w:val="00B90A86"/>
    <w:rsid w:val="00B90A91"/>
    <w:rsid w:val="00B90BAF"/>
    <w:rsid w:val="00B935CF"/>
    <w:rsid w:val="00B969FB"/>
    <w:rsid w:val="00B96E05"/>
    <w:rsid w:val="00B97210"/>
    <w:rsid w:val="00BA0800"/>
    <w:rsid w:val="00BA21DC"/>
    <w:rsid w:val="00BA6568"/>
    <w:rsid w:val="00BB623B"/>
    <w:rsid w:val="00BC0020"/>
    <w:rsid w:val="00BC10C5"/>
    <w:rsid w:val="00BC17DD"/>
    <w:rsid w:val="00BC1CFD"/>
    <w:rsid w:val="00BC1F45"/>
    <w:rsid w:val="00BC3FD3"/>
    <w:rsid w:val="00BC55D7"/>
    <w:rsid w:val="00BC65FA"/>
    <w:rsid w:val="00BD502E"/>
    <w:rsid w:val="00BD55D3"/>
    <w:rsid w:val="00BE1821"/>
    <w:rsid w:val="00BE2E39"/>
    <w:rsid w:val="00BE3971"/>
    <w:rsid w:val="00BE3B5C"/>
    <w:rsid w:val="00BF082B"/>
    <w:rsid w:val="00BF31FD"/>
    <w:rsid w:val="00BF4A98"/>
    <w:rsid w:val="00BF6762"/>
    <w:rsid w:val="00BF6A75"/>
    <w:rsid w:val="00BF740E"/>
    <w:rsid w:val="00BF74BC"/>
    <w:rsid w:val="00BF7B08"/>
    <w:rsid w:val="00C01C44"/>
    <w:rsid w:val="00C024B9"/>
    <w:rsid w:val="00C06326"/>
    <w:rsid w:val="00C137BF"/>
    <w:rsid w:val="00C138D8"/>
    <w:rsid w:val="00C14212"/>
    <w:rsid w:val="00C1574B"/>
    <w:rsid w:val="00C24C40"/>
    <w:rsid w:val="00C25AC6"/>
    <w:rsid w:val="00C26758"/>
    <w:rsid w:val="00C26D0E"/>
    <w:rsid w:val="00C277C8"/>
    <w:rsid w:val="00C30B3E"/>
    <w:rsid w:val="00C316BB"/>
    <w:rsid w:val="00C320B6"/>
    <w:rsid w:val="00C43170"/>
    <w:rsid w:val="00C44AD3"/>
    <w:rsid w:val="00C44AD8"/>
    <w:rsid w:val="00C46AD9"/>
    <w:rsid w:val="00C51D66"/>
    <w:rsid w:val="00C52B8D"/>
    <w:rsid w:val="00C53A43"/>
    <w:rsid w:val="00C5526A"/>
    <w:rsid w:val="00C56F81"/>
    <w:rsid w:val="00C57C3F"/>
    <w:rsid w:val="00C60FA0"/>
    <w:rsid w:val="00C63424"/>
    <w:rsid w:val="00C70678"/>
    <w:rsid w:val="00C73A31"/>
    <w:rsid w:val="00C73D7C"/>
    <w:rsid w:val="00C74863"/>
    <w:rsid w:val="00C75CAD"/>
    <w:rsid w:val="00C764A8"/>
    <w:rsid w:val="00C7742E"/>
    <w:rsid w:val="00C808A2"/>
    <w:rsid w:val="00C84C6E"/>
    <w:rsid w:val="00C85301"/>
    <w:rsid w:val="00C901B2"/>
    <w:rsid w:val="00C90467"/>
    <w:rsid w:val="00C907F5"/>
    <w:rsid w:val="00C9202F"/>
    <w:rsid w:val="00C9219E"/>
    <w:rsid w:val="00C922EC"/>
    <w:rsid w:val="00C975B2"/>
    <w:rsid w:val="00CA3E73"/>
    <w:rsid w:val="00CA613F"/>
    <w:rsid w:val="00CA6645"/>
    <w:rsid w:val="00CB12D1"/>
    <w:rsid w:val="00CB16FA"/>
    <w:rsid w:val="00CB1CEA"/>
    <w:rsid w:val="00CB291C"/>
    <w:rsid w:val="00CB2BB1"/>
    <w:rsid w:val="00CB4BBE"/>
    <w:rsid w:val="00CB603C"/>
    <w:rsid w:val="00CB7367"/>
    <w:rsid w:val="00CB75CE"/>
    <w:rsid w:val="00CC04FC"/>
    <w:rsid w:val="00CC2568"/>
    <w:rsid w:val="00CC4D24"/>
    <w:rsid w:val="00CC4FD2"/>
    <w:rsid w:val="00CC66B2"/>
    <w:rsid w:val="00CC6D8B"/>
    <w:rsid w:val="00CC75CD"/>
    <w:rsid w:val="00CD113A"/>
    <w:rsid w:val="00CD231F"/>
    <w:rsid w:val="00CD2B15"/>
    <w:rsid w:val="00CD2F5B"/>
    <w:rsid w:val="00CD437A"/>
    <w:rsid w:val="00CD4B5A"/>
    <w:rsid w:val="00CE2CCE"/>
    <w:rsid w:val="00CE6D3A"/>
    <w:rsid w:val="00CE7A5A"/>
    <w:rsid w:val="00CF004B"/>
    <w:rsid w:val="00CF1224"/>
    <w:rsid w:val="00CF1D3A"/>
    <w:rsid w:val="00CF3569"/>
    <w:rsid w:val="00CF529D"/>
    <w:rsid w:val="00CF5D57"/>
    <w:rsid w:val="00CF68C2"/>
    <w:rsid w:val="00CF7F49"/>
    <w:rsid w:val="00D00959"/>
    <w:rsid w:val="00D01AB7"/>
    <w:rsid w:val="00D03529"/>
    <w:rsid w:val="00D03C6A"/>
    <w:rsid w:val="00D07E2A"/>
    <w:rsid w:val="00D10701"/>
    <w:rsid w:val="00D11010"/>
    <w:rsid w:val="00D12599"/>
    <w:rsid w:val="00D16C63"/>
    <w:rsid w:val="00D1787B"/>
    <w:rsid w:val="00D17A65"/>
    <w:rsid w:val="00D21959"/>
    <w:rsid w:val="00D22BFC"/>
    <w:rsid w:val="00D25940"/>
    <w:rsid w:val="00D26D2C"/>
    <w:rsid w:val="00D32943"/>
    <w:rsid w:val="00D3622F"/>
    <w:rsid w:val="00D363E4"/>
    <w:rsid w:val="00D42D0C"/>
    <w:rsid w:val="00D433AC"/>
    <w:rsid w:val="00D43809"/>
    <w:rsid w:val="00D45B9A"/>
    <w:rsid w:val="00D45BA1"/>
    <w:rsid w:val="00D46D41"/>
    <w:rsid w:val="00D529B4"/>
    <w:rsid w:val="00D57585"/>
    <w:rsid w:val="00D57AD9"/>
    <w:rsid w:val="00D6228C"/>
    <w:rsid w:val="00D63B8F"/>
    <w:rsid w:val="00D659AD"/>
    <w:rsid w:val="00D67269"/>
    <w:rsid w:val="00D71074"/>
    <w:rsid w:val="00D716FB"/>
    <w:rsid w:val="00D7362D"/>
    <w:rsid w:val="00D73EE6"/>
    <w:rsid w:val="00D740E9"/>
    <w:rsid w:val="00D746E0"/>
    <w:rsid w:val="00D74D22"/>
    <w:rsid w:val="00D83AA1"/>
    <w:rsid w:val="00D84D5B"/>
    <w:rsid w:val="00D85D67"/>
    <w:rsid w:val="00D86996"/>
    <w:rsid w:val="00D87E8D"/>
    <w:rsid w:val="00D9010F"/>
    <w:rsid w:val="00D9046C"/>
    <w:rsid w:val="00D91121"/>
    <w:rsid w:val="00D9141C"/>
    <w:rsid w:val="00DA6C4A"/>
    <w:rsid w:val="00DA774D"/>
    <w:rsid w:val="00DB5E53"/>
    <w:rsid w:val="00DB74BA"/>
    <w:rsid w:val="00DB7C0F"/>
    <w:rsid w:val="00DC3C92"/>
    <w:rsid w:val="00DC4F18"/>
    <w:rsid w:val="00DC5A2E"/>
    <w:rsid w:val="00DD1CED"/>
    <w:rsid w:val="00DD5113"/>
    <w:rsid w:val="00DD5E6B"/>
    <w:rsid w:val="00DE0458"/>
    <w:rsid w:val="00DE0738"/>
    <w:rsid w:val="00DE281B"/>
    <w:rsid w:val="00DE773D"/>
    <w:rsid w:val="00DF15C4"/>
    <w:rsid w:val="00DF1B67"/>
    <w:rsid w:val="00DF1BDC"/>
    <w:rsid w:val="00DF2C5B"/>
    <w:rsid w:val="00DF33B8"/>
    <w:rsid w:val="00DF4EC2"/>
    <w:rsid w:val="00E00853"/>
    <w:rsid w:val="00E02362"/>
    <w:rsid w:val="00E02D8B"/>
    <w:rsid w:val="00E10A2A"/>
    <w:rsid w:val="00E11B93"/>
    <w:rsid w:val="00E1205F"/>
    <w:rsid w:val="00E1500C"/>
    <w:rsid w:val="00E16AFE"/>
    <w:rsid w:val="00E22C15"/>
    <w:rsid w:val="00E22DF9"/>
    <w:rsid w:val="00E22ED8"/>
    <w:rsid w:val="00E31F5C"/>
    <w:rsid w:val="00E3775E"/>
    <w:rsid w:val="00E37E84"/>
    <w:rsid w:val="00E41A9C"/>
    <w:rsid w:val="00E420CA"/>
    <w:rsid w:val="00E421B1"/>
    <w:rsid w:val="00E42457"/>
    <w:rsid w:val="00E5227C"/>
    <w:rsid w:val="00E53313"/>
    <w:rsid w:val="00E54372"/>
    <w:rsid w:val="00E55CF8"/>
    <w:rsid w:val="00E56771"/>
    <w:rsid w:val="00E630F1"/>
    <w:rsid w:val="00E66B2B"/>
    <w:rsid w:val="00E6764B"/>
    <w:rsid w:val="00E67B04"/>
    <w:rsid w:val="00E80EB0"/>
    <w:rsid w:val="00E845BC"/>
    <w:rsid w:val="00E86B95"/>
    <w:rsid w:val="00E9088B"/>
    <w:rsid w:val="00E914BD"/>
    <w:rsid w:val="00E91BC5"/>
    <w:rsid w:val="00E94D56"/>
    <w:rsid w:val="00EA14B2"/>
    <w:rsid w:val="00EA7C5F"/>
    <w:rsid w:val="00EA7C7F"/>
    <w:rsid w:val="00EB1E1E"/>
    <w:rsid w:val="00EB2CFE"/>
    <w:rsid w:val="00EB3554"/>
    <w:rsid w:val="00EB4C3E"/>
    <w:rsid w:val="00EC18FD"/>
    <w:rsid w:val="00EC658B"/>
    <w:rsid w:val="00ED074B"/>
    <w:rsid w:val="00ED2679"/>
    <w:rsid w:val="00ED58EC"/>
    <w:rsid w:val="00ED5F84"/>
    <w:rsid w:val="00ED6877"/>
    <w:rsid w:val="00ED6994"/>
    <w:rsid w:val="00ED6D6B"/>
    <w:rsid w:val="00EE023A"/>
    <w:rsid w:val="00EE279F"/>
    <w:rsid w:val="00EE27D6"/>
    <w:rsid w:val="00EE3872"/>
    <w:rsid w:val="00EE4464"/>
    <w:rsid w:val="00EE6DF5"/>
    <w:rsid w:val="00EF0769"/>
    <w:rsid w:val="00EF07C3"/>
    <w:rsid w:val="00EF1702"/>
    <w:rsid w:val="00EF4F31"/>
    <w:rsid w:val="00EF5444"/>
    <w:rsid w:val="00F107B5"/>
    <w:rsid w:val="00F10AD7"/>
    <w:rsid w:val="00F11FF6"/>
    <w:rsid w:val="00F14262"/>
    <w:rsid w:val="00F15CBD"/>
    <w:rsid w:val="00F200EA"/>
    <w:rsid w:val="00F20412"/>
    <w:rsid w:val="00F209A2"/>
    <w:rsid w:val="00F21287"/>
    <w:rsid w:val="00F219D6"/>
    <w:rsid w:val="00F236D4"/>
    <w:rsid w:val="00F26C60"/>
    <w:rsid w:val="00F27B8F"/>
    <w:rsid w:val="00F3044B"/>
    <w:rsid w:val="00F30ABB"/>
    <w:rsid w:val="00F340F1"/>
    <w:rsid w:val="00F365D1"/>
    <w:rsid w:val="00F36B11"/>
    <w:rsid w:val="00F40A3D"/>
    <w:rsid w:val="00F40F62"/>
    <w:rsid w:val="00F413A5"/>
    <w:rsid w:val="00F41672"/>
    <w:rsid w:val="00F41A8D"/>
    <w:rsid w:val="00F44912"/>
    <w:rsid w:val="00F44F69"/>
    <w:rsid w:val="00F46E4F"/>
    <w:rsid w:val="00F5291D"/>
    <w:rsid w:val="00F530F3"/>
    <w:rsid w:val="00F53107"/>
    <w:rsid w:val="00F66072"/>
    <w:rsid w:val="00F67656"/>
    <w:rsid w:val="00F67B43"/>
    <w:rsid w:val="00F67EF7"/>
    <w:rsid w:val="00F71DC8"/>
    <w:rsid w:val="00F72EF8"/>
    <w:rsid w:val="00F77C3A"/>
    <w:rsid w:val="00F80B24"/>
    <w:rsid w:val="00F90469"/>
    <w:rsid w:val="00F93D39"/>
    <w:rsid w:val="00F9466B"/>
    <w:rsid w:val="00F94DE5"/>
    <w:rsid w:val="00F95995"/>
    <w:rsid w:val="00FA0708"/>
    <w:rsid w:val="00FA28B0"/>
    <w:rsid w:val="00FA2C4B"/>
    <w:rsid w:val="00FA43F1"/>
    <w:rsid w:val="00FA45BD"/>
    <w:rsid w:val="00FA4846"/>
    <w:rsid w:val="00FA7DDF"/>
    <w:rsid w:val="00FB024A"/>
    <w:rsid w:val="00FB23E9"/>
    <w:rsid w:val="00FB3A10"/>
    <w:rsid w:val="00FB441B"/>
    <w:rsid w:val="00FC072E"/>
    <w:rsid w:val="00FC0F60"/>
    <w:rsid w:val="00FC3084"/>
    <w:rsid w:val="00FC3228"/>
    <w:rsid w:val="00FC3FF7"/>
    <w:rsid w:val="00FC4359"/>
    <w:rsid w:val="00FC74FE"/>
    <w:rsid w:val="00FD025B"/>
    <w:rsid w:val="00FD2387"/>
    <w:rsid w:val="00FD33EC"/>
    <w:rsid w:val="00FD3E6C"/>
    <w:rsid w:val="00FD5F4F"/>
    <w:rsid w:val="00FD62F7"/>
    <w:rsid w:val="00FD7F9A"/>
    <w:rsid w:val="00FE0B19"/>
    <w:rsid w:val="00FE2534"/>
    <w:rsid w:val="00FE4D96"/>
    <w:rsid w:val="00FE566E"/>
    <w:rsid w:val="00FF14B0"/>
    <w:rsid w:val="00FF2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BEE6"/>
  <w15:chartTrackingRefBased/>
  <w15:docId w15:val="{91B13455-47C7-4C4A-8CEC-3FEC6ACB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3"/>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A56"/>
    <w:pPr>
      <w:widowControl w:val="0"/>
      <w:adjustRightInd w:val="0"/>
      <w:spacing w:after="0" w:line="240" w:lineRule="auto"/>
      <w:jc w:val="both"/>
      <w:textAlignment w:val="baseline"/>
    </w:pPr>
    <w:rPr>
      <w:rFonts w:ascii="Times New Roman" w:eastAsia="Calibri" w:hAnsi="Times New Roman" w:cs="Times New Roman"/>
      <w:sz w:val="24"/>
      <w:szCs w:val="24"/>
      <w:lang w:val="es-ES_tradnl" w:eastAsia="es-CR"/>
    </w:rPr>
  </w:style>
  <w:style w:type="paragraph" w:styleId="Ttulo1">
    <w:name w:val="heading 1"/>
    <w:aliases w:val="Título Verdana"/>
    <w:basedOn w:val="Normal"/>
    <w:next w:val="Normal"/>
    <w:link w:val="Ttulo1Car"/>
    <w:qFormat/>
    <w:rsid w:val="008E6A56"/>
    <w:pPr>
      <w:keepNext/>
      <w:keepLines/>
      <w:tabs>
        <w:tab w:val="left" w:pos="851"/>
      </w:tabs>
      <w:jc w:val="center"/>
      <w:outlineLvl w:val="0"/>
    </w:pPr>
    <w:rPr>
      <w:rFonts w:ascii="Verdana" w:eastAsia="Times New Roman" w:hAnsi="Verdana" w:cs="Verdana"/>
      <w:b/>
      <w:bCs/>
      <w:caps/>
      <w:snapToGrid w:val="0"/>
      <w:sz w:val="20"/>
      <w:szCs w:val="20"/>
    </w:rPr>
  </w:style>
  <w:style w:type="paragraph" w:styleId="Ttulo2">
    <w:name w:val="heading 2"/>
    <w:basedOn w:val="Prrafodelista"/>
    <w:next w:val="Normal"/>
    <w:link w:val="Ttulo2Car"/>
    <w:unhideWhenUsed/>
    <w:qFormat/>
    <w:rsid w:val="008E6A56"/>
    <w:pPr>
      <w:numPr>
        <w:numId w:val="5"/>
      </w:numPr>
      <w:tabs>
        <w:tab w:val="num" w:pos="360"/>
      </w:tabs>
      <w:ind w:firstLine="0"/>
      <w:outlineLvl w:val="1"/>
    </w:pPr>
    <w:rPr>
      <w:rFonts w:ascii="Verdana" w:hAnsi="Verdana"/>
      <w:b/>
      <w:i/>
      <w:sz w:val="20"/>
      <w:szCs w:val="20"/>
    </w:rPr>
  </w:style>
  <w:style w:type="paragraph" w:styleId="Ttulo3">
    <w:name w:val="heading 3"/>
    <w:basedOn w:val="Normal"/>
    <w:next w:val="Normal"/>
    <w:link w:val="Ttulo3Car"/>
    <w:unhideWhenUsed/>
    <w:qFormat/>
    <w:rsid w:val="008E6A56"/>
    <w:pPr>
      <w:keepNext/>
      <w:keepLines/>
      <w:spacing w:before="200"/>
      <w:ind w:left="1134"/>
      <w:outlineLvl w:val="2"/>
    </w:pPr>
    <w:rPr>
      <w:rFonts w:ascii="Verdana" w:eastAsia="Times New Roman" w:hAnsi="Verdana"/>
      <w:bCs/>
      <w:i/>
      <w:sz w:val="20"/>
      <w:szCs w:val="20"/>
    </w:rPr>
  </w:style>
  <w:style w:type="paragraph" w:styleId="Ttulo4">
    <w:name w:val="heading 4"/>
    <w:basedOn w:val="Normal"/>
    <w:next w:val="Normal"/>
    <w:link w:val="Ttulo4Car"/>
    <w:uiPriority w:val="9"/>
    <w:unhideWhenUsed/>
    <w:qFormat/>
    <w:rsid w:val="008E6A56"/>
    <w:pPr>
      <w:keepNext/>
      <w:keepLines/>
      <w:spacing w:before="200"/>
      <w:ind w:left="1134"/>
      <w:outlineLvl w:val="3"/>
    </w:pPr>
    <w:rPr>
      <w:rFonts w:ascii="Verdana" w:eastAsia="Times New Roman" w:hAnsi="Verdana"/>
      <w:b/>
      <w:bCs/>
      <w:i/>
      <w:iCs/>
      <w:sz w:val="20"/>
      <w:szCs w:val="20"/>
    </w:rPr>
  </w:style>
  <w:style w:type="paragraph" w:styleId="Ttulo5">
    <w:name w:val="heading 5"/>
    <w:basedOn w:val="Ttulo4"/>
    <w:next w:val="Normal"/>
    <w:link w:val="Ttulo5Car"/>
    <w:uiPriority w:val="9"/>
    <w:unhideWhenUsed/>
    <w:qFormat/>
    <w:rsid w:val="006168EA"/>
    <w:pPr>
      <w:keepNext w:val="0"/>
      <w:keepLines w:val="0"/>
      <w:widowControl/>
      <w:numPr>
        <w:numId w:val="81"/>
      </w:numPr>
      <w:adjustRightInd/>
      <w:spacing w:before="0"/>
      <w:textAlignment w:val="auto"/>
      <w:outlineLvl w:val="4"/>
    </w:pPr>
    <w:rPr>
      <w:rFonts w:eastAsiaTheme="minorHAnsi" w:cstheme="minorBidi"/>
      <w:b w:val="0"/>
      <w:bCs w:val="0"/>
      <w:iCs w:val="0"/>
      <w:spacing w:val="-4"/>
      <w:szCs w:val="22"/>
      <w:lang w:val="es-ES" w:eastAsia="en-US"/>
    </w:rPr>
  </w:style>
  <w:style w:type="paragraph" w:styleId="Ttulo6">
    <w:name w:val="heading 6"/>
    <w:basedOn w:val="Ttulo5"/>
    <w:next w:val="Normal"/>
    <w:link w:val="Ttulo6Car"/>
    <w:uiPriority w:val="9"/>
    <w:unhideWhenUsed/>
    <w:qFormat/>
    <w:rsid w:val="006168EA"/>
    <w:pPr>
      <w:numPr>
        <w:ilvl w:val="4"/>
        <w:numId w:val="27"/>
      </w:numPr>
      <w:outlineLvl w:val="5"/>
    </w:pPr>
    <w:rPr>
      <w:rFonts w:eastAsia="Times New Roman" w:cs="Times New Roman"/>
      <w:spacing w:val="-2"/>
      <w:szCs w:val="20"/>
      <w:lang w:val="es-ES_tradnl" w:eastAsia="es-CR"/>
    </w:rPr>
  </w:style>
  <w:style w:type="paragraph" w:styleId="Ttulo7">
    <w:name w:val="heading 7"/>
    <w:basedOn w:val="Normal"/>
    <w:next w:val="Normal"/>
    <w:link w:val="Ttulo7Car"/>
    <w:uiPriority w:val="9"/>
    <w:unhideWhenUsed/>
    <w:qFormat/>
    <w:rsid w:val="006168EA"/>
    <w:pPr>
      <w:keepNext/>
      <w:widowControl/>
      <w:autoSpaceDE w:val="0"/>
      <w:autoSpaceDN w:val="0"/>
      <w:textAlignment w:val="auto"/>
      <w:outlineLvl w:val="6"/>
    </w:pPr>
    <w:rPr>
      <w:rFonts w:ascii="Verdana" w:eastAsia="Times New Roman" w:hAnsi="Verdana"/>
      <w:b/>
      <w:bCs/>
      <w:sz w:val="20"/>
      <w:szCs w:val="20"/>
      <w:lang w:eastAsia="en-US"/>
    </w:rPr>
  </w:style>
  <w:style w:type="paragraph" w:styleId="Ttulo8">
    <w:name w:val="heading 8"/>
    <w:basedOn w:val="Normal"/>
    <w:next w:val="Normal"/>
    <w:link w:val="Ttulo8Car"/>
    <w:uiPriority w:val="9"/>
    <w:unhideWhenUsed/>
    <w:qFormat/>
    <w:rsid w:val="006168EA"/>
    <w:pPr>
      <w:keepNext/>
      <w:widowControl/>
      <w:adjustRightInd/>
      <w:jc w:val="left"/>
      <w:textAlignment w:val="auto"/>
      <w:outlineLvl w:val="7"/>
    </w:pPr>
    <w:rPr>
      <w:rFonts w:ascii="Verdana" w:eastAsia="Times New Roman" w:hAnsi="Verdana"/>
      <w:b/>
      <w:sz w:val="20"/>
      <w:szCs w:val="20"/>
      <w:lang w:val="es-MX" w:eastAsia="en-US"/>
    </w:rPr>
  </w:style>
  <w:style w:type="paragraph" w:styleId="Ttulo9">
    <w:name w:val="heading 9"/>
    <w:basedOn w:val="Normal"/>
    <w:next w:val="Normal"/>
    <w:link w:val="Ttulo9Car"/>
    <w:uiPriority w:val="9"/>
    <w:unhideWhenUsed/>
    <w:qFormat/>
    <w:rsid w:val="006168EA"/>
    <w:pPr>
      <w:keepNext/>
      <w:widowControl/>
      <w:adjustRightInd/>
      <w:ind w:firstLine="708"/>
      <w:textAlignment w:val="auto"/>
      <w:outlineLvl w:val="8"/>
    </w:pPr>
    <w:rPr>
      <w:rFonts w:ascii="Verdana" w:eastAsiaTheme="minorHAnsi" w:hAnsi="Verdana" w:cstheme="minorBidi"/>
      <w:i/>
      <w:sz w:val="20"/>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rsid w:val="008E6A56"/>
    <w:rPr>
      <w:rFonts w:ascii="Verdana" w:eastAsia="Times New Roman" w:hAnsi="Verdana" w:cs="Verdana"/>
      <w:b/>
      <w:bCs/>
      <w:caps/>
      <w:snapToGrid w:val="0"/>
      <w:sz w:val="20"/>
      <w:szCs w:val="20"/>
      <w:lang w:val="es-ES_tradnl" w:eastAsia="es-CR"/>
    </w:rPr>
  </w:style>
  <w:style w:type="paragraph" w:styleId="Prrafodelista">
    <w:name w:val="List Paragraph"/>
    <w:aliases w:val="Párrafo de lista1,Footnote,List Paragraph2,List Paragraph1,Colorful List - Accent 11,Lista vistosa - Énfasis 11,Subtle Emphasis1,Footnote1"/>
    <w:basedOn w:val="Normal"/>
    <w:link w:val="PrrafodelistaCar"/>
    <w:uiPriority w:val="34"/>
    <w:qFormat/>
    <w:rsid w:val="008E6A56"/>
    <w:pPr>
      <w:ind w:left="720"/>
      <w:contextualSpacing/>
    </w:pPr>
  </w:style>
  <w:style w:type="character" w:customStyle="1" w:styleId="PrrafodelistaCar">
    <w:name w:val="Párrafo de lista Car"/>
    <w:aliases w:val="Párrafo de lista1 Car,Footnote Car,List Paragraph2 Car,List Paragraph1 Car,Colorful List - Accent 11 Car,Lista vistosa - Énfasis 11 Car,Subtle Emphasis1 Car,Footnote1 Car,Párrafo de lista Car1"/>
    <w:link w:val="Prrafodelista"/>
    <w:uiPriority w:val="34"/>
    <w:locked/>
    <w:rsid w:val="008E6A56"/>
    <w:rPr>
      <w:rFonts w:ascii="Times New Roman" w:eastAsia="Calibri" w:hAnsi="Times New Roman" w:cs="Times New Roman"/>
      <w:sz w:val="24"/>
      <w:szCs w:val="24"/>
      <w:lang w:val="es-ES_tradnl" w:eastAsia="es-CR"/>
    </w:rPr>
  </w:style>
  <w:style w:type="character" w:customStyle="1" w:styleId="Ttulo2Car">
    <w:name w:val="Título 2 Car"/>
    <w:basedOn w:val="Fuentedeprrafopredeter"/>
    <w:link w:val="Ttulo2"/>
    <w:rsid w:val="008E6A56"/>
    <w:rPr>
      <w:rFonts w:ascii="Verdana" w:eastAsia="Calibri" w:hAnsi="Verdana" w:cs="Times New Roman"/>
      <w:b/>
      <w:i/>
      <w:sz w:val="20"/>
      <w:szCs w:val="20"/>
      <w:lang w:val="es-ES_tradnl" w:eastAsia="es-CR"/>
    </w:rPr>
  </w:style>
  <w:style w:type="character" w:customStyle="1" w:styleId="Ttulo3Car">
    <w:name w:val="Título 3 Car"/>
    <w:basedOn w:val="Fuentedeprrafopredeter"/>
    <w:link w:val="Ttulo3"/>
    <w:rsid w:val="008E6A56"/>
    <w:rPr>
      <w:rFonts w:ascii="Verdana" w:eastAsia="Times New Roman" w:hAnsi="Verdana" w:cs="Times New Roman"/>
      <w:bCs/>
      <w:i/>
      <w:sz w:val="20"/>
      <w:szCs w:val="20"/>
      <w:lang w:val="es-ES_tradnl" w:eastAsia="es-CR"/>
    </w:rPr>
  </w:style>
  <w:style w:type="character" w:customStyle="1" w:styleId="Ttulo4Car">
    <w:name w:val="Título 4 Car"/>
    <w:basedOn w:val="Fuentedeprrafopredeter"/>
    <w:link w:val="Ttulo4"/>
    <w:uiPriority w:val="9"/>
    <w:rsid w:val="008E6A56"/>
    <w:rPr>
      <w:rFonts w:ascii="Verdana" w:eastAsia="Times New Roman" w:hAnsi="Verdana" w:cs="Times New Roman"/>
      <w:b/>
      <w:bCs/>
      <w:i/>
      <w:iCs/>
      <w:sz w:val="20"/>
      <w:szCs w:val="20"/>
      <w:lang w:val="es-ES_tradnl" w:eastAsia="es-CR"/>
    </w:rPr>
  </w:style>
  <w:style w:type="paragraph" w:styleId="Textonotapie">
    <w:name w:val="footnote text"/>
    <w:aliases w:val="2. Footnote Text,Footnote Tesina,Footnote Text Char Char Char Char Char,Footnote Text Char Char Char Char,Footnote reference,FA Fu,Footnote Text Char Char Char,Footnote Text Cha,FA Fußnotentext,FA Fuﬂnotentext,Footnote Text Char Char,Ca,C,5"/>
    <w:basedOn w:val="Normal"/>
    <w:link w:val="TextonotapieCar"/>
    <w:autoRedefine/>
    <w:uiPriority w:val="99"/>
    <w:unhideWhenUsed/>
    <w:qFormat/>
    <w:rsid w:val="00CD2B15"/>
    <w:pPr>
      <w:tabs>
        <w:tab w:val="left" w:pos="567"/>
        <w:tab w:val="left" w:pos="2610"/>
      </w:tabs>
      <w:spacing w:after="120"/>
    </w:pPr>
    <w:rPr>
      <w:rFonts w:ascii="Verdana" w:eastAsia="Batang" w:hAnsi="Verdana"/>
      <w:sz w:val="16"/>
      <w:szCs w:val="16"/>
      <w:lang w:val="en-US" w:eastAsia="es-ES"/>
    </w:rPr>
  </w:style>
  <w:style w:type="character" w:customStyle="1" w:styleId="TextonotapieCar">
    <w:name w:val="Texto nota pie Car"/>
    <w:aliases w:val="2. Footnote Text Car,Footnote Tesina Car,Footnote Text Char Char Char Char Char Car,Footnote Text Char Char Char Char Car,Footnote reference Car,FA Fu Car,Footnote Text Char Char Char Car,Footnote Text Cha Car,FA Fußnotentext Car,Ca Car"/>
    <w:basedOn w:val="Fuentedeprrafopredeter"/>
    <w:link w:val="Textonotapie"/>
    <w:uiPriority w:val="99"/>
    <w:qFormat/>
    <w:rsid w:val="00CD2B15"/>
    <w:rPr>
      <w:rFonts w:ascii="Verdana" w:eastAsia="Batang" w:hAnsi="Verdana" w:cs="Times New Roman"/>
      <w:sz w:val="16"/>
      <w:szCs w:val="16"/>
      <w:lang w:val="en-US" w:eastAsia="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link w:val="4GChar"/>
    <w:uiPriority w:val="99"/>
    <w:qFormat/>
    <w:rsid w:val="008E6A56"/>
    <w:rPr>
      <w:rFonts w:ascii="Verdana" w:hAnsi="Verdana" w:cs="Times New Roman"/>
      <w:sz w:val="2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E6A56"/>
    <w:rPr>
      <w:rFonts w:ascii="Verdana" w:eastAsiaTheme="minorHAnsi" w:hAnsi="Verdana"/>
      <w:sz w:val="20"/>
      <w:szCs w:val="22"/>
      <w:vertAlign w:val="superscript"/>
      <w:lang w:val="en-GB" w:eastAsia="en-US"/>
    </w:rPr>
  </w:style>
  <w:style w:type="character" w:styleId="Hipervnculo">
    <w:name w:val="Hyperlink"/>
    <w:aliases w:val="Heading 3 caso"/>
    <w:uiPriority w:val="99"/>
    <w:rsid w:val="008E6A56"/>
    <w:rPr>
      <w:rFonts w:cs="Times New Roman"/>
      <w:color w:val="0000FF"/>
      <w:u w:val="single"/>
    </w:rPr>
  </w:style>
  <w:style w:type="paragraph" w:styleId="TDC1">
    <w:name w:val="toc 1"/>
    <w:basedOn w:val="Normal"/>
    <w:next w:val="Normal"/>
    <w:autoRedefine/>
    <w:uiPriority w:val="39"/>
    <w:unhideWhenUsed/>
    <w:qFormat/>
    <w:rsid w:val="008E6A56"/>
    <w:pPr>
      <w:tabs>
        <w:tab w:val="left" w:pos="0"/>
        <w:tab w:val="right" w:leader="dot" w:pos="10065"/>
      </w:tabs>
      <w:ind w:right="958"/>
    </w:pPr>
    <w:rPr>
      <w:rFonts w:ascii="Verdana" w:hAnsi="Verdana" w:cs="Verdana"/>
      <w:b/>
      <w:caps/>
      <w:noProof/>
      <w:snapToGrid w:val="0"/>
      <w:sz w:val="18"/>
      <w:szCs w:val="18"/>
    </w:rPr>
  </w:style>
  <w:style w:type="paragraph" w:styleId="TDC2">
    <w:name w:val="toc 2"/>
    <w:basedOn w:val="Normal"/>
    <w:next w:val="Normal"/>
    <w:autoRedefine/>
    <w:uiPriority w:val="39"/>
    <w:unhideWhenUsed/>
    <w:qFormat/>
    <w:rsid w:val="008E6A56"/>
    <w:pPr>
      <w:tabs>
        <w:tab w:val="left" w:pos="720"/>
        <w:tab w:val="right" w:leader="dot" w:pos="10065"/>
      </w:tabs>
      <w:ind w:left="238" w:right="815"/>
    </w:pPr>
  </w:style>
  <w:style w:type="paragraph" w:styleId="Piedepgina">
    <w:name w:val="footer"/>
    <w:basedOn w:val="Normal"/>
    <w:link w:val="PiedepginaCar"/>
    <w:uiPriority w:val="99"/>
    <w:unhideWhenUsed/>
    <w:rsid w:val="008E6A56"/>
    <w:pPr>
      <w:tabs>
        <w:tab w:val="center" w:pos="4419"/>
        <w:tab w:val="right" w:pos="8838"/>
      </w:tabs>
    </w:pPr>
  </w:style>
  <w:style w:type="character" w:customStyle="1" w:styleId="PiedepginaCar">
    <w:name w:val="Pie de página Car"/>
    <w:basedOn w:val="Fuentedeprrafopredeter"/>
    <w:link w:val="Piedepgina"/>
    <w:uiPriority w:val="99"/>
    <w:rsid w:val="008E6A56"/>
    <w:rPr>
      <w:rFonts w:ascii="Times New Roman" w:eastAsia="Calibri" w:hAnsi="Times New Roman" w:cs="Times New Roman"/>
      <w:sz w:val="24"/>
      <w:szCs w:val="24"/>
      <w:lang w:val="es-ES_tradnl" w:eastAsia="es-CR"/>
    </w:rPr>
  </w:style>
  <w:style w:type="character" w:styleId="Textoennegrita">
    <w:name w:val="Strong"/>
    <w:aliases w:val="Heading 2.1"/>
    <w:uiPriority w:val="22"/>
    <w:qFormat/>
    <w:rsid w:val="008E6A56"/>
    <w:rPr>
      <w:b/>
      <w:bCs/>
    </w:rPr>
  </w:style>
  <w:style w:type="paragraph" w:styleId="Encabezado">
    <w:name w:val="header"/>
    <w:aliases w:val="encabezado"/>
    <w:basedOn w:val="Normal"/>
    <w:link w:val="EncabezadoCar"/>
    <w:uiPriority w:val="99"/>
    <w:unhideWhenUsed/>
    <w:rsid w:val="008E6A56"/>
    <w:pPr>
      <w:tabs>
        <w:tab w:val="center" w:pos="4419"/>
        <w:tab w:val="right" w:pos="8838"/>
      </w:tabs>
    </w:pPr>
    <w:rPr>
      <w:rFonts w:ascii="Calibri" w:hAnsi="Calibri"/>
      <w:sz w:val="22"/>
      <w:szCs w:val="22"/>
      <w:lang w:val="es-CR"/>
    </w:rPr>
  </w:style>
  <w:style w:type="character" w:customStyle="1" w:styleId="EncabezadoCar">
    <w:name w:val="Encabezado Car"/>
    <w:aliases w:val="encabezado Car"/>
    <w:basedOn w:val="Fuentedeprrafopredeter"/>
    <w:link w:val="Encabezado"/>
    <w:uiPriority w:val="99"/>
    <w:rsid w:val="008E6A56"/>
    <w:rPr>
      <w:rFonts w:ascii="Calibri" w:eastAsia="Calibri" w:hAnsi="Calibri" w:cs="Times New Roman"/>
      <w:lang w:val="es-CR" w:eastAsia="es-CR"/>
    </w:rPr>
  </w:style>
  <w:style w:type="paragraph" w:styleId="Sinespaciado">
    <w:name w:val="No Spacing"/>
    <w:uiPriority w:val="1"/>
    <w:qFormat/>
    <w:rsid w:val="008E6A56"/>
    <w:pPr>
      <w:widowControl w:val="0"/>
      <w:adjustRightInd w:val="0"/>
      <w:spacing w:after="0" w:line="240" w:lineRule="auto"/>
      <w:jc w:val="both"/>
      <w:textAlignment w:val="baseline"/>
    </w:pPr>
    <w:rPr>
      <w:rFonts w:ascii="Times New Roman" w:eastAsia="Times New Roman" w:hAnsi="Times New Roman" w:cs="Times New Roman"/>
      <w:sz w:val="20"/>
      <w:szCs w:val="20"/>
      <w:lang w:val="es-CR" w:eastAsia="es-CR"/>
    </w:rPr>
  </w:style>
  <w:style w:type="paragraph" w:customStyle="1" w:styleId="PrrafodeSentencia">
    <w:name w:val="*. Párrafo de Sentencia"/>
    <w:link w:val="PrrafodeSentenciaChar"/>
    <w:autoRedefine/>
    <w:qFormat/>
    <w:rsid w:val="008E6A56"/>
    <w:pPr>
      <w:numPr>
        <w:numId w:val="1"/>
      </w:numPr>
      <w:tabs>
        <w:tab w:val="left" w:pos="567"/>
      </w:tabs>
      <w:spacing w:after="0" w:line="240" w:lineRule="auto"/>
      <w:ind w:left="0" w:firstLine="0"/>
      <w:jc w:val="both"/>
    </w:pPr>
    <w:rPr>
      <w:rFonts w:ascii="Verdana" w:eastAsia="Batang" w:hAnsi="Verdana" w:cs="Times New Roman"/>
      <w:sz w:val="20"/>
      <w:szCs w:val="20"/>
      <w:lang w:val="es-MX" w:eastAsia="es-MX"/>
    </w:rPr>
  </w:style>
  <w:style w:type="character" w:customStyle="1" w:styleId="PrrafodeSentenciaChar">
    <w:name w:val="*. Párrafo de Sentencia Char"/>
    <w:link w:val="PrrafodeSentencia"/>
    <w:rsid w:val="008E6A56"/>
    <w:rPr>
      <w:rFonts w:ascii="Verdana" w:eastAsia="Batang" w:hAnsi="Verdana" w:cs="Times New Roman"/>
      <w:sz w:val="20"/>
      <w:szCs w:val="20"/>
      <w:lang w:val="es-MX" w:eastAsia="es-MX"/>
    </w:rPr>
  </w:style>
  <w:style w:type="character" w:styleId="Nmerodepgina">
    <w:name w:val="page number"/>
    <w:basedOn w:val="Fuentedeprrafopredeter"/>
    <w:unhideWhenUsed/>
    <w:rsid w:val="008E6A56"/>
  </w:style>
  <w:style w:type="paragraph" w:styleId="Ttulo">
    <w:name w:val="Title"/>
    <w:basedOn w:val="Ttulo1"/>
    <w:next w:val="Normal"/>
    <w:link w:val="TtuloCar"/>
    <w:qFormat/>
    <w:rsid w:val="008E6A56"/>
  </w:style>
  <w:style w:type="character" w:customStyle="1" w:styleId="TtuloCar">
    <w:name w:val="Título Car"/>
    <w:basedOn w:val="Fuentedeprrafopredeter"/>
    <w:link w:val="Ttulo"/>
    <w:rsid w:val="008E6A56"/>
    <w:rPr>
      <w:rFonts w:ascii="Verdana" w:eastAsia="Times New Roman" w:hAnsi="Verdana" w:cs="Verdana"/>
      <w:b/>
      <w:bCs/>
      <w:caps/>
      <w:snapToGrid w:val="0"/>
      <w:sz w:val="20"/>
      <w:szCs w:val="20"/>
      <w:lang w:val="es-ES_tradnl" w:eastAsia="es-CR"/>
    </w:rPr>
  </w:style>
  <w:style w:type="paragraph" w:styleId="TtuloTDC">
    <w:name w:val="TOC Heading"/>
    <w:basedOn w:val="Ttulo1"/>
    <w:next w:val="Normal"/>
    <w:uiPriority w:val="39"/>
    <w:unhideWhenUsed/>
    <w:qFormat/>
    <w:rsid w:val="008E6A56"/>
    <w:pPr>
      <w:widowControl/>
      <w:adjustRightInd/>
      <w:spacing w:line="276" w:lineRule="auto"/>
      <w:jc w:val="left"/>
      <w:textAlignment w:val="auto"/>
      <w:outlineLvl w:val="9"/>
    </w:pPr>
    <w:rPr>
      <w:rFonts w:ascii="Cambria" w:hAnsi="Cambria" w:cs="Times New Roman"/>
      <w:color w:val="365F91"/>
      <w:sz w:val="28"/>
      <w:lang w:val="en-US" w:eastAsia="en-US"/>
    </w:rPr>
  </w:style>
  <w:style w:type="character" w:customStyle="1" w:styleId="TextodegloboCar">
    <w:name w:val="Texto de globo Car"/>
    <w:basedOn w:val="Fuentedeprrafopredeter"/>
    <w:link w:val="Textodeglobo"/>
    <w:rsid w:val="008E6A56"/>
    <w:rPr>
      <w:rFonts w:ascii="Tahoma" w:eastAsia="Calibri" w:hAnsi="Tahoma" w:cs="Tahoma"/>
      <w:sz w:val="16"/>
      <w:szCs w:val="16"/>
      <w:lang w:val="es-ES_tradnl" w:eastAsia="es-CR"/>
    </w:rPr>
  </w:style>
  <w:style w:type="paragraph" w:styleId="Textodeglobo">
    <w:name w:val="Balloon Text"/>
    <w:basedOn w:val="Normal"/>
    <w:link w:val="TextodegloboCar"/>
    <w:unhideWhenUsed/>
    <w:rsid w:val="008E6A56"/>
    <w:rPr>
      <w:rFonts w:ascii="Tahoma" w:hAnsi="Tahoma" w:cs="Tahoma"/>
      <w:sz w:val="16"/>
      <w:szCs w:val="16"/>
    </w:rPr>
  </w:style>
  <w:style w:type="character" w:customStyle="1" w:styleId="TextodegloboCar1">
    <w:name w:val="Texto de globo Car1"/>
    <w:basedOn w:val="Fuentedeprrafopredeter"/>
    <w:uiPriority w:val="99"/>
    <w:semiHidden/>
    <w:rsid w:val="008E6A56"/>
    <w:rPr>
      <w:rFonts w:ascii="Segoe UI" w:eastAsia="Calibri" w:hAnsi="Segoe UI" w:cs="Segoe UI"/>
      <w:sz w:val="18"/>
      <w:szCs w:val="18"/>
      <w:lang w:val="es-ES_tradnl" w:eastAsia="es-CR"/>
    </w:rPr>
  </w:style>
  <w:style w:type="paragraph" w:styleId="NormalWeb">
    <w:name w:val="Normal (Web)"/>
    <w:aliases w:val="Normal (Web) Char1,Normal (Web) Char Char,Normal (Web) Char1 Char,Normal (Web) Char Char Char"/>
    <w:basedOn w:val="Normal"/>
    <w:uiPriority w:val="99"/>
    <w:unhideWhenUsed/>
    <w:qFormat/>
    <w:rsid w:val="008E6A56"/>
    <w:pPr>
      <w:widowControl/>
      <w:adjustRightInd/>
      <w:spacing w:before="100" w:beforeAutospacing="1" w:after="100" w:afterAutospacing="1"/>
      <w:jc w:val="left"/>
      <w:textAlignment w:val="auto"/>
    </w:pPr>
    <w:rPr>
      <w:rFonts w:eastAsia="Times New Roman"/>
      <w:lang w:val="es-CR"/>
    </w:rPr>
  </w:style>
  <w:style w:type="character" w:customStyle="1" w:styleId="Estilo1Car">
    <w:name w:val="Estilo1 Car"/>
    <w:link w:val="Estilo1"/>
    <w:locked/>
    <w:rsid w:val="008E6A56"/>
    <w:rPr>
      <w:rFonts w:ascii="Verdana" w:eastAsia="Batang" w:hAnsi="Verdana" w:cs="Times"/>
      <w:i/>
      <w:sz w:val="20"/>
      <w:szCs w:val="24"/>
      <w:lang w:val="es-ES_tradnl"/>
    </w:rPr>
  </w:style>
  <w:style w:type="paragraph" w:customStyle="1" w:styleId="Estilo1">
    <w:name w:val="Estilo1"/>
    <w:basedOn w:val="Normal"/>
    <w:link w:val="Estilo1Car"/>
    <w:qFormat/>
    <w:rsid w:val="008E6A56"/>
    <w:pPr>
      <w:widowControl/>
      <w:adjustRightInd/>
      <w:spacing w:after="120"/>
      <w:ind w:left="2018" w:right="6" w:hanging="180"/>
      <w:textAlignment w:val="auto"/>
    </w:pPr>
    <w:rPr>
      <w:rFonts w:ascii="Verdana" w:eastAsia="Batang" w:hAnsi="Verdana" w:cs="Times"/>
      <w:i/>
      <w:sz w:val="20"/>
      <w:lang w:eastAsia="en-US"/>
    </w:rPr>
  </w:style>
  <w:style w:type="paragraph" w:customStyle="1" w:styleId="Estilo4">
    <w:name w:val="Estilo4"/>
    <w:basedOn w:val="Estilo1"/>
    <w:link w:val="Estilo4Car"/>
    <w:qFormat/>
    <w:rsid w:val="008E6A56"/>
    <w:pPr>
      <w:numPr>
        <w:numId w:val="4"/>
      </w:numPr>
      <w:spacing w:after="160" w:line="259" w:lineRule="auto"/>
      <w:ind w:left="0" w:right="0" w:firstLine="0"/>
      <w:jc w:val="left"/>
    </w:pPr>
    <w:rPr>
      <w:rFonts w:ascii="Times New Roman" w:hAnsi="Times New Roman" w:cs="Times New Roman"/>
      <w:i w:val="0"/>
      <w:sz w:val="24"/>
      <w:lang w:val="es-UY"/>
    </w:rPr>
  </w:style>
  <w:style w:type="character" w:customStyle="1" w:styleId="Estilo4Car">
    <w:name w:val="Estilo4 Car"/>
    <w:link w:val="Estilo4"/>
    <w:rsid w:val="008E6A56"/>
    <w:rPr>
      <w:rFonts w:ascii="Times New Roman" w:eastAsia="Batang" w:hAnsi="Times New Roman" w:cs="Times New Roman"/>
      <w:sz w:val="24"/>
      <w:szCs w:val="24"/>
      <w:lang w:val="es-UY"/>
    </w:rPr>
  </w:style>
  <w:style w:type="paragraph" w:styleId="TDC3">
    <w:name w:val="toc 3"/>
    <w:basedOn w:val="Normal"/>
    <w:next w:val="Normal"/>
    <w:autoRedefine/>
    <w:uiPriority w:val="39"/>
    <w:unhideWhenUsed/>
    <w:qFormat/>
    <w:rsid w:val="008E6A56"/>
    <w:pPr>
      <w:tabs>
        <w:tab w:val="right" w:leader="dot" w:pos="10070"/>
      </w:tabs>
      <w:spacing w:after="100"/>
      <w:ind w:left="482"/>
    </w:pPr>
  </w:style>
  <w:style w:type="character" w:customStyle="1" w:styleId="TextocomentarioCar">
    <w:name w:val="Texto comentario Car"/>
    <w:basedOn w:val="Fuentedeprrafopredeter"/>
    <w:link w:val="Textocomentario"/>
    <w:uiPriority w:val="99"/>
    <w:rsid w:val="008E6A56"/>
    <w:rPr>
      <w:rFonts w:ascii="Times New Roman" w:eastAsia="Calibri" w:hAnsi="Times New Roman" w:cs="Times New Roman"/>
      <w:sz w:val="20"/>
      <w:szCs w:val="20"/>
      <w:lang w:val="es-ES_tradnl" w:eastAsia="es-CR"/>
    </w:rPr>
  </w:style>
  <w:style w:type="paragraph" w:styleId="Textocomentario">
    <w:name w:val="annotation text"/>
    <w:basedOn w:val="Normal"/>
    <w:link w:val="TextocomentarioCar"/>
    <w:uiPriority w:val="99"/>
    <w:unhideWhenUsed/>
    <w:rsid w:val="008E6A56"/>
    <w:rPr>
      <w:sz w:val="20"/>
      <w:szCs w:val="20"/>
    </w:rPr>
  </w:style>
  <w:style w:type="character" w:customStyle="1" w:styleId="TextocomentarioCar1">
    <w:name w:val="Texto comentario Car1"/>
    <w:basedOn w:val="Fuentedeprrafopredeter"/>
    <w:uiPriority w:val="99"/>
    <w:semiHidden/>
    <w:rsid w:val="008E6A56"/>
    <w:rPr>
      <w:rFonts w:ascii="Times New Roman" w:eastAsia="Calibri" w:hAnsi="Times New Roman" w:cs="Times New Roman"/>
      <w:sz w:val="20"/>
      <w:szCs w:val="20"/>
      <w:lang w:val="es-ES_tradnl" w:eastAsia="es-CR"/>
    </w:rPr>
  </w:style>
  <w:style w:type="character" w:customStyle="1" w:styleId="AsuntodelcomentarioCar">
    <w:name w:val="Asunto del comentario Car"/>
    <w:basedOn w:val="TextocomentarioCar"/>
    <w:link w:val="Asuntodelcomentario"/>
    <w:uiPriority w:val="99"/>
    <w:rsid w:val="008E6A56"/>
    <w:rPr>
      <w:rFonts w:ascii="Times New Roman" w:eastAsia="Calibri" w:hAnsi="Times New Roman" w:cs="Times New Roman"/>
      <w:b/>
      <w:bCs/>
      <w:sz w:val="20"/>
      <w:szCs w:val="20"/>
      <w:lang w:val="es-ES_tradnl" w:eastAsia="es-CR"/>
    </w:rPr>
  </w:style>
  <w:style w:type="paragraph" w:styleId="Asuntodelcomentario">
    <w:name w:val="annotation subject"/>
    <w:basedOn w:val="Textocomentario"/>
    <w:next w:val="Textocomentario"/>
    <w:link w:val="AsuntodelcomentarioCar"/>
    <w:uiPriority w:val="99"/>
    <w:unhideWhenUsed/>
    <w:rsid w:val="008E6A56"/>
    <w:rPr>
      <w:b/>
      <w:bCs/>
    </w:rPr>
  </w:style>
  <w:style w:type="character" w:customStyle="1" w:styleId="AsuntodelcomentarioCar1">
    <w:name w:val="Asunto del comentario Car1"/>
    <w:basedOn w:val="TextocomentarioCar1"/>
    <w:uiPriority w:val="99"/>
    <w:semiHidden/>
    <w:rsid w:val="008E6A56"/>
    <w:rPr>
      <w:rFonts w:ascii="Times New Roman" w:eastAsia="Calibri" w:hAnsi="Times New Roman" w:cs="Times New Roman"/>
      <w:b/>
      <w:bCs/>
      <w:sz w:val="20"/>
      <w:szCs w:val="20"/>
      <w:lang w:val="es-ES_tradnl" w:eastAsia="es-CR"/>
    </w:rPr>
  </w:style>
  <w:style w:type="paragraph" w:styleId="Textoindependiente">
    <w:name w:val="Body Text"/>
    <w:basedOn w:val="Normal"/>
    <w:link w:val="TextoindependienteCar"/>
    <w:uiPriority w:val="99"/>
    <w:unhideWhenUsed/>
    <w:rsid w:val="008E6A56"/>
    <w:pPr>
      <w:spacing w:after="120" w:line="360" w:lineRule="atLeast"/>
    </w:pPr>
    <w:rPr>
      <w:rFonts w:ascii="Verdana" w:eastAsia="Times New Roman" w:hAnsi="Verdana"/>
      <w:lang w:val="es-CR"/>
    </w:rPr>
  </w:style>
  <w:style w:type="character" w:customStyle="1" w:styleId="TextoindependienteCar">
    <w:name w:val="Texto independiente Car"/>
    <w:basedOn w:val="Fuentedeprrafopredeter"/>
    <w:link w:val="Textoindependiente"/>
    <w:uiPriority w:val="99"/>
    <w:rsid w:val="008E6A56"/>
    <w:rPr>
      <w:rFonts w:ascii="Verdana" w:eastAsia="Times New Roman" w:hAnsi="Verdana" w:cs="Times New Roman"/>
      <w:sz w:val="24"/>
      <w:szCs w:val="24"/>
      <w:lang w:val="es-CR" w:eastAsia="es-CR"/>
    </w:rPr>
  </w:style>
  <w:style w:type="character" w:styleId="nfasis">
    <w:name w:val="Emphasis"/>
    <w:uiPriority w:val="20"/>
    <w:qFormat/>
    <w:rsid w:val="008E6A56"/>
    <w:rPr>
      <w:rFonts w:cs="Times New Roman"/>
      <w:i/>
      <w:iCs/>
    </w:rPr>
  </w:style>
  <w:style w:type="paragraph" w:customStyle="1" w:styleId="Default">
    <w:name w:val="Default"/>
    <w:link w:val="DefaultChar"/>
    <w:rsid w:val="008E6A56"/>
    <w:pPr>
      <w:autoSpaceDE w:val="0"/>
      <w:autoSpaceDN w:val="0"/>
      <w:adjustRightInd w:val="0"/>
      <w:spacing w:after="0" w:line="240" w:lineRule="auto"/>
    </w:pPr>
    <w:rPr>
      <w:rFonts w:ascii="Times New Roman" w:eastAsia="Times New Roman" w:hAnsi="Times New Roman" w:cs="Times New Roman"/>
      <w:color w:val="000000"/>
      <w:sz w:val="24"/>
      <w:szCs w:val="24"/>
      <w:lang w:val="es-CR" w:eastAsia="es-CR"/>
    </w:rPr>
  </w:style>
  <w:style w:type="character" w:customStyle="1" w:styleId="DefaultChar">
    <w:name w:val="Default Char"/>
    <w:link w:val="Default"/>
    <w:locked/>
    <w:rsid w:val="008E6A56"/>
    <w:rPr>
      <w:rFonts w:ascii="Times New Roman" w:eastAsia="Times New Roman" w:hAnsi="Times New Roman" w:cs="Times New Roman"/>
      <w:color w:val="000000"/>
      <w:sz w:val="24"/>
      <w:szCs w:val="24"/>
      <w:lang w:val="es-CR" w:eastAsia="es-CR"/>
    </w:rPr>
  </w:style>
  <w:style w:type="paragraph" w:customStyle="1" w:styleId="align-justify">
    <w:name w:val="align-justify"/>
    <w:basedOn w:val="Normal"/>
    <w:rsid w:val="008E6A56"/>
    <w:pPr>
      <w:widowControl/>
      <w:adjustRightInd/>
      <w:spacing w:before="100" w:beforeAutospacing="1" w:after="100" w:afterAutospacing="1"/>
      <w:jc w:val="left"/>
      <w:textAlignment w:val="auto"/>
    </w:pPr>
    <w:rPr>
      <w:rFonts w:eastAsia="Times New Roman"/>
      <w:lang w:val="es-CR"/>
    </w:rPr>
  </w:style>
  <w:style w:type="paragraph" w:customStyle="1" w:styleId="Numberedparagraphs">
    <w:name w:val="Numbered paragraphs"/>
    <w:basedOn w:val="Normal"/>
    <w:qFormat/>
    <w:rsid w:val="008E6A56"/>
    <w:pPr>
      <w:widowControl/>
      <w:numPr>
        <w:numId w:val="10"/>
      </w:numPr>
      <w:adjustRightInd/>
      <w:textAlignment w:val="auto"/>
    </w:pPr>
    <w:rPr>
      <w:rFonts w:ascii="Verdana" w:eastAsia="MS Mincho" w:hAnsi="Verdana"/>
      <w:color w:val="000000"/>
      <w:sz w:val="20"/>
      <w:szCs w:val="20"/>
      <w:lang w:eastAsia="en-US"/>
    </w:rPr>
  </w:style>
  <w:style w:type="paragraph" w:customStyle="1" w:styleId="style1">
    <w:name w:val="style1"/>
    <w:basedOn w:val="Normal"/>
    <w:rsid w:val="008E6A56"/>
    <w:pPr>
      <w:widowControl/>
      <w:adjustRightInd/>
      <w:spacing w:before="100" w:beforeAutospacing="1" w:after="100" w:afterAutospacing="1"/>
      <w:jc w:val="left"/>
      <w:textAlignment w:val="auto"/>
    </w:pPr>
    <w:rPr>
      <w:rFonts w:eastAsia="Times New Roman"/>
      <w:lang w:val="en-US" w:eastAsia="en-US"/>
    </w:rPr>
  </w:style>
  <w:style w:type="paragraph" w:styleId="HTMLconformatoprevio">
    <w:name w:val="HTML Preformatted"/>
    <w:basedOn w:val="Normal"/>
    <w:link w:val="HTMLconformatoprevioCar"/>
    <w:unhideWhenUsed/>
    <w:rsid w:val="008E6A56"/>
    <w:rPr>
      <w:rFonts w:ascii="Consolas" w:hAnsi="Consolas" w:cs="Consolas"/>
      <w:sz w:val="20"/>
      <w:szCs w:val="20"/>
    </w:rPr>
  </w:style>
  <w:style w:type="character" w:customStyle="1" w:styleId="HTMLconformatoprevioCar">
    <w:name w:val="HTML con formato previo Car"/>
    <w:basedOn w:val="Fuentedeprrafopredeter"/>
    <w:link w:val="HTMLconformatoprevio"/>
    <w:rsid w:val="008E6A56"/>
    <w:rPr>
      <w:rFonts w:ascii="Consolas" w:eastAsia="Calibri" w:hAnsi="Consolas" w:cs="Consolas"/>
      <w:sz w:val="20"/>
      <w:szCs w:val="20"/>
      <w:lang w:val="es-ES_tradnl" w:eastAsia="es-CR"/>
    </w:rPr>
  </w:style>
  <w:style w:type="character" w:customStyle="1" w:styleId="highlight">
    <w:name w:val="highlight"/>
    <w:basedOn w:val="Fuentedeprrafopredeter"/>
    <w:rsid w:val="008E6A56"/>
  </w:style>
  <w:style w:type="character" w:customStyle="1" w:styleId="A2">
    <w:name w:val="A2"/>
    <w:uiPriority w:val="99"/>
    <w:rsid w:val="00CD2B15"/>
    <w:rPr>
      <w:rFonts w:ascii="Times" w:hAnsi="Times" w:cs="Times" w:hint="default"/>
      <w:color w:val="000000"/>
      <w:sz w:val="17"/>
      <w:szCs w:val="17"/>
    </w:rPr>
  </w:style>
  <w:style w:type="character" w:customStyle="1" w:styleId="apple-converted-space">
    <w:name w:val="apple-converted-space"/>
    <w:basedOn w:val="Fuentedeprrafopredeter"/>
    <w:rsid w:val="00CD2B15"/>
  </w:style>
  <w:style w:type="paragraph" w:customStyle="1" w:styleId="xmsolistparagraph">
    <w:name w:val="x_msolistparagraph"/>
    <w:basedOn w:val="Normal"/>
    <w:rsid w:val="00CD2B15"/>
    <w:pPr>
      <w:widowControl/>
      <w:adjustRightInd/>
      <w:spacing w:before="100" w:beforeAutospacing="1" w:after="100" w:afterAutospacing="1"/>
      <w:jc w:val="left"/>
      <w:textAlignment w:val="auto"/>
    </w:pPr>
    <w:rPr>
      <w:rFonts w:eastAsia="Times New Roman"/>
      <w:lang w:val="es-MX" w:eastAsia="es-MX"/>
    </w:rPr>
  </w:style>
  <w:style w:type="character" w:customStyle="1" w:styleId="normal10">
    <w:name w:val="normal10"/>
    <w:basedOn w:val="Fuentedeprrafopredeter"/>
    <w:rsid w:val="00CD2B15"/>
  </w:style>
  <w:style w:type="character" w:customStyle="1" w:styleId="e24kjd">
    <w:name w:val="e24kjd"/>
    <w:basedOn w:val="Fuentedeprrafopredeter"/>
    <w:rsid w:val="00CD2B15"/>
  </w:style>
  <w:style w:type="numbering" w:customStyle="1" w:styleId="Sinlista1">
    <w:name w:val="Sin lista1"/>
    <w:next w:val="Sinlista"/>
    <w:uiPriority w:val="99"/>
    <w:semiHidden/>
    <w:unhideWhenUsed/>
    <w:rsid w:val="00E6764B"/>
  </w:style>
  <w:style w:type="paragraph" w:customStyle="1" w:styleId="1">
    <w:name w:val="1"/>
    <w:basedOn w:val="Normal"/>
    <w:rsid w:val="00E6764B"/>
    <w:pPr>
      <w:widowControl/>
      <w:adjustRightInd/>
      <w:spacing w:after="160" w:line="240" w:lineRule="exact"/>
      <w:jc w:val="left"/>
      <w:textAlignment w:val="auto"/>
    </w:pPr>
    <w:rPr>
      <w:rFonts w:ascii="Verdana" w:eastAsia="Times New Roman" w:hAnsi="Verdana"/>
      <w:sz w:val="16"/>
      <w:szCs w:val="22"/>
      <w:vertAlign w:val="superscript"/>
      <w:lang w:val="es-CR" w:eastAsia="en-US"/>
    </w:rPr>
  </w:style>
  <w:style w:type="character" w:customStyle="1" w:styleId="Ttulo5Car">
    <w:name w:val="Título 5 Car"/>
    <w:basedOn w:val="Fuentedeprrafopredeter"/>
    <w:link w:val="Ttulo5"/>
    <w:uiPriority w:val="9"/>
    <w:rsid w:val="006168EA"/>
    <w:rPr>
      <w:rFonts w:ascii="Verdana" w:hAnsi="Verdana"/>
      <w:i/>
      <w:spacing w:val="-4"/>
      <w:sz w:val="20"/>
      <w:lang w:val="es-ES"/>
    </w:rPr>
  </w:style>
  <w:style w:type="character" w:customStyle="1" w:styleId="Ttulo6Car">
    <w:name w:val="Título 6 Car"/>
    <w:basedOn w:val="Fuentedeprrafopredeter"/>
    <w:link w:val="Ttulo6"/>
    <w:uiPriority w:val="9"/>
    <w:rsid w:val="006168EA"/>
    <w:rPr>
      <w:rFonts w:ascii="Verdana" w:eastAsia="Times New Roman" w:hAnsi="Verdana" w:cs="Times New Roman"/>
      <w:i/>
      <w:spacing w:val="-2"/>
      <w:sz w:val="20"/>
      <w:szCs w:val="20"/>
      <w:lang w:val="es-ES_tradnl" w:eastAsia="es-CR"/>
    </w:rPr>
  </w:style>
  <w:style w:type="character" w:customStyle="1" w:styleId="Ttulo7Car">
    <w:name w:val="Título 7 Car"/>
    <w:basedOn w:val="Fuentedeprrafopredeter"/>
    <w:link w:val="Ttulo7"/>
    <w:uiPriority w:val="9"/>
    <w:rsid w:val="006168EA"/>
    <w:rPr>
      <w:rFonts w:ascii="Verdana" w:eastAsia="Times New Roman" w:hAnsi="Verdana" w:cs="Times New Roman"/>
      <w:b/>
      <w:bCs/>
      <w:sz w:val="20"/>
      <w:szCs w:val="20"/>
      <w:lang w:val="es-ES_tradnl"/>
    </w:rPr>
  </w:style>
  <w:style w:type="character" w:customStyle="1" w:styleId="Ttulo8Car">
    <w:name w:val="Título 8 Car"/>
    <w:basedOn w:val="Fuentedeprrafopredeter"/>
    <w:link w:val="Ttulo8"/>
    <w:uiPriority w:val="9"/>
    <w:rsid w:val="006168EA"/>
    <w:rPr>
      <w:rFonts w:ascii="Verdana" w:eastAsia="Times New Roman" w:hAnsi="Verdana" w:cs="Times New Roman"/>
      <w:b/>
      <w:sz w:val="20"/>
      <w:szCs w:val="20"/>
      <w:lang w:val="es-MX"/>
    </w:rPr>
  </w:style>
  <w:style w:type="character" w:customStyle="1" w:styleId="Ttulo9Car">
    <w:name w:val="Título 9 Car"/>
    <w:basedOn w:val="Fuentedeprrafopredeter"/>
    <w:link w:val="Ttulo9"/>
    <w:uiPriority w:val="9"/>
    <w:rsid w:val="006168EA"/>
    <w:rPr>
      <w:rFonts w:ascii="Verdana" w:hAnsi="Verdana"/>
      <w:i/>
      <w:sz w:val="20"/>
      <w:lang w:val="en-US"/>
    </w:rPr>
  </w:style>
  <w:style w:type="paragraph" w:customStyle="1" w:styleId="Footnotes">
    <w:name w:val="**. Footnotes"/>
    <w:basedOn w:val="Textonotapie"/>
    <w:link w:val="FootnotesChar"/>
    <w:qFormat/>
    <w:rsid w:val="006168EA"/>
    <w:pPr>
      <w:widowControl/>
      <w:tabs>
        <w:tab w:val="clear" w:pos="2610"/>
      </w:tabs>
      <w:adjustRightInd/>
      <w:spacing w:after="0"/>
      <w:textAlignment w:val="auto"/>
    </w:pPr>
    <w:rPr>
      <w:rFonts w:eastAsia="Times New Roman" w:cs="Palatino-Italic"/>
      <w:iCs/>
      <w:spacing w:val="-4"/>
      <w:lang w:val="es-ES" w:eastAsia="en-US" w:bidi="en-US"/>
    </w:rPr>
  </w:style>
  <w:style w:type="character" w:customStyle="1" w:styleId="FootnotesChar">
    <w:name w:val="**. Footnotes Char"/>
    <w:basedOn w:val="Fuentedeprrafopredeter"/>
    <w:link w:val="Footnotes"/>
    <w:rsid w:val="006168EA"/>
    <w:rPr>
      <w:rFonts w:ascii="Verdana" w:eastAsia="Times New Roman" w:hAnsi="Verdana" w:cs="Palatino-Italic"/>
      <w:iCs/>
      <w:spacing w:val="-4"/>
      <w:sz w:val="16"/>
      <w:szCs w:val="16"/>
      <w:lang w:val="es-ES" w:bidi="en-US"/>
    </w:rPr>
  </w:style>
  <w:style w:type="character" w:customStyle="1" w:styleId="FootnoteTextChar">
    <w:name w:val="Footnote Text Char"/>
    <w:aliases w:val="footnote text Char,Footnote Text Cha Char,Car Char,FA Fuﬂnotentext Char,Ca Char,C Char,ft Char,5_G Char,FA Fu?notentext Char,C Char1,Texto nota pie Car Char1,FA Fu Car Char1,FA Fu Car Car Char1"/>
    <w:basedOn w:val="Fuentedeprrafopredeter"/>
    <w:qFormat/>
    <w:rsid w:val="006168EA"/>
    <w:rPr>
      <w:sz w:val="20"/>
      <w:szCs w:val="20"/>
      <w:lang w:eastAsia="es-CR"/>
    </w:rPr>
  </w:style>
  <w:style w:type="paragraph" w:customStyle="1" w:styleId="Estilo2">
    <w:name w:val="Estilo2"/>
    <w:basedOn w:val="Normal"/>
    <w:qFormat/>
    <w:rsid w:val="006168EA"/>
    <w:pPr>
      <w:widowControl/>
      <w:tabs>
        <w:tab w:val="left" w:pos="567"/>
        <w:tab w:val="left" w:pos="1134"/>
        <w:tab w:val="num" w:pos="4767"/>
      </w:tabs>
      <w:adjustRightInd/>
      <w:spacing w:after="120"/>
      <w:ind w:firstLine="357"/>
      <w:textAlignment w:val="auto"/>
    </w:pPr>
    <w:rPr>
      <w:rFonts w:ascii="Verdana" w:eastAsiaTheme="minorHAnsi" w:hAnsi="Verdana"/>
      <w:sz w:val="20"/>
      <w:szCs w:val="20"/>
      <w:lang w:val="es-ES" w:eastAsia="en-US"/>
    </w:rPr>
  </w:style>
  <w:style w:type="paragraph" w:customStyle="1" w:styleId="citaindirecta">
    <w:name w:val="cita indirecta"/>
    <w:basedOn w:val="Normal"/>
    <w:uiPriority w:val="99"/>
    <w:qFormat/>
    <w:rsid w:val="006168EA"/>
    <w:pPr>
      <w:widowControl/>
      <w:adjustRightInd/>
      <w:ind w:left="708"/>
      <w:textAlignment w:val="auto"/>
    </w:pPr>
    <w:rPr>
      <w:rFonts w:ascii="Verdana" w:eastAsia="Times New Roman" w:hAnsi="Verdana"/>
      <w:sz w:val="20"/>
      <w:szCs w:val="20"/>
      <w:lang w:eastAsia="es-MX"/>
    </w:rPr>
  </w:style>
  <w:style w:type="character" w:styleId="Refdecomentario">
    <w:name w:val="annotation reference"/>
    <w:basedOn w:val="Fuentedeprrafopredeter"/>
    <w:uiPriority w:val="99"/>
    <w:unhideWhenUsed/>
    <w:rsid w:val="006168EA"/>
    <w:rPr>
      <w:sz w:val="16"/>
      <w:szCs w:val="16"/>
    </w:rPr>
  </w:style>
  <w:style w:type="paragraph" w:styleId="Revisin">
    <w:name w:val="Revision"/>
    <w:hidden/>
    <w:uiPriority w:val="99"/>
    <w:semiHidden/>
    <w:rsid w:val="006168EA"/>
    <w:pPr>
      <w:spacing w:after="0" w:line="240" w:lineRule="auto"/>
    </w:pPr>
    <w:rPr>
      <w:rFonts w:ascii="Verdana" w:hAnsi="Verdana"/>
      <w:sz w:val="20"/>
      <w:lang w:val="en-US"/>
    </w:rPr>
  </w:style>
  <w:style w:type="paragraph" w:customStyle="1" w:styleId="Cabeceraypie">
    <w:name w:val="Cabecera y pie"/>
    <w:rsid w:val="006168EA"/>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s-ES" w:eastAsia="es-ES"/>
    </w:rPr>
  </w:style>
  <w:style w:type="paragraph" w:customStyle="1" w:styleId="Cuerpo">
    <w:name w:val="Cuerpo"/>
    <w:rsid w:val="006168E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 w:eastAsia="es-ES"/>
    </w:rPr>
  </w:style>
  <w:style w:type="paragraph" w:styleId="Sangradetextonormal">
    <w:name w:val="Body Text Indent"/>
    <w:link w:val="SangradetextonormalCar"/>
    <w:rsid w:val="006168EA"/>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sz w:val="24"/>
      <w:szCs w:val="24"/>
      <w:u w:color="000000"/>
      <w:bdr w:val="nil"/>
      <w:lang w:val="es-ES_tradnl" w:eastAsia="es-ES"/>
    </w:rPr>
  </w:style>
  <w:style w:type="character" w:customStyle="1" w:styleId="SangradetextonormalCar">
    <w:name w:val="Sangría de texto normal Car"/>
    <w:basedOn w:val="Fuentedeprrafopredeter"/>
    <w:link w:val="Sangradetextonormal"/>
    <w:rsid w:val="006168EA"/>
    <w:rPr>
      <w:rFonts w:ascii="Times New Roman" w:eastAsia="Times New Roman" w:hAnsi="Times New Roman" w:cs="Times New Roman"/>
      <w:color w:val="000000"/>
      <w:sz w:val="24"/>
      <w:szCs w:val="24"/>
      <w:u w:color="000000"/>
      <w:bdr w:val="nil"/>
      <w:lang w:val="es-ES_tradnl" w:eastAsia="es-ES"/>
    </w:rPr>
  </w:style>
  <w:style w:type="numbering" w:customStyle="1" w:styleId="List0">
    <w:name w:val="List 0"/>
    <w:basedOn w:val="Estiloimportado1"/>
    <w:rsid w:val="006168EA"/>
    <w:pPr>
      <w:numPr>
        <w:numId w:val="58"/>
      </w:numPr>
    </w:pPr>
  </w:style>
  <w:style w:type="numbering" w:customStyle="1" w:styleId="Estiloimportado1">
    <w:name w:val="Estilo importado 1"/>
    <w:rsid w:val="006168EA"/>
  </w:style>
  <w:style w:type="numbering" w:customStyle="1" w:styleId="List1">
    <w:name w:val="List 1"/>
    <w:basedOn w:val="Estiloimportado2"/>
    <w:rsid w:val="006168EA"/>
    <w:pPr>
      <w:numPr>
        <w:numId w:val="28"/>
      </w:numPr>
    </w:pPr>
  </w:style>
  <w:style w:type="numbering" w:customStyle="1" w:styleId="Estiloimportado2">
    <w:name w:val="Estilo importado 2"/>
    <w:rsid w:val="006168EA"/>
  </w:style>
  <w:style w:type="numbering" w:customStyle="1" w:styleId="List21">
    <w:name w:val="List 21"/>
    <w:basedOn w:val="Estiloimportado3"/>
    <w:rsid w:val="006168EA"/>
    <w:pPr>
      <w:numPr>
        <w:numId w:val="79"/>
      </w:numPr>
    </w:pPr>
  </w:style>
  <w:style w:type="numbering" w:customStyle="1" w:styleId="Estiloimportado3">
    <w:name w:val="Estilo importado 3"/>
    <w:rsid w:val="006168EA"/>
    <w:pPr>
      <w:numPr>
        <w:numId w:val="82"/>
      </w:numPr>
    </w:pPr>
  </w:style>
  <w:style w:type="numbering" w:customStyle="1" w:styleId="List31">
    <w:name w:val="List 31"/>
    <w:basedOn w:val="Estiloimportado4"/>
    <w:rsid w:val="006168EA"/>
    <w:pPr>
      <w:numPr>
        <w:numId w:val="78"/>
      </w:numPr>
    </w:pPr>
  </w:style>
  <w:style w:type="numbering" w:customStyle="1" w:styleId="Estiloimportado4">
    <w:name w:val="Estilo importado 4"/>
    <w:rsid w:val="006168EA"/>
  </w:style>
  <w:style w:type="numbering" w:customStyle="1" w:styleId="List41">
    <w:name w:val="List 41"/>
    <w:basedOn w:val="Estiloimportado5"/>
    <w:rsid w:val="006168EA"/>
    <w:pPr>
      <w:numPr>
        <w:numId w:val="29"/>
      </w:numPr>
    </w:pPr>
  </w:style>
  <w:style w:type="numbering" w:customStyle="1" w:styleId="Estiloimportado5">
    <w:name w:val="Estilo importado 5"/>
    <w:rsid w:val="006168EA"/>
  </w:style>
  <w:style w:type="numbering" w:customStyle="1" w:styleId="List51">
    <w:name w:val="List 51"/>
    <w:basedOn w:val="Estiloimportado6"/>
    <w:rsid w:val="006168EA"/>
    <w:pPr>
      <w:numPr>
        <w:numId w:val="80"/>
      </w:numPr>
    </w:pPr>
  </w:style>
  <w:style w:type="numbering" w:customStyle="1" w:styleId="Estiloimportado6">
    <w:name w:val="Estilo importado 6"/>
    <w:rsid w:val="006168EA"/>
  </w:style>
  <w:style w:type="numbering" w:customStyle="1" w:styleId="List6">
    <w:name w:val="List 6"/>
    <w:basedOn w:val="Estiloimportado7"/>
    <w:rsid w:val="006168EA"/>
    <w:pPr>
      <w:numPr>
        <w:numId w:val="30"/>
      </w:numPr>
    </w:pPr>
  </w:style>
  <w:style w:type="numbering" w:customStyle="1" w:styleId="Estiloimportado7">
    <w:name w:val="Estilo importado 7"/>
    <w:rsid w:val="006168EA"/>
  </w:style>
  <w:style w:type="numbering" w:customStyle="1" w:styleId="List7">
    <w:name w:val="List 7"/>
    <w:basedOn w:val="Estiloimportado8"/>
    <w:rsid w:val="006168EA"/>
    <w:pPr>
      <w:numPr>
        <w:numId w:val="31"/>
      </w:numPr>
    </w:pPr>
  </w:style>
  <w:style w:type="numbering" w:customStyle="1" w:styleId="Estiloimportado8">
    <w:name w:val="Estilo importado 8"/>
    <w:rsid w:val="006168EA"/>
  </w:style>
  <w:style w:type="numbering" w:customStyle="1" w:styleId="List8">
    <w:name w:val="List 8"/>
    <w:basedOn w:val="Estiloimportado9"/>
    <w:rsid w:val="006168EA"/>
    <w:pPr>
      <w:numPr>
        <w:numId w:val="32"/>
      </w:numPr>
    </w:pPr>
  </w:style>
  <w:style w:type="numbering" w:customStyle="1" w:styleId="Estiloimportado9">
    <w:name w:val="Estilo importado 9"/>
    <w:rsid w:val="006168EA"/>
  </w:style>
  <w:style w:type="numbering" w:customStyle="1" w:styleId="List9">
    <w:name w:val="List 9"/>
    <w:basedOn w:val="Estiloimportado10"/>
    <w:rsid w:val="006168EA"/>
    <w:pPr>
      <w:numPr>
        <w:numId w:val="49"/>
      </w:numPr>
    </w:pPr>
  </w:style>
  <w:style w:type="numbering" w:customStyle="1" w:styleId="Estiloimportado10">
    <w:name w:val="Estilo importado 10"/>
    <w:rsid w:val="006168EA"/>
  </w:style>
  <w:style w:type="numbering" w:customStyle="1" w:styleId="List10">
    <w:name w:val="List 10"/>
    <w:basedOn w:val="Estiloimportado11"/>
    <w:rsid w:val="006168EA"/>
    <w:pPr>
      <w:numPr>
        <w:numId w:val="33"/>
      </w:numPr>
    </w:pPr>
  </w:style>
  <w:style w:type="numbering" w:customStyle="1" w:styleId="Estiloimportado11">
    <w:name w:val="Estilo importado 11"/>
    <w:rsid w:val="006168EA"/>
  </w:style>
  <w:style w:type="numbering" w:customStyle="1" w:styleId="List11">
    <w:name w:val="List 11"/>
    <w:basedOn w:val="Estiloimportado12"/>
    <w:rsid w:val="006168EA"/>
    <w:pPr>
      <w:numPr>
        <w:numId w:val="34"/>
      </w:numPr>
    </w:pPr>
  </w:style>
  <w:style w:type="numbering" w:customStyle="1" w:styleId="Estiloimportado12">
    <w:name w:val="Estilo importado 12"/>
    <w:rsid w:val="006168EA"/>
  </w:style>
  <w:style w:type="numbering" w:customStyle="1" w:styleId="List12">
    <w:name w:val="List 12"/>
    <w:basedOn w:val="Estiloimportado13"/>
    <w:rsid w:val="006168EA"/>
    <w:pPr>
      <w:numPr>
        <w:numId w:val="63"/>
      </w:numPr>
    </w:pPr>
  </w:style>
  <w:style w:type="numbering" w:customStyle="1" w:styleId="Estiloimportado13">
    <w:name w:val="Estilo importado 13"/>
    <w:rsid w:val="006168EA"/>
  </w:style>
  <w:style w:type="numbering" w:customStyle="1" w:styleId="List13">
    <w:name w:val="List 13"/>
    <w:basedOn w:val="Estiloimportado14"/>
    <w:rsid w:val="006168EA"/>
    <w:pPr>
      <w:numPr>
        <w:numId w:val="69"/>
      </w:numPr>
    </w:pPr>
  </w:style>
  <w:style w:type="numbering" w:customStyle="1" w:styleId="Estiloimportado14">
    <w:name w:val="Estilo importado 14"/>
    <w:rsid w:val="006168EA"/>
  </w:style>
  <w:style w:type="numbering" w:customStyle="1" w:styleId="List14">
    <w:name w:val="List 14"/>
    <w:basedOn w:val="Estiloimportado15"/>
    <w:rsid w:val="006168EA"/>
    <w:pPr>
      <w:numPr>
        <w:numId w:val="44"/>
      </w:numPr>
    </w:pPr>
  </w:style>
  <w:style w:type="numbering" w:customStyle="1" w:styleId="Estiloimportado15">
    <w:name w:val="Estilo importado 15"/>
    <w:rsid w:val="006168EA"/>
  </w:style>
  <w:style w:type="numbering" w:customStyle="1" w:styleId="List15">
    <w:name w:val="List 15"/>
    <w:basedOn w:val="Estiloimportado16"/>
    <w:rsid w:val="006168EA"/>
    <w:pPr>
      <w:numPr>
        <w:numId w:val="43"/>
      </w:numPr>
    </w:pPr>
  </w:style>
  <w:style w:type="numbering" w:customStyle="1" w:styleId="Estiloimportado16">
    <w:name w:val="Estilo importado 16"/>
    <w:rsid w:val="006168EA"/>
  </w:style>
  <w:style w:type="numbering" w:customStyle="1" w:styleId="List16">
    <w:name w:val="List 16"/>
    <w:basedOn w:val="Estiloimportado16"/>
    <w:rsid w:val="006168EA"/>
    <w:pPr>
      <w:numPr>
        <w:numId w:val="37"/>
      </w:numPr>
    </w:pPr>
  </w:style>
  <w:style w:type="numbering" w:customStyle="1" w:styleId="List17">
    <w:name w:val="List 17"/>
    <w:basedOn w:val="Estiloimportado17"/>
    <w:rsid w:val="006168EA"/>
    <w:pPr>
      <w:numPr>
        <w:numId w:val="52"/>
      </w:numPr>
    </w:pPr>
  </w:style>
  <w:style w:type="numbering" w:customStyle="1" w:styleId="Estiloimportado17">
    <w:name w:val="Estilo importado 17"/>
    <w:rsid w:val="006168EA"/>
  </w:style>
  <w:style w:type="numbering" w:customStyle="1" w:styleId="List18">
    <w:name w:val="List 18"/>
    <w:basedOn w:val="Estiloimportado18"/>
    <w:rsid w:val="006168EA"/>
    <w:pPr>
      <w:numPr>
        <w:numId w:val="54"/>
      </w:numPr>
    </w:pPr>
  </w:style>
  <w:style w:type="numbering" w:customStyle="1" w:styleId="Estiloimportado18">
    <w:name w:val="Estilo importado 18"/>
    <w:rsid w:val="006168EA"/>
  </w:style>
  <w:style w:type="numbering" w:customStyle="1" w:styleId="List19">
    <w:name w:val="List 19"/>
    <w:basedOn w:val="Estiloimportado10"/>
    <w:rsid w:val="006168EA"/>
    <w:pPr>
      <w:numPr>
        <w:numId w:val="46"/>
      </w:numPr>
    </w:pPr>
  </w:style>
  <w:style w:type="numbering" w:customStyle="1" w:styleId="List20">
    <w:name w:val="List 20"/>
    <w:basedOn w:val="Estiloimportado12"/>
    <w:rsid w:val="006168EA"/>
    <w:pPr>
      <w:numPr>
        <w:numId w:val="70"/>
      </w:numPr>
    </w:pPr>
  </w:style>
  <w:style w:type="numbering" w:customStyle="1" w:styleId="List211">
    <w:name w:val="List 211"/>
    <w:basedOn w:val="Estiloimportado19"/>
    <w:rsid w:val="006168EA"/>
    <w:pPr>
      <w:numPr>
        <w:numId w:val="65"/>
      </w:numPr>
    </w:pPr>
  </w:style>
  <w:style w:type="numbering" w:customStyle="1" w:styleId="Estiloimportado19">
    <w:name w:val="Estilo importado 19"/>
    <w:rsid w:val="006168EA"/>
  </w:style>
  <w:style w:type="numbering" w:customStyle="1" w:styleId="List22">
    <w:name w:val="List 22"/>
    <w:basedOn w:val="Estiloimportado19"/>
    <w:rsid w:val="006168EA"/>
    <w:pPr>
      <w:numPr>
        <w:numId w:val="55"/>
      </w:numPr>
    </w:pPr>
  </w:style>
  <w:style w:type="numbering" w:customStyle="1" w:styleId="List23">
    <w:name w:val="List 23"/>
    <w:basedOn w:val="Estiloimportado19"/>
    <w:rsid w:val="006168EA"/>
    <w:pPr>
      <w:numPr>
        <w:numId w:val="45"/>
      </w:numPr>
    </w:pPr>
  </w:style>
  <w:style w:type="numbering" w:customStyle="1" w:styleId="List24">
    <w:name w:val="List 24"/>
    <w:basedOn w:val="Estiloimportado20"/>
    <w:rsid w:val="006168EA"/>
    <w:pPr>
      <w:numPr>
        <w:numId w:val="40"/>
      </w:numPr>
    </w:pPr>
  </w:style>
  <w:style w:type="numbering" w:customStyle="1" w:styleId="Estiloimportado20">
    <w:name w:val="Estilo importado 20"/>
    <w:rsid w:val="006168EA"/>
  </w:style>
  <w:style w:type="numbering" w:customStyle="1" w:styleId="List25">
    <w:name w:val="List 25"/>
    <w:basedOn w:val="Estiloimportado21"/>
    <w:rsid w:val="006168EA"/>
    <w:pPr>
      <w:numPr>
        <w:numId w:val="42"/>
      </w:numPr>
    </w:pPr>
  </w:style>
  <w:style w:type="numbering" w:customStyle="1" w:styleId="Estiloimportado21">
    <w:name w:val="Estilo importado 21"/>
    <w:rsid w:val="006168EA"/>
  </w:style>
  <w:style w:type="numbering" w:customStyle="1" w:styleId="List26">
    <w:name w:val="List 26"/>
    <w:basedOn w:val="Estiloimportado22"/>
    <w:rsid w:val="006168EA"/>
    <w:pPr>
      <w:numPr>
        <w:numId w:val="76"/>
      </w:numPr>
    </w:pPr>
  </w:style>
  <w:style w:type="numbering" w:customStyle="1" w:styleId="Estiloimportado22">
    <w:name w:val="Estilo importado 22"/>
    <w:rsid w:val="006168EA"/>
  </w:style>
  <w:style w:type="numbering" w:customStyle="1" w:styleId="List27">
    <w:name w:val="List 27"/>
    <w:basedOn w:val="Estiloimportado23"/>
    <w:rsid w:val="006168EA"/>
    <w:pPr>
      <w:numPr>
        <w:numId w:val="68"/>
      </w:numPr>
    </w:pPr>
  </w:style>
  <w:style w:type="numbering" w:customStyle="1" w:styleId="Estiloimportado23">
    <w:name w:val="Estilo importado 23"/>
    <w:rsid w:val="006168EA"/>
  </w:style>
  <w:style w:type="numbering" w:customStyle="1" w:styleId="List28">
    <w:name w:val="List 28"/>
    <w:basedOn w:val="Estiloimportado24"/>
    <w:rsid w:val="006168EA"/>
    <w:pPr>
      <w:numPr>
        <w:numId w:val="57"/>
      </w:numPr>
    </w:pPr>
  </w:style>
  <w:style w:type="numbering" w:customStyle="1" w:styleId="Estiloimportado24">
    <w:name w:val="Estilo importado 24"/>
    <w:rsid w:val="006168EA"/>
  </w:style>
  <w:style w:type="numbering" w:customStyle="1" w:styleId="List29">
    <w:name w:val="List 29"/>
    <w:basedOn w:val="Estiloimportado25"/>
    <w:rsid w:val="006168EA"/>
    <w:pPr>
      <w:numPr>
        <w:numId w:val="61"/>
      </w:numPr>
    </w:pPr>
  </w:style>
  <w:style w:type="numbering" w:customStyle="1" w:styleId="Estiloimportado25">
    <w:name w:val="Estilo importado 25"/>
    <w:rsid w:val="006168EA"/>
  </w:style>
  <w:style w:type="numbering" w:customStyle="1" w:styleId="List30">
    <w:name w:val="List 30"/>
    <w:basedOn w:val="Estiloimportado26"/>
    <w:rsid w:val="006168EA"/>
    <w:pPr>
      <w:numPr>
        <w:numId w:val="59"/>
      </w:numPr>
    </w:pPr>
  </w:style>
  <w:style w:type="numbering" w:customStyle="1" w:styleId="Estiloimportado26">
    <w:name w:val="Estilo importado 26"/>
    <w:rsid w:val="006168EA"/>
  </w:style>
  <w:style w:type="numbering" w:customStyle="1" w:styleId="List311">
    <w:name w:val="List 311"/>
    <w:basedOn w:val="Estiloimportado27"/>
    <w:rsid w:val="006168EA"/>
    <w:pPr>
      <w:numPr>
        <w:numId w:val="72"/>
      </w:numPr>
    </w:pPr>
  </w:style>
  <w:style w:type="numbering" w:customStyle="1" w:styleId="Estiloimportado27">
    <w:name w:val="Estilo importado 27"/>
    <w:rsid w:val="006168EA"/>
  </w:style>
  <w:style w:type="numbering" w:customStyle="1" w:styleId="List32">
    <w:name w:val="List 32"/>
    <w:basedOn w:val="Estiloimportado28"/>
    <w:rsid w:val="006168EA"/>
    <w:pPr>
      <w:numPr>
        <w:numId w:val="75"/>
      </w:numPr>
    </w:pPr>
  </w:style>
  <w:style w:type="numbering" w:customStyle="1" w:styleId="Estiloimportado28">
    <w:name w:val="Estilo importado 28"/>
    <w:rsid w:val="006168EA"/>
  </w:style>
  <w:style w:type="numbering" w:customStyle="1" w:styleId="List33">
    <w:name w:val="List 33"/>
    <w:basedOn w:val="Estiloimportado29"/>
    <w:rsid w:val="006168EA"/>
    <w:pPr>
      <w:numPr>
        <w:numId w:val="53"/>
      </w:numPr>
    </w:pPr>
  </w:style>
  <w:style w:type="numbering" w:customStyle="1" w:styleId="Estiloimportado29">
    <w:name w:val="Estilo importado 29"/>
    <w:rsid w:val="006168EA"/>
  </w:style>
  <w:style w:type="numbering" w:customStyle="1" w:styleId="List34">
    <w:name w:val="List 34"/>
    <w:basedOn w:val="Estiloimportado30"/>
    <w:rsid w:val="006168EA"/>
    <w:pPr>
      <w:numPr>
        <w:numId w:val="38"/>
      </w:numPr>
    </w:pPr>
  </w:style>
  <w:style w:type="numbering" w:customStyle="1" w:styleId="Estiloimportado30">
    <w:name w:val="Estilo importado 30"/>
    <w:rsid w:val="006168EA"/>
  </w:style>
  <w:style w:type="numbering" w:customStyle="1" w:styleId="List35">
    <w:name w:val="List 35"/>
    <w:basedOn w:val="Estiloimportado31"/>
    <w:rsid w:val="006168EA"/>
    <w:pPr>
      <w:numPr>
        <w:numId w:val="35"/>
      </w:numPr>
    </w:pPr>
  </w:style>
  <w:style w:type="numbering" w:customStyle="1" w:styleId="Estiloimportado31">
    <w:name w:val="Estilo importado 31"/>
    <w:rsid w:val="006168EA"/>
  </w:style>
  <w:style w:type="numbering" w:customStyle="1" w:styleId="List36">
    <w:name w:val="List 36"/>
    <w:basedOn w:val="Estiloimportado32"/>
    <w:rsid w:val="006168EA"/>
    <w:pPr>
      <w:numPr>
        <w:numId w:val="41"/>
      </w:numPr>
    </w:pPr>
  </w:style>
  <w:style w:type="numbering" w:customStyle="1" w:styleId="Estiloimportado32">
    <w:name w:val="Estilo importado 32"/>
    <w:rsid w:val="006168EA"/>
  </w:style>
  <w:style w:type="numbering" w:customStyle="1" w:styleId="List37">
    <w:name w:val="List 37"/>
    <w:basedOn w:val="Estiloimportado33"/>
    <w:rsid w:val="006168EA"/>
    <w:pPr>
      <w:numPr>
        <w:numId w:val="74"/>
      </w:numPr>
    </w:pPr>
  </w:style>
  <w:style w:type="numbering" w:customStyle="1" w:styleId="Estiloimportado33">
    <w:name w:val="Estilo importado 33"/>
    <w:rsid w:val="006168EA"/>
  </w:style>
  <w:style w:type="numbering" w:customStyle="1" w:styleId="List38">
    <w:name w:val="List 38"/>
    <w:basedOn w:val="Estiloimportado34"/>
    <w:rsid w:val="006168EA"/>
    <w:pPr>
      <w:numPr>
        <w:numId w:val="62"/>
      </w:numPr>
    </w:pPr>
  </w:style>
  <w:style w:type="numbering" w:customStyle="1" w:styleId="Estiloimportado34">
    <w:name w:val="Estilo importado 34"/>
    <w:rsid w:val="006168EA"/>
  </w:style>
  <w:style w:type="numbering" w:customStyle="1" w:styleId="List39">
    <w:name w:val="List 39"/>
    <w:basedOn w:val="Estiloimportado35"/>
    <w:rsid w:val="006168EA"/>
    <w:pPr>
      <w:numPr>
        <w:numId w:val="73"/>
      </w:numPr>
    </w:pPr>
  </w:style>
  <w:style w:type="numbering" w:customStyle="1" w:styleId="Estiloimportado35">
    <w:name w:val="Estilo importado 35"/>
    <w:rsid w:val="006168EA"/>
  </w:style>
  <w:style w:type="numbering" w:customStyle="1" w:styleId="List40">
    <w:name w:val="List 40"/>
    <w:basedOn w:val="Estiloimportado36"/>
    <w:rsid w:val="006168EA"/>
    <w:pPr>
      <w:numPr>
        <w:numId w:val="48"/>
      </w:numPr>
    </w:pPr>
  </w:style>
  <w:style w:type="numbering" w:customStyle="1" w:styleId="Estiloimportado36">
    <w:name w:val="Estilo importado 36"/>
    <w:rsid w:val="006168EA"/>
  </w:style>
  <w:style w:type="numbering" w:customStyle="1" w:styleId="List411">
    <w:name w:val="List 411"/>
    <w:basedOn w:val="Estiloimportado37"/>
    <w:rsid w:val="006168EA"/>
    <w:pPr>
      <w:numPr>
        <w:numId w:val="71"/>
      </w:numPr>
    </w:pPr>
  </w:style>
  <w:style w:type="numbering" w:customStyle="1" w:styleId="Estiloimportado37">
    <w:name w:val="Estilo importado 37"/>
    <w:rsid w:val="006168EA"/>
  </w:style>
  <w:style w:type="numbering" w:customStyle="1" w:styleId="List42">
    <w:name w:val="List 42"/>
    <w:basedOn w:val="Estiloimportado12"/>
    <w:rsid w:val="006168EA"/>
    <w:pPr>
      <w:numPr>
        <w:numId w:val="39"/>
      </w:numPr>
    </w:pPr>
  </w:style>
  <w:style w:type="numbering" w:customStyle="1" w:styleId="List43">
    <w:name w:val="List 43"/>
    <w:basedOn w:val="Estiloimportado38"/>
    <w:rsid w:val="006168EA"/>
    <w:pPr>
      <w:numPr>
        <w:numId w:val="50"/>
      </w:numPr>
    </w:pPr>
  </w:style>
  <w:style w:type="numbering" w:customStyle="1" w:styleId="Estiloimportado38">
    <w:name w:val="Estilo importado 38"/>
    <w:rsid w:val="006168EA"/>
  </w:style>
  <w:style w:type="numbering" w:customStyle="1" w:styleId="List44">
    <w:name w:val="List 44"/>
    <w:basedOn w:val="Estiloimportado39"/>
    <w:rsid w:val="006168EA"/>
    <w:pPr>
      <w:numPr>
        <w:numId w:val="67"/>
      </w:numPr>
    </w:pPr>
  </w:style>
  <w:style w:type="numbering" w:customStyle="1" w:styleId="Estiloimportado39">
    <w:name w:val="Estilo importado 39"/>
    <w:rsid w:val="006168EA"/>
  </w:style>
  <w:style w:type="numbering" w:customStyle="1" w:styleId="List45">
    <w:name w:val="List 45"/>
    <w:basedOn w:val="Estiloimportado40"/>
    <w:rsid w:val="006168EA"/>
    <w:pPr>
      <w:numPr>
        <w:numId w:val="47"/>
      </w:numPr>
    </w:pPr>
  </w:style>
  <w:style w:type="numbering" w:customStyle="1" w:styleId="Estiloimportado40">
    <w:name w:val="Estilo importado 40"/>
    <w:rsid w:val="006168EA"/>
  </w:style>
  <w:style w:type="numbering" w:customStyle="1" w:styleId="List46">
    <w:name w:val="List 46"/>
    <w:basedOn w:val="Estiloimportado41"/>
    <w:rsid w:val="006168EA"/>
    <w:pPr>
      <w:numPr>
        <w:numId w:val="51"/>
      </w:numPr>
    </w:pPr>
  </w:style>
  <w:style w:type="numbering" w:customStyle="1" w:styleId="Estiloimportado41">
    <w:name w:val="Estilo importado 41"/>
    <w:rsid w:val="006168EA"/>
  </w:style>
  <w:style w:type="numbering" w:customStyle="1" w:styleId="List47">
    <w:name w:val="List 47"/>
    <w:basedOn w:val="Estiloimportado42"/>
    <w:rsid w:val="006168EA"/>
    <w:pPr>
      <w:numPr>
        <w:numId w:val="56"/>
      </w:numPr>
    </w:pPr>
  </w:style>
  <w:style w:type="numbering" w:customStyle="1" w:styleId="Estiloimportado42">
    <w:name w:val="Estilo importado 42"/>
    <w:rsid w:val="006168EA"/>
  </w:style>
  <w:style w:type="numbering" w:customStyle="1" w:styleId="List48">
    <w:name w:val="List 48"/>
    <w:basedOn w:val="Estiloimportado43"/>
    <w:rsid w:val="006168EA"/>
    <w:pPr>
      <w:numPr>
        <w:numId w:val="77"/>
      </w:numPr>
    </w:pPr>
  </w:style>
  <w:style w:type="numbering" w:customStyle="1" w:styleId="Estiloimportado43">
    <w:name w:val="Estilo importado 43"/>
    <w:rsid w:val="006168EA"/>
  </w:style>
  <w:style w:type="numbering" w:customStyle="1" w:styleId="List49">
    <w:name w:val="List 49"/>
    <w:basedOn w:val="Estiloimportado44"/>
    <w:rsid w:val="006168EA"/>
    <w:pPr>
      <w:numPr>
        <w:numId w:val="66"/>
      </w:numPr>
    </w:pPr>
  </w:style>
  <w:style w:type="numbering" w:customStyle="1" w:styleId="Estiloimportado44">
    <w:name w:val="Estilo importado 44"/>
    <w:rsid w:val="006168EA"/>
  </w:style>
  <w:style w:type="numbering" w:customStyle="1" w:styleId="List50">
    <w:name w:val="List 50"/>
    <w:basedOn w:val="Estiloimportado45"/>
    <w:rsid w:val="006168EA"/>
    <w:pPr>
      <w:numPr>
        <w:numId w:val="64"/>
      </w:numPr>
    </w:pPr>
  </w:style>
  <w:style w:type="numbering" w:customStyle="1" w:styleId="Estiloimportado45">
    <w:name w:val="Estilo importado 45"/>
    <w:rsid w:val="006168EA"/>
  </w:style>
  <w:style w:type="numbering" w:customStyle="1" w:styleId="List511">
    <w:name w:val="List 511"/>
    <w:basedOn w:val="Estiloimportado46"/>
    <w:rsid w:val="006168EA"/>
    <w:pPr>
      <w:numPr>
        <w:numId w:val="60"/>
      </w:numPr>
    </w:pPr>
  </w:style>
  <w:style w:type="numbering" w:customStyle="1" w:styleId="Estiloimportado46">
    <w:name w:val="Estilo importado 46"/>
    <w:rsid w:val="006168EA"/>
  </w:style>
  <w:style w:type="numbering" w:customStyle="1" w:styleId="List52">
    <w:name w:val="List 52"/>
    <w:basedOn w:val="Estiloimportado1"/>
    <w:rsid w:val="006168EA"/>
    <w:pPr>
      <w:numPr>
        <w:numId w:val="36"/>
      </w:numPr>
    </w:pPr>
  </w:style>
  <w:style w:type="table" w:styleId="Sombreadomedio1-nfasis2">
    <w:name w:val="Medium Shading 1 Accent 2"/>
    <w:basedOn w:val="Tablanormal"/>
    <w:uiPriority w:val="63"/>
    <w:rsid w:val="006168EA"/>
    <w:pPr>
      <w:spacing w:after="0" w:line="240" w:lineRule="auto"/>
    </w:pPr>
    <w:rPr>
      <w:rFonts w:ascii="Times New Roman" w:eastAsia="Arial Unicode MS" w:hAnsi="Times New Roman" w:cs="Times New Roman"/>
      <w:sz w:val="20"/>
      <w:szCs w:val="20"/>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DC4">
    <w:name w:val="toc 4"/>
    <w:basedOn w:val="Normal"/>
    <w:next w:val="Normal"/>
    <w:autoRedefine/>
    <w:uiPriority w:val="39"/>
    <w:unhideWhenUsed/>
    <w:rsid w:val="006168EA"/>
    <w:pPr>
      <w:widowControl/>
      <w:pBdr>
        <w:top w:val="nil"/>
        <w:left w:val="nil"/>
        <w:bottom w:val="nil"/>
        <w:right w:val="nil"/>
        <w:between w:val="nil"/>
        <w:bar w:val="nil"/>
      </w:pBdr>
      <w:adjustRightInd/>
      <w:spacing w:after="100"/>
      <w:ind w:left="720"/>
      <w:jc w:val="left"/>
      <w:textAlignment w:val="auto"/>
    </w:pPr>
    <w:rPr>
      <w:rFonts w:eastAsia="Arial Unicode MS"/>
      <w:bdr w:val="nil"/>
      <w:lang w:eastAsia="en-US"/>
    </w:rPr>
  </w:style>
  <w:style w:type="paragraph" w:styleId="Sangra2detindependiente">
    <w:name w:val="Body Text Indent 2"/>
    <w:basedOn w:val="Normal"/>
    <w:link w:val="Sangra2detindependienteCar"/>
    <w:unhideWhenUsed/>
    <w:rsid w:val="006168EA"/>
    <w:pPr>
      <w:widowControl/>
      <w:pBdr>
        <w:top w:val="nil"/>
        <w:left w:val="nil"/>
        <w:bottom w:val="nil"/>
        <w:right w:val="nil"/>
        <w:between w:val="nil"/>
        <w:bar w:val="nil"/>
      </w:pBdr>
      <w:adjustRightInd/>
      <w:spacing w:after="120" w:line="480" w:lineRule="auto"/>
      <w:ind w:left="360"/>
      <w:jc w:val="left"/>
      <w:textAlignment w:val="auto"/>
    </w:pPr>
    <w:rPr>
      <w:rFonts w:eastAsia="Arial Unicode MS"/>
      <w:bdr w:val="nil"/>
      <w:lang w:eastAsia="en-US"/>
    </w:rPr>
  </w:style>
  <w:style w:type="character" w:customStyle="1" w:styleId="Sangra2detindependienteCar">
    <w:name w:val="Sangría 2 de t. independiente Car"/>
    <w:basedOn w:val="Fuentedeprrafopredeter"/>
    <w:link w:val="Sangra2detindependiente"/>
    <w:rsid w:val="006168EA"/>
    <w:rPr>
      <w:rFonts w:ascii="Times New Roman" w:eastAsia="Arial Unicode MS" w:hAnsi="Times New Roman" w:cs="Times New Roman"/>
      <w:sz w:val="24"/>
      <w:szCs w:val="24"/>
      <w:bdr w:val="nil"/>
      <w:lang w:val="es-ES_tradnl"/>
    </w:rPr>
  </w:style>
  <w:style w:type="paragraph" w:styleId="Textonotaalfinal">
    <w:name w:val="endnote text"/>
    <w:basedOn w:val="Normal"/>
    <w:link w:val="TextonotaalfinalCar1"/>
    <w:rsid w:val="006168EA"/>
    <w:pPr>
      <w:widowControl/>
      <w:adjustRightInd/>
      <w:spacing w:before="100" w:beforeAutospacing="1" w:after="100" w:afterAutospacing="1"/>
      <w:jc w:val="left"/>
      <w:textAlignment w:val="auto"/>
    </w:pPr>
    <w:rPr>
      <w:rFonts w:eastAsia="Times New Roman"/>
      <w:lang w:eastAsia="en-US"/>
    </w:rPr>
  </w:style>
  <w:style w:type="character" w:customStyle="1" w:styleId="TextonotaalfinalCar">
    <w:name w:val="Texto nota al final Car"/>
    <w:basedOn w:val="Fuentedeprrafopredeter"/>
    <w:uiPriority w:val="99"/>
    <w:semiHidden/>
    <w:rsid w:val="006168EA"/>
    <w:rPr>
      <w:rFonts w:ascii="Times New Roman" w:eastAsia="Calibri" w:hAnsi="Times New Roman" w:cs="Times New Roman"/>
      <w:sz w:val="20"/>
      <w:szCs w:val="20"/>
      <w:lang w:val="es-ES_tradnl" w:eastAsia="es-CR"/>
    </w:rPr>
  </w:style>
  <w:style w:type="character" w:customStyle="1" w:styleId="TextonotaalfinalCar1">
    <w:name w:val="Texto nota al final Car1"/>
    <w:basedOn w:val="Fuentedeprrafopredeter"/>
    <w:link w:val="Textonotaalfinal"/>
    <w:rsid w:val="006168EA"/>
    <w:rPr>
      <w:rFonts w:ascii="Times New Roman" w:eastAsia="Times New Roman" w:hAnsi="Times New Roman" w:cs="Times New Roman"/>
      <w:sz w:val="24"/>
      <w:szCs w:val="24"/>
      <w:lang w:val="es-ES_tradnl"/>
    </w:rPr>
  </w:style>
  <w:style w:type="paragraph" w:styleId="Subttulo">
    <w:name w:val="Subtitle"/>
    <w:basedOn w:val="Normal"/>
    <w:link w:val="SubttuloCar"/>
    <w:qFormat/>
    <w:rsid w:val="006168EA"/>
    <w:pPr>
      <w:widowControl/>
      <w:suppressAutoHyphens/>
      <w:adjustRightInd/>
      <w:spacing w:after="60"/>
      <w:jc w:val="center"/>
      <w:textAlignment w:val="auto"/>
      <w:outlineLvl w:val="1"/>
    </w:pPr>
    <w:rPr>
      <w:rFonts w:ascii="Arial" w:eastAsia="MS Mincho" w:hAnsi="Arial" w:cs="Arial"/>
      <w:lang w:eastAsia="ar-SA"/>
    </w:rPr>
  </w:style>
  <w:style w:type="character" w:customStyle="1" w:styleId="SubttuloCar">
    <w:name w:val="Subtítulo Car"/>
    <w:basedOn w:val="Fuentedeprrafopredeter"/>
    <w:link w:val="Subttulo"/>
    <w:rsid w:val="006168EA"/>
    <w:rPr>
      <w:rFonts w:ascii="Arial" w:eastAsia="MS Mincho" w:hAnsi="Arial" w:cs="Arial"/>
      <w:sz w:val="24"/>
      <w:szCs w:val="24"/>
      <w:lang w:val="es-ES_tradnl" w:eastAsia="ar-SA"/>
    </w:rPr>
  </w:style>
  <w:style w:type="paragraph" w:styleId="Sangra3detindependiente">
    <w:name w:val="Body Text Indent 3"/>
    <w:basedOn w:val="Normal"/>
    <w:link w:val="Sangra3detindependienteCar"/>
    <w:rsid w:val="006168EA"/>
    <w:pPr>
      <w:widowControl/>
      <w:suppressAutoHyphens/>
      <w:adjustRightInd/>
      <w:spacing w:after="120"/>
      <w:ind w:left="360"/>
      <w:jc w:val="left"/>
      <w:textAlignment w:val="auto"/>
    </w:pPr>
    <w:rPr>
      <w:rFonts w:eastAsia="MS Mincho"/>
      <w:sz w:val="16"/>
      <w:szCs w:val="16"/>
      <w:lang w:eastAsia="ar-SA"/>
    </w:rPr>
  </w:style>
  <w:style w:type="character" w:customStyle="1" w:styleId="Sangra3detindependienteCar">
    <w:name w:val="Sangría 3 de t. independiente Car"/>
    <w:basedOn w:val="Fuentedeprrafopredeter"/>
    <w:link w:val="Sangra3detindependiente"/>
    <w:rsid w:val="006168EA"/>
    <w:rPr>
      <w:rFonts w:ascii="Times New Roman" w:eastAsia="MS Mincho" w:hAnsi="Times New Roman" w:cs="Times New Roman"/>
      <w:sz w:val="16"/>
      <w:szCs w:val="16"/>
      <w:lang w:val="es-ES_tradnl" w:eastAsia="ar-SA"/>
    </w:rPr>
  </w:style>
  <w:style w:type="paragraph" w:styleId="Textodebloque">
    <w:name w:val="Block Text"/>
    <w:basedOn w:val="Normal"/>
    <w:rsid w:val="006168EA"/>
    <w:pPr>
      <w:widowControl/>
      <w:adjustRightInd/>
      <w:ind w:left="720" w:right="720"/>
      <w:textAlignment w:val="auto"/>
    </w:pPr>
    <w:rPr>
      <w:rFonts w:ascii="Univers" w:eastAsia="Times New Roman" w:hAnsi="Univers"/>
      <w:sz w:val="18"/>
      <w:szCs w:val="20"/>
      <w:lang w:eastAsia="en-US"/>
    </w:rPr>
  </w:style>
  <w:style w:type="paragraph" w:customStyle="1" w:styleId="Textonotapie1">
    <w:name w:val="Texto nota pie1"/>
    <w:basedOn w:val="Normal"/>
    <w:semiHidden/>
    <w:rsid w:val="006168EA"/>
    <w:pPr>
      <w:widowControl/>
      <w:adjustRightInd/>
      <w:jc w:val="left"/>
      <w:textAlignment w:val="auto"/>
    </w:pPr>
    <w:rPr>
      <w:rFonts w:eastAsia="Times New Roman"/>
      <w:sz w:val="20"/>
      <w:szCs w:val="20"/>
      <w:lang w:eastAsia="es-ES"/>
    </w:rPr>
  </w:style>
  <w:style w:type="character" w:styleId="Hipervnculovisitado">
    <w:name w:val="FollowedHyperlink"/>
    <w:rsid w:val="006168EA"/>
    <w:rPr>
      <w:color w:val="800080"/>
      <w:u w:val="single"/>
    </w:rPr>
  </w:style>
  <w:style w:type="paragraph" w:styleId="Textoindependiente2">
    <w:name w:val="Body Text 2"/>
    <w:basedOn w:val="Normal"/>
    <w:link w:val="Textoindependiente2Car"/>
    <w:uiPriority w:val="99"/>
    <w:semiHidden/>
    <w:unhideWhenUsed/>
    <w:rsid w:val="006168EA"/>
    <w:pPr>
      <w:widowControl/>
      <w:pBdr>
        <w:top w:val="nil"/>
        <w:left w:val="nil"/>
        <w:bottom w:val="nil"/>
        <w:right w:val="nil"/>
        <w:between w:val="nil"/>
        <w:bar w:val="nil"/>
      </w:pBdr>
      <w:adjustRightInd/>
      <w:spacing w:after="120" w:line="480" w:lineRule="auto"/>
      <w:jc w:val="left"/>
      <w:textAlignment w:val="auto"/>
    </w:pPr>
    <w:rPr>
      <w:rFonts w:eastAsia="Arial Unicode MS"/>
      <w:bdr w:val="nil"/>
      <w:lang w:eastAsia="en-US"/>
    </w:rPr>
  </w:style>
  <w:style w:type="character" w:customStyle="1" w:styleId="Textoindependiente2Car">
    <w:name w:val="Texto independiente 2 Car"/>
    <w:basedOn w:val="Fuentedeprrafopredeter"/>
    <w:link w:val="Textoindependiente2"/>
    <w:uiPriority w:val="99"/>
    <w:semiHidden/>
    <w:rsid w:val="006168EA"/>
    <w:rPr>
      <w:rFonts w:ascii="Times New Roman" w:eastAsia="Arial Unicode MS" w:hAnsi="Times New Roman" w:cs="Times New Roman"/>
      <w:sz w:val="24"/>
      <w:szCs w:val="24"/>
      <w:bdr w:val="nil"/>
      <w:lang w:val="es-ES_tradnl"/>
    </w:rPr>
  </w:style>
  <w:style w:type="paragraph" w:customStyle="1" w:styleId="yiv1126921495msonormal">
    <w:name w:val="yiv1126921495msonormal"/>
    <w:basedOn w:val="Normal"/>
    <w:rsid w:val="006168EA"/>
    <w:pPr>
      <w:widowControl/>
      <w:adjustRightInd/>
      <w:spacing w:before="100" w:beforeAutospacing="1" w:after="100" w:afterAutospacing="1"/>
      <w:jc w:val="left"/>
      <w:textAlignment w:val="auto"/>
    </w:pPr>
    <w:rPr>
      <w:rFonts w:eastAsia="Times New Roman"/>
      <w:lang w:eastAsia="en-US"/>
    </w:rPr>
  </w:style>
  <w:style w:type="character" w:customStyle="1" w:styleId="ColorfulList-Accent1Char">
    <w:name w:val="Colorful List - Accent 1 Char"/>
    <w:rsid w:val="006168EA"/>
    <w:rPr>
      <w:rFonts w:ascii="Cambria" w:eastAsia="Cambria" w:hAnsi="Cambria" w:cs="Cambria"/>
      <w:color w:val="000000"/>
      <w:sz w:val="24"/>
      <w:szCs w:val="24"/>
      <w:u w:color="000000"/>
      <w:bdr w:val="nil"/>
      <w:lang w:val="en-US" w:eastAsia="es-ES"/>
    </w:rPr>
  </w:style>
  <w:style w:type="character" w:customStyle="1" w:styleId="BookTitle1">
    <w:name w:val="Book Title1"/>
    <w:uiPriority w:val="33"/>
    <w:qFormat/>
    <w:rsid w:val="006168EA"/>
    <w:rPr>
      <w:b/>
      <w:bCs/>
      <w:smallCaps/>
      <w:spacing w:val="5"/>
    </w:rPr>
  </w:style>
  <w:style w:type="paragraph" w:customStyle="1" w:styleId="ColorfulList-Accent12">
    <w:name w:val="Colorful List - Accent 12"/>
    <w:basedOn w:val="Normal"/>
    <w:uiPriority w:val="72"/>
    <w:qFormat/>
    <w:rsid w:val="006168EA"/>
    <w:pPr>
      <w:widowControl/>
      <w:pBdr>
        <w:top w:val="nil"/>
        <w:left w:val="nil"/>
        <w:bottom w:val="nil"/>
        <w:right w:val="nil"/>
        <w:between w:val="nil"/>
        <w:bar w:val="nil"/>
      </w:pBdr>
      <w:adjustRightInd/>
      <w:ind w:left="720"/>
      <w:jc w:val="left"/>
      <w:textAlignment w:val="auto"/>
    </w:pPr>
    <w:rPr>
      <w:rFonts w:eastAsia="Arial Unicode MS"/>
      <w:bdr w:val="nil"/>
      <w:lang w:eastAsia="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6168EA"/>
    <w:rPr>
      <w:rFonts w:ascii="Univers" w:hAnsi="Univers" w:cs="Times New Roman"/>
      <w:lang w:val="en-US" w:eastAsia="en-US" w:bidi="ar-SA"/>
    </w:rPr>
  </w:style>
  <w:style w:type="character" w:customStyle="1" w:styleId="st1">
    <w:name w:val="st1"/>
    <w:rsid w:val="006168EA"/>
  </w:style>
  <w:style w:type="paragraph" w:styleId="Textoindependiente3">
    <w:name w:val="Body Text 3"/>
    <w:basedOn w:val="Normal"/>
    <w:link w:val="Textoindependiente3Car"/>
    <w:uiPriority w:val="99"/>
    <w:unhideWhenUsed/>
    <w:rsid w:val="006168EA"/>
    <w:pPr>
      <w:widowControl/>
      <w:autoSpaceDE w:val="0"/>
      <w:autoSpaceDN w:val="0"/>
      <w:textAlignment w:val="auto"/>
    </w:pPr>
    <w:rPr>
      <w:rFonts w:ascii="Verdana" w:eastAsia="Arial Unicode MS" w:hAnsi="Verdana" w:cs="Arial"/>
      <w:sz w:val="20"/>
      <w:szCs w:val="20"/>
      <w:lang w:val="es-CR"/>
    </w:rPr>
  </w:style>
  <w:style w:type="character" w:customStyle="1" w:styleId="Textoindependiente3Car">
    <w:name w:val="Texto independiente 3 Car"/>
    <w:basedOn w:val="Fuentedeprrafopredeter"/>
    <w:link w:val="Textoindependiente3"/>
    <w:uiPriority w:val="99"/>
    <w:rsid w:val="006168EA"/>
    <w:rPr>
      <w:rFonts w:ascii="Verdana" w:eastAsia="Arial Unicode MS" w:hAnsi="Verdana" w:cs="Arial"/>
      <w:sz w:val="20"/>
      <w:szCs w:val="20"/>
      <w:lang w:val="es-CR" w:eastAsia="es-CR"/>
    </w:rPr>
  </w:style>
  <w:style w:type="character" w:customStyle="1" w:styleId="sb8d990e2">
    <w:name w:val="sb8d990e2"/>
    <w:basedOn w:val="Fuentedeprrafopredeter"/>
    <w:rsid w:val="006168EA"/>
  </w:style>
  <w:style w:type="character" w:customStyle="1" w:styleId="s6b621b36">
    <w:name w:val="s6b621b36"/>
    <w:basedOn w:val="Fuentedeprrafopredeter"/>
    <w:rsid w:val="006168EA"/>
  </w:style>
  <w:style w:type="character" w:customStyle="1" w:styleId="column">
    <w:name w:val="column"/>
    <w:basedOn w:val="Fuentedeprrafopredeter"/>
    <w:rsid w:val="006168EA"/>
  </w:style>
  <w:style w:type="paragraph" w:customStyle="1" w:styleId="s6e50bd9a">
    <w:name w:val="s6e50bd9a"/>
    <w:basedOn w:val="Normal"/>
    <w:rsid w:val="006168EA"/>
    <w:pPr>
      <w:widowControl/>
      <w:adjustRightInd/>
      <w:spacing w:before="100" w:beforeAutospacing="1" w:after="100" w:afterAutospacing="1"/>
      <w:jc w:val="left"/>
      <w:textAlignment w:val="auto"/>
    </w:pPr>
    <w:rPr>
      <w:rFonts w:eastAsia="Times New Roman"/>
      <w:lang w:val="es-CR"/>
    </w:rPr>
  </w:style>
  <w:style w:type="character" w:customStyle="1" w:styleId="s8aff680a">
    <w:name w:val="s8aff680a"/>
    <w:basedOn w:val="Fuentedeprrafopredeter"/>
    <w:rsid w:val="006168EA"/>
  </w:style>
  <w:style w:type="paragraph" w:customStyle="1" w:styleId="s746c8714">
    <w:name w:val="s746c8714"/>
    <w:basedOn w:val="Normal"/>
    <w:rsid w:val="006168EA"/>
    <w:pPr>
      <w:widowControl/>
      <w:adjustRightInd/>
      <w:spacing w:before="100" w:beforeAutospacing="1" w:after="100" w:afterAutospacing="1"/>
      <w:jc w:val="left"/>
      <w:textAlignment w:val="auto"/>
    </w:pPr>
    <w:rPr>
      <w:rFonts w:eastAsia="Times New Roman"/>
      <w:lang w:val="es-CR"/>
    </w:rPr>
  </w:style>
  <w:style w:type="paragraph" w:customStyle="1" w:styleId="Prrafodelista2">
    <w:name w:val="Párrafo de lista2"/>
    <w:basedOn w:val="Normal"/>
    <w:uiPriority w:val="34"/>
    <w:qFormat/>
    <w:rsid w:val="006168EA"/>
    <w:pPr>
      <w:widowControl/>
      <w:adjustRightInd/>
      <w:ind w:left="720"/>
      <w:jc w:val="left"/>
      <w:textAlignment w:val="auto"/>
    </w:pPr>
    <w:rPr>
      <w:rFonts w:ascii="Verdana" w:eastAsiaTheme="minorHAnsi" w:hAnsi="Verdana" w:cstheme="minorBidi"/>
      <w:sz w:val="22"/>
      <w:szCs w:val="22"/>
      <w:lang w:eastAsia="en-US"/>
    </w:rPr>
  </w:style>
  <w:style w:type="character" w:customStyle="1" w:styleId="SingleTxtGChar">
    <w:name w:val="_ Single Txt_G Char"/>
    <w:link w:val="SingleTxtG"/>
    <w:locked/>
    <w:rsid w:val="006168EA"/>
    <w:rPr>
      <w:lang w:val="es-ES" w:eastAsia="es-ES"/>
    </w:rPr>
  </w:style>
  <w:style w:type="paragraph" w:customStyle="1" w:styleId="SingleTxtG">
    <w:name w:val="_ Single Txt_G"/>
    <w:basedOn w:val="Normal"/>
    <w:link w:val="SingleTxtGChar"/>
    <w:qFormat/>
    <w:rsid w:val="006168EA"/>
    <w:pPr>
      <w:widowControl/>
      <w:adjustRightInd/>
      <w:spacing w:after="120" w:line="240" w:lineRule="atLeast"/>
      <w:ind w:left="1134" w:right="1134"/>
      <w:textAlignment w:val="auto"/>
    </w:pPr>
    <w:rPr>
      <w:rFonts w:asciiTheme="minorHAnsi" w:eastAsiaTheme="minorHAnsi" w:hAnsiTheme="minorHAnsi" w:cstheme="minorBidi"/>
      <w:sz w:val="22"/>
      <w:szCs w:val="22"/>
      <w:lang w:val="es-ES" w:eastAsia="es-ES"/>
    </w:rPr>
  </w:style>
  <w:style w:type="paragraph" w:customStyle="1" w:styleId="H23G">
    <w:name w:val="_ H_2/3_G"/>
    <w:basedOn w:val="Normal"/>
    <w:next w:val="Normal"/>
    <w:rsid w:val="006168EA"/>
    <w:pPr>
      <w:keepNext/>
      <w:keepLines/>
      <w:widowControl/>
      <w:tabs>
        <w:tab w:val="right" w:pos="851"/>
      </w:tabs>
      <w:suppressAutoHyphens/>
      <w:adjustRightInd/>
      <w:spacing w:before="240" w:after="120" w:line="240" w:lineRule="exact"/>
      <w:ind w:left="1134" w:right="1134" w:hanging="1134"/>
      <w:jc w:val="left"/>
      <w:textAlignment w:val="auto"/>
    </w:pPr>
    <w:rPr>
      <w:rFonts w:eastAsia="Times New Roman"/>
      <w:b/>
      <w:sz w:val="20"/>
      <w:szCs w:val="20"/>
      <w:lang w:val="es-ES" w:eastAsia="es-ES"/>
    </w:rPr>
  </w:style>
  <w:style w:type="paragraph" w:customStyle="1" w:styleId="se53d25c9">
    <w:name w:val="se53d25c9"/>
    <w:basedOn w:val="Normal"/>
    <w:rsid w:val="006168EA"/>
    <w:pPr>
      <w:widowControl/>
      <w:adjustRightInd/>
      <w:spacing w:before="100" w:beforeAutospacing="1" w:after="100" w:afterAutospacing="1"/>
      <w:jc w:val="left"/>
      <w:textAlignment w:val="auto"/>
    </w:pPr>
    <w:rPr>
      <w:rFonts w:eastAsiaTheme="minorHAnsi"/>
      <w:lang w:eastAsia="es-ES_tradnl"/>
    </w:rPr>
  </w:style>
  <w:style w:type="character" w:customStyle="1" w:styleId="apple-style-span">
    <w:name w:val="apple-style-span"/>
    <w:basedOn w:val="Fuentedeprrafopredeter"/>
    <w:rsid w:val="006168EA"/>
  </w:style>
  <w:style w:type="table" w:styleId="Tablaconcuadrcula">
    <w:name w:val="Table Grid"/>
    <w:basedOn w:val="Tablanormal"/>
    <w:uiPriority w:val="59"/>
    <w:rsid w:val="006168EA"/>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6">
    <w:name w:val="toc 6"/>
    <w:basedOn w:val="Normal"/>
    <w:next w:val="Normal"/>
    <w:autoRedefine/>
    <w:uiPriority w:val="39"/>
    <w:unhideWhenUsed/>
    <w:rsid w:val="006168EA"/>
    <w:pPr>
      <w:widowControl/>
      <w:adjustRightInd/>
      <w:ind w:left="1000"/>
      <w:textAlignment w:val="auto"/>
    </w:pPr>
    <w:rPr>
      <w:rFonts w:ascii="Verdana" w:eastAsiaTheme="minorHAnsi" w:hAnsi="Verdana" w:cstheme="minorBidi"/>
      <w:sz w:val="20"/>
      <w:szCs w:val="22"/>
      <w:lang w:val="en-US" w:eastAsia="en-US"/>
    </w:rPr>
  </w:style>
  <w:style w:type="paragraph" w:styleId="TDC5">
    <w:name w:val="toc 5"/>
    <w:basedOn w:val="Normal"/>
    <w:next w:val="Normal"/>
    <w:autoRedefine/>
    <w:uiPriority w:val="39"/>
    <w:unhideWhenUsed/>
    <w:rsid w:val="006168EA"/>
    <w:pPr>
      <w:widowControl/>
      <w:adjustRightInd/>
      <w:spacing w:after="100"/>
      <w:ind w:left="800"/>
      <w:textAlignment w:val="auto"/>
    </w:pPr>
    <w:rPr>
      <w:rFonts w:ascii="Verdana" w:eastAsiaTheme="minorHAnsi" w:hAnsi="Verdana" w:cstheme="minorBidi"/>
      <w:sz w:val="20"/>
      <w:szCs w:val="22"/>
      <w:lang w:val="en-US" w:eastAsia="en-US"/>
    </w:rPr>
  </w:style>
  <w:style w:type="paragraph" w:styleId="TDC7">
    <w:name w:val="toc 7"/>
    <w:basedOn w:val="Normal"/>
    <w:next w:val="Normal"/>
    <w:autoRedefine/>
    <w:uiPriority w:val="39"/>
    <w:unhideWhenUsed/>
    <w:rsid w:val="006168EA"/>
    <w:pPr>
      <w:widowControl/>
      <w:adjustRightInd/>
      <w:ind w:left="1200"/>
      <w:textAlignment w:val="auto"/>
    </w:pPr>
    <w:rPr>
      <w:rFonts w:ascii="Verdana" w:eastAsiaTheme="minorHAnsi" w:hAnsi="Verdana" w:cstheme="minorBidi"/>
      <w:sz w:val="20"/>
      <w:szCs w:val="22"/>
      <w:lang w:val="en-US" w:eastAsia="en-US"/>
    </w:rPr>
  </w:style>
  <w:style w:type="paragraph" w:styleId="TDC8">
    <w:name w:val="toc 8"/>
    <w:basedOn w:val="Normal"/>
    <w:next w:val="Normal"/>
    <w:autoRedefine/>
    <w:uiPriority w:val="39"/>
    <w:unhideWhenUsed/>
    <w:rsid w:val="006168EA"/>
    <w:pPr>
      <w:widowControl/>
      <w:adjustRightInd/>
      <w:ind w:left="1400"/>
      <w:textAlignment w:val="auto"/>
    </w:pPr>
    <w:rPr>
      <w:rFonts w:ascii="Verdana" w:eastAsiaTheme="minorHAnsi" w:hAnsi="Verdana" w:cstheme="minorBidi"/>
      <w:sz w:val="20"/>
      <w:szCs w:val="22"/>
      <w:lang w:val="en-US" w:eastAsia="en-US"/>
    </w:rPr>
  </w:style>
  <w:style w:type="paragraph" w:styleId="TDC9">
    <w:name w:val="toc 9"/>
    <w:basedOn w:val="Normal"/>
    <w:next w:val="Normal"/>
    <w:autoRedefine/>
    <w:uiPriority w:val="39"/>
    <w:unhideWhenUsed/>
    <w:rsid w:val="006168EA"/>
    <w:pPr>
      <w:widowControl/>
      <w:adjustRightInd/>
      <w:ind w:left="1600"/>
      <w:textAlignment w:val="auto"/>
    </w:pPr>
    <w:rPr>
      <w:rFonts w:ascii="Verdana" w:eastAsiaTheme="minorHAnsi" w:hAnsi="Verdana" w:cstheme="minorBidi"/>
      <w:sz w:val="20"/>
      <w:szCs w:val="22"/>
      <w:lang w:val="en-US" w:eastAsia="en-US"/>
    </w:rPr>
  </w:style>
  <w:style w:type="character" w:styleId="Nmerodelnea">
    <w:name w:val="line number"/>
    <w:basedOn w:val="Fuentedeprrafopredeter"/>
    <w:uiPriority w:val="99"/>
    <w:semiHidden/>
    <w:unhideWhenUsed/>
    <w:rsid w:val="006168EA"/>
  </w:style>
  <w:style w:type="character" w:styleId="Refdenotaalfinal">
    <w:name w:val="endnote reference"/>
    <w:basedOn w:val="Fuentedeprrafopredeter"/>
    <w:uiPriority w:val="99"/>
    <w:semiHidden/>
    <w:unhideWhenUsed/>
    <w:rsid w:val="006168EA"/>
    <w:rPr>
      <w:vertAlign w:val="superscript"/>
    </w:rPr>
  </w:style>
  <w:style w:type="paragraph" w:customStyle="1" w:styleId="Heading23">
    <w:name w:val="Heading 2.3"/>
    <w:basedOn w:val="Normal"/>
    <w:uiPriority w:val="99"/>
    <w:qFormat/>
    <w:rsid w:val="006168EA"/>
    <w:pPr>
      <w:widowControl/>
      <w:adjustRightInd/>
      <w:textAlignment w:val="auto"/>
    </w:pPr>
    <w:rPr>
      <w:rFonts w:ascii="Verdana" w:hAnsi="Verdana"/>
      <w:sz w:val="16"/>
      <w:szCs w:val="16"/>
      <w:vertAlign w:val="superscript"/>
      <w:lang w:val="x-none" w:eastAsia="x-none"/>
    </w:rPr>
  </w:style>
  <w:style w:type="table" w:styleId="Cuadrculaclara-nfasis4">
    <w:name w:val="Light Grid Accent 4"/>
    <w:basedOn w:val="Tablanormal"/>
    <w:uiPriority w:val="63"/>
    <w:rsid w:val="006168EA"/>
    <w:pPr>
      <w:spacing w:after="0" w:line="240" w:lineRule="auto"/>
    </w:pPr>
    <w:rPr>
      <w:rFonts w:ascii="Times New Roman" w:eastAsia="Arial Unicode MS" w:hAnsi="Times New Roman" w:cs="Times New Roman"/>
      <w:sz w:val="20"/>
      <w:szCs w:val="20"/>
      <w:lang w:val="es-CR" w:eastAsia="es-C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ookTitle2">
    <w:name w:val="Book Title2"/>
    <w:uiPriority w:val="33"/>
    <w:qFormat/>
    <w:rsid w:val="006168EA"/>
    <w:rPr>
      <w:b/>
      <w:bCs/>
      <w:smallCaps/>
      <w:spacing w:val="5"/>
    </w:rPr>
  </w:style>
  <w:style w:type="paragraph" w:styleId="Textosinformato">
    <w:name w:val="Plain Text"/>
    <w:basedOn w:val="Normal"/>
    <w:link w:val="TextosinformatoCar"/>
    <w:uiPriority w:val="99"/>
    <w:unhideWhenUsed/>
    <w:rsid w:val="006168EA"/>
    <w:pPr>
      <w:widowControl/>
      <w:tabs>
        <w:tab w:val="left" w:pos="567"/>
      </w:tabs>
      <w:adjustRightInd/>
      <w:textAlignment w:val="auto"/>
    </w:pPr>
    <w:rPr>
      <w:rFonts w:ascii="Verdana" w:eastAsia="Batang" w:hAnsi="Verdana"/>
      <w:spacing w:val="-4"/>
      <w:sz w:val="20"/>
      <w:szCs w:val="21"/>
      <w:lang w:val="es-CO" w:eastAsia="es-MX"/>
    </w:rPr>
  </w:style>
  <w:style w:type="character" w:customStyle="1" w:styleId="TextosinformatoCar">
    <w:name w:val="Texto sin formato Car"/>
    <w:basedOn w:val="Fuentedeprrafopredeter"/>
    <w:link w:val="Textosinformato"/>
    <w:uiPriority w:val="99"/>
    <w:rsid w:val="006168EA"/>
    <w:rPr>
      <w:rFonts w:ascii="Verdana" w:eastAsia="Batang" w:hAnsi="Verdana" w:cs="Times New Roman"/>
      <w:spacing w:val="-4"/>
      <w:sz w:val="20"/>
      <w:szCs w:val="21"/>
      <w:lang w:val="es-CO" w:eastAsia="es-MX"/>
    </w:rPr>
  </w:style>
  <w:style w:type="table" w:styleId="Cuadrculamedia1-nfasis2">
    <w:name w:val="Medium Grid 1 Accent 2"/>
    <w:basedOn w:val="Tablanormal"/>
    <w:uiPriority w:val="67"/>
    <w:rsid w:val="006168EA"/>
    <w:pPr>
      <w:spacing w:after="0" w:line="240" w:lineRule="auto"/>
    </w:pPr>
    <w:rPr>
      <w:lang w:val="es-C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Ninguno">
    <w:name w:val="Ninguno"/>
    <w:rsid w:val="006168EA"/>
    <w:rPr>
      <w:lang w:val="es-ES_tradnl"/>
    </w:rPr>
  </w:style>
  <w:style w:type="paragraph" w:customStyle="1" w:styleId="Poromisin">
    <w:name w:val="Por omisión"/>
    <w:rsid w:val="006168E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character" w:styleId="nfasissutil">
    <w:name w:val="Subtle Emphasis"/>
    <w:uiPriority w:val="19"/>
    <w:qFormat/>
    <w:rsid w:val="006168EA"/>
    <w:rPr>
      <w:b/>
      <w:lang w:eastAsia="es-CR"/>
    </w:rPr>
  </w:style>
  <w:style w:type="character" w:customStyle="1" w:styleId="shorttext">
    <w:name w:val="shorttext"/>
    <w:basedOn w:val="Fuentedeprrafopredeter"/>
    <w:rsid w:val="006168EA"/>
  </w:style>
  <w:style w:type="character" w:customStyle="1" w:styleId="ListParagraphChar1">
    <w:name w:val="List Paragraph Char1"/>
    <w:aliases w:val="Colorful List - Accent 11 Char1,Lista vistosa - Énfasis 11 Char1,Footnote Char1,List Paragraph1 Char1,Párrafo de lista1 Char1,List Paragraph2 Char1"/>
    <w:basedOn w:val="Fuentedeprrafopredeter"/>
    <w:locked/>
    <w:rsid w:val="006168EA"/>
    <w:rPr>
      <w:rFonts w:ascii="Cambria" w:eastAsia="Cambria" w:hAnsi="Cambria" w:cs="Cambria"/>
      <w:color w:val="000000"/>
      <w:sz w:val="24"/>
      <w:szCs w:val="24"/>
      <w:u w:color="00000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1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wcmsp5/groups/public/---dgreports/---dcomm/documents/publication/wcms_067592.pdf" TargetMode="External"/><Relationship Id="rId13" Type="http://schemas.openxmlformats.org/officeDocument/2006/relationships/hyperlink" Target="https://hudoc.esc.coe.int/eng" TargetMode="External"/><Relationship Id="rId3" Type="http://schemas.openxmlformats.org/officeDocument/2006/relationships/hyperlink" Target="https://wcd.coe.int/wcd/ViewDoc.jsp?Ref=CCJE(2010)2&amp;Language=lanEnglish&amp;Ver=original&amp;BackColorInternet=DBDCF2&amp;BackColorIntranet=FDC864&amp;BackColorLogged=FDC864" TargetMode="External"/><Relationship Id="rId7" Type="http://schemas.openxmlformats.org/officeDocument/2006/relationships/hyperlink" Target="http://www.ilo.org/public/spanish/" TargetMode="External"/><Relationship Id="rId12" Type="http://schemas.openxmlformats.org/officeDocument/2006/relationships/hyperlink" Target="https://hudoc.esc.coe.int/eng" TargetMode="External"/><Relationship Id="rId2" Type="http://schemas.openxmlformats.org/officeDocument/2006/relationships/hyperlink" Target="http://www.corteidh.or.cr/docs/asuntos/muelle_27_07_18.pdf" TargetMode="External"/><Relationship Id="rId1" Type="http://schemas.openxmlformats.org/officeDocument/2006/relationships/hyperlink" Target="http://www.corteidh.or.cr/docs/asuntos/muelle_27_07_18.pdf" TargetMode="External"/><Relationship Id="rId6" Type="http://schemas.openxmlformats.org/officeDocument/2006/relationships/hyperlink" Target="http://www.ilo.org/public/spanish/" TargetMode="External"/><Relationship Id="rId11" Type="http://schemas.openxmlformats.org/officeDocument/2006/relationships/hyperlink" Target="https://hudoc.esc.coe.int/eng" TargetMode="External"/><Relationship Id="rId5" Type="http://schemas.openxmlformats.org/officeDocument/2006/relationships/hyperlink" Target="http://www.ilo.org/public/spanish/" TargetMode="External"/><Relationship Id="rId10" Type="http://schemas.openxmlformats.org/officeDocument/2006/relationships/hyperlink" Target="https://hudoc.esc.coe.int/eng" TargetMode="External"/><Relationship Id="rId4" Type="http://schemas.openxmlformats.org/officeDocument/2006/relationships/hyperlink" Target="http://www.ilo.org/public/spanish/" TargetMode="External"/><Relationship Id="rId9" Type="http://schemas.openxmlformats.org/officeDocument/2006/relationships/hyperlink" Target="http://www.corteidh.or.cr/docs/asuntos/muelle_27_07_18.pdf" TargetMode="External"/><Relationship Id="rId14" Type="http://schemas.openxmlformats.org/officeDocument/2006/relationships/hyperlink" Target="http://www.un.org/es/treaty/unt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135</Pages>
  <Words>55888</Words>
  <Characters>307387</Characters>
  <Application>Microsoft Office Word</Application>
  <DocSecurity>0</DocSecurity>
  <Lines>2561</Lines>
  <Paragraphs>725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9</cp:revision>
  <cp:lastPrinted>2020-06-09T23:09:00Z</cp:lastPrinted>
  <dcterms:created xsi:type="dcterms:W3CDTF">2020-06-04T21:43:00Z</dcterms:created>
  <dcterms:modified xsi:type="dcterms:W3CDTF">2020-06-09T23:10:00Z</dcterms:modified>
</cp:coreProperties>
</file>