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F5" w:rsidRDefault="00D91AF5" w:rsidP="00D91AF5">
      <w:pPr>
        <w:spacing w:after="0" w:line="240" w:lineRule="auto"/>
        <w:jc w:val="center"/>
        <w:rPr>
          <w:rFonts w:ascii="Verdana" w:hAnsi="Verdana"/>
          <w:b/>
          <w:sz w:val="20"/>
          <w:szCs w:val="20"/>
        </w:rPr>
      </w:pPr>
    </w:p>
    <w:p w:rsidR="00326C79" w:rsidRDefault="00326C79" w:rsidP="00D91AF5">
      <w:pPr>
        <w:spacing w:after="0" w:line="240" w:lineRule="auto"/>
        <w:jc w:val="center"/>
        <w:rPr>
          <w:rFonts w:ascii="Verdana" w:hAnsi="Verdana"/>
          <w:b/>
          <w:sz w:val="20"/>
          <w:szCs w:val="20"/>
        </w:rPr>
      </w:pPr>
    </w:p>
    <w:p w:rsidR="00326C79" w:rsidRDefault="00326C79" w:rsidP="00D91AF5">
      <w:pPr>
        <w:spacing w:after="0" w:line="240" w:lineRule="auto"/>
        <w:jc w:val="center"/>
        <w:rPr>
          <w:rFonts w:ascii="Verdana" w:hAnsi="Verdana"/>
          <w:b/>
          <w:sz w:val="20"/>
          <w:szCs w:val="20"/>
        </w:rPr>
      </w:pPr>
    </w:p>
    <w:p w:rsidR="00D91AF5" w:rsidRDefault="00D91AF5" w:rsidP="00D91AF5">
      <w:pPr>
        <w:spacing w:after="0" w:line="240" w:lineRule="auto"/>
        <w:jc w:val="center"/>
        <w:rPr>
          <w:rFonts w:ascii="Verdana" w:hAnsi="Verdana"/>
          <w:b/>
          <w:sz w:val="20"/>
          <w:szCs w:val="20"/>
        </w:rPr>
      </w:pPr>
    </w:p>
    <w:p w:rsidR="00D91AF5" w:rsidRDefault="00D91AF5" w:rsidP="00D91AF5">
      <w:pPr>
        <w:spacing w:after="0" w:line="240" w:lineRule="auto"/>
        <w:jc w:val="center"/>
        <w:rPr>
          <w:rFonts w:ascii="Verdana" w:hAnsi="Verdana"/>
          <w:b/>
          <w:sz w:val="20"/>
          <w:szCs w:val="20"/>
        </w:rPr>
      </w:pPr>
    </w:p>
    <w:p w:rsidR="00FF5E48" w:rsidRDefault="00D91AF5" w:rsidP="00D91AF5">
      <w:pPr>
        <w:spacing w:after="0" w:line="240" w:lineRule="auto"/>
        <w:jc w:val="center"/>
        <w:rPr>
          <w:rFonts w:ascii="Verdana" w:hAnsi="Verdana"/>
          <w:b/>
          <w:sz w:val="20"/>
          <w:szCs w:val="20"/>
        </w:rPr>
      </w:pPr>
      <w:r>
        <w:rPr>
          <w:rFonts w:ascii="Verdana" w:hAnsi="Verdana"/>
          <w:b/>
          <w:sz w:val="20"/>
          <w:szCs w:val="20"/>
        </w:rPr>
        <w:t xml:space="preserve">CORTE INTERAMERICANA DE DERECHOS HUMANOS </w:t>
      </w:r>
    </w:p>
    <w:p w:rsidR="00D91AF5" w:rsidRDefault="00D91AF5" w:rsidP="00D91AF5">
      <w:pPr>
        <w:spacing w:after="0" w:line="240" w:lineRule="auto"/>
        <w:jc w:val="center"/>
        <w:rPr>
          <w:rFonts w:ascii="Verdana" w:hAnsi="Verdana"/>
          <w:b/>
          <w:sz w:val="20"/>
          <w:szCs w:val="20"/>
        </w:rPr>
      </w:pPr>
    </w:p>
    <w:p w:rsidR="00D91AF5" w:rsidRDefault="00D91AF5" w:rsidP="00D91AF5">
      <w:pPr>
        <w:spacing w:after="0" w:line="240" w:lineRule="auto"/>
        <w:jc w:val="center"/>
        <w:rPr>
          <w:rFonts w:ascii="Verdana" w:hAnsi="Verdana"/>
          <w:b/>
          <w:sz w:val="20"/>
          <w:szCs w:val="20"/>
        </w:rPr>
      </w:pPr>
      <w:r>
        <w:rPr>
          <w:rFonts w:ascii="Verdana" w:hAnsi="Verdana"/>
          <w:b/>
          <w:sz w:val="20"/>
          <w:szCs w:val="20"/>
        </w:rPr>
        <w:t>CASO LÓPEZ SOTO Y OTROS VS. VENEZUELA</w:t>
      </w:r>
    </w:p>
    <w:p w:rsidR="00D91AF5" w:rsidRDefault="00D91AF5" w:rsidP="00D91AF5">
      <w:pPr>
        <w:spacing w:after="0" w:line="240" w:lineRule="auto"/>
        <w:jc w:val="center"/>
        <w:rPr>
          <w:rFonts w:ascii="Verdana" w:hAnsi="Verdana"/>
          <w:b/>
          <w:sz w:val="20"/>
          <w:szCs w:val="20"/>
        </w:rPr>
      </w:pPr>
    </w:p>
    <w:p w:rsidR="00D91AF5" w:rsidRDefault="00D91AF5" w:rsidP="00D91AF5">
      <w:pPr>
        <w:spacing w:after="0" w:line="240" w:lineRule="auto"/>
        <w:jc w:val="center"/>
        <w:rPr>
          <w:rFonts w:ascii="Verdana" w:hAnsi="Verdana"/>
          <w:b/>
          <w:sz w:val="20"/>
          <w:szCs w:val="20"/>
        </w:rPr>
      </w:pPr>
      <w:r>
        <w:rPr>
          <w:rFonts w:ascii="Verdana" w:hAnsi="Verdana"/>
          <w:b/>
          <w:sz w:val="20"/>
          <w:szCs w:val="20"/>
        </w:rPr>
        <w:t xml:space="preserve">SENTENCIA DE </w:t>
      </w:r>
      <w:r w:rsidR="009D0958">
        <w:rPr>
          <w:rFonts w:ascii="Verdana" w:hAnsi="Verdana"/>
          <w:b/>
          <w:sz w:val="20"/>
          <w:szCs w:val="20"/>
        </w:rPr>
        <w:t>14 DE MAYO DE 2019</w:t>
      </w:r>
    </w:p>
    <w:p w:rsidR="00D91AF5" w:rsidRDefault="00D91AF5" w:rsidP="00D91AF5">
      <w:pPr>
        <w:spacing w:after="0" w:line="240" w:lineRule="auto"/>
        <w:jc w:val="center"/>
        <w:rPr>
          <w:rFonts w:ascii="Verdana" w:hAnsi="Verdana"/>
          <w:b/>
          <w:sz w:val="20"/>
          <w:szCs w:val="20"/>
        </w:rPr>
      </w:pPr>
    </w:p>
    <w:p w:rsidR="00D91AF5" w:rsidRDefault="00D91AF5" w:rsidP="00D91AF5">
      <w:pPr>
        <w:spacing w:after="0" w:line="240" w:lineRule="auto"/>
        <w:jc w:val="center"/>
        <w:rPr>
          <w:rFonts w:ascii="Verdana" w:hAnsi="Verdana"/>
          <w:b/>
          <w:sz w:val="20"/>
          <w:szCs w:val="20"/>
        </w:rPr>
      </w:pPr>
      <w:r>
        <w:rPr>
          <w:rFonts w:ascii="Verdana" w:hAnsi="Verdana"/>
          <w:b/>
          <w:sz w:val="20"/>
          <w:szCs w:val="20"/>
        </w:rPr>
        <w:t>(</w:t>
      </w:r>
      <w:r>
        <w:rPr>
          <w:rFonts w:ascii="Verdana" w:hAnsi="Verdana"/>
          <w:b/>
          <w:i/>
          <w:sz w:val="20"/>
          <w:szCs w:val="20"/>
        </w:rPr>
        <w:t>Interpretació</w:t>
      </w:r>
      <w:bookmarkStart w:id="0" w:name="_GoBack"/>
      <w:bookmarkEnd w:id="0"/>
      <w:r>
        <w:rPr>
          <w:rFonts w:ascii="Verdana" w:hAnsi="Verdana"/>
          <w:b/>
          <w:i/>
          <w:sz w:val="20"/>
          <w:szCs w:val="20"/>
        </w:rPr>
        <w:t>n de la Sentencia de Fondo, Reparaciones y Costas</w:t>
      </w:r>
      <w:r>
        <w:rPr>
          <w:rFonts w:ascii="Verdana" w:hAnsi="Verdana"/>
          <w:b/>
          <w:sz w:val="20"/>
          <w:szCs w:val="20"/>
        </w:rPr>
        <w:t>)</w:t>
      </w:r>
    </w:p>
    <w:p w:rsidR="00D91AF5" w:rsidRDefault="00D91AF5" w:rsidP="00D91AF5">
      <w:pPr>
        <w:spacing w:after="0" w:line="240" w:lineRule="auto"/>
        <w:rPr>
          <w:rFonts w:ascii="Verdana" w:hAnsi="Verdana"/>
          <w:b/>
          <w:sz w:val="20"/>
          <w:szCs w:val="20"/>
        </w:rPr>
      </w:pPr>
    </w:p>
    <w:p w:rsidR="00D91AF5" w:rsidRDefault="00D91AF5" w:rsidP="00D91AF5">
      <w:pPr>
        <w:spacing w:after="0" w:line="240" w:lineRule="auto"/>
        <w:rPr>
          <w:rFonts w:ascii="Verdana" w:hAnsi="Verdana"/>
          <w:b/>
          <w:sz w:val="20"/>
          <w:szCs w:val="20"/>
        </w:rPr>
      </w:pPr>
    </w:p>
    <w:p w:rsidR="00D91AF5" w:rsidRDefault="00D91AF5" w:rsidP="00D91AF5">
      <w:pPr>
        <w:spacing w:after="0" w:line="240" w:lineRule="auto"/>
        <w:rPr>
          <w:rFonts w:ascii="Verdana" w:hAnsi="Verdana"/>
          <w:b/>
          <w:sz w:val="20"/>
          <w:szCs w:val="20"/>
        </w:rPr>
      </w:pPr>
    </w:p>
    <w:p w:rsidR="00D91AF5" w:rsidRDefault="00D91AF5" w:rsidP="00D91AF5">
      <w:pPr>
        <w:spacing w:after="0" w:line="240" w:lineRule="auto"/>
        <w:rPr>
          <w:rFonts w:ascii="Verdana" w:hAnsi="Verdana"/>
          <w:sz w:val="20"/>
          <w:szCs w:val="20"/>
        </w:rPr>
      </w:pPr>
      <w:r>
        <w:rPr>
          <w:rFonts w:ascii="Verdana" w:hAnsi="Verdana"/>
          <w:sz w:val="20"/>
          <w:szCs w:val="20"/>
        </w:rPr>
        <w:t xml:space="preserve">En el caso </w:t>
      </w:r>
      <w:r>
        <w:rPr>
          <w:rFonts w:ascii="Verdana" w:hAnsi="Verdana"/>
          <w:i/>
          <w:sz w:val="20"/>
          <w:szCs w:val="20"/>
        </w:rPr>
        <w:t>López Soto y otros Vs. Venezuela</w:t>
      </w:r>
      <w:r>
        <w:rPr>
          <w:rFonts w:ascii="Verdana" w:hAnsi="Verdana"/>
          <w:sz w:val="20"/>
          <w:szCs w:val="20"/>
        </w:rPr>
        <w:t>,</w:t>
      </w:r>
    </w:p>
    <w:p w:rsidR="00D91AF5" w:rsidRDefault="00D91AF5" w:rsidP="00D91AF5">
      <w:pPr>
        <w:spacing w:after="0" w:line="240" w:lineRule="auto"/>
        <w:rPr>
          <w:rFonts w:ascii="Verdana" w:hAnsi="Verdana"/>
          <w:sz w:val="20"/>
          <w:szCs w:val="20"/>
        </w:rPr>
      </w:pPr>
    </w:p>
    <w:p w:rsidR="00D91AF5" w:rsidRDefault="00D91AF5" w:rsidP="00D91AF5">
      <w:pPr>
        <w:spacing w:after="0" w:line="240" w:lineRule="auto"/>
        <w:rPr>
          <w:rFonts w:ascii="Verdana" w:hAnsi="Verdana"/>
          <w:sz w:val="20"/>
          <w:szCs w:val="20"/>
        </w:rPr>
      </w:pPr>
      <w:r>
        <w:rPr>
          <w:rFonts w:ascii="Verdana" w:hAnsi="Verdana"/>
          <w:sz w:val="20"/>
          <w:szCs w:val="20"/>
        </w:rPr>
        <w:t>la Corte Interamericana de Derechos Humanos (en adelante “la Corte Interamericana”, “la Corte” o “</w:t>
      </w:r>
      <w:r w:rsidR="00AA67ED">
        <w:rPr>
          <w:rFonts w:ascii="Verdana" w:hAnsi="Verdana"/>
          <w:sz w:val="20"/>
          <w:szCs w:val="20"/>
        </w:rPr>
        <w:t>el</w:t>
      </w:r>
      <w:r>
        <w:rPr>
          <w:rFonts w:ascii="Verdana" w:hAnsi="Verdana"/>
          <w:sz w:val="20"/>
          <w:szCs w:val="20"/>
        </w:rPr>
        <w:t xml:space="preserve"> Tribunal”), integrada por los siguientes Jueces:</w:t>
      </w:r>
    </w:p>
    <w:p w:rsidR="00D91AF5" w:rsidRDefault="00D91AF5" w:rsidP="00D91AF5">
      <w:pPr>
        <w:spacing w:after="0" w:line="240" w:lineRule="auto"/>
        <w:rPr>
          <w:rFonts w:ascii="Verdana" w:hAnsi="Verdana"/>
          <w:sz w:val="20"/>
          <w:szCs w:val="20"/>
        </w:rPr>
      </w:pPr>
    </w:p>
    <w:p w:rsidR="00D91AF5" w:rsidRPr="00FB66CD" w:rsidRDefault="00D91AF5" w:rsidP="00D91AF5">
      <w:pPr>
        <w:spacing w:after="0" w:line="240" w:lineRule="auto"/>
        <w:rPr>
          <w:rFonts w:ascii="Verdana" w:hAnsi="Verdana"/>
          <w:sz w:val="20"/>
          <w:szCs w:val="20"/>
        </w:rPr>
      </w:pPr>
      <w:r w:rsidRPr="00FB66CD">
        <w:rPr>
          <w:rFonts w:ascii="Verdana" w:hAnsi="Verdana"/>
          <w:sz w:val="20"/>
          <w:szCs w:val="20"/>
        </w:rPr>
        <w:t>Eduardo Ferrer Mac-Gregor Poisot, Presidente;</w:t>
      </w:r>
    </w:p>
    <w:p w:rsidR="00D91AF5" w:rsidRPr="00D91AF5" w:rsidRDefault="00D91AF5" w:rsidP="00D91AF5">
      <w:pPr>
        <w:spacing w:after="0" w:line="240" w:lineRule="auto"/>
        <w:rPr>
          <w:rFonts w:ascii="Verdana" w:hAnsi="Verdana"/>
          <w:sz w:val="20"/>
          <w:szCs w:val="20"/>
        </w:rPr>
      </w:pPr>
      <w:r w:rsidRPr="00D91AF5">
        <w:rPr>
          <w:rFonts w:ascii="Verdana" w:hAnsi="Verdana"/>
          <w:sz w:val="20"/>
          <w:szCs w:val="20"/>
        </w:rPr>
        <w:t xml:space="preserve">Eduardo Vio Grossi, </w:t>
      </w:r>
      <w:r>
        <w:rPr>
          <w:rFonts w:ascii="Verdana" w:hAnsi="Verdana"/>
          <w:sz w:val="20"/>
          <w:szCs w:val="20"/>
        </w:rPr>
        <w:t>Vicepresidente</w:t>
      </w:r>
      <w:r w:rsidRPr="00D91AF5">
        <w:rPr>
          <w:rFonts w:ascii="Verdana" w:hAnsi="Verdana"/>
          <w:sz w:val="20"/>
          <w:szCs w:val="20"/>
        </w:rPr>
        <w:t>;</w:t>
      </w:r>
    </w:p>
    <w:p w:rsidR="00D91AF5" w:rsidRDefault="00D91AF5" w:rsidP="00D91AF5">
      <w:pPr>
        <w:spacing w:after="0" w:line="240" w:lineRule="auto"/>
        <w:rPr>
          <w:rFonts w:ascii="Verdana" w:hAnsi="Verdana"/>
          <w:sz w:val="20"/>
          <w:szCs w:val="20"/>
        </w:rPr>
      </w:pPr>
      <w:r w:rsidRPr="00D91AF5">
        <w:rPr>
          <w:rFonts w:ascii="Verdana" w:hAnsi="Verdana"/>
          <w:sz w:val="20"/>
          <w:szCs w:val="20"/>
        </w:rPr>
        <w:t>Humberto Antonio Sierra Porto</w:t>
      </w:r>
      <w:r>
        <w:rPr>
          <w:rFonts w:ascii="Verdana" w:hAnsi="Verdana"/>
          <w:sz w:val="20"/>
          <w:szCs w:val="20"/>
        </w:rPr>
        <w:t>, Juez;</w:t>
      </w:r>
    </w:p>
    <w:p w:rsidR="00D91AF5" w:rsidRDefault="00D91AF5" w:rsidP="00D91AF5">
      <w:pPr>
        <w:spacing w:after="0" w:line="240" w:lineRule="auto"/>
        <w:rPr>
          <w:rFonts w:ascii="Verdana" w:hAnsi="Verdana"/>
          <w:sz w:val="20"/>
          <w:szCs w:val="20"/>
        </w:rPr>
      </w:pPr>
      <w:r>
        <w:rPr>
          <w:rFonts w:ascii="Verdana" w:hAnsi="Verdana"/>
          <w:sz w:val="20"/>
          <w:szCs w:val="20"/>
        </w:rPr>
        <w:t xml:space="preserve">Elizabeth Odio Benito, </w:t>
      </w:r>
      <w:r w:rsidR="00BD5ECF">
        <w:rPr>
          <w:rFonts w:ascii="Verdana" w:hAnsi="Verdana"/>
          <w:sz w:val="20"/>
          <w:szCs w:val="20"/>
        </w:rPr>
        <w:t>Jueza;</w:t>
      </w:r>
    </w:p>
    <w:p w:rsidR="00BD5ECF" w:rsidRDefault="00BD5ECF" w:rsidP="00D91AF5">
      <w:pPr>
        <w:spacing w:after="0" w:line="240" w:lineRule="auto"/>
        <w:rPr>
          <w:rFonts w:ascii="Verdana" w:hAnsi="Verdana"/>
          <w:sz w:val="20"/>
          <w:szCs w:val="20"/>
        </w:rPr>
      </w:pPr>
      <w:r>
        <w:rPr>
          <w:rFonts w:ascii="Verdana" w:hAnsi="Verdana"/>
          <w:sz w:val="20"/>
          <w:szCs w:val="20"/>
        </w:rPr>
        <w:t>Eugenio Raúl Zaffaroni, Juez;</w:t>
      </w:r>
      <w:r w:rsidR="00CB6EA3">
        <w:rPr>
          <w:rFonts w:ascii="Verdana" w:hAnsi="Verdana"/>
          <w:sz w:val="20"/>
          <w:szCs w:val="20"/>
        </w:rPr>
        <w:t xml:space="preserve"> y</w:t>
      </w:r>
    </w:p>
    <w:p w:rsidR="00BD5ECF" w:rsidRDefault="00BD5ECF" w:rsidP="00D91AF5">
      <w:pPr>
        <w:spacing w:after="0" w:line="240" w:lineRule="auto"/>
        <w:rPr>
          <w:rFonts w:ascii="Verdana" w:hAnsi="Verdana"/>
          <w:sz w:val="20"/>
          <w:szCs w:val="20"/>
        </w:rPr>
      </w:pPr>
      <w:r>
        <w:rPr>
          <w:rFonts w:ascii="Verdana" w:hAnsi="Verdana"/>
          <w:sz w:val="20"/>
          <w:szCs w:val="20"/>
        </w:rPr>
        <w:t xml:space="preserve">L. Patricio Pazmiño Freire, Juez, </w:t>
      </w:r>
    </w:p>
    <w:p w:rsidR="00BD5ECF" w:rsidRDefault="00BD5ECF" w:rsidP="00D91AF5">
      <w:pPr>
        <w:spacing w:after="0" w:line="240" w:lineRule="auto"/>
        <w:rPr>
          <w:rFonts w:ascii="Verdana" w:hAnsi="Verdana"/>
          <w:sz w:val="20"/>
          <w:szCs w:val="20"/>
        </w:rPr>
      </w:pPr>
    </w:p>
    <w:p w:rsidR="00BD5ECF" w:rsidRDefault="00BD5ECF" w:rsidP="00D91AF5">
      <w:pPr>
        <w:spacing w:after="0" w:line="240" w:lineRule="auto"/>
        <w:rPr>
          <w:rFonts w:ascii="Verdana" w:hAnsi="Verdana"/>
          <w:sz w:val="20"/>
          <w:szCs w:val="20"/>
        </w:rPr>
      </w:pPr>
      <w:r>
        <w:rPr>
          <w:rFonts w:ascii="Verdana" w:hAnsi="Verdana"/>
          <w:sz w:val="20"/>
          <w:szCs w:val="20"/>
        </w:rPr>
        <w:t xml:space="preserve">presente, además, </w:t>
      </w:r>
    </w:p>
    <w:p w:rsidR="00BD5ECF" w:rsidRDefault="00BD5ECF" w:rsidP="00D91AF5">
      <w:pPr>
        <w:spacing w:after="0" w:line="240" w:lineRule="auto"/>
        <w:rPr>
          <w:rFonts w:ascii="Verdana" w:hAnsi="Verdana"/>
          <w:sz w:val="20"/>
          <w:szCs w:val="20"/>
        </w:rPr>
      </w:pPr>
    </w:p>
    <w:p w:rsidR="00BD5ECF" w:rsidRDefault="00BD5ECF" w:rsidP="00A03487">
      <w:pPr>
        <w:spacing w:after="0" w:line="240" w:lineRule="auto"/>
        <w:rPr>
          <w:rFonts w:ascii="Verdana" w:hAnsi="Verdana"/>
          <w:sz w:val="20"/>
          <w:szCs w:val="20"/>
        </w:rPr>
      </w:pPr>
      <w:r>
        <w:rPr>
          <w:rFonts w:ascii="Verdana" w:hAnsi="Verdana"/>
          <w:sz w:val="20"/>
          <w:szCs w:val="20"/>
        </w:rPr>
        <w:t xml:space="preserve">Pablo Saavedra Alessandri, Secretario, </w:t>
      </w:r>
    </w:p>
    <w:p w:rsidR="00BD5ECF" w:rsidRDefault="00BD5ECF" w:rsidP="00D91AF5">
      <w:pPr>
        <w:spacing w:after="0" w:line="240" w:lineRule="auto"/>
        <w:rPr>
          <w:rFonts w:ascii="Verdana" w:hAnsi="Verdana"/>
          <w:sz w:val="20"/>
          <w:szCs w:val="20"/>
        </w:rPr>
      </w:pPr>
    </w:p>
    <w:p w:rsidR="00BD5ECF" w:rsidRPr="00D91AF5" w:rsidRDefault="00BD5ECF" w:rsidP="00BD5ECF">
      <w:pPr>
        <w:spacing w:after="0" w:line="240" w:lineRule="auto"/>
        <w:jc w:val="both"/>
        <w:rPr>
          <w:rFonts w:ascii="Verdana" w:hAnsi="Verdana"/>
          <w:sz w:val="20"/>
          <w:szCs w:val="20"/>
        </w:rPr>
      </w:pPr>
      <w:r>
        <w:rPr>
          <w:rFonts w:ascii="Verdana" w:hAnsi="Verdana"/>
          <w:sz w:val="20"/>
          <w:szCs w:val="20"/>
        </w:rPr>
        <w:t xml:space="preserve">de conformidad con el artículo 67 de la Convención Americana sobre Derechos Humanos (en adelante </w:t>
      </w:r>
      <w:r w:rsidR="00726F1E">
        <w:rPr>
          <w:rFonts w:ascii="Verdana" w:hAnsi="Verdana"/>
          <w:sz w:val="20"/>
          <w:szCs w:val="20"/>
        </w:rPr>
        <w:t xml:space="preserve">también </w:t>
      </w:r>
      <w:r>
        <w:rPr>
          <w:rFonts w:ascii="Verdana" w:hAnsi="Verdana"/>
          <w:sz w:val="20"/>
          <w:szCs w:val="20"/>
        </w:rPr>
        <w:t>“la Convención</w:t>
      </w:r>
      <w:r w:rsidR="00726F1E">
        <w:rPr>
          <w:rFonts w:ascii="Verdana" w:hAnsi="Verdana"/>
          <w:sz w:val="20"/>
          <w:szCs w:val="20"/>
        </w:rPr>
        <w:t xml:space="preserve"> Americana</w:t>
      </w:r>
      <w:r>
        <w:rPr>
          <w:rFonts w:ascii="Verdana" w:hAnsi="Verdana"/>
          <w:sz w:val="20"/>
          <w:szCs w:val="20"/>
        </w:rPr>
        <w:t>”</w:t>
      </w:r>
      <w:r w:rsidR="00726F1E">
        <w:rPr>
          <w:rFonts w:ascii="Verdana" w:hAnsi="Verdana"/>
          <w:sz w:val="20"/>
          <w:szCs w:val="20"/>
        </w:rPr>
        <w:t xml:space="preserve"> o “la Convención”</w:t>
      </w:r>
      <w:r>
        <w:rPr>
          <w:rFonts w:ascii="Verdana" w:hAnsi="Verdana"/>
          <w:sz w:val="20"/>
          <w:szCs w:val="20"/>
        </w:rPr>
        <w:t xml:space="preserve">) y el artículo 68 del Reglamento de la Corte (en adelante “el Reglamento”), resuelve la solicitud de interpretación de la Sentencia de </w:t>
      </w:r>
      <w:r w:rsidR="00726F1E">
        <w:rPr>
          <w:rFonts w:ascii="Verdana" w:hAnsi="Verdana"/>
          <w:sz w:val="20"/>
          <w:szCs w:val="20"/>
        </w:rPr>
        <w:t>F</w:t>
      </w:r>
      <w:r>
        <w:rPr>
          <w:rFonts w:ascii="Verdana" w:hAnsi="Verdana"/>
          <w:sz w:val="20"/>
          <w:szCs w:val="20"/>
        </w:rPr>
        <w:t xml:space="preserve">ondo, </w:t>
      </w:r>
      <w:r w:rsidR="00726F1E">
        <w:rPr>
          <w:rFonts w:ascii="Verdana" w:hAnsi="Verdana"/>
          <w:sz w:val="20"/>
          <w:szCs w:val="20"/>
        </w:rPr>
        <w:t>Reparaciones y C</w:t>
      </w:r>
      <w:r>
        <w:rPr>
          <w:rFonts w:ascii="Verdana" w:hAnsi="Verdana"/>
          <w:sz w:val="20"/>
          <w:szCs w:val="20"/>
        </w:rPr>
        <w:t xml:space="preserve">ostas emitida por este Tribunal el 26 de septiembre de 2018 en el presente caso (en adelante también “la Sentencia”), interpuesta el 15 de febrero de 2019 por los representantes de la señora Linda López Soto </w:t>
      </w:r>
      <w:r w:rsidR="001A4938">
        <w:rPr>
          <w:rFonts w:ascii="Verdana" w:hAnsi="Verdana"/>
          <w:sz w:val="20"/>
          <w:szCs w:val="20"/>
        </w:rPr>
        <w:t xml:space="preserve">y sus familiares </w:t>
      </w:r>
      <w:r>
        <w:rPr>
          <w:rFonts w:ascii="Verdana" w:hAnsi="Verdana"/>
          <w:sz w:val="20"/>
          <w:szCs w:val="20"/>
        </w:rPr>
        <w:t xml:space="preserve">(en adelante “los representantes de las víctimas” o “los representantes”). </w:t>
      </w:r>
    </w:p>
    <w:p w:rsidR="00D91AF5" w:rsidRDefault="00D91AF5" w:rsidP="00CB2E7C">
      <w:pPr>
        <w:spacing w:after="0" w:line="240" w:lineRule="auto"/>
        <w:rPr>
          <w:rFonts w:ascii="Verdana" w:hAnsi="Verdana"/>
          <w:sz w:val="20"/>
          <w:szCs w:val="20"/>
        </w:rPr>
      </w:pPr>
    </w:p>
    <w:p w:rsidR="00BD5ECF" w:rsidRDefault="00BD5ECF" w:rsidP="00CB2E7C">
      <w:pPr>
        <w:spacing w:after="0" w:line="240" w:lineRule="auto"/>
        <w:jc w:val="center"/>
        <w:rPr>
          <w:rFonts w:ascii="Verdana" w:hAnsi="Verdana"/>
          <w:b/>
          <w:sz w:val="20"/>
          <w:szCs w:val="20"/>
        </w:rPr>
      </w:pPr>
      <w:r>
        <w:rPr>
          <w:rFonts w:ascii="Verdana" w:hAnsi="Verdana"/>
          <w:b/>
          <w:sz w:val="20"/>
          <w:szCs w:val="20"/>
        </w:rPr>
        <w:t>I</w:t>
      </w:r>
    </w:p>
    <w:p w:rsidR="00BD5ECF" w:rsidRDefault="00BD5ECF" w:rsidP="00CB2E7C">
      <w:pPr>
        <w:spacing w:after="0" w:line="240" w:lineRule="auto"/>
        <w:jc w:val="center"/>
        <w:rPr>
          <w:rFonts w:ascii="Verdana" w:hAnsi="Verdana"/>
          <w:b/>
          <w:sz w:val="20"/>
          <w:szCs w:val="20"/>
        </w:rPr>
      </w:pPr>
      <w:r>
        <w:rPr>
          <w:rFonts w:ascii="Verdana" w:hAnsi="Verdana"/>
          <w:b/>
          <w:sz w:val="20"/>
          <w:szCs w:val="20"/>
        </w:rPr>
        <w:t>SOLICITUD DE INTERPRETACIÓN Y PROCEDIMIENTO ANTE LA CORTE</w:t>
      </w:r>
    </w:p>
    <w:p w:rsidR="00CB2E7C" w:rsidRDefault="00CB2E7C" w:rsidP="00CB2E7C">
      <w:pPr>
        <w:spacing w:after="0" w:line="240" w:lineRule="auto"/>
        <w:jc w:val="center"/>
        <w:rPr>
          <w:rFonts w:ascii="Verdana" w:hAnsi="Verdana"/>
          <w:b/>
          <w:sz w:val="20"/>
          <w:szCs w:val="20"/>
        </w:rPr>
      </w:pPr>
    </w:p>
    <w:p w:rsidR="00BD5ECF" w:rsidRDefault="00CB2E7C" w:rsidP="00CB2E7C">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El 26 de septiembre de 2018 la Corte Interamericana emitió la Sentencia</w:t>
      </w:r>
      <w:r w:rsidR="00185E1C">
        <w:rPr>
          <w:rFonts w:ascii="Verdana" w:hAnsi="Verdana"/>
          <w:sz w:val="20"/>
          <w:szCs w:val="20"/>
        </w:rPr>
        <w:t xml:space="preserve"> en el presente caso</w:t>
      </w:r>
      <w:r>
        <w:rPr>
          <w:rFonts w:ascii="Verdana" w:hAnsi="Verdana"/>
          <w:sz w:val="20"/>
          <w:szCs w:val="20"/>
        </w:rPr>
        <w:t xml:space="preserve">, la cual fue notificada a las partes y a la Comisión Interamericana de Derechos Humanos (en adelante “la Comisión Interamericana” o “la Comisión”) el 16 de noviembre del mismo año. </w:t>
      </w:r>
    </w:p>
    <w:p w:rsidR="00CB2E7C" w:rsidRDefault="00CB2E7C" w:rsidP="00CB2E7C">
      <w:pPr>
        <w:pStyle w:val="Prrafodelista"/>
        <w:spacing w:after="0" w:line="240" w:lineRule="auto"/>
        <w:ind w:left="0"/>
        <w:jc w:val="both"/>
        <w:rPr>
          <w:rFonts w:ascii="Verdana" w:hAnsi="Verdana"/>
          <w:sz w:val="20"/>
          <w:szCs w:val="20"/>
        </w:rPr>
      </w:pPr>
    </w:p>
    <w:p w:rsidR="00CB2E7C" w:rsidRDefault="00CB2E7C" w:rsidP="00CB2E7C">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El 15 de febrero de 2019 los representantes sometieron a la Corte una solicitud de interpretación</w:t>
      </w:r>
      <w:r>
        <w:rPr>
          <w:rFonts w:ascii="Verdana" w:hAnsi="Verdana"/>
          <w:sz w:val="20"/>
          <w:szCs w:val="20"/>
        </w:rPr>
        <w:tab/>
        <w:t xml:space="preserve">, en relación con dos aspectos de la Sentencia: (1) la reparación ordenada en relación con la beca de estudios otorgada a Linda Loaiza López Soto para poder concluir con su formación profesional en una universidad local o extranjera en la que sea admitida, y (2) </w:t>
      </w:r>
      <w:r w:rsidR="00BB324D">
        <w:rPr>
          <w:rFonts w:ascii="Verdana" w:hAnsi="Verdana"/>
          <w:sz w:val="20"/>
          <w:szCs w:val="20"/>
        </w:rPr>
        <w:t xml:space="preserve">las medidas de reparación correspondientes al tratamiento médico y psicológico y a las becas de estudio otorgadas a los y las hermanos/as de Linda Loaiza López Soto. </w:t>
      </w:r>
    </w:p>
    <w:p w:rsidR="00326C79" w:rsidRPr="00326C79" w:rsidRDefault="00326C79" w:rsidP="00326C79">
      <w:pPr>
        <w:pStyle w:val="Prrafodelista"/>
        <w:rPr>
          <w:rFonts w:ascii="Verdana" w:hAnsi="Verdana"/>
          <w:sz w:val="20"/>
          <w:szCs w:val="20"/>
        </w:rPr>
      </w:pPr>
    </w:p>
    <w:p w:rsidR="00326C79" w:rsidRDefault="00326C79" w:rsidP="00326C79">
      <w:pPr>
        <w:pStyle w:val="Prrafodelista"/>
        <w:spacing w:after="0" w:line="240" w:lineRule="auto"/>
        <w:ind w:left="0"/>
        <w:jc w:val="both"/>
        <w:rPr>
          <w:rFonts w:ascii="Verdana" w:hAnsi="Verdana"/>
          <w:sz w:val="20"/>
          <w:szCs w:val="20"/>
        </w:rPr>
      </w:pPr>
    </w:p>
    <w:p w:rsidR="00BB324D" w:rsidRDefault="00BB324D" w:rsidP="00BB324D">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El 18 de febrero de 2019, siguiendo instrucciones del Presidente de la Corte, la Secretaría del Tribunal transmitió la referida comunicación a la República Bolivariana de Venezuela (en adelante “el Estado de Venezuela”, “el Estado” o “Venezuela”) y a la Comisión Interamericana y les otorgó un plazo hasta el 19 de marzo de 2019 para presentar los alegatos escritos que estimaran pertinentes. </w:t>
      </w:r>
    </w:p>
    <w:p w:rsidR="00BB324D" w:rsidRPr="00BB324D" w:rsidRDefault="00BB324D" w:rsidP="00BB324D">
      <w:pPr>
        <w:pStyle w:val="Prrafodelista"/>
        <w:rPr>
          <w:rFonts w:ascii="Verdana" w:hAnsi="Verdana"/>
          <w:sz w:val="20"/>
          <w:szCs w:val="20"/>
        </w:rPr>
      </w:pPr>
    </w:p>
    <w:p w:rsidR="00BB324D" w:rsidRDefault="00BB324D" w:rsidP="00BB324D">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El </w:t>
      </w:r>
      <w:r w:rsidR="002631D9">
        <w:rPr>
          <w:rFonts w:ascii="Verdana" w:hAnsi="Verdana"/>
          <w:sz w:val="20"/>
          <w:szCs w:val="20"/>
        </w:rPr>
        <w:t>19</w:t>
      </w:r>
      <w:r>
        <w:rPr>
          <w:rFonts w:ascii="Verdana" w:hAnsi="Verdana"/>
          <w:sz w:val="20"/>
          <w:szCs w:val="20"/>
        </w:rPr>
        <w:t xml:space="preserve"> de </w:t>
      </w:r>
      <w:r w:rsidR="002631D9">
        <w:rPr>
          <w:rFonts w:ascii="Verdana" w:hAnsi="Verdana"/>
          <w:sz w:val="20"/>
          <w:szCs w:val="20"/>
        </w:rPr>
        <w:t>marzo</w:t>
      </w:r>
      <w:r>
        <w:rPr>
          <w:rFonts w:ascii="Verdana" w:hAnsi="Verdana"/>
          <w:sz w:val="20"/>
          <w:szCs w:val="20"/>
        </w:rPr>
        <w:t xml:space="preserve"> </w:t>
      </w:r>
      <w:r w:rsidR="002631D9">
        <w:rPr>
          <w:rFonts w:ascii="Verdana" w:hAnsi="Verdana"/>
          <w:sz w:val="20"/>
          <w:szCs w:val="20"/>
        </w:rPr>
        <w:t xml:space="preserve">y el </w:t>
      </w:r>
      <w:r w:rsidR="005A26AE">
        <w:rPr>
          <w:rFonts w:ascii="Verdana" w:hAnsi="Verdana"/>
          <w:sz w:val="20"/>
          <w:szCs w:val="20"/>
        </w:rPr>
        <w:t>22</w:t>
      </w:r>
      <w:r w:rsidR="002631D9">
        <w:rPr>
          <w:rFonts w:ascii="Verdana" w:hAnsi="Verdana"/>
          <w:sz w:val="20"/>
          <w:szCs w:val="20"/>
        </w:rPr>
        <w:t xml:space="preserve"> de marzo </w:t>
      </w:r>
      <w:r>
        <w:rPr>
          <w:rFonts w:ascii="Verdana" w:hAnsi="Verdana"/>
          <w:sz w:val="20"/>
          <w:szCs w:val="20"/>
        </w:rPr>
        <w:t>de 2019 el Estado y la Comisión Interamericana</w:t>
      </w:r>
      <w:r w:rsidR="002631D9">
        <w:rPr>
          <w:rFonts w:ascii="Verdana" w:hAnsi="Verdana"/>
          <w:sz w:val="20"/>
          <w:szCs w:val="20"/>
        </w:rPr>
        <w:t>, respectivamente,</w:t>
      </w:r>
      <w:r>
        <w:rPr>
          <w:rFonts w:ascii="Verdana" w:hAnsi="Verdana"/>
          <w:sz w:val="20"/>
          <w:szCs w:val="20"/>
        </w:rPr>
        <w:t xml:space="preserve"> presentaron sus alegatos con respecto a la solicitud de </w:t>
      </w:r>
      <w:r w:rsidR="005A26AE">
        <w:rPr>
          <w:rFonts w:ascii="Verdana" w:hAnsi="Verdana"/>
          <w:sz w:val="20"/>
          <w:szCs w:val="20"/>
        </w:rPr>
        <w:t>interpretación presentada por lo</w:t>
      </w:r>
      <w:r>
        <w:rPr>
          <w:rFonts w:ascii="Verdana" w:hAnsi="Verdana"/>
          <w:sz w:val="20"/>
          <w:szCs w:val="20"/>
        </w:rPr>
        <w:t xml:space="preserve">s representantes de las víctimas. </w:t>
      </w:r>
    </w:p>
    <w:p w:rsidR="00185E1C" w:rsidRPr="00185E1C" w:rsidRDefault="00185E1C" w:rsidP="00A03487">
      <w:pPr>
        <w:pStyle w:val="Prrafodelista"/>
        <w:spacing w:after="0" w:line="240" w:lineRule="auto"/>
        <w:rPr>
          <w:rFonts w:ascii="Verdana" w:hAnsi="Verdana"/>
          <w:sz w:val="20"/>
          <w:szCs w:val="20"/>
        </w:rPr>
      </w:pPr>
    </w:p>
    <w:p w:rsidR="00185E1C" w:rsidRDefault="00185E1C" w:rsidP="00185E1C">
      <w:pPr>
        <w:spacing w:after="0" w:line="240" w:lineRule="auto"/>
        <w:jc w:val="center"/>
        <w:rPr>
          <w:rFonts w:ascii="Verdana" w:hAnsi="Verdana"/>
          <w:b/>
          <w:sz w:val="20"/>
          <w:szCs w:val="20"/>
        </w:rPr>
      </w:pPr>
      <w:r>
        <w:rPr>
          <w:rFonts w:ascii="Verdana" w:hAnsi="Verdana"/>
          <w:b/>
          <w:sz w:val="20"/>
          <w:szCs w:val="20"/>
        </w:rPr>
        <w:t>II</w:t>
      </w:r>
    </w:p>
    <w:p w:rsidR="00185E1C" w:rsidRPr="00185E1C" w:rsidRDefault="00185E1C" w:rsidP="00185E1C">
      <w:pPr>
        <w:spacing w:after="0" w:line="240" w:lineRule="auto"/>
        <w:jc w:val="center"/>
        <w:rPr>
          <w:rFonts w:ascii="Verdana" w:hAnsi="Verdana"/>
          <w:b/>
          <w:sz w:val="20"/>
          <w:szCs w:val="20"/>
        </w:rPr>
      </w:pPr>
      <w:r>
        <w:rPr>
          <w:rFonts w:ascii="Verdana" w:hAnsi="Verdana"/>
          <w:b/>
          <w:sz w:val="20"/>
          <w:szCs w:val="20"/>
        </w:rPr>
        <w:t>COMPETENCIA</w:t>
      </w:r>
    </w:p>
    <w:p w:rsidR="00BB324D" w:rsidRPr="00BB324D" w:rsidRDefault="00BB324D" w:rsidP="00BB324D">
      <w:pPr>
        <w:pStyle w:val="Prrafodelista"/>
        <w:rPr>
          <w:rFonts w:ascii="Verdana" w:hAnsi="Verdana"/>
          <w:sz w:val="20"/>
          <w:szCs w:val="20"/>
        </w:rPr>
      </w:pPr>
    </w:p>
    <w:p w:rsidR="00BB324D" w:rsidRDefault="00BB324D" w:rsidP="00BB324D">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El artículo 67 de la Convención establece que:</w:t>
      </w:r>
    </w:p>
    <w:p w:rsidR="00BB324D" w:rsidRDefault="00BB324D" w:rsidP="00BB324D">
      <w:pPr>
        <w:pStyle w:val="Prrafodelista"/>
        <w:rPr>
          <w:rFonts w:ascii="Verdana" w:hAnsi="Verdana"/>
          <w:sz w:val="20"/>
          <w:szCs w:val="20"/>
        </w:rPr>
      </w:pPr>
    </w:p>
    <w:p w:rsidR="00F42B42" w:rsidRPr="00F42B42" w:rsidRDefault="00F42B42" w:rsidP="00F42B42">
      <w:pPr>
        <w:pStyle w:val="Prrafodelista"/>
        <w:spacing w:after="0" w:line="240" w:lineRule="auto"/>
        <w:jc w:val="both"/>
        <w:rPr>
          <w:rFonts w:ascii="Verdana" w:hAnsi="Verdana"/>
          <w:sz w:val="16"/>
          <w:szCs w:val="16"/>
        </w:rPr>
      </w:pPr>
      <w:r w:rsidRPr="00F42B42">
        <w:rPr>
          <w:rFonts w:ascii="Verdana" w:hAnsi="Verdana"/>
          <w:sz w:val="16"/>
          <w:szCs w:val="16"/>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F42B42" w:rsidRPr="00BB324D" w:rsidRDefault="00F42B42" w:rsidP="00BB324D">
      <w:pPr>
        <w:pStyle w:val="Prrafodelista"/>
        <w:rPr>
          <w:rFonts w:ascii="Verdana" w:hAnsi="Verdana"/>
          <w:sz w:val="20"/>
          <w:szCs w:val="20"/>
        </w:rPr>
      </w:pPr>
    </w:p>
    <w:p w:rsidR="00BB324D" w:rsidRDefault="00BB324D" w:rsidP="00BB324D">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De conformidad con el artículo citado, la Corte es competente para interpretar sus fallos. Para realizar el examen de la solicitud de interpretación y resolver lo que a este respecto corresponda, el Tribunal debe tener, si es posible, la misma composición </w:t>
      </w:r>
      <w:r w:rsidR="00F42B42">
        <w:rPr>
          <w:rFonts w:ascii="Verdana" w:hAnsi="Verdana"/>
          <w:sz w:val="20"/>
          <w:szCs w:val="20"/>
        </w:rPr>
        <w:t xml:space="preserve">que tenía al dictar la Sentencia respectiva, de acuerdo con el artículo 68.3 del Reglamento. En esta ocasión, la Corte </w:t>
      </w:r>
      <w:r w:rsidR="00726F1E" w:rsidRPr="00726F1E">
        <w:rPr>
          <w:rFonts w:ascii="Verdana" w:hAnsi="Verdana"/>
          <w:sz w:val="20"/>
          <w:szCs w:val="20"/>
        </w:rPr>
        <w:t>está integrada por los jueces Eduardo Ferrer Mac-Gregor Poisot, Presidente; Eduardo Vio Grossi, Vicepresidente; Humberto Antonio Sierra Porto, Juez; Elizabeth Odio Benito, Jueza; Eugenio Raúl Zaffaroni, Juez; y L. Patricio Pazmiño Freire, Juez.</w:t>
      </w:r>
    </w:p>
    <w:p w:rsidR="00F42B42" w:rsidRPr="00F42B42" w:rsidRDefault="00F42B42" w:rsidP="00A03487">
      <w:pPr>
        <w:pStyle w:val="Prrafodelista"/>
        <w:spacing w:after="0" w:line="240" w:lineRule="auto"/>
        <w:rPr>
          <w:rFonts w:ascii="Verdana" w:hAnsi="Verdana"/>
          <w:sz w:val="20"/>
          <w:szCs w:val="20"/>
        </w:rPr>
      </w:pPr>
    </w:p>
    <w:p w:rsidR="00F42B42" w:rsidRDefault="00F42B42" w:rsidP="00F42B42">
      <w:pPr>
        <w:spacing w:after="0" w:line="240" w:lineRule="auto"/>
        <w:jc w:val="center"/>
        <w:rPr>
          <w:rFonts w:ascii="Verdana" w:hAnsi="Verdana"/>
          <w:b/>
          <w:sz w:val="20"/>
          <w:szCs w:val="20"/>
        </w:rPr>
      </w:pPr>
      <w:r>
        <w:rPr>
          <w:rFonts w:ascii="Verdana" w:hAnsi="Verdana"/>
          <w:b/>
          <w:sz w:val="20"/>
          <w:szCs w:val="20"/>
        </w:rPr>
        <w:t>III</w:t>
      </w:r>
    </w:p>
    <w:p w:rsidR="00F42B42" w:rsidRDefault="00F42B42" w:rsidP="00F42B42">
      <w:pPr>
        <w:spacing w:after="0" w:line="240" w:lineRule="auto"/>
        <w:jc w:val="center"/>
        <w:rPr>
          <w:rFonts w:ascii="Verdana" w:hAnsi="Verdana"/>
          <w:b/>
          <w:sz w:val="20"/>
          <w:szCs w:val="20"/>
        </w:rPr>
      </w:pPr>
      <w:r>
        <w:rPr>
          <w:rFonts w:ascii="Verdana" w:hAnsi="Verdana"/>
          <w:b/>
          <w:sz w:val="20"/>
          <w:szCs w:val="20"/>
        </w:rPr>
        <w:t>ADMISIBILIDAD</w:t>
      </w:r>
    </w:p>
    <w:p w:rsidR="00F42B42" w:rsidRDefault="00F42B42" w:rsidP="00F42B42">
      <w:pPr>
        <w:spacing w:after="0" w:line="240" w:lineRule="auto"/>
        <w:rPr>
          <w:rFonts w:ascii="Verdana" w:hAnsi="Verdana"/>
          <w:sz w:val="20"/>
          <w:szCs w:val="20"/>
        </w:rPr>
      </w:pPr>
    </w:p>
    <w:p w:rsidR="00F42B42" w:rsidRDefault="00F42B42" w:rsidP="00F42B42">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Corresponde a la Corte verificar si la solicitud presentada por los representantes cumple con los requisitos establecidos en las normas aplicables a una solicitud de interpretación de Sentencia, a saber, el artículo 67 de la Convención, anteriormente citado, y el artículo 68 del Reglamento que dispone, en lo pertinente, que: </w:t>
      </w:r>
    </w:p>
    <w:p w:rsidR="00F42B42" w:rsidRDefault="00F42B42" w:rsidP="00F42B42">
      <w:pPr>
        <w:pStyle w:val="Prrafodelista"/>
        <w:spacing w:after="0" w:line="240" w:lineRule="auto"/>
        <w:ind w:left="0"/>
        <w:jc w:val="both"/>
        <w:rPr>
          <w:rFonts w:ascii="Verdana" w:hAnsi="Verdana"/>
          <w:sz w:val="20"/>
          <w:szCs w:val="20"/>
        </w:rPr>
      </w:pPr>
    </w:p>
    <w:p w:rsidR="00F42B42" w:rsidRDefault="00F42B42" w:rsidP="00F42B42">
      <w:pPr>
        <w:pStyle w:val="Prrafodelista"/>
        <w:spacing w:after="0" w:line="240" w:lineRule="auto"/>
        <w:ind w:left="708"/>
        <w:jc w:val="both"/>
        <w:rPr>
          <w:rFonts w:ascii="Verdana" w:hAnsi="Verdana"/>
          <w:sz w:val="16"/>
          <w:szCs w:val="16"/>
        </w:rPr>
      </w:pPr>
      <w:r w:rsidRPr="00F42B42">
        <w:rPr>
          <w:rFonts w:ascii="Verdana" w:hAnsi="Verdana"/>
          <w:sz w:val="16"/>
          <w:szCs w:val="16"/>
        </w:rPr>
        <w:t xml:space="preserve">1. 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 </w:t>
      </w:r>
    </w:p>
    <w:p w:rsidR="00F42B42" w:rsidRDefault="00F42B42" w:rsidP="00F42B42">
      <w:pPr>
        <w:pStyle w:val="Prrafodelista"/>
        <w:spacing w:after="0" w:line="240" w:lineRule="auto"/>
        <w:ind w:left="708"/>
        <w:jc w:val="both"/>
        <w:rPr>
          <w:rFonts w:ascii="Verdana" w:hAnsi="Verdana"/>
          <w:sz w:val="16"/>
          <w:szCs w:val="16"/>
        </w:rPr>
      </w:pPr>
    </w:p>
    <w:p w:rsidR="00F42B42" w:rsidRDefault="00F42B42" w:rsidP="00F42B42">
      <w:pPr>
        <w:pStyle w:val="Prrafodelista"/>
        <w:spacing w:after="0" w:line="240" w:lineRule="auto"/>
        <w:ind w:left="708"/>
        <w:jc w:val="both"/>
        <w:rPr>
          <w:rFonts w:ascii="Verdana" w:hAnsi="Verdana"/>
          <w:sz w:val="16"/>
          <w:szCs w:val="16"/>
        </w:rPr>
      </w:pPr>
      <w:r w:rsidRPr="00F42B42">
        <w:rPr>
          <w:rFonts w:ascii="Verdana" w:hAnsi="Verdana"/>
          <w:sz w:val="16"/>
          <w:szCs w:val="16"/>
        </w:rPr>
        <w:t xml:space="preserve">[…] </w:t>
      </w:r>
    </w:p>
    <w:p w:rsidR="00F42B42" w:rsidRDefault="00F42B42" w:rsidP="00F42B42">
      <w:pPr>
        <w:pStyle w:val="Prrafodelista"/>
        <w:spacing w:after="0" w:line="240" w:lineRule="auto"/>
        <w:ind w:left="708"/>
        <w:jc w:val="both"/>
        <w:rPr>
          <w:rFonts w:ascii="Verdana" w:hAnsi="Verdana"/>
          <w:sz w:val="16"/>
          <w:szCs w:val="16"/>
        </w:rPr>
      </w:pPr>
    </w:p>
    <w:p w:rsidR="00F42B42" w:rsidRDefault="00F42B42" w:rsidP="00F42B42">
      <w:pPr>
        <w:pStyle w:val="Prrafodelista"/>
        <w:spacing w:after="0" w:line="240" w:lineRule="auto"/>
        <w:ind w:left="708"/>
        <w:jc w:val="both"/>
        <w:rPr>
          <w:rFonts w:ascii="Verdana" w:hAnsi="Verdana"/>
          <w:sz w:val="16"/>
          <w:szCs w:val="16"/>
        </w:rPr>
      </w:pPr>
      <w:r w:rsidRPr="00F42B42">
        <w:rPr>
          <w:rFonts w:ascii="Verdana" w:hAnsi="Verdana"/>
          <w:sz w:val="16"/>
          <w:szCs w:val="16"/>
        </w:rPr>
        <w:t xml:space="preserve">4. La solicitud de interpretación no suspenderá la ejecución de la sentencia. </w:t>
      </w:r>
    </w:p>
    <w:p w:rsidR="00F42B42" w:rsidRDefault="00F42B42" w:rsidP="00F42B42">
      <w:pPr>
        <w:pStyle w:val="Prrafodelista"/>
        <w:spacing w:after="0" w:line="240" w:lineRule="auto"/>
        <w:ind w:left="708"/>
        <w:jc w:val="both"/>
        <w:rPr>
          <w:rFonts w:ascii="Verdana" w:hAnsi="Verdana"/>
          <w:sz w:val="16"/>
          <w:szCs w:val="16"/>
        </w:rPr>
      </w:pPr>
    </w:p>
    <w:p w:rsidR="00F42B42" w:rsidRPr="00F42B42" w:rsidRDefault="00F42B42" w:rsidP="00F42B42">
      <w:pPr>
        <w:pStyle w:val="Prrafodelista"/>
        <w:spacing w:after="0" w:line="240" w:lineRule="auto"/>
        <w:ind w:left="708"/>
        <w:jc w:val="both"/>
        <w:rPr>
          <w:rFonts w:ascii="Verdana" w:hAnsi="Verdana"/>
          <w:sz w:val="16"/>
          <w:szCs w:val="16"/>
        </w:rPr>
      </w:pPr>
      <w:r w:rsidRPr="00F42B42">
        <w:rPr>
          <w:rFonts w:ascii="Verdana" w:hAnsi="Verdana"/>
          <w:sz w:val="16"/>
          <w:szCs w:val="16"/>
        </w:rPr>
        <w:t>5. La Corte determinará el procedimiento que se seguirá y resolverá mediante una sentencia.</w:t>
      </w:r>
    </w:p>
    <w:p w:rsidR="00F42B42" w:rsidRDefault="00F42B42" w:rsidP="00F42B42">
      <w:pPr>
        <w:pStyle w:val="Prrafodelista"/>
        <w:spacing w:after="0" w:line="240" w:lineRule="auto"/>
        <w:ind w:left="0"/>
        <w:jc w:val="both"/>
        <w:rPr>
          <w:rFonts w:ascii="Verdana" w:hAnsi="Verdana"/>
          <w:sz w:val="20"/>
          <w:szCs w:val="20"/>
        </w:rPr>
      </w:pPr>
    </w:p>
    <w:p w:rsidR="00F42B42" w:rsidRDefault="00F42B42" w:rsidP="00F42B42">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Asimismo, el artículo 31.3 del Reglamento establece que “[c]ontra las sentencias y resoluciones de la Corte no procede ningún medio de impugnación”. </w:t>
      </w:r>
    </w:p>
    <w:p w:rsidR="006B478B" w:rsidRDefault="006B478B" w:rsidP="006B478B">
      <w:pPr>
        <w:pStyle w:val="Prrafodelista"/>
        <w:spacing w:after="0" w:line="240" w:lineRule="auto"/>
        <w:ind w:left="0"/>
        <w:jc w:val="both"/>
        <w:rPr>
          <w:rFonts w:ascii="Verdana" w:hAnsi="Verdana"/>
          <w:sz w:val="20"/>
          <w:szCs w:val="20"/>
        </w:rPr>
      </w:pPr>
    </w:p>
    <w:p w:rsidR="006B478B" w:rsidRDefault="006B478B" w:rsidP="00F42B42">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La Corte </w:t>
      </w:r>
      <w:r w:rsidR="00185E1C">
        <w:rPr>
          <w:rFonts w:ascii="Verdana" w:hAnsi="Verdana"/>
          <w:sz w:val="20"/>
          <w:szCs w:val="20"/>
        </w:rPr>
        <w:t>advierte</w:t>
      </w:r>
      <w:r>
        <w:rPr>
          <w:rFonts w:ascii="Verdana" w:hAnsi="Verdana"/>
          <w:sz w:val="20"/>
          <w:szCs w:val="20"/>
        </w:rPr>
        <w:t xml:space="preserve"> que los representantes de las víctimas presentaron su solicitud de interpretación de la Sentencia el 15 de febrero de 2019, dentro del plazo de noventa días establecido en el artículo 67 de la Convención, ya que la misma fue notificada el 16 de noviembre de 2018. Por ende, la solicitud resulta admisible en lo que se refiere al plazo de su presentación. </w:t>
      </w:r>
      <w:r>
        <w:rPr>
          <w:rFonts w:ascii="Verdana" w:hAnsi="Verdana"/>
          <w:sz w:val="20"/>
          <w:szCs w:val="20"/>
        </w:rPr>
        <w:lastRenderedPageBreak/>
        <w:t xml:space="preserve">En cuanto a los demás requisitos, la Corte realizará el análisis respectivo al examinar el contenido de la presente solicitud de interpretación en el </w:t>
      </w:r>
      <w:r w:rsidR="00185E1C">
        <w:rPr>
          <w:rFonts w:ascii="Verdana" w:hAnsi="Verdana"/>
          <w:sz w:val="20"/>
          <w:szCs w:val="20"/>
        </w:rPr>
        <w:t>siguiente</w:t>
      </w:r>
      <w:r>
        <w:rPr>
          <w:rFonts w:ascii="Verdana" w:hAnsi="Verdana"/>
          <w:sz w:val="20"/>
          <w:szCs w:val="20"/>
        </w:rPr>
        <w:t xml:space="preserve"> capítulo. </w:t>
      </w:r>
    </w:p>
    <w:p w:rsidR="00A57ACC" w:rsidRPr="00A57ACC" w:rsidRDefault="00A57ACC" w:rsidP="00A03487">
      <w:pPr>
        <w:pStyle w:val="Prrafodelista"/>
        <w:spacing w:after="0" w:line="240" w:lineRule="auto"/>
        <w:rPr>
          <w:rFonts w:ascii="Verdana" w:hAnsi="Verdana"/>
          <w:sz w:val="20"/>
          <w:szCs w:val="20"/>
        </w:rPr>
      </w:pPr>
    </w:p>
    <w:p w:rsidR="00A57ACC" w:rsidRDefault="00A57ACC" w:rsidP="00A57ACC">
      <w:pPr>
        <w:spacing w:after="0" w:line="240" w:lineRule="auto"/>
        <w:jc w:val="center"/>
        <w:rPr>
          <w:rFonts w:ascii="Verdana" w:hAnsi="Verdana"/>
          <w:b/>
          <w:sz w:val="20"/>
          <w:szCs w:val="20"/>
        </w:rPr>
      </w:pPr>
      <w:r>
        <w:rPr>
          <w:rFonts w:ascii="Verdana" w:hAnsi="Verdana"/>
          <w:b/>
          <w:sz w:val="20"/>
          <w:szCs w:val="20"/>
        </w:rPr>
        <w:t>IV</w:t>
      </w:r>
    </w:p>
    <w:p w:rsidR="00A57ACC" w:rsidRDefault="00A57ACC" w:rsidP="00A57ACC">
      <w:pPr>
        <w:spacing w:after="0" w:line="240" w:lineRule="auto"/>
        <w:jc w:val="center"/>
        <w:rPr>
          <w:rFonts w:ascii="Verdana" w:hAnsi="Verdana"/>
          <w:b/>
          <w:sz w:val="20"/>
          <w:szCs w:val="20"/>
        </w:rPr>
      </w:pPr>
      <w:r>
        <w:rPr>
          <w:rFonts w:ascii="Verdana" w:hAnsi="Verdana"/>
          <w:b/>
          <w:sz w:val="20"/>
          <w:szCs w:val="20"/>
        </w:rPr>
        <w:t>ANÁLISIS DE LA PROCEDENCIA DE LA SOLICITUD DE INTERPRETACIÓN</w:t>
      </w:r>
    </w:p>
    <w:p w:rsidR="00A57ACC" w:rsidRDefault="00A57ACC" w:rsidP="00A57ACC">
      <w:pPr>
        <w:spacing w:after="0" w:line="240" w:lineRule="auto"/>
        <w:rPr>
          <w:rFonts w:ascii="Verdana" w:hAnsi="Verdana"/>
          <w:b/>
          <w:sz w:val="20"/>
          <w:szCs w:val="20"/>
        </w:rPr>
      </w:pPr>
    </w:p>
    <w:p w:rsidR="00A57ACC" w:rsidRDefault="00A57ACC" w:rsidP="00A57ACC">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A continuación, la Corte analizará la solicitud de los representantes para determinar si, de acuerdo a la normativa </w:t>
      </w:r>
      <w:r w:rsidR="0016672D">
        <w:rPr>
          <w:rFonts w:ascii="Verdana" w:hAnsi="Verdana"/>
          <w:sz w:val="20"/>
          <w:szCs w:val="20"/>
        </w:rPr>
        <w:t>y</w:t>
      </w:r>
      <w:r>
        <w:rPr>
          <w:rFonts w:ascii="Verdana" w:hAnsi="Verdana"/>
          <w:sz w:val="20"/>
          <w:szCs w:val="20"/>
        </w:rPr>
        <w:t xml:space="preserve"> los </w:t>
      </w:r>
      <w:r w:rsidR="0016672D">
        <w:rPr>
          <w:rFonts w:ascii="Verdana" w:hAnsi="Verdana"/>
          <w:sz w:val="20"/>
          <w:szCs w:val="20"/>
        </w:rPr>
        <w:t>estándares</w:t>
      </w:r>
      <w:r>
        <w:rPr>
          <w:rFonts w:ascii="Verdana" w:hAnsi="Verdana"/>
          <w:sz w:val="20"/>
          <w:szCs w:val="20"/>
        </w:rPr>
        <w:t xml:space="preserve"> desarrollados en su jurisprudencia, procede aclarar el sentido o alcance de algún punto de la Sentencia. </w:t>
      </w:r>
    </w:p>
    <w:p w:rsidR="00A57ACC" w:rsidRDefault="00A57ACC" w:rsidP="00A57ACC">
      <w:pPr>
        <w:pStyle w:val="Prrafodelista"/>
        <w:spacing w:after="0" w:line="240" w:lineRule="auto"/>
        <w:ind w:left="0"/>
        <w:jc w:val="both"/>
        <w:rPr>
          <w:rFonts w:ascii="Verdana" w:hAnsi="Verdana"/>
          <w:sz w:val="20"/>
          <w:szCs w:val="20"/>
        </w:rPr>
      </w:pPr>
    </w:p>
    <w:p w:rsidR="00A57ACC" w:rsidRDefault="00A57ACC" w:rsidP="00A57ACC">
      <w:pPr>
        <w:pStyle w:val="Prrafodelista"/>
        <w:numPr>
          <w:ilvl w:val="0"/>
          <w:numId w:val="1"/>
        </w:numPr>
        <w:spacing w:after="0" w:line="240" w:lineRule="auto"/>
        <w:ind w:left="0" w:firstLine="0"/>
        <w:jc w:val="both"/>
        <w:rPr>
          <w:rFonts w:ascii="Verdana" w:hAnsi="Verdana"/>
          <w:sz w:val="20"/>
          <w:szCs w:val="20"/>
        </w:rPr>
      </w:pPr>
      <w:r w:rsidRPr="00A57ACC">
        <w:rPr>
          <w:rFonts w:ascii="Verdana" w:hAnsi="Verdana"/>
          <w:sz w:val="20"/>
          <w:szCs w:val="20"/>
        </w:rPr>
        <w:t xml:space="preserve">Para analizar la procedencia de la solicitud de </w:t>
      </w:r>
      <w:r w:rsidR="0016672D">
        <w:rPr>
          <w:rFonts w:ascii="Verdana" w:hAnsi="Verdana"/>
          <w:sz w:val="20"/>
          <w:szCs w:val="20"/>
        </w:rPr>
        <w:t>interpretación</w:t>
      </w:r>
      <w:r w:rsidRPr="00A57ACC">
        <w:rPr>
          <w:rFonts w:ascii="Verdana" w:hAnsi="Verdana"/>
          <w:sz w:val="20"/>
          <w:szCs w:val="20"/>
        </w:rPr>
        <w:t>,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0016672D">
        <w:rPr>
          <w:rStyle w:val="Refdenotaalpie"/>
          <w:rFonts w:ascii="Verdana" w:hAnsi="Verdana"/>
          <w:sz w:val="20"/>
          <w:szCs w:val="20"/>
        </w:rPr>
        <w:footnoteReference w:id="1"/>
      </w:r>
      <w:r w:rsidRPr="00A57ACC">
        <w:rPr>
          <w:rFonts w:ascii="Verdana" w:hAnsi="Verdana"/>
          <w:sz w:val="20"/>
          <w:szCs w:val="20"/>
        </w:rPr>
        <w:t>. Por lo tanto, no se puede solicitar la modificación o anulación de la sentencia respectiva a través de una solicitud de interpretación</w:t>
      </w:r>
      <w:r w:rsidRPr="00A57ACC">
        <w:rPr>
          <w:rStyle w:val="Refdenotaalpie"/>
          <w:rFonts w:ascii="Verdana" w:hAnsi="Verdana"/>
          <w:sz w:val="20"/>
          <w:szCs w:val="20"/>
        </w:rPr>
        <w:footnoteReference w:id="2"/>
      </w:r>
      <w:r w:rsidRPr="00A57ACC">
        <w:rPr>
          <w:rFonts w:ascii="Verdana" w:hAnsi="Verdana"/>
          <w:sz w:val="20"/>
          <w:szCs w:val="20"/>
        </w:rPr>
        <w:t>.</w:t>
      </w:r>
    </w:p>
    <w:p w:rsidR="00EF6514" w:rsidRPr="00EF6514" w:rsidRDefault="00EF6514" w:rsidP="00EF6514">
      <w:pPr>
        <w:pStyle w:val="Prrafodelista"/>
        <w:rPr>
          <w:rFonts w:ascii="Verdana" w:hAnsi="Verdana"/>
          <w:sz w:val="20"/>
          <w:szCs w:val="20"/>
        </w:rPr>
      </w:pPr>
    </w:p>
    <w:p w:rsidR="00EF6514" w:rsidRPr="00722496" w:rsidRDefault="00EF6514" w:rsidP="00722496">
      <w:pPr>
        <w:pStyle w:val="Prrafodelista"/>
        <w:numPr>
          <w:ilvl w:val="0"/>
          <w:numId w:val="1"/>
        </w:numPr>
        <w:spacing w:after="0" w:line="240" w:lineRule="auto"/>
        <w:ind w:left="0" w:firstLine="0"/>
        <w:jc w:val="both"/>
        <w:rPr>
          <w:rFonts w:ascii="Verdana" w:hAnsi="Verdana"/>
          <w:sz w:val="20"/>
          <w:szCs w:val="20"/>
        </w:rPr>
      </w:pPr>
      <w:r w:rsidRPr="00722496">
        <w:rPr>
          <w:rFonts w:ascii="Verdana" w:hAnsi="Verdana"/>
          <w:sz w:val="20"/>
          <w:szCs w:val="20"/>
        </w:rPr>
        <w:t>Adicionalmente, la Corte ha sostenido la improcedencia de utilizar una solicitud de</w:t>
      </w:r>
      <w:r w:rsidR="00FB66CD" w:rsidRPr="00722496">
        <w:rPr>
          <w:rFonts w:ascii="Verdana" w:hAnsi="Verdana"/>
          <w:sz w:val="20"/>
          <w:szCs w:val="20"/>
        </w:rPr>
        <w:t xml:space="preserve"> interpretación para someter cuestiones de hecho y de derecho que ya fueron planteadas en su oportunidad procesal y sobre las cuales la Corte ya adoptó una decisión</w:t>
      </w:r>
      <w:r w:rsidR="00FB66CD">
        <w:rPr>
          <w:rStyle w:val="Refdenotaalpie"/>
          <w:rFonts w:ascii="Verdana" w:hAnsi="Verdana"/>
          <w:sz w:val="20"/>
          <w:szCs w:val="20"/>
        </w:rPr>
        <w:footnoteReference w:id="3"/>
      </w:r>
      <w:r w:rsidR="00FB66CD" w:rsidRPr="00722496">
        <w:rPr>
          <w:rFonts w:ascii="Verdana" w:hAnsi="Verdana"/>
          <w:sz w:val="20"/>
          <w:szCs w:val="20"/>
        </w:rPr>
        <w:t>, así como para pretender que la Corte valore nuevamente cuestiones que ya han sido resueltas por ésta en su Sentencia</w:t>
      </w:r>
      <w:r w:rsidR="00FB66CD">
        <w:rPr>
          <w:rStyle w:val="Refdenotaalpie"/>
          <w:rFonts w:ascii="Verdana" w:hAnsi="Verdana"/>
          <w:sz w:val="20"/>
          <w:szCs w:val="20"/>
        </w:rPr>
        <w:footnoteReference w:id="4"/>
      </w:r>
      <w:r w:rsidR="00FB66CD" w:rsidRPr="00722496">
        <w:rPr>
          <w:rFonts w:ascii="Verdana" w:hAnsi="Verdana"/>
          <w:sz w:val="20"/>
          <w:szCs w:val="20"/>
        </w:rPr>
        <w:t>. De igual manera, por esta vía tampoco se puede intentar que se amplíe el alcance de una reparación ordenada oportunamente</w:t>
      </w:r>
      <w:r w:rsidR="00FB66CD">
        <w:rPr>
          <w:rStyle w:val="Refdenotaalpie"/>
          <w:rFonts w:ascii="Verdana" w:hAnsi="Verdana"/>
          <w:sz w:val="20"/>
          <w:szCs w:val="20"/>
        </w:rPr>
        <w:footnoteReference w:id="5"/>
      </w:r>
      <w:r w:rsidR="00FB66CD" w:rsidRPr="00722496">
        <w:rPr>
          <w:rFonts w:ascii="Verdana" w:hAnsi="Verdana"/>
          <w:sz w:val="20"/>
          <w:szCs w:val="20"/>
        </w:rPr>
        <w:t xml:space="preserve">. </w:t>
      </w:r>
      <w:r w:rsidR="00722496" w:rsidRPr="00722496">
        <w:rPr>
          <w:rFonts w:ascii="Verdana" w:hAnsi="Verdana"/>
          <w:sz w:val="20"/>
          <w:szCs w:val="20"/>
        </w:rPr>
        <w:t xml:space="preserve">Bajo este entendido, la Corte examinará las cuestiones </w:t>
      </w:r>
      <w:r w:rsidR="00722496">
        <w:rPr>
          <w:rFonts w:ascii="Verdana" w:hAnsi="Verdana"/>
          <w:sz w:val="20"/>
          <w:szCs w:val="20"/>
        </w:rPr>
        <w:t>planteadas por los</w:t>
      </w:r>
      <w:r w:rsidR="00722496" w:rsidRPr="00722496">
        <w:rPr>
          <w:rFonts w:ascii="Verdana" w:hAnsi="Verdana"/>
          <w:sz w:val="20"/>
          <w:szCs w:val="20"/>
        </w:rPr>
        <w:t xml:space="preserve"> representante</w:t>
      </w:r>
      <w:r w:rsidR="00FE1DB5">
        <w:rPr>
          <w:rFonts w:ascii="Verdana" w:hAnsi="Verdana"/>
          <w:sz w:val="20"/>
          <w:szCs w:val="20"/>
        </w:rPr>
        <w:t>s</w:t>
      </w:r>
      <w:r w:rsidR="00722496" w:rsidRPr="00722496">
        <w:rPr>
          <w:rFonts w:ascii="Verdana" w:hAnsi="Verdana"/>
          <w:sz w:val="20"/>
          <w:szCs w:val="20"/>
        </w:rPr>
        <w:t>, así como los alegatos presentados por el Estado y la Comisión,</w:t>
      </w:r>
      <w:r w:rsidR="00722496">
        <w:rPr>
          <w:rFonts w:ascii="Verdana" w:hAnsi="Verdana"/>
          <w:sz w:val="20"/>
          <w:szCs w:val="20"/>
        </w:rPr>
        <w:t xml:space="preserve"> </w:t>
      </w:r>
      <w:r w:rsidR="00722496" w:rsidRPr="00722496">
        <w:rPr>
          <w:rFonts w:ascii="Verdana" w:hAnsi="Verdana"/>
          <w:sz w:val="20"/>
          <w:szCs w:val="20"/>
        </w:rPr>
        <w:t>respectivamente, y determinar</w:t>
      </w:r>
      <w:r w:rsidR="00FE1DB5">
        <w:rPr>
          <w:rFonts w:ascii="Verdana" w:hAnsi="Verdana"/>
          <w:sz w:val="20"/>
          <w:szCs w:val="20"/>
        </w:rPr>
        <w:t>á la procedencia de las mismas.</w:t>
      </w:r>
    </w:p>
    <w:p w:rsidR="00A53C30" w:rsidRPr="00A53C30" w:rsidRDefault="00A53C30" w:rsidP="00A53C30">
      <w:pPr>
        <w:pStyle w:val="Prrafodelista"/>
        <w:rPr>
          <w:rFonts w:ascii="Verdana" w:hAnsi="Verdana"/>
          <w:sz w:val="20"/>
          <w:szCs w:val="20"/>
        </w:rPr>
      </w:pPr>
    </w:p>
    <w:p w:rsidR="00A53C30" w:rsidRDefault="00A53C30" w:rsidP="00A53C30">
      <w:pPr>
        <w:pStyle w:val="Prrafodelista"/>
        <w:numPr>
          <w:ilvl w:val="0"/>
          <w:numId w:val="2"/>
        </w:numPr>
        <w:spacing w:after="0" w:line="240" w:lineRule="auto"/>
        <w:jc w:val="both"/>
        <w:rPr>
          <w:rFonts w:ascii="Verdana" w:hAnsi="Verdana"/>
          <w:b/>
          <w:sz w:val="20"/>
          <w:szCs w:val="20"/>
        </w:rPr>
      </w:pPr>
      <w:r>
        <w:rPr>
          <w:rFonts w:ascii="Verdana" w:hAnsi="Verdana"/>
          <w:b/>
          <w:sz w:val="20"/>
          <w:szCs w:val="20"/>
        </w:rPr>
        <w:t>Aclaración en relación al punto resolutivo décimo quinto de la Sentencia</w:t>
      </w:r>
    </w:p>
    <w:p w:rsidR="00A53C30" w:rsidRDefault="00A53C30" w:rsidP="00A53C30">
      <w:pPr>
        <w:spacing w:after="0" w:line="240" w:lineRule="auto"/>
        <w:jc w:val="both"/>
        <w:rPr>
          <w:rFonts w:ascii="Verdana" w:hAnsi="Verdana"/>
          <w:b/>
          <w:sz w:val="20"/>
          <w:szCs w:val="20"/>
        </w:rPr>
      </w:pPr>
    </w:p>
    <w:p w:rsidR="00E91352" w:rsidRDefault="00E91352" w:rsidP="00E91352">
      <w:pPr>
        <w:pStyle w:val="Prrafodelista"/>
        <w:spacing w:after="0" w:line="240" w:lineRule="auto"/>
        <w:ind w:left="708"/>
        <w:jc w:val="both"/>
        <w:rPr>
          <w:rFonts w:ascii="Verdana" w:hAnsi="Verdana"/>
          <w:i/>
          <w:sz w:val="20"/>
          <w:szCs w:val="20"/>
        </w:rPr>
      </w:pPr>
      <w:r>
        <w:rPr>
          <w:rFonts w:ascii="Verdana" w:hAnsi="Verdana"/>
          <w:i/>
          <w:sz w:val="20"/>
          <w:szCs w:val="20"/>
        </w:rPr>
        <w:t>A.1. Argumentos de las partes y de la Comisión</w:t>
      </w:r>
    </w:p>
    <w:p w:rsidR="00E91352" w:rsidRPr="00E91352" w:rsidRDefault="00E91352" w:rsidP="00E91352">
      <w:pPr>
        <w:pStyle w:val="Prrafodelista"/>
        <w:spacing w:after="0" w:line="240" w:lineRule="auto"/>
        <w:ind w:left="708"/>
        <w:jc w:val="both"/>
        <w:rPr>
          <w:rFonts w:ascii="Verdana" w:hAnsi="Verdana"/>
          <w:i/>
          <w:sz w:val="20"/>
          <w:szCs w:val="20"/>
        </w:rPr>
      </w:pPr>
    </w:p>
    <w:p w:rsidR="00A53C30" w:rsidRDefault="00A53C30" w:rsidP="00185E1C">
      <w:pPr>
        <w:pStyle w:val="Prrafodelista"/>
        <w:numPr>
          <w:ilvl w:val="0"/>
          <w:numId w:val="1"/>
        </w:numPr>
        <w:spacing w:after="0" w:line="240" w:lineRule="auto"/>
        <w:ind w:left="0" w:firstLine="0"/>
        <w:jc w:val="both"/>
        <w:rPr>
          <w:rFonts w:ascii="Verdana" w:hAnsi="Verdana"/>
          <w:sz w:val="20"/>
          <w:szCs w:val="20"/>
        </w:rPr>
      </w:pPr>
      <w:r w:rsidRPr="00185E1C">
        <w:rPr>
          <w:rFonts w:ascii="Verdana" w:hAnsi="Verdana"/>
          <w:sz w:val="20"/>
          <w:szCs w:val="20"/>
        </w:rPr>
        <w:t xml:space="preserve">Los </w:t>
      </w:r>
      <w:r w:rsidRPr="00185E1C">
        <w:rPr>
          <w:rFonts w:ascii="Verdana" w:hAnsi="Verdana"/>
          <w:i/>
          <w:sz w:val="20"/>
          <w:szCs w:val="20"/>
        </w:rPr>
        <w:t xml:space="preserve">Representantes </w:t>
      </w:r>
      <w:r w:rsidRPr="00185E1C">
        <w:rPr>
          <w:rFonts w:ascii="Verdana" w:hAnsi="Verdana"/>
          <w:sz w:val="20"/>
          <w:szCs w:val="20"/>
        </w:rPr>
        <w:t xml:space="preserve">realizaron la siguiente solicitud de aclaración sobre la reparación ordenada </w:t>
      </w:r>
      <w:r w:rsidR="00185E1C" w:rsidRPr="00185E1C">
        <w:rPr>
          <w:rFonts w:ascii="Verdana" w:hAnsi="Verdana"/>
          <w:sz w:val="20"/>
          <w:szCs w:val="20"/>
        </w:rPr>
        <w:t>en el punto resolutivo décimo quinto de</w:t>
      </w:r>
      <w:r w:rsidRPr="00185E1C">
        <w:rPr>
          <w:rFonts w:ascii="Verdana" w:hAnsi="Verdana"/>
          <w:sz w:val="20"/>
          <w:szCs w:val="20"/>
        </w:rPr>
        <w:t xml:space="preserve"> la Sentencia: </w:t>
      </w:r>
    </w:p>
    <w:p w:rsidR="006522B5" w:rsidRPr="00185E1C" w:rsidRDefault="006522B5" w:rsidP="006522B5">
      <w:pPr>
        <w:pStyle w:val="Prrafodelista"/>
        <w:spacing w:after="0" w:line="240" w:lineRule="auto"/>
        <w:ind w:left="0"/>
        <w:jc w:val="both"/>
        <w:rPr>
          <w:rFonts w:ascii="Verdana" w:hAnsi="Verdana"/>
          <w:sz w:val="20"/>
          <w:szCs w:val="20"/>
        </w:rPr>
      </w:pPr>
    </w:p>
    <w:p w:rsidR="00A53C30" w:rsidRDefault="00185E1C" w:rsidP="00185E1C">
      <w:pPr>
        <w:pStyle w:val="Prrafodelista"/>
        <w:numPr>
          <w:ilvl w:val="1"/>
          <w:numId w:val="1"/>
        </w:numPr>
        <w:spacing w:after="0" w:line="240" w:lineRule="auto"/>
        <w:jc w:val="both"/>
        <w:rPr>
          <w:rFonts w:ascii="Verdana" w:hAnsi="Verdana"/>
          <w:sz w:val="20"/>
          <w:szCs w:val="20"/>
        </w:rPr>
      </w:pPr>
      <w:r w:rsidRPr="00185E1C">
        <w:rPr>
          <w:rFonts w:ascii="Verdana" w:hAnsi="Verdana"/>
          <w:sz w:val="20"/>
          <w:szCs w:val="20"/>
        </w:rPr>
        <w:t xml:space="preserve">Solicitaron “aclar[ar] que la decisión de recibir la reparación en una universidad local o extranjera corresponde a la víctima, y no al Estado venezolano”, por cuanto </w:t>
      </w:r>
      <w:r w:rsidRPr="00185E1C">
        <w:rPr>
          <w:rFonts w:ascii="Verdana" w:hAnsi="Verdana"/>
          <w:sz w:val="20"/>
          <w:szCs w:val="20"/>
        </w:rPr>
        <w:lastRenderedPageBreak/>
        <w:t>“</w:t>
      </w:r>
      <w:r>
        <w:rPr>
          <w:rFonts w:ascii="Verdana" w:hAnsi="Verdana"/>
          <w:sz w:val="20"/>
          <w:szCs w:val="20"/>
        </w:rPr>
        <w:t>[e]</w:t>
      </w:r>
      <w:r w:rsidRPr="00185E1C">
        <w:rPr>
          <w:rFonts w:ascii="Verdana" w:hAnsi="Verdana"/>
          <w:sz w:val="20"/>
          <w:szCs w:val="20"/>
        </w:rPr>
        <w:t>l sentido de la reparación es permitir a Linda Loaiza López recuperar su proyecto de vida y seguir su proceso de formación profesional. Para ello, es fundamental que quede claro que la decisión sobre la universidad en que se matriculará sea tomada por Linda Loaiza</w:t>
      </w:r>
      <w:r>
        <w:rPr>
          <w:rFonts w:ascii="Verdana" w:hAnsi="Verdana"/>
          <w:sz w:val="20"/>
          <w:szCs w:val="20"/>
        </w:rPr>
        <w:t>”</w:t>
      </w:r>
      <w:r w:rsidRPr="00185E1C">
        <w:rPr>
          <w:rFonts w:ascii="Verdana" w:hAnsi="Verdana"/>
          <w:sz w:val="20"/>
          <w:szCs w:val="20"/>
        </w:rPr>
        <w:t>.</w:t>
      </w:r>
    </w:p>
    <w:p w:rsidR="00185E1C" w:rsidRDefault="00185E1C" w:rsidP="00185E1C">
      <w:pPr>
        <w:spacing w:after="0" w:line="240" w:lineRule="auto"/>
        <w:jc w:val="both"/>
        <w:rPr>
          <w:rFonts w:ascii="Verdana" w:hAnsi="Verdana"/>
          <w:sz w:val="20"/>
          <w:szCs w:val="20"/>
        </w:rPr>
      </w:pPr>
    </w:p>
    <w:p w:rsidR="00185E1C" w:rsidRPr="00185E1C" w:rsidRDefault="00722496" w:rsidP="00185E1C">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La Comisión consideró que “a fin de facilitar el cumplimiento de dicha medida de satisfacción, resultaría pertinente que la Corte aclare que corresponde a la víctima, Linda Loaiza López Soto –y no al Estado–, la elección de la universidad en la que vaya a realizar sus estudios, ya sea local o extranjera”</w:t>
      </w:r>
      <w:r w:rsidR="00185E1C" w:rsidRPr="00185E1C">
        <w:rPr>
          <w:rFonts w:ascii="Verdana" w:hAnsi="Verdana"/>
          <w:sz w:val="20"/>
          <w:szCs w:val="20"/>
        </w:rPr>
        <w:t>.</w:t>
      </w:r>
    </w:p>
    <w:p w:rsidR="00185E1C" w:rsidRDefault="00185E1C" w:rsidP="00185E1C">
      <w:pPr>
        <w:spacing w:after="0" w:line="240" w:lineRule="auto"/>
        <w:jc w:val="both"/>
        <w:rPr>
          <w:rFonts w:ascii="Verdana" w:hAnsi="Verdana"/>
          <w:sz w:val="20"/>
          <w:szCs w:val="20"/>
        </w:rPr>
      </w:pPr>
    </w:p>
    <w:p w:rsidR="002033CA" w:rsidRDefault="00185E1C" w:rsidP="002033CA">
      <w:pPr>
        <w:pStyle w:val="Prrafodelista"/>
        <w:numPr>
          <w:ilvl w:val="0"/>
          <w:numId w:val="1"/>
        </w:numPr>
        <w:spacing w:after="0" w:line="240" w:lineRule="auto"/>
        <w:ind w:left="0" w:firstLine="0"/>
        <w:jc w:val="both"/>
        <w:rPr>
          <w:rFonts w:ascii="Verdana" w:hAnsi="Verdana"/>
          <w:sz w:val="20"/>
          <w:szCs w:val="20"/>
        </w:rPr>
      </w:pPr>
      <w:r w:rsidRPr="00185E1C">
        <w:rPr>
          <w:rFonts w:ascii="Verdana" w:hAnsi="Verdana"/>
          <w:sz w:val="20"/>
          <w:szCs w:val="20"/>
        </w:rPr>
        <w:t>El Estado</w:t>
      </w:r>
      <w:r w:rsidR="002631D9">
        <w:rPr>
          <w:rFonts w:ascii="Verdana" w:hAnsi="Verdana"/>
          <w:sz w:val="20"/>
          <w:szCs w:val="20"/>
        </w:rPr>
        <w:t>,</w:t>
      </w:r>
      <w:r w:rsidRPr="00185E1C">
        <w:rPr>
          <w:rFonts w:ascii="Verdana" w:hAnsi="Verdana"/>
          <w:sz w:val="20"/>
          <w:szCs w:val="20"/>
        </w:rPr>
        <w:t xml:space="preserve"> por su parte</w:t>
      </w:r>
      <w:r w:rsidR="002631D9">
        <w:rPr>
          <w:rFonts w:ascii="Verdana" w:hAnsi="Verdana"/>
          <w:sz w:val="20"/>
          <w:szCs w:val="20"/>
        </w:rPr>
        <w:t xml:space="preserve">, observó que “la finalidad de la medida de satisfacción dictada por la Corte estriba en compensar las alteraciones en los planes de estudios originales que tenía la señora López Soto a su llegada a la ciudad de Caracas y a los efectos de garantizar la conclusión de su formación académica y profesional”, por lo que “la determinación sobre la universidad donde le sea otorgada una beca de estudios a la señora López Soto debe ser concertada entre el Estado y la víctima, habida cuenta que lo pretendido por la sentencia es la correcta formación académica de la señora López Soto y no favorecer una situación que se separe del propósito final de la reparación ordenada, como puede ser el cambio de residencia fuera del territorio de </w:t>
      </w:r>
      <w:r w:rsidR="002D32C9">
        <w:rPr>
          <w:rFonts w:ascii="Verdana" w:hAnsi="Verdana"/>
          <w:sz w:val="20"/>
          <w:szCs w:val="20"/>
        </w:rPr>
        <w:t>[…]</w:t>
      </w:r>
      <w:r w:rsidR="002631D9">
        <w:rPr>
          <w:rFonts w:ascii="Verdana" w:hAnsi="Verdana"/>
          <w:sz w:val="20"/>
          <w:szCs w:val="20"/>
        </w:rPr>
        <w:t xml:space="preserve"> Venezuela”</w:t>
      </w:r>
      <w:r w:rsidRPr="00185E1C">
        <w:rPr>
          <w:rFonts w:ascii="Verdana" w:hAnsi="Verdana"/>
          <w:sz w:val="20"/>
          <w:szCs w:val="20"/>
        </w:rPr>
        <w:t>.</w:t>
      </w:r>
      <w:r w:rsidR="002D32C9">
        <w:rPr>
          <w:rFonts w:ascii="Verdana" w:hAnsi="Verdana"/>
          <w:sz w:val="20"/>
          <w:szCs w:val="20"/>
        </w:rPr>
        <w:t xml:space="preserve"> En virtud de lo anterior, reafirmó que “en la actualidad existen en Venezuela distintas universidades a las cuales la señora López Soto podría concurrir a realizar su estudios, tanto de pregrado como de posgrado, en la carrera o especialidad de su elección, siempre que complete el proceso de selección y admisión”. </w:t>
      </w:r>
    </w:p>
    <w:p w:rsidR="002033CA" w:rsidRPr="002033CA" w:rsidRDefault="002033CA" w:rsidP="002033CA">
      <w:pPr>
        <w:pStyle w:val="Prrafodelista"/>
        <w:spacing w:after="0" w:line="240" w:lineRule="auto"/>
        <w:ind w:left="0"/>
        <w:jc w:val="both"/>
        <w:rPr>
          <w:rFonts w:ascii="Verdana" w:hAnsi="Verdana"/>
          <w:sz w:val="20"/>
          <w:szCs w:val="20"/>
        </w:rPr>
      </w:pPr>
    </w:p>
    <w:p w:rsidR="002033CA" w:rsidRPr="002033CA" w:rsidRDefault="002033CA" w:rsidP="002033CA">
      <w:pPr>
        <w:spacing w:after="0" w:line="240" w:lineRule="auto"/>
        <w:ind w:left="708"/>
        <w:jc w:val="both"/>
        <w:rPr>
          <w:rFonts w:ascii="Verdana" w:hAnsi="Verdana"/>
          <w:i/>
          <w:sz w:val="20"/>
          <w:szCs w:val="20"/>
        </w:rPr>
      </w:pPr>
      <w:r>
        <w:rPr>
          <w:rFonts w:ascii="Verdana" w:hAnsi="Verdana"/>
          <w:i/>
          <w:sz w:val="20"/>
          <w:szCs w:val="20"/>
        </w:rPr>
        <w:t>A.2. Consideraciones de la Corte</w:t>
      </w:r>
    </w:p>
    <w:p w:rsidR="00544E1E" w:rsidRPr="00544E1E" w:rsidRDefault="00544E1E" w:rsidP="00544E1E">
      <w:pPr>
        <w:pStyle w:val="Prrafodelista"/>
        <w:rPr>
          <w:rFonts w:ascii="Verdana" w:hAnsi="Verdana"/>
          <w:sz w:val="20"/>
          <w:szCs w:val="20"/>
        </w:rPr>
      </w:pPr>
    </w:p>
    <w:p w:rsidR="00544E1E" w:rsidRDefault="00544E1E" w:rsidP="00544E1E">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En su Sentencia, la Corte estableció que:</w:t>
      </w:r>
    </w:p>
    <w:p w:rsidR="00544E1E" w:rsidRDefault="00544E1E" w:rsidP="00544E1E">
      <w:pPr>
        <w:spacing w:after="0" w:line="240" w:lineRule="auto"/>
        <w:ind w:left="708"/>
        <w:jc w:val="both"/>
        <w:rPr>
          <w:rFonts w:ascii="Verdana" w:hAnsi="Verdana"/>
          <w:sz w:val="16"/>
          <w:szCs w:val="20"/>
        </w:rPr>
      </w:pPr>
    </w:p>
    <w:p w:rsidR="00544E1E" w:rsidRPr="00544E1E" w:rsidRDefault="00544E1E" w:rsidP="00544E1E">
      <w:pPr>
        <w:spacing w:after="0" w:line="240" w:lineRule="auto"/>
        <w:ind w:left="708"/>
        <w:jc w:val="both"/>
        <w:rPr>
          <w:rFonts w:ascii="Verdana" w:hAnsi="Verdana"/>
          <w:sz w:val="16"/>
          <w:szCs w:val="20"/>
        </w:rPr>
      </w:pPr>
      <w:r w:rsidRPr="00544E1E">
        <w:rPr>
          <w:rFonts w:ascii="Verdana" w:hAnsi="Verdana"/>
          <w:sz w:val="16"/>
          <w:szCs w:val="20"/>
        </w:rPr>
        <w:t xml:space="preserve">308. La Corte ha establecido en la presente Sentencia que los hechos del caso generaron una afectación en Linda Loaiza López Soto y sus familiares, lo cual ocasionó cambios significativos tanto en sus vidas como en su relaciones, afectando así su desarrollo personal </w:t>
      </w:r>
      <w:r w:rsidR="00722496">
        <w:rPr>
          <w:rFonts w:ascii="Verdana" w:hAnsi="Verdana"/>
          <w:sz w:val="16"/>
          <w:szCs w:val="20"/>
        </w:rPr>
        <w:t>[…]</w:t>
      </w:r>
      <w:r w:rsidRPr="00544E1E">
        <w:rPr>
          <w:rFonts w:ascii="Verdana" w:hAnsi="Verdana"/>
          <w:sz w:val="16"/>
          <w:szCs w:val="20"/>
        </w:rPr>
        <w:t>. La perita Ramírez Velasco indicó que “es reiterado en el discurso de la familia, la dificultad que han tenido para llevar a cabo de forma regular sus estudios académicos por falta de ingresos económicos debido a la pérdida del patrimonio familiar”. Asimismo, señaló que “[e]l largo proceso de juicio y sus resultados, según lo describen, les afectó en el ámbito laboral, así como, la elección de sus carreras profesionales, las cuales tuvieron que ser distintas a las iniciales”. […]</w:t>
      </w:r>
    </w:p>
    <w:p w:rsidR="00544E1E" w:rsidRPr="00544E1E" w:rsidRDefault="00544E1E" w:rsidP="00544E1E">
      <w:pPr>
        <w:spacing w:after="0" w:line="240" w:lineRule="auto"/>
        <w:jc w:val="both"/>
        <w:rPr>
          <w:rFonts w:ascii="Verdana" w:hAnsi="Verdana"/>
          <w:sz w:val="16"/>
          <w:szCs w:val="20"/>
        </w:rPr>
      </w:pPr>
    </w:p>
    <w:p w:rsidR="00544E1E" w:rsidRPr="00544E1E" w:rsidRDefault="00544E1E" w:rsidP="00544E1E">
      <w:pPr>
        <w:spacing w:after="0" w:line="240" w:lineRule="auto"/>
        <w:ind w:left="708"/>
        <w:jc w:val="both"/>
        <w:rPr>
          <w:rFonts w:ascii="Verdana" w:hAnsi="Verdana"/>
          <w:sz w:val="16"/>
          <w:szCs w:val="20"/>
        </w:rPr>
      </w:pPr>
      <w:r w:rsidRPr="00544E1E">
        <w:rPr>
          <w:rFonts w:ascii="Verdana" w:hAnsi="Verdana"/>
          <w:sz w:val="16"/>
          <w:szCs w:val="20"/>
        </w:rPr>
        <w:t>309. En particular, el Tribunal destaca que los hechos sucedieron durante el inicio de la etapa de formación universitaria de Linda Loaiza y su hermana Ana Secilia, quienes se vieron obligadas a alterar sus planes de estudios que originalmente habían motivado su llegada a Caracas. De acuerdo a lo que surge del peritaje de Ramírez Velasco, Linda Loaiza finalmente estudió la carrera de derecho, pero el ejercicio de esta profesión se ha visto “truncado” a raíz de la exposición que ha tenido en su país como consecuencia de la búsqueda de justicia emprendida. […]</w:t>
      </w:r>
    </w:p>
    <w:p w:rsidR="00544E1E" w:rsidRPr="00544E1E" w:rsidRDefault="00544E1E" w:rsidP="00544E1E">
      <w:pPr>
        <w:spacing w:after="0" w:line="240" w:lineRule="auto"/>
        <w:jc w:val="both"/>
        <w:rPr>
          <w:rFonts w:ascii="Verdana" w:hAnsi="Verdana"/>
          <w:sz w:val="16"/>
          <w:szCs w:val="20"/>
        </w:rPr>
      </w:pPr>
    </w:p>
    <w:p w:rsidR="00544E1E" w:rsidRDefault="00544E1E" w:rsidP="00544E1E">
      <w:pPr>
        <w:spacing w:after="0" w:line="240" w:lineRule="auto"/>
        <w:ind w:left="708"/>
        <w:jc w:val="both"/>
        <w:rPr>
          <w:rFonts w:ascii="Verdana" w:hAnsi="Verdana"/>
          <w:sz w:val="16"/>
          <w:szCs w:val="20"/>
        </w:rPr>
      </w:pPr>
      <w:r w:rsidRPr="00544E1E">
        <w:rPr>
          <w:rFonts w:ascii="Verdana" w:hAnsi="Verdana"/>
          <w:sz w:val="16"/>
          <w:szCs w:val="20"/>
        </w:rPr>
        <w:t>310. En atención a lo anterior, como se ha dispuesto en otros casos, la Corte estima oportuno ordenar, como medida de satisfacción en el presente caso, que el Estado otorgue a favor de Linda Loaiza López Soto una beca de estudios para poder concluir con su formación profesional en una universidad local o extranjera en la que sea admitida. El Estado deberá cubrir los costos académicos y de manutención previamente, conforme al costo de vida del país en el que Linda Loaiza vaya a realizar sus estudios, de forma tal que la víctima no deba erogar los montos correspondientes a estos rubros para luego ser reintegrados.</w:t>
      </w:r>
    </w:p>
    <w:p w:rsidR="00544E1E" w:rsidRDefault="00544E1E" w:rsidP="00544E1E">
      <w:pPr>
        <w:spacing w:after="0" w:line="240" w:lineRule="auto"/>
        <w:jc w:val="both"/>
        <w:rPr>
          <w:rFonts w:ascii="Verdana" w:hAnsi="Verdana"/>
          <w:sz w:val="16"/>
          <w:szCs w:val="20"/>
        </w:rPr>
      </w:pPr>
    </w:p>
    <w:p w:rsidR="00544E1E" w:rsidRPr="008A2975" w:rsidRDefault="0046227F" w:rsidP="008A2975">
      <w:pPr>
        <w:pStyle w:val="Prrafodelista"/>
        <w:numPr>
          <w:ilvl w:val="0"/>
          <w:numId w:val="1"/>
        </w:numPr>
        <w:spacing w:after="0" w:line="240" w:lineRule="auto"/>
        <w:ind w:left="0" w:firstLine="0"/>
        <w:jc w:val="both"/>
        <w:rPr>
          <w:rFonts w:ascii="Verdana" w:hAnsi="Verdana"/>
          <w:sz w:val="20"/>
          <w:szCs w:val="20"/>
        </w:rPr>
      </w:pPr>
      <w:r w:rsidRPr="008A2975">
        <w:rPr>
          <w:rFonts w:ascii="Verdana" w:hAnsi="Verdana"/>
          <w:sz w:val="20"/>
          <w:szCs w:val="20"/>
        </w:rPr>
        <w:t xml:space="preserve">En virtud de lo solicitado por los representantes, la Corte considera pertinente aclarar el sentido de la medida de reparación ordenada en el punto resolutivo décimo quinto de la Sentencia. En el párrafo 310 del fallo, se ordenó al Estado “otorg[ar] a favor de Linda Loaiza López Soto una beca de estudios para poder concluir con su formación profesional en una universidad local o extranjera en la que sea admitida”. </w:t>
      </w:r>
      <w:r w:rsidR="00427A9E">
        <w:rPr>
          <w:rFonts w:ascii="Verdana" w:hAnsi="Verdana"/>
          <w:sz w:val="20"/>
          <w:szCs w:val="20"/>
        </w:rPr>
        <w:t>Este Tribunal establece que, conforme a la finalidad con la cual dicha medida de reparación fue ordenada, deberá ser Linda Loaiza López Soto quien elija la universidad en la que concluirá su formación profesional</w:t>
      </w:r>
      <w:r w:rsidR="002033CA">
        <w:rPr>
          <w:rFonts w:ascii="Verdana" w:hAnsi="Verdana"/>
          <w:sz w:val="20"/>
          <w:szCs w:val="20"/>
        </w:rPr>
        <w:t xml:space="preserve"> –ya sea en una universidad local o extranjera-</w:t>
      </w:r>
      <w:r w:rsidR="00427A9E">
        <w:rPr>
          <w:rFonts w:ascii="Verdana" w:hAnsi="Verdana"/>
          <w:sz w:val="20"/>
          <w:szCs w:val="20"/>
        </w:rPr>
        <w:t xml:space="preserve">. En virtud de lo anterior la víctima, una vez que tome la decisión, deberá comunicar </w:t>
      </w:r>
      <w:r w:rsidR="00427A9E">
        <w:rPr>
          <w:rFonts w:ascii="Verdana" w:hAnsi="Verdana"/>
          <w:sz w:val="20"/>
          <w:szCs w:val="20"/>
        </w:rPr>
        <w:lastRenderedPageBreak/>
        <w:t>al Estado la universidad elegida para que</w:t>
      </w:r>
      <w:r w:rsidR="002E5E50" w:rsidRPr="008A2975">
        <w:rPr>
          <w:rFonts w:ascii="Verdana" w:hAnsi="Verdana"/>
          <w:sz w:val="20"/>
          <w:szCs w:val="20"/>
        </w:rPr>
        <w:t xml:space="preserve"> éste </w:t>
      </w:r>
      <w:r w:rsidR="00427A9E">
        <w:rPr>
          <w:rFonts w:ascii="Verdana" w:hAnsi="Verdana"/>
          <w:sz w:val="20"/>
          <w:szCs w:val="20"/>
        </w:rPr>
        <w:t>proceda a</w:t>
      </w:r>
      <w:r w:rsidR="002E5E50" w:rsidRPr="008A2975">
        <w:rPr>
          <w:rFonts w:ascii="Verdana" w:hAnsi="Verdana"/>
          <w:sz w:val="20"/>
          <w:szCs w:val="20"/>
        </w:rPr>
        <w:t xml:space="preserve"> “cubrir los costos académicos y de manutención […] conforme al costo de vida del país en el que [ésta] vaya a realizar sus estudios”. En consecuencia, </w:t>
      </w:r>
      <w:r w:rsidR="00427A9E">
        <w:rPr>
          <w:rFonts w:ascii="Verdana" w:hAnsi="Verdana"/>
          <w:sz w:val="20"/>
          <w:szCs w:val="20"/>
        </w:rPr>
        <w:t xml:space="preserve">la Corte aclara que Linda Loaiza López Soto deberá ser quien </w:t>
      </w:r>
      <w:r w:rsidR="002E5E50" w:rsidRPr="008A2975">
        <w:rPr>
          <w:rFonts w:ascii="Verdana" w:hAnsi="Verdana"/>
          <w:sz w:val="20"/>
          <w:szCs w:val="20"/>
        </w:rPr>
        <w:t>tome la decisión respecto de la univ</w:t>
      </w:r>
      <w:r w:rsidR="002C083D" w:rsidRPr="008A2975">
        <w:rPr>
          <w:rFonts w:ascii="Verdana" w:hAnsi="Verdana"/>
          <w:sz w:val="20"/>
          <w:szCs w:val="20"/>
        </w:rPr>
        <w:t xml:space="preserve">ersidad en la cual </w:t>
      </w:r>
      <w:r w:rsidR="002471A6">
        <w:rPr>
          <w:rFonts w:ascii="Verdana" w:hAnsi="Verdana"/>
          <w:sz w:val="20"/>
          <w:szCs w:val="20"/>
        </w:rPr>
        <w:t>concluirá su formación profesional</w:t>
      </w:r>
      <w:r w:rsidR="002C083D" w:rsidRPr="008A2975">
        <w:rPr>
          <w:rFonts w:ascii="Verdana" w:hAnsi="Verdana"/>
          <w:sz w:val="20"/>
          <w:szCs w:val="20"/>
        </w:rPr>
        <w:t xml:space="preserve">. </w:t>
      </w:r>
    </w:p>
    <w:p w:rsidR="00A53C30" w:rsidRPr="00A53C30" w:rsidRDefault="00A53C30" w:rsidP="00A53C30">
      <w:pPr>
        <w:spacing w:after="0" w:line="240" w:lineRule="auto"/>
        <w:jc w:val="both"/>
        <w:rPr>
          <w:rFonts w:ascii="Verdana" w:hAnsi="Verdana"/>
          <w:b/>
          <w:sz w:val="20"/>
          <w:szCs w:val="20"/>
        </w:rPr>
      </w:pPr>
    </w:p>
    <w:p w:rsidR="00A53C30" w:rsidRDefault="006522B5" w:rsidP="00A53C30">
      <w:pPr>
        <w:pStyle w:val="Prrafodelista"/>
        <w:numPr>
          <w:ilvl w:val="0"/>
          <w:numId w:val="2"/>
        </w:numPr>
        <w:spacing w:after="0" w:line="240" w:lineRule="auto"/>
        <w:jc w:val="both"/>
        <w:rPr>
          <w:rFonts w:ascii="Verdana" w:hAnsi="Verdana"/>
          <w:b/>
          <w:sz w:val="20"/>
          <w:szCs w:val="20"/>
        </w:rPr>
      </w:pPr>
      <w:r>
        <w:rPr>
          <w:rFonts w:ascii="Verdana" w:hAnsi="Verdana"/>
          <w:b/>
          <w:sz w:val="20"/>
          <w:szCs w:val="20"/>
        </w:rPr>
        <w:t>Observaciones a</w:t>
      </w:r>
      <w:r w:rsidR="00A53C30">
        <w:rPr>
          <w:rFonts w:ascii="Verdana" w:hAnsi="Verdana"/>
          <w:b/>
          <w:sz w:val="20"/>
          <w:szCs w:val="20"/>
        </w:rPr>
        <w:t xml:space="preserve"> </w:t>
      </w:r>
      <w:r w:rsidR="00A9174A">
        <w:rPr>
          <w:rFonts w:ascii="Verdana" w:hAnsi="Verdana"/>
          <w:b/>
          <w:sz w:val="20"/>
          <w:szCs w:val="20"/>
        </w:rPr>
        <w:t xml:space="preserve">los puntos resolutivos décimo, </w:t>
      </w:r>
      <w:r w:rsidR="00A53C30">
        <w:rPr>
          <w:rFonts w:ascii="Verdana" w:hAnsi="Verdana"/>
          <w:b/>
          <w:sz w:val="20"/>
          <w:szCs w:val="20"/>
        </w:rPr>
        <w:t>décimo segundo</w:t>
      </w:r>
      <w:r w:rsidR="00A9174A">
        <w:rPr>
          <w:rFonts w:ascii="Verdana" w:hAnsi="Verdana"/>
          <w:b/>
          <w:sz w:val="20"/>
          <w:szCs w:val="20"/>
        </w:rPr>
        <w:t xml:space="preserve"> y décimo sexto</w:t>
      </w:r>
      <w:r w:rsidR="00A53C30">
        <w:rPr>
          <w:rFonts w:ascii="Verdana" w:hAnsi="Verdana"/>
          <w:b/>
          <w:sz w:val="20"/>
          <w:szCs w:val="20"/>
        </w:rPr>
        <w:t xml:space="preserve"> de la Sentencia</w:t>
      </w:r>
    </w:p>
    <w:p w:rsidR="00A9174A" w:rsidRDefault="00A9174A" w:rsidP="00A9174A">
      <w:pPr>
        <w:spacing w:after="0" w:line="240" w:lineRule="auto"/>
        <w:jc w:val="both"/>
        <w:rPr>
          <w:rFonts w:ascii="Verdana" w:hAnsi="Verdana"/>
          <w:sz w:val="20"/>
          <w:szCs w:val="20"/>
        </w:rPr>
      </w:pPr>
    </w:p>
    <w:p w:rsidR="00A9174A" w:rsidRDefault="00A9174A" w:rsidP="00A9174A">
      <w:pPr>
        <w:spacing w:after="0" w:line="240" w:lineRule="auto"/>
        <w:ind w:firstLine="708"/>
        <w:jc w:val="both"/>
        <w:rPr>
          <w:rFonts w:ascii="Verdana" w:hAnsi="Verdana"/>
          <w:i/>
          <w:sz w:val="20"/>
          <w:szCs w:val="20"/>
        </w:rPr>
      </w:pPr>
      <w:r>
        <w:rPr>
          <w:rFonts w:ascii="Verdana" w:hAnsi="Verdana"/>
          <w:i/>
          <w:sz w:val="20"/>
          <w:szCs w:val="20"/>
        </w:rPr>
        <w:t xml:space="preserve">B.1. Tratamiento médico y psicológico y/o psiquiátrico </w:t>
      </w:r>
    </w:p>
    <w:p w:rsidR="002033CA" w:rsidRDefault="002033CA" w:rsidP="00A9174A">
      <w:pPr>
        <w:spacing w:after="0" w:line="240" w:lineRule="auto"/>
        <w:ind w:firstLine="708"/>
        <w:jc w:val="both"/>
        <w:rPr>
          <w:rFonts w:ascii="Verdana" w:hAnsi="Verdana"/>
          <w:i/>
          <w:sz w:val="20"/>
          <w:szCs w:val="20"/>
        </w:rPr>
      </w:pPr>
    </w:p>
    <w:p w:rsidR="002033CA" w:rsidRPr="00A9174A" w:rsidRDefault="002033CA" w:rsidP="00A9174A">
      <w:pPr>
        <w:spacing w:after="0" w:line="240" w:lineRule="auto"/>
        <w:ind w:firstLine="708"/>
        <w:jc w:val="both"/>
        <w:rPr>
          <w:rFonts w:ascii="Verdana" w:hAnsi="Verdana"/>
          <w:i/>
          <w:sz w:val="20"/>
          <w:szCs w:val="20"/>
        </w:rPr>
      </w:pPr>
      <w:r>
        <w:rPr>
          <w:rFonts w:ascii="Verdana" w:hAnsi="Verdana"/>
          <w:i/>
          <w:sz w:val="20"/>
          <w:szCs w:val="20"/>
        </w:rPr>
        <w:t>B.1.a) Argumentos de las partes y de la Comisión</w:t>
      </w:r>
    </w:p>
    <w:p w:rsidR="00A9174A" w:rsidRDefault="00A9174A" w:rsidP="00A9174A">
      <w:pPr>
        <w:spacing w:after="0" w:line="240" w:lineRule="auto"/>
        <w:jc w:val="both"/>
        <w:rPr>
          <w:rFonts w:ascii="Verdana" w:hAnsi="Verdana"/>
          <w:sz w:val="20"/>
          <w:szCs w:val="20"/>
        </w:rPr>
      </w:pPr>
    </w:p>
    <w:p w:rsidR="00A9174A" w:rsidRPr="008A2975" w:rsidRDefault="00A9174A" w:rsidP="008A2975">
      <w:pPr>
        <w:pStyle w:val="Prrafodelista"/>
        <w:numPr>
          <w:ilvl w:val="0"/>
          <w:numId w:val="1"/>
        </w:numPr>
        <w:spacing w:after="0" w:line="240" w:lineRule="auto"/>
        <w:ind w:left="0" w:firstLine="0"/>
        <w:jc w:val="both"/>
        <w:rPr>
          <w:rFonts w:ascii="Verdana" w:hAnsi="Verdana"/>
          <w:sz w:val="20"/>
          <w:szCs w:val="20"/>
        </w:rPr>
      </w:pPr>
      <w:r w:rsidRPr="008A2975">
        <w:rPr>
          <w:rFonts w:ascii="Verdana" w:hAnsi="Verdana"/>
          <w:sz w:val="20"/>
          <w:szCs w:val="20"/>
        </w:rPr>
        <w:t>El punto resolutivo décimo de la Sentencia dispuso que,</w:t>
      </w:r>
    </w:p>
    <w:p w:rsidR="00A9174A" w:rsidRDefault="00A9174A" w:rsidP="00A9174A">
      <w:pPr>
        <w:spacing w:after="0" w:line="240" w:lineRule="auto"/>
        <w:ind w:left="708"/>
        <w:jc w:val="both"/>
        <w:rPr>
          <w:rFonts w:ascii="Verdana" w:hAnsi="Verdana"/>
          <w:sz w:val="16"/>
          <w:szCs w:val="20"/>
        </w:rPr>
      </w:pPr>
    </w:p>
    <w:p w:rsidR="006522B5" w:rsidRDefault="00A9174A" w:rsidP="00A9174A">
      <w:pPr>
        <w:spacing w:after="0" w:line="240" w:lineRule="auto"/>
        <w:ind w:left="708"/>
        <w:jc w:val="both"/>
        <w:rPr>
          <w:rFonts w:ascii="Verdana" w:hAnsi="Verdana"/>
          <w:sz w:val="16"/>
          <w:szCs w:val="20"/>
        </w:rPr>
      </w:pPr>
      <w:r w:rsidRPr="00A9174A">
        <w:rPr>
          <w:rFonts w:ascii="Verdana" w:hAnsi="Verdana"/>
          <w:sz w:val="16"/>
          <w:szCs w:val="20"/>
        </w:rPr>
        <w:t>El Estado debe brindar gratuitamente, y de forma inmediata, oportuna, adecuada y efectiva, tratamiento médico y psicológico y/o psiquiátrico a Linda Loaiza López Soto y a sus familiares declarados beneficiarios en esta Sentencia, el cual deberá ser brindado por los profesionales de preferencia de ellos en Venezuela, de conformidad con lo establecido en el párrafo 293 de esta Sentencia</w:t>
      </w:r>
      <w:r w:rsidR="002471A6">
        <w:rPr>
          <w:rFonts w:ascii="Verdana" w:hAnsi="Verdana"/>
          <w:sz w:val="16"/>
          <w:szCs w:val="20"/>
        </w:rPr>
        <w:t>.</w:t>
      </w:r>
    </w:p>
    <w:p w:rsidR="00A9174A" w:rsidRDefault="00A9174A" w:rsidP="00A9174A">
      <w:pPr>
        <w:spacing w:after="0" w:line="240" w:lineRule="auto"/>
        <w:jc w:val="both"/>
        <w:rPr>
          <w:rFonts w:ascii="Verdana" w:hAnsi="Verdana"/>
          <w:sz w:val="16"/>
          <w:szCs w:val="20"/>
        </w:rPr>
      </w:pPr>
    </w:p>
    <w:p w:rsidR="00A9174A" w:rsidRPr="008A2975" w:rsidRDefault="00A9174A" w:rsidP="008A2975">
      <w:pPr>
        <w:pStyle w:val="Prrafodelista"/>
        <w:numPr>
          <w:ilvl w:val="0"/>
          <w:numId w:val="1"/>
        </w:numPr>
        <w:spacing w:after="0" w:line="240" w:lineRule="auto"/>
        <w:ind w:left="0" w:firstLine="0"/>
        <w:jc w:val="both"/>
        <w:rPr>
          <w:rFonts w:ascii="Verdana" w:hAnsi="Verdana"/>
          <w:sz w:val="20"/>
          <w:szCs w:val="20"/>
        </w:rPr>
      </w:pPr>
      <w:bookmarkStart w:id="1" w:name="_Ref9950020"/>
      <w:r w:rsidRPr="008A2975">
        <w:rPr>
          <w:rFonts w:ascii="Verdana" w:hAnsi="Verdana"/>
          <w:sz w:val="20"/>
          <w:szCs w:val="20"/>
        </w:rPr>
        <w:t xml:space="preserve">Los </w:t>
      </w:r>
      <w:r w:rsidRPr="002471A6">
        <w:rPr>
          <w:rFonts w:ascii="Verdana" w:hAnsi="Verdana"/>
          <w:i/>
          <w:sz w:val="20"/>
          <w:szCs w:val="20"/>
        </w:rPr>
        <w:t>representantes</w:t>
      </w:r>
      <w:r w:rsidRPr="008A2975">
        <w:rPr>
          <w:rFonts w:ascii="Verdana" w:hAnsi="Verdana"/>
          <w:sz w:val="20"/>
          <w:szCs w:val="20"/>
        </w:rPr>
        <w:t xml:space="preserve"> manifestaron que “la situación del sistema de salud ha empeorado”, por lo que “la implementación de esta medida presentará serios retos para las víctimas”. En ese sentido, solicitaron “consider[ar] la prestación de este servicio en otro país de conformidad con lo determinado por la víctima y sus familiares”.</w:t>
      </w:r>
      <w:bookmarkEnd w:id="1"/>
      <w:r w:rsidRPr="008A2975">
        <w:rPr>
          <w:rFonts w:ascii="Verdana" w:hAnsi="Verdana"/>
          <w:sz w:val="20"/>
          <w:szCs w:val="20"/>
        </w:rPr>
        <w:t xml:space="preserve"> </w:t>
      </w:r>
    </w:p>
    <w:p w:rsidR="002C083D" w:rsidRDefault="002C083D" w:rsidP="00A9174A">
      <w:pPr>
        <w:spacing w:after="0" w:line="240" w:lineRule="auto"/>
        <w:jc w:val="both"/>
        <w:rPr>
          <w:rFonts w:ascii="Verdana" w:hAnsi="Verdana"/>
          <w:sz w:val="20"/>
          <w:szCs w:val="20"/>
        </w:rPr>
      </w:pPr>
    </w:p>
    <w:p w:rsidR="002033CA" w:rsidRPr="002033CA" w:rsidRDefault="002C083D" w:rsidP="002033CA">
      <w:pPr>
        <w:pStyle w:val="Prrafodelista"/>
        <w:numPr>
          <w:ilvl w:val="0"/>
          <w:numId w:val="1"/>
        </w:numPr>
        <w:spacing w:after="0" w:line="240" w:lineRule="auto"/>
        <w:ind w:left="0" w:firstLine="0"/>
        <w:jc w:val="both"/>
        <w:rPr>
          <w:rFonts w:ascii="Verdana" w:hAnsi="Verdana"/>
          <w:sz w:val="20"/>
          <w:szCs w:val="20"/>
        </w:rPr>
      </w:pPr>
      <w:r w:rsidRPr="008A2975">
        <w:rPr>
          <w:rFonts w:ascii="Verdana" w:hAnsi="Verdana"/>
          <w:sz w:val="20"/>
          <w:szCs w:val="20"/>
        </w:rPr>
        <w:t xml:space="preserve">El </w:t>
      </w:r>
      <w:r w:rsidRPr="002471A6">
        <w:rPr>
          <w:rFonts w:ascii="Verdana" w:hAnsi="Verdana"/>
          <w:i/>
          <w:sz w:val="20"/>
          <w:szCs w:val="20"/>
        </w:rPr>
        <w:t>Estado</w:t>
      </w:r>
      <w:r w:rsidRPr="008A2975">
        <w:rPr>
          <w:rFonts w:ascii="Verdana" w:hAnsi="Verdana"/>
          <w:sz w:val="20"/>
          <w:szCs w:val="20"/>
        </w:rPr>
        <w:t xml:space="preserve">, por su parte, consideró que los “representantes pretenden emplear de manera indebida y solapadamente la solicitud de interpretación de sentencia para obtener una modificación de fondo en el fallo, pues la decisión cuestionada resulta precisa y expresa al señalar que la obligación del Estado de brindar atención médica, psicológica y/o psiquiátrica a Linda Loaiza López Soto y a sus familiares beneficiarios será ejecutada en Venezuela”. </w:t>
      </w:r>
    </w:p>
    <w:p w:rsidR="002033CA" w:rsidRDefault="002033CA" w:rsidP="002033CA">
      <w:pPr>
        <w:spacing w:after="0" w:line="240" w:lineRule="auto"/>
        <w:ind w:left="708"/>
        <w:jc w:val="both"/>
        <w:rPr>
          <w:rFonts w:ascii="Verdana" w:hAnsi="Verdana"/>
          <w:i/>
          <w:sz w:val="20"/>
          <w:szCs w:val="20"/>
        </w:rPr>
      </w:pPr>
    </w:p>
    <w:p w:rsidR="002033CA" w:rsidRPr="002033CA" w:rsidRDefault="002033CA" w:rsidP="002033CA">
      <w:pPr>
        <w:spacing w:after="0" w:line="240" w:lineRule="auto"/>
        <w:ind w:left="708"/>
        <w:jc w:val="both"/>
        <w:rPr>
          <w:rFonts w:ascii="Verdana" w:hAnsi="Verdana"/>
          <w:i/>
          <w:sz w:val="20"/>
          <w:szCs w:val="20"/>
        </w:rPr>
      </w:pPr>
      <w:r>
        <w:rPr>
          <w:rFonts w:ascii="Verdana" w:hAnsi="Verdana"/>
          <w:i/>
          <w:sz w:val="20"/>
          <w:szCs w:val="20"/>
        </w:rPr>
        <w:t>B.1.b) Consideraciones de la Corte</w:t>
      </w:r>
    </w:p>
    <w:p w:rsidR="008A2975" w:rsidRPr="008A2975" w:rsidRDefault="008A2975" w:rsidP="008A2975">
      <w:pPr>
        <w:pStyle w:val="Prrafodelista"/>
        <w:rPr>
          <w:rFonts w:ascii="Verdana" w:hAnsi="Verdana"/>
          <w:sz w:val="20"/>
          <w:szCs w:val="20"/>
        </w:rPr>
      </w:pPr>
    </w:p>
    <w:p w:rsidR="00EA3055" w:rsidRDefault="008A2975" w:rsidP="008A2975">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La Corte estima que la consulta </w:t>
      </w:r>
      <w:r w:rsidR="002A7B26">
        <w:rPr>
          <w:rFonts w:ascii="Verdana" w:hAnsi="Verdana"/>
          <w:sz w:val="20"/>
          <w:szCs w:val="20"/>
        </w:rPr>
        <w:t>realizada por los representantes (</w:t>
      </w:r>
      <w:r w:rsidR="002A7B26">
        <w:rPr>
          <w:rFonts w:ascii="Verdana" w:hAnsi="Verdana"/>
          <w:i/>
          <w:sz w:val="20"/>
          <w:szCs w:val="20"/>
        </w:rPr>
        <w:t xml:space="preserve">supra </w:t>
      </w:r>
      <w:r w:rsidR="002A7B26">
        <w:rPr>
          <w:rFonts w:ascii="Verdana" w:hAnsi="Verdana"/>
          <w:sz w:val="20"/>
          <w:szCs w:val="20"/>
        </w:rPr>
        <w:t xml:space="preserve">párr. </w:t>
      </w:r>
      <w:r w:rsidR="00261D91">
        <w:rPr>
          <w:rFonts w:ascii="Verdana" w:hAnsi="Verdana"/>
          <w:sz w:val="20"/>
          <w:szCs w:val="20"/>
        </w:rPr>
        <w:fldChar w:fldCharType="begin"/>
      </w:r>
      <w:r w:rsidR="00261D91">
        <w:rPr>
          <w:rFonts w:ascii="Verdana" w:hAnsi="Verdana"/>
          <w:sz w:val="20"/>
          <w:szCs w:val="20"/>
        </w:rPr>
        <w:instrText xml:space="preserve"> REF _Ref9950020 \r \h </w:instrText>
      </w:r>
      <w:r w:rsidR="00261D91">
        <w:rPr>
          <w:rFonts w:ascii="Verdana" w:hAnsi="Verdana"/>
          <w:sz w:val="20"/>
          <w:szCs w:val="20"/>
        </w:rPr>
      </w:r>
      <w:r w:rsidR="00261D91">
        <w:rPr>
          <w:rFonts w:ascii="Verdana" w:hAnsi="Verdana"/>
          <w:sz w:val="20"/>
          <w:szCs w:val="20"/>
        </w:rPr>
        <w:fldChar w:fldCharType="separate"/>
      </w:r>
      <w:r w:rsidR="00261D91">
        <w:rPr>
          <w:rFonts w:ascii="Verdana" w:hAnsi="Verdana"/>
          <w:sz w:val="20"/>
          <w:szCs w:val="20"/>
        </w:rPr>
        <w:t>19</w:t>
      </w:r>
      <w:r w:rsidR="00261D91">
        <w:rPr>
          <w:rFonts w:ascii="Verdana" w:hAnsi="Verdana"/>
          <w:sz w:val="20"/>
          <w:szCs w:val="20"/>
        </w:rPr>
        <w:fldChar w:fldCharType="end"/>
      </w:r>
      <w:r w:rsidR="002A7B26">
        <w:rPr>
          <w:rFonts w:ascii="Verdana" w:hAnsi="Verdana"/>
          <w:sz w:val="20"/>
          <w:szCs w:val="20"/>
        </w:rPr>
        <w:t>) no corresponde a los supuestos de interpretación establecidos en el artículo 67 de la Convención, ya que no versan sobre el sentido o alcance del fallo, sino sobre “consider[ar] la prestación de[l] servicio en otro país”, lo cual implica modificar la reparación orden</w:t>
      </w:r>
      <w:r w:rsidR="00EA3055">
        <w:rPr>
          <w:rFonts w:ascii="Verdana" w:hAnsi="Verdana"/>
          <w:sz w:val="20"/>
          <w:szCs w:val="20"/>
        </w:rPr>
        <w:t>ada en la Sentencia. En ese sentido, en los párrafos 292 y 293 este Tribunal detalló que,</w:t>
      </w:r>
    </w:p>
    <w:p w:rsidR="00EA3055" w:rsidRPr="00EA3055" w:rsidRDefault="00EA3055" w:rsidP="00EA3055">
      <w:pPr>
        <w:pStyle w:val="Prrafodelista"/>
        <w:rPr>
          <w:rFonts w:ascii="Verdana" w:hAnsi="Verdana"/>
          <w:sz w:val="20"/>
          <w:szCs w:val="20"/>
        </w:rPr>
      </w:pPr>
    </w:p>
    <w:p w:rsidR="00EA3055" w:rsidRDefault="00EA3055" w:rsidP="00EA3055">
      <w:pPr>
        <w:pStyle w:val="Prrafodelista"/>
        <w:spacing w:after="0" w:line="240" w:lineRule="auto"/>
        <w:ind w:left="708"/>
        <w:jc w:val="both"/>
        <w:rPr>
          <w:rFonts w:ascii="Verdana" w:hAnsi="Verdana"/>
          <w:sz w:val="16"/>
          <w:szCs w:val="20"/>
        </w:rPr>
      </w:pPr>
      <w:r w:rsidRPr="00EA3055">
        <w:rPr>
          <w:rFonts w:ascii="Verdana" w:hAnsi="Verdana"/>
          <w:sz w:val="16"/>
          <w:szCs w:val="20"/>
        </w:rPr>
        <w:t xml:space="preserve">292. Por otra parte, el Tribunal nota que los representantes enfatizaron que “la atención médica suministrada a Linda durante el período que estuvo en hospitales del servicio de salud pública del país para tratar sus afectaciones, tanto físicas como psicológicas, no fue oportuna ni debidamente asistida”. En ese sentido, indicaron que “su confianza en el sistema de salud pública se vio afectada”. </w:t>
      </w:r>
    </w:p>
    <w:p w:rsidR="00A03487" w:rsidRPr="00EA3055" w:rsidRDefault="00A03487" w:rsidP="00EA3055">
      <w:pPr>
        <w:pStyle w:val="Prrafodelista"/>
        <w:spacing w:after="0" w:line="240" w:lineRule="auto"/>
        <w:ind w:left="708"/>
        <w:jc w:val="both"/>
        <w:rPr>
          <w:rFonts w:ascii="Verdana" w:hAnsi="Verdana"/>
          <w:sz w:val="16"/>
          <w:szCs w:val="20"/>
        </w:rPr>
      </w:pPr>
    </w:p>
    <w:p w:rsidR="008A2975" w:rsidRPr="00EA3055" w:rsidRDefault="00EA3055" w:rsidP="00EA3055">
      <w:pPr>
        <w:pStyle w:val="Prrafodelista"/>
        <w:spacing w:after="0" w:line="240" w:lineRule="auto"/>
        <w:ind w:left="708"/>
        <w:jc w:val="both"/>
        <w:rPr>
          <w:rFonts w:ascii="Verdana" w:hAnsi="Verdana"/>
          <w:sz w:val="16"/>
          <w:szCs w:val="20"/>
        </w:rPr>
      </w:pPr>
      <w:r w:rsidRPr="00EA3055">
        <w:rPr>
          <w:rFonts w:ascii="Verdana" w:hAnsi="Verdana"/>
          <w:sz w:val="16"/>
          <w:szCs w:val="20"/>
        </w:rPr>
        <w:t>293. Teniendo en cuenta las consideraciones anteriores, este Tribunal estima pertinente ordenar al Estado que debe brindar gratuitamente, y de forma inmediata, oportuna, adecuada y efectiva, tratamiento médico y psicológico y/o psiquiátrico a Linda Loaiza López Soto y a sus familiares declarados beneficiarios en este Sentencia, el cual deberá ser brindado por los profesionales de preferencia de ellos en Venezuela, por las razones indicadas en los párrafos anteriores. Este tratamiento deberá incluir el suministro gratuito de los medicamentos que eventualmente se requieran. Los beneficiarios disponen de un plazo de seis meses, contado a partir de la notificación de la presente Sentencia, para dar a conocer al Estado su intención de recibir esta medida e indicar las instituciones o profesionales de su preferencia.</w:t>
      </w:r>
      <w:r w:rsidR="002A7B26" w:rsidRPr="00EA3055">
        <w:rPr>
          <w:rFonts w:ascii="Verdana" w:hAnsi="Verdana"/>
          <w:sz w:val="16"/>
          <w:szCs w:val="20"/>
        </w:rPr>
        <w:t xml:space="preserve"> </w:t>
      </w:r>
    </w:p>
    <w:p w:rsidR="00A9174A" w:rsidRDefault="00A9174A" w:rsidP="00A9174A">
      <w:pPr>
        <w:spacing w:after="0" w:line="240" w:lineRule="auto"/>
        <w:jc w:val="both"/>
        <w:rPr>
          <w:rFonts w:ascii="Verdana" w:hAnsi="Verdana"/>
          <w:sz w:val="20"/>
          <w:szCs w:val="20"/>
        </w:rPr>
      </w:pPr>
    </w:p>
    <w:p w:rsidR="00EA3055" w:rsidRPr="00EC7CC4" w:rsidRDefault="00EA3055" w:rsidP="00EC7CC4">
      <w:pPr>
        <w:pStyle w:val="Prrafodelista"/>
        <w:numPr>
          <w:ilvl w:val="0"/>
          <w:numId w:val="1"/>
        </w:numPr>
        <w:spacing w:after="0" w:line="240" w:lineRule="auto"/>
        <w:ind w:left="0" w:firstLine="0"/>
        <w:jc w:val="both"/>
        <w:rPr>
          <w:rFonts w:ascii="Verdana" w:hAnsi="Verdana"/>
          <w:sz w:val="20"/>
          <w:szCs w:val="20"/>
        </w:rPr>
      </w:pPr>
      <w:bookmarkStart w:id="2" w:name="_Ref9951067"/>
      <w:r w:rsidRPr="00EC7CC4">
        <w:rPr>
          <w:rFonts w:ascii="Verdana" w:hAnsi="Verdana"/>
          <w:sz w:val="20"/>
          <w:szCs w:val="20"/>
        </w:rPr>
        <w:t>La Corte considera que el texto del referido párrafo es lo suficientemente claro y preciso, pues en la Sentencia se establece claramente que el tratamiento médico, psicológico y/o psiquiátrico deberá brindarse por los profesionales de preferencia de la</w:t>
      </w:r>
      <w:r w:rsidR="00261D91">
        <w:rPr>
          <w:rFonts w:ascii="Verdana" w:hAnsi="Verdana"/>
          <w:sz w:val="20"/>
          <w:szCs w:val="20"/>
        </w:rPr>
        <w:t>s</w:t>
      </w:r>
      <w:r w:rsidRPr="00EC7CC4">
        <w:rPr>
          <w:rFonts w:ascii="Verdana" w:hAnsi="Verdana"/>
          <w:sz w:val="20"/>
          <w:szCs w:val="20"/>
        </w:rPr>
        <w:t xml:space="preserve"> víctima</w:t>
      </w:r>
      <w:r w:rsidR="00261D91">
        <w:rPr>
          <w:rFonts w:ascii="Verdana" w:hAnsi="Verdana"/>
          <w:sz w:val="20"/>
          <w:szCs w:val="20"/>
        </w:rPr>
        <w:t>s</w:t>
      </w:r>
      <w:r w:rsidRPr="00EC7CC4">
        <w:rPr>
          <w:rFonts w:ascii="Verdana" w:hAnsi="Verdana"/>
          <w:sz w:val="20"/>
          <w:szCs w:val="20"/>
        </w:rPr>
        <w:t xml:space="preserve"> en Venezuela. Ello en razón </w:t>
      </w:r>
      <w:r w:rsidR="00DE2817">
        <w:rPr>
          <w:rFonts w:ascii="Verdana" w:hAnsi="Verdana"/>
          <w:sz w:val="20"/>
          <w:szCs w:val="20"/>
        </w:rPr>
        <w:t>de la solicitud</w:t>
      </w:r>
      <w:r w:rsidRPr="00EC7CC4">
        <w:rPr>
          <w:rFonts w:ascii="Verdana" w:hAnsi="Verdana"/>
          <w:sz w:val="20"/>
          <w:szCs w:val="20"/>
        </w:rPr>
        <w:t xml:space="preserve"> de los representantes</w:t>
      </w:r>
      <w:r w:rsidR="00261D91">
        <w:rPr>
          <w:rFonts w:ascii="Verdana" w:hAnsi="Verdana"/>
          <w:sz w:val="20"/>
          <w:szCs w:val="20"/>
        </w:rPr>
        <w:t>,</w:t>
      </w:r>
      <w:r w:rsidRPr="00EC7CC4">
        <w:rPr>
          <w:rFonts w:ascii="Verdana" w:hAnsi="Verdana"/>
          <w:sz w:val="20"/>
          <w:szCs w:val="20"/>
        </w:rPr>
        <w:t xml:space="preserve"> en cuanto a que los “tratamientos fueran </w:t>
      </w:r>
      <w:r w:rsidRPr="00EC7CC4">
        <w:rPr>
          <w:rFonts w:ascii="Verdana" w:hAnsi="Verdana"/>
          <w:sz w:val="20"/>
          <w:szCs w:val="20"/>
        </w:rPr>
        <w:lastRenderedPageBreak/>
        <w:t>realizados por los profesionales de preferencia de las víctimas, independientemente de que aquellos pertenecieran al sector privado de salud o bien a organizaciones internacionales”</w:t>
      </w:r>
      <w:r>
        <w:rPr>
          <w:rStyle w:val="Refdenotaalpie"/>
          <w:rFonts w:ascii="Verdana" w:hAnsi="Verdana"/>
          <w:sz w:val="20"/>
          <w:szCs w:val="20"/>
        </w:rPr>
        <w:footnoteReference w:id="6"/>
      </w:r>
      <w:r w:rsidRPr="00EC7CC4">
        <w:rPr>
          <w:rFonts w:ascii="Verdana" w:hAnsi="Verdana"/>
          <w:sz w:val="20"/>
          <w:szCs w:val="20"/>
        </w:rPr>
        <w:t xml:space="preserve">. En suma, la Corte advierte que, bajo la apariencia de una solicitud de interpretación, la posición de los representantes evidencia una discrepancia con lo resuelto por la Corte, ya que pretende </w:t>
      </w:r>
      <w:r w:rsidR="00EC7CC4" w:rsidRPr="00EC7CC4">
        <w:rPr>
          <w:rFonts w:ascii="Verdana" w:hAnsi="Verdana"/>
          <w:sz w:val="20"/>
          <w:szCs w:val="20"/>
        </w:rPr>
        <w:t xml:space="preserve">modificar la medida de reparación ordenada en la Sentencia. </w:t>
      </w:r>
      <w:r w:rsidRPr="00EC7CC4">
        <w:rPr>
          <w:rFonts w:ascii="Verdana" w:hAnsi="Verdana"/>
          <w:sz w:val="20"/>
          <w:szCs w:val="20"/>
        </w:rPr>
        <w:t>Por ende, se declara</w:t>
      </w:r>
      <w:r w:rsidR="00261D91">
        <w:rPr>
          <w:rFonts w:ascii="Verdana" w:hAnsi="Verdana"/>
          <w:sz w:val="20"/>
          <w:szCs w:val="20"/>
        </w:rPr>
        <w:t xml:space="preserve"> improcedente la solicitud de lo</w:t>
      </w:r>
      <w:r w:rsidRPr="00EC7CC4">
        <w:rPr>
          <w:rFonts w:ascii="Verdana" w:hAnsi="Verdana"/>
          <w:sz w:val="20"/>
          <w:szCs w:val="20"/>
        </w:rPr>
        <w:t xml:space="preserve">s representantes en este extremo, toda vez que el propósito de la interpretación debe ser aclarar algún punto impreciso o ambiguo sobre el sentido o alcance de la Sentencia, lo cual no corresponde respecto a dicho párrafo, en los términos esgrimidos. En razón de lo anterior, este Tribunal </w:t>
      </w:r>
      <w:r w:rsidR="00EC7CC4" w:rsidRPr="00EC7CC4">
        <w:rPr>
          <w:rFonts w:ascii="Verdana" w:hAnsi="Verdana"/>
          <w:sz w:val="20"/>
          <w:szCs w:val="20"/>
        </w:rPr>
        <w:t>considera que la solicitud de lo</w:t>
      </w:r>
      <w:r w:rsidRPr="00EC7CC4">
        <w:rPr>
          <w:rFonts w:ascii="Verdana" w:hAnsi="Verdana"/>
          <w:sz w:val="20"/>
          <w:szCs w:val="20"/>
        </w:rPr>
        <w:t>s representantes es improcedente.</w:t>
      </w:r>
      <w:bookmarkEnd w:id="2"/>
    </w:p>
    <w:p w:rsidR="00EA3055" w:rsidRDefault="00EA3055" w:rsidP="00A9174A">
      <w:pPr>
        <w:spacing w:after="0" w:line="240" w:lineRule="auto"/>
        <w:jc w:val="both"/>
        <w:rPr>
          <w:rFonts w:ascii="Verdana" w:hAnsi="Verdana"/>
          <w:sz w:val="20"/>
          <w:szCs w:val="20"/>
        </w:rPr>
      </w:pPr>
    </w:p>
    <w:p w:rsidR="00A9174A" w:rsidRDefault="00A9174A" w:rsidP="00A9174A">
      <w:pPr>
        <w:spacing w:after="0" w:line="240" w:lineRule="auto"/>
        <w:ind w:left="708"/>
        <w:jc w:val="both"/>
        <w:rPr>
          <w:rFonts w:ascii="Verdana" w:hAnsi="Verdana"/>
          <w:i/>
          <w:sz w:val="20"/>
          <w:szCs w:val="20"/>
        </w:rPr>
      </w:pPr>
      <w:r>
        <w:rPr>
          <w:rFonts w:ascii="Verdana" w:hAnsi="Verdana"/>
          <w:i/>
          <w:sz w:val="20"/>
          <w:szCs w:val="20"/>
        </w:rPr>
        <w:t>B.2. Tratamiento médico y educativo a Emmanuel Adrián López Soto y becas de estudios para los familiares de Linda López Soto</w:t>
      </w:r>
    </w:p>
    <w:p w:rsidR="00EA35A6" w:rsidRDefault="00EA35A6" w:rsidP="00A9174A">
      <w:pPr>
        <w:spacing w:after="0" w:line="240" w:lineRule="auto"/>
        <w:ind w:left="708"/>
        <w:jc w:val="both"/>
        <w:rPr>
          <w:rFonts w:ascii="Verdana" w:hAnsi="Verdana"/>
          <w:i/>
          <w:sz w:val="20"/>
          <w:szCs w:val="20"/>
        </w:rPr>
      </w:pPr>
    </w:p>
    <w:p w:rsidR="00EA35A6" w:rsidRDefault="00EA35A6" w:rsidP="00A9174A">
      <w:pPr>
        <w:spacing w:after="0" w:line="240" w:lineRule="auto"/>
        <w:ind w:left="708"/>
        <w:jc w:val="both"/>
        <w:rPr>
          <w:rFonts w:ascii="Verdana" w:hAnsi="Verdana"/>
          <w:i/>
          <w:sz w:val="20"/>
          <w:szCs w:val="20"/>
        </w:rPr>
      </w:pPr>
      <w:r>
        <w:rPr>
          <w:rFonts w:ascii="Verdana" w:hAnsi="Verdana"/>
          <w:i/>
          <w:sz w:val="20"/>
          <w:szCs w:val="20"/>
        </w:rPr>
        <w:t>B.2.a) Argumentos de las partes y de la Comisión</w:t>
      </w:r>
    </w:p>
    <w:p w:rsidR="00A9174A" w:rsidRDefault="00A9174A" w:rsidP="00A9174A">
      <w:pPr>
        <w:spacing w:after="0" w:line="240" w:lineRule="auto"/>
        <w:jc w:val="both"/>
        <w:rPr>
          <w:rFonts w:ascii="Verdana" w:hAnsi="Verdana"/>
          <w:sz w:val="20"/>
          <w:szCs w:val="20"/>
        </w:rPr>
      </w:pPr>
    </w:p>
    <w:p w:rsidR="00A9174A" w:rsidRPr="00A03487" w:rsidRDefault="00A9174A" w:rsidP="00A03487">
      <w:pPr>
        <w:pStyle w:val="Prrafodelista"/>
        <w:numPr>
          <w:ilvl w:val="0"/>
          <w:numId w:val="1"/>
        </w:numPr>
        <w:spacing w:after="0" w:line="240" w:lineRule="auto"/>
        <w:ind w:left="0" w:firstLine="0"/>
        <w:jc w:val="both"/>
        <w:rPr>
          <w:rFonts w:ascii="Verdana" w:hAnsi="Verdana"/>
          <w:sz w:val="20"/>
          <w:szCs w:val="20"/>
        </w:rPr>
      </w:pPr>
      <w:r w:rsidRPr="00A03487">
        <w:rPr>
          <w:rFonts w:ascii="Verdana" w:hAnsi="Verdana"/>
          <w:sz w:val="20"/>
          <w:szCs w:val="20"/>
        </w:rPr>
        <w:t>El punto resolutivo décimo segundo de la Sentencia ordenó que,</w:t>
      </w:r>
    </w:p>
    <w:p w:rsidR="00A9174A" w:rsidRDefault="00A9174A" w:rsidP="00A9174A">
      <w:pPr>
        <w:spacing w:after="0" w:line="240" w:lineRule="auto"/>
        <w:ind w:left="708"/>
        <w:jc w:val="both"/>
        <w:rPr>
          <w:rFonts w:ascii="Verdana" w:hAnsi="Verdana"/>
          <w:sz w:val="16"/>
          <w:szCs w:val="20"/>
        </w:rPr>
      </w:pPr>
    </w:p>
    <w:p w:rsidR="00A9174A" w:rsidRDefault="00A9174A" w:rsidP="00A9174A">
      <w:pPr>
        <w:spacing w:after="0" w:line="240" w:lineRule="auto"/>
        <w:ind w:left="708"/>
        <w:jc w:val="both"/>
        <w:rPr>
          <w:rFonts w:ascii="Verdana" w:hAnsi="Verdana"/>
          <w:sz w:val="20"/>
          <w:szCs w:val="20"/>
        </w:rPr>
      </w:pPr>
      <w:r w:rsidRPr="00A9174A">
        <w:rPr>
          <w:rFonts w:ascii="Verdana" w:hAnsi="Verdana"/>
          <w:sz w:val="16"/>
          <w:szCs w:val="20"/>
        </w:rPr>
        <w:t>El Estado debe, a través de instituciones especializadas en la materia, realizar una evaluación integral a Emmanuel Adrián López Soto, a fin de brindarle el tratamiento médico y educativo adecuado, de forma inmediata y gratuita, con el fin de desarrollar sus habilidades lingüísticas, psicomotrices y cognitivas, de conformidad con el párrafo 296 de esta Sentencia</w:t>
      </w:r>
      <w:r w:rsidRPr="00A9174A">
        <w:rPr>
          <w:rFonts w:ascii="Verdana" w:hAnsi="Verdana"/>
          <w:sz w:val="20"/>
          <w:szCs w:val="20"/>
        </w:rPr>
        <w:t>.</w:t>
      </w:r>
    </w:p>
    <w:p w:rsidR="00A9174A" w:rsidRDefault="00A9174A" w:rsidP="00A9174A">
      <w:pPr>
        <w:spacing w:after="0" w:line="240" w:lineRule="auto"/>
        <w:jc w:val="both"/>
        <w:rPr>
          <w:rFonts w:ascii="Verdana" w:hAnsi="Verdana"/>
          <w:sz w:val="20"/>
          <w:szCs w:val="20"/>
        </w:rPr>
      </w:pPr>
    </w:p>
    <w:p w:rsidR="00A9174A" w:rsidRPr="00A03487" w:rsidRDefault="00A9174A" w:rsidP="00A03487">
      <w:pPr>
        <w:pStyle w:val="Prrafodelista"/>
        <w:numPr>
          <w:ilvl w:val="0"/>
          <w:numId w:val="1"/>
        </w:numPr>
        <w:spacing w:after="0" w:line="240" w:lineRule="auto"/>
        <w:ind w:left="0" w:firstLine="0"/>
        <w:jc w:val="both"/>
        <w:rPr>
          <w:rFonts w:ascii="Verdana" w:hAnsi="Verdana"/>
          <w:sz w:val="20"/>
          <w:szCs w:val="20"/>
        </w:rPr>
      </w:pPr>
      <w:r w:rsidRPr="00A03487">
        <w:rPr>
          <w:rFonts w:ascii="Verdana" w:hAnsi="Verdana"/>
          <w:sz w:val="20"/>
          <w:szCs w:val="20"/>
        </w:rPr>
        <w:t>Por otro lado, el punto resolutivo décimo sexto de la Sentencia estableció que,</w:t>
      </w:r>
    </w:p>
    <w:p w:rsidR="00A9174A" w:rsidRDefault="00A9174A" w:rsidP="00A9174A">
      <w:pPr>
        <w:spacing w:after="0" w:line="240" w:lineRule="auto"/>
        <w:ind w:left="708"/>
        <w:jc w:val="both"/>
        <w:rPr>
          <w:rFonts w:ascii="Verdana" w:hAnsi="Verdana"/>
          <w:sz w:val="16"/>
          <w:szCs w:val="20"/>
        </w:rPr>
      </w:pPr>
    </w:p>
    <w:p w:rsidR="00A9174A" w:rsidRPr="00A9174A" w:rsidRDefault="00A9174A" w:rsidP="00A9174A">
      <w:pPr>
        <w:spacing w:after="0" w:line="240" w:lineRule="auto"/>
        <w:ind w:left="708"/>
        <w:jc w:val="both"/>
        <w:rPr>
          <w:rFonts w:ascii="Verdana" w:hAnsi="Verdana"/>
          <w:sz w:val="16"/>
          <w:szCs w:val="20"/>
        </w:rPr>
      </w:pPr>
      <w:r w:rsidRPr="00A9174A">
        <w:rPr>
          <w:rFonts w:ascii="Verdana" w:hAnsi="Verdana"/>
          <w:sz w:val="16"/>
          <w:szCs w:val="20"/>
        </w:rPr>
        <w:t>El Estado debe otorgar una beca en una institución pública venezolana de su elección en beneficio de Ana Secilia, Anyi Karina, Nelson Enrique, Elith Johana, Yusmely del Valle, Luz Paulina y José Isidro, todos ellos de apellido López Soto, para realizar estudios superiores técnicos o universitarios, o bien para capacitarse en un oficio, de conformidad con lo establecido en los párrafos 311 y 312 de la presente Sentencia.</w:t>
      </w:r>
    </w:p>
    <w:p w:rsidR="00A9174A" w:rsidRDefault="00A9174A" w:rsidP="00A9174A">
      <w:pPr>
        <w:spacing w:after="0" w:line="240" w:lineRule="auto"/>
        <w:jc w:val="both"/>
        <w:rPr>
          <w:rFonts w:ascii="Verdana" w:hAnsi="Verdana"/>
          <w:sz w:val="20"/>
          <w:szCs w:val="20"/>
        </w:rPr>
      </w:pPr>
    </w:p>
    <w:p w:rsidR="00A9174A" w:rsidRDefault="00A9174A" w:rsidP="00A03487">
      <w:pPr>
        <w:pStyle w:val="Prrafodelista"/>
        <w:numPr>
          <w:ilvl w:val="0"/>
          <w:numId w:val="1"/>
        </w:numPr>
        <w:spacing w:after="0" w:line="240" w:lineRule="auto"/>
        <w:ind w:left="0" w:firstLine="0"/>
        <w:jc w:val="both"/>
        <w:rPr>
          <w:rFonts w:ascii="Verdana" w:hAnsi="Verdana"/>
          <w:sz w:val="20"/>
          <w:szCs w:val="20"/>
        </w:rPr>
      </w:pPr>
      <w:r w:rsidRPr="00A03487">
        <w:rPr>
          <w:rFonts w:ascii="Verdana" w:hAnsi="Verdana"/>
          <w:sz w:val="20"/>
          <w:szCs w:val="20"/>
        </w:rPr>
        <w:t xml:space="preserve">Al respecto, los representantes manifestaron “su disconformidad con la reparación otorgada, toda vez que difícilmente contribuirá a la reparación de las víctimas”, por lo que solicitaron a la Corte “valor[ar] sus observaciones, y consider[ar] la posibilidad de que la medida puede ser también implementada en un centro educativo en otro país”. </w:t>
      </w:r>
    </w:p>
    <w:p w:rsidR="009D2EFC" w:rsidRDefault="009D2EFC" w:rsidP="009D2EFC">
      <w:pPr>
        <w:pStyle w:val="Prrafodelista"/>
        <w:spacing w:after="0" w:line="240" w:lineRule="auto"/>
        <w:ind w:left="0"/>
        <w:jc w:val="both"/>
        <w:rPr>
          <w:rFonts w:ascii="Verdana" w:hAnsi="Verdana"/>
          <w:sz w:val="20"/>
          <w:szCs w:val="20"/>
        </w:rPr>
      </w:pPr>
    </w:p>
    <w:p w:rsidR="009D2EFC" w:rsidRPr="00A03487" w:rsidRDefault="002471A6" w:rsidP="00A03487">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La Comisión consideró “pertinentes dichas preocupaciones, teniendo en cuenta los hechos del caso, así como el grave contexto actual de Venezuela</w:t>
      </w:r>
      <w:r w:rsidR="009D2EFC">
        <w:rPr>
          <w:rFonts w:ascii="Verdana" w:hAnsi="Verdana"/>
          <w:sz w:val="20"/>
          <w:szCs w:val="20"/>
        </w:rPr>
        <w:t>”</w:t>
      </w:r>
      <w:r>
        <w:rPr>
          <w:rFonts w:ascii="Verdana" w:hAnsi="Verdana"/>
          <w:sz w:val="20"/>
          <w:szCs w:val="20"/>
        </w:rPr>
        <w:t xml:space="preserve">, por lo que solicitó a la Corte “tom[ar] en consideración las preocupaciones expresadas por la víctima”, a su vez que “valore si el mecanismo para hacer las determinaciones correspondientes es el de interpretación de sentencia o si correspondería a una resolución en la etapa de </w:t>
      </w:r>
      <w:r w:rsidR="00F964CF">
        <w:rPr>
          <w:rFonts w:ascii="Verdana" w:hAnsi="Verdana"/>
          <w:sz w:val="20"/>
          <w:szCs w:val="20"/>
        </w:rPr>
        <w:t xml:space="preserve">[supervisión de] </w:t>
      </w:r>
      <w:r>
        <w:rPr>
          <w:rFonts w:ascii="Verdana" w:hAnsi="Verdana"/>
          <w:sz w:val="20"/>
          <w:szCs w:val="20"/>
        </w:rPr>
        <w:t>cumplimiento de sentencia”</w:t>
      </w:r>
      <w:r w:rsidR="009D2EFC">
        <w:rPr>
          <w:rFonts w:ascii="Verdana" w:hAnsi="Verdana"/>
          <w:sz w:val="20"/>
          <w:szCs w:val="20"/>
        </w:rPr>
        <w:t xml:space="preserve">. </w:t>
      </w:r>
    </w:p>
    <w:p w:rsidR="00A9174A" w:rsidRDefault="00A9174A" w:rsidP="00A9174A">
      <w:pPr>
        <w:spacing w:after="0" w:line="240" w:lineRule="auto"/>
        <w:jc w:val="both"/>
        <w:rPr>
          <w:rFonts w:ascii="Verdana" w:hAnsi="Verdana"/>
          <w:sz w:val="20"/>
          <w:szCs w:val="20"/>
        </w:rPr>
      </w:pPr>
    </w:p>
    <w:p w:rsidR="00EA35A6" w:rsidRDefault="002C083D" w:rsidP="00EA35A6">
      <w:pPr>
        <w:pStyle w:val="Prrafodelista"/>
        <w:numPr>
          <w:ilvl w:val="0"/>
          <w:numId w:val="1"/>
        </w:numPr>
        <w:spacing w:after="0" w:line="240" w:lineRule="auto"/>
        <w:ind w:left="0" w:firstLine="0"/>
        <w:jc w:val="both"/>
        <w:rPr>
          <w:rFonts w:ascii="Verdana" w:hAnsi="Verdana"/>
          <w:sz w:val="20"/>
          <w:szCs w:val="20"/>
        </w:rPr>
      </w:pPr>
      <w:r w:rsidRPr="00A03487">
        <w:rPr>
          <w:rFonts w:ascii="Verdana" w:hAnsi="Verdana"/>
          <w:sz w:val="20"/>
          <w:szCs w:val="20"/>
        </w:rPr>
        <w:t xml:space="preserve">Por su parte, el Estado consideró que dicho “planteamiento […] demuestra de manera fehaciente la intención de los representantes de obtener una alteración en el fondo de la sentencia dictada por </w:t>
      </w:r>
      <w:r w:rsidR="00F964CF">
        <w:rPr>
          <w:rFonts w:ascii="Verdana" w:hAnsi="Verdana"/>
          <w:sz w:val="20"/>
          <w:szCs w:val="20"/>
        </w:rPr>
        <w:t>[la]</w:t>
      </w:r>
      <w:r w:rsidRPr="00A03487">
        <w:rPr>
          <w:rFonts w:ascii="Verdana" w:hAnsi="Verdana"/>
          <w:sz w:val="20"/>
          <w:szCs w:val="20"/>
        </w:rPr>
        <w:t xml:space="preserve"> Corte y no así la interpretación de algún punto oscuro o impreciso de ésta”, señalando que “la ‘disconform</w:t>
      </w:r>
      <w:r w:rsidR="008A2975" w:rsidRPr="00A03487">
        <w:rPr>
          <w:rFonts w:ascii="Verdana" w:hAnsi="Verdana"/>
          <w:sz w:val="20"/>
          <w:szCs w:val="20"/>
        </w:rPr>
        <w:t xml:space="preserve">idad con la reparación otorgada’ […] evidentemente no reviste carácter de duda o necesidad de aclaratoria en algún punto del fallo, sino la intención [de] oponerse a lo decretado por [la] Corte y su intención de que sea revisada y modificada la </w:t>
      </w:r>
      <w:r w:rsidR="00F964CF">
        <w:rPr>
          <w:rFonts w:ascii="Verdana" w:hAnsi="Verdana"/>
          <w:sz w:val="20"/>
          <w:szCs w:val="20"/>
        </w:rPr>
        <w:t>s</w:t>
      </w:r>
      <w:r w:rsidR="008A2975" w:rsidRPr="00A03487">
        <w:rPr>
          <w:rFonts w:ascii="Verdana" w:hAnsi="Verdana"/>
          <w:sz w:val="20"/>
          <w:szCs w:val="20"/>
        </w:rPr>
        <w:t xml:space="preserve">entencia”. </w:t>
      </w:r>
    </w:p>
    <w:p w:rsidR="00EA35A6" w:rsidRPr="00EA35A6" w:rsidRDefault="00EA35A6" w:rsidP="00EA35A6">
      <w:pPr>
        <w:pStyle w:val="Prrafodelista"/>
        <w:spacing w:after="0" w:line="240" w:lineRule="auto"/>
        <w:ind w:left="0"/>
        <w:jc w:val="both"/>
        <w:rPr>
          <w:rFonts w:ascii="Verdana" w:hAnsi="Verdana"/>
          <w:sz w:val="20"/>
          <w:szCs w:val="20"/>
        </w:rPr>
      </w:pPr>
    </w:p>
    <w:p w:rsidR="00EA35A6" w:rsidRPr="00EA35A6" w:rsidRDefault="00EA35A6" w:rsidP="00EA35A6">
      <w:pPr>
        <w:spacing w:after="0" w:line="240" w:lineRule="auto"/>
        <w:ind w:left="708"/>
        <w:jc w:val="both"/>
        <w:rPr>
          <w:rFonts w:ascii="Verdana" w:hAnsi="Verdana"/>
          <w:i/>
          <w:sz w:val="20"/>
          <w:szCs w:val="20"/>
        </w:rPr>
      </w:pPr>
      <w:r>
        <w:rPr>
          <w:rFonts w:ascii="Verdana" w:hAnsi="Verdana"/>
          <w:i/>
          <w:sz w:val="20"/>
          <w:szCs w:val="20"/>
        </w:rPr>
        <w:t xml:space="preserve">B.2.b) Consideraciones de la Corte </w:t>
      </w:r>
    </w:p>
    <w:p w:rsidR="00A03487" w:rsidRPr="00A03487" w:rsidRDefault="00A03487" w:rsidP="00A03487">
      <w:pPr>
        <w:pStyle w:val="Prrafodelista"/>
        <w:rPr>
          <w:rFonts w:ascii="Verdana" w:hAnsi="Verdana"/>
          <w:sz w:val="20"/>
          <w:szCs w:val="20"/>
        </w:rPr>
      </w:pPr>
    </w:p>
    <w:p w:rsidR="00A03487" w:rsidRPr="00D86C19" w:rsidRDefault="00133EE6" w:rsidP="00D86C19">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La Corte hace notar que en el párrafo 311 de la Sentencia se estableció con claridad que el Estado debía “otorgar una beca en una institución pública venezolana de su elección”. </w:t>
      </w:r>
      <w:r w:rsidR="00D86C19" w:rsidRPr="00D86C19">
        <w:rPr>
          <w:rFonts w:ascii="Verdana" w:hAnsi="Verdana"/>
          <w:sz w:val="20"/>
          <w:szCs w:val="20"/>
        </w:rPr>
        <w:t>E</w:t>
      </w:r>
      <w:r w:rsidR="0064124E" w:rsidRPr="00D86C19">
        <w:rPr>
          <w:rFonts w:ascii="Verdana" w:hAnsi="Verdana"/>
          <w:sz w:val="20"/>
          <w:szCs w:val="20"/>
        </w:rPr>
        <w:t xml:space="preserve">ste </w:t>
      </w:r>
      <w:r w:rsidR="0064124E" w:rsidRPr="00D86C19">
        <w:rPr>
          <w:rFonts w:ascii="Verdana" w:hAnsi="Verdana"/>
          <w:sz w:val="20"/>
          <w:szCs w:val="20"/>
        </w:rPr>
        <w:lastRenderedPageBreak/>
        <w:t xml:space="preserve">Tribunal reitera lo indicado en el párrafo </w:t>
      </w:r>
      <w:r w:rsidR="00F964CF">
        <w:rPr>
          <w:rFonts w:ascii="Verdana" w:hAnsi="Verdana"/>
          <w:sz w:val="20"/>
          <w:szCs w:val="20"/>
        </w:rPr>
        <w:fldChar w:fldCharType="begin"/>
      </w:r>
      <w:r w:rsidR="00F964CF">
        <w:rPr>
          <w:rFonts w:ascii="Verdana" w:hAnsi="Verdana"/>
          <w:sz w:val="20"/>
          <w:szCs w:val="20"/>
        </w:rPr>
        <w:instrText xml:space="preserve"> REF _Ref9951067 \r \h </w:instrText>
      </w:r>
      <w:r w:rsidR="00F964CF">
        <w:rPr>
          <w:rFonts w:ascii="Verdana" w:hAnsi="Verdana"/>
          <w:sz w:val="20"/>
          <w:szCs w:val="20"/>
        </w:rPr>
      </w:r>
      <w:r w:rsidR="00F964CF">
        <w:rPr>
          <w:rFonts w:ascii="Verdana" w:hAnsi="Verdana"/>
          <w:sz w:val="20"/>
          <w:szCs w:val="20"/>
        </w:rPr>
        <w:fldChar w:fldCharType="separate"/>
      </w:r>
      <w:r w:rsidR="00F964CF">
        <w:rPr>
          <w:rFonts w:ascii="Verdana" w:hAnsi="Verdana"/>
          <w:sz w:val="20"/>
          <w:szCs w:val="20"/>
        </w:rPr>
        <w:t>22</w:t>
      </w:r>
      <w:r w:rsidR="00F964CF">
        <w:rPr>
          <w:rFonts w:ascii="Verdana" w:hAnsi="Verdana"/>
          <w:sz w:val="20"/>
          <w:szCs w:val="20"/>
        </w:rPr>
        <w:fldChar w:fldCharType="end"/>
      </w:r>
      <w:r w:rsidR="00F964CF">
        <w:rPr>
          <w:rFonts w:ascii="Verdana" w:hAnsi="Verdana"/>
          <w:sz w:val="20"/>
          <w:szCs w:val="20"/>
        </w:rPr>
        <w:t xml:space="preserve"> </w:t>
      </w:r>
      <w:r w:rsidR="0064124E" w:rsidRPr="00D86C19">
        <w:rPr>
          <w:rFonts w:ascii="Verdana" w:hAnsi="Verdana"/>
          <w:sz w:val="20"/>
          <w:szCs w:val="20"/>
        </w:rPr>
        <w:t>de la presente Sentencia</w:t>
      </w:r>
      <w:r w:rsidR="00F964CF">
        <w:rPr>
          <w:rFonts w:ascii="Verdana" w:hAnsi="Verdana"/>
          <w:sz w:val="20"/>
          <w:szCs w:val="20"/>
        </w:rPr>
        <w:t xml:space="preserve"> de Interpretación</w:t>
      </w:r>
      <w:r w:rsidR="0064124E" w:rsidRPr="00D86C19">
        <w:rPr>
          <w:rFonts w:ascii="Verdana" w:hAnsi="Verdana"/>
          <w:sz w:val="20"/>
          <w:szCs w:val="20"/>
        </w:rPr>
        <w:t xml:space="preserve">, en cuanto a la improcedencia de utilizar una solicitud de interpretación para someter cuestiones </w:t>
      </w:r>
      <w:r w:rsidR="00D86C19" w:rsidRPr="00D86C19">
        <w:rPr>
          <w:rFonts w:ascii="Verdana" w:hAnsi="Verdana"/>
          <w:sz w:val="20"/>
          <w:szCs w:val="20"/>
        </w:rPr>
        <w:t>sobre las cuales ya adoptó una decisión</w:t>
      </w:r>
      <w:r w:rsidR="00D86C19" w:rsidRPr="00D86C19">
        <w:rPr>
          <w:rStyle w:val="Refdenotaalpie"/>
          <w:rFonts w:ascii="Verdana" w:hAnsi="Verdana"/>
          <w:sz w:val="20"/>
          <w:szCs w:val="20"/>
        </w:rPr>
        <w:footnoteReference w:id="7"/>
      </w:r>
      <w:r w:rsidR="001D6B1C">
        <w:rPr>
          <w:rFonts w:ascii="Verdana" w:hAnsi="Verdana"/>
          <w:sz w:val="20"/>
          <w:szCs w:val="20"/>
        </w:rPr>
        <w:t>, así como que ésta no puede</w:t>
      </w:r>
      <w:r w:rsidR="00D86C19" w:rsidRPr="00D86C19">
        <w:rPr>
          <w:rFonts w:ascii="Verdana" w:hAnsi="Verdana"/>
          <w:sz w:val="20"/>
          <w:szCs w:val="20"/>
        </w:rPr>
        <w:t xml:space="preserve"> utilizarse como medio de impugnación de la misma</w:t>
      </w:r>
      <w:r w:rsidR="00D86C19" w:rsidRPr="00D86C19">
        <w:rPr>
          <w:rStyle w:val="Refdenotaalpie"/>
          <w:rFonts w:ascii="Verdana" w:hAnsi="Verdana"/>
          <w:sz w:val="20"/>
          <w:szCs w:val="20"/>
        </w:rPr>
        <w:footnoteReference w:id="8"/>
      </w:r>
      <w:r w:rsidR="00D86C19" w:rsidRPr="00D86C19">
        <w:rPr>
          <w:rFonts w:ascii="Verdana" w:hAnsi="Verdana"/>
          <w:sz w:val="20"/>
          <w:szCs w:val="20"/>
        </w:rPr>
        <w:t>.</w:t>
      </w:r>
      <w:r w:rsidR="0064124E" w:rsidRPr="00D86C19">
        <w:rPr>
          <w:rFonts w:ascii="Verdana" w:hAnsi="Verdana"/>
          <w:sz w:val="20"/>
          <w:szCs w:val="20"/>
        </w:rPr>
        <w:t xml:space="preserve"> </w:t>
      </w:r>
      <w:r w:rsidR="00D86C19" w:rsidRPr="00D86C19">
        <w:rPr>
          <w:rFonts w:ascii="Verdana" w:hAnsi="Verdana"/>
          <w:sz w:val="20"/>
          <w:szCs w:val="20"/>
        </w:rPr>
        <w:t xml:space="preserve">En este sentido, la Corte advierte que, bajo la apariencia de una solicitud de interpretación, la posición de los representantes evidencia una discrepancia con lo considerado y resuelto por la Corte, por cuanto éstos claramente expresan su “disconformidad” con respecto a la medida ordenada y pretenden la modificación de la misma. </w:t>
      </w:r>
    </w:p>
    <w:p w:rsidR="00D86C19" w:rsidRPr="00D86C19" w:rsidRDefault="00D86C19" w:rsidP="00D86C19">
      <w:pPr>
        <w:pStyle w:val="Prrafodelista"/>
        <w:jc w:val="both"/>
        <w:rPr>
          <w:rFonts w:ascii="Verdana" w:hAnsi="Verdana"/>
          <w:sz w:val="20"/>
          <w:szCs w:val="20"/>
        </w:rPr>
      </w:pPr>
    </w:p>
    <w:p w:rsidR="00D86C19" w:rsidRDefault="00D86C19" w:rsidP="00D86C19">
      <w:pPr>
        <w:pStyle w:val="Prrafodelista"/>
        <w:numPr>
          <w:ilvl w:val="0"/>
          <w:numId w:val="1"/>
        </w:numPr>
        <w:spacing w:after="0" w:line="240" w:lineRule="auto"/>
        <w:ind w:left="0" w:firstLine="0"/>
        <w:jc w:val="both"/>
        <w:rPr>
          <w:rFonts w:ascii="Verdana" w:hAnsi="Verdana"/>
          <w:sz w:val="20"/>
          <w:szCs w:val="20"/>
        </w:rPr>
      </w:pPr>
      <w:r w:rsidRPr="00D86C19">
        <w:rPr>
          <w:rFonts w:ascii="Verdana" w:hAnsi="Verdana"/>
          <w:sz w:val="20"/>
          <w:szCs w:val="20"/>
        </w:rPr>
        <w:t xml:space="preserve">Así, este Tribunal ha hecho referencia a los cuestionamientos expresados por los representantes </w:t>
      </w:r>
      <w:r w:rsidR="0035795D">
        <w:rPr>
          <w:rFonts w:ascii="Verdana" w:hAnsi="Verdana"/>
          <w:sz w:val="20"/>
          <w:szCs w:val="20"/>
        </w:rPr>
        <w:t>respecto de los puntos resolutivos décimo</w:t>
      </w:r>
      <w:r w:rsidR="00EA35A6">
        <w:rPr>
          <w:rFonts w:ascii="Verdana" w:hAnsi="Verdana"/>
          <w:sz w:val="20"/>
          <w:szCs w:val="20"/>
        </w:rPr>
        <w:t>, décimo</w:t>
      </w:r>
      <w:r w:rsidR="0035795D">
        <w:rPr>
          <w:rFonts w:ascii="Verdana" w:hAnsi="Verdana"/>
          <w:sz w:val="20"/>
          <w:szCs w:val="20"/>
        </w:rPr>
        <w:t xml:space="preserve"> segundo y décimo sexto, </w:t>
      </w:r>
      <w:r w:rsidRPr="00D86C19">
        <w:rPr>
          <w:rFonts w:ascii="Verdana" w:hAnsi="Verdana"/>
          <w:sz w:val="20"/>
          <w:szCs w:val="20"/>
        </w:rPr>
        <w:t>y en consecución declara improcedente su solicitud, no habiendo puntos que aclarar.</w:t>
      </w:r>
    </w:p>
    <w:p w:rsidR="005E758C" w:rsidRPr="005E758C" w:rsidRDefault="005E758C" w:rsidP="005E758C">
      <w:pPr>
        <w:spacing w:after="0" w:line="240" w:lineRule="auto"/>
        <w:jc w:val="both"/>
        <w:rPr>
          <w:rFonts w:ascii="Verdana" w:hAnsi="Verdana"/>
          <w:b/>
          <w:color w:val="00B050"/>
          <w:sz w:val="20"/>
          <w:szCs w:val="20"/>
        </w:rPr>
      </w:pPr>
    </w:p>
    <w:p w:rsidR="00A03487" w:rsidRDefault="00A03487" w:rsidP="00A03487">
      <w:pPr>
        <w:spacing w:after="0" w:line="240" w:lineRule="auto"/>
        <w:jc w:val="center"/>
        <w:rPr>
          <w:rFonts w:ascii="Verdana" w:hAnsi="Verdana"/>
          <w:b/>
          <w:sz w:val="20"/>
          <w:szCs w:val="20"/>
        </w:rPr>
      </w:pPr>
      <w:r>
        <w:rPr>
          <w:rFonts w:ascii="Verdana" w:hAnsi="Verdana"/>
          <w:b/>
          <w:sz w:val="20"/>
          <w:szCs w:val="20"/>
        </w:rPr>
        <w:t>V</w:t>
      </w:r>
    </w:p>
    <w:p w:rsidR="00A03487" w:rsidRDefault="00A03487" w:rsidP="00A03487">
      <w:pPr>
        <w:spacing w:after="0" w:line="240" w:lineRule="auto"/>
        <w:jc w:val="center"/>
        <w:rPr>
          <w:rFonts w:ascii="Verdana" w:hAnsi="Verdana"/>
          <w:b/>
          <w:sz w:val="20"/>
          <w:szCs w:val="20"/>
        </w:rPr>
      </w:pPr>
      <w:r>
        <w:rPr>
          <w:rFonts w:ascii="Verdana" w:hAnsi="Verdana"/>
          <w:b/>
          <w:sz w:val="20"/>
          <w:szCs w:val="20"/>
        </w:rPr>
        <w:t>PUNTOS RESOLUTIVOS</w:t>
      </w:r>
    </w:p>
    <w:p w:rsidR="00A03487" w:rsidRDefault="00A03487" w:rsidP="00A03487">
      <w:pPr>
        <w:spacing w:after="0" w:line="240" w:lineRule="auto"/>
        <w:rPr>
          <w:rFonts w:ascii="Verdana" w:hAnsi="Verdana"/>
          <w:sz w:val="20"/>
          <w:szCs w:val="20"/>
        </w:rPr>
      </w:pPr>
    </w:p>
    <w:p w:rsidR="00A03487" w:rsidRPr="00896292" w:rsidRDefault="00A03487" w:rsidP="00896292">
      <w:pPr>
        <w:pStyle w:val="Prrafodelista"/>
        <w:numPr>
          <w:ilvl w:val="0"/>
          <w:numId w:val="1"/>
        </w:numPr>
        <w:spacing w:after="0" w:line="240" w:lineRule="auto"/>
        <w:ind w:hanging="720"/>
        <w:rPr>
          <w:rFonts w:ascii="Verdana" w:hAnsi="Verdana"/>
          <w:sz w:val="20"/>
          <w:szCs w:val="20"/>
        </w:rPr>
      </w:pPr>
      <w:r w:rsidRPr="00896292">
        <w:rPr>
          <w:rFonts w:ascii="Verdana" w:hAnsi="Verdana"/>
          <w:sz w:val="20"/>
          <w:szCs w:val="20"/>
        </w:rPr>
        <w:t>Por tanto,</w:t>
      </w:r>
    </w:p>
    <w:p w:rsidR="00A03487" w:rsidRDefault="00A03487" w:rsidP="00A03487">
      <w:pPr>
        <w:spacing w:after="0" w:line="240" w:lineRule="auto"/>
        <w:rPr>
          <w:rFonts w:ascii="Verdana" w:hAnsi="Verdana"/>
          <w:sz w:val="20"/>
          <w:szCs w:val="20"/>
        </w:rPr>
      </w:pPr>
    </w:p>
    <w:p w:rsidR="00A03487" w:rsidRDefault="00A03487" w:rsidP="00A03487">
      <w:pPr>
        <w:spacing w:after="0" w:line="240" w:lineRule="auto"/>
        <w:rPr>
          <w:rFonts w:ascii="Verdana" w:hAnsi="Verdana"/>
          <w:b/>
          <w:sz w:val="20"/>
          <w:szCs w:val="20"/>
        </w:rPr>
      </w:pPr>
      <w:r>
        <w:rPr>
          <w:rFonts w:ascii="Verdana" w:hAnsi="Verdana"/>
          <w:b/>
          <w:sz w:val="20"/>
          <w:szCs w:val="20"/>
        </w:rPr>
        <w:t xml:space="preserve">LA CORTE, </w:t>
      </w:r>
    </w:p>
    <w:p w:rsidR="00A03487" w:rsidRDefault="00A03487" w:rsidP="00A03487">
      <w:pPr>
        <w:spacing w:after="0" w:line="240" w:lineRule="auto"/>
        <w:rPr>
          <w:rFonts w:ascii="Verdana" w:hAnsi="Verdana"/>
          <w:b/>
          <w:sz w:val="20"/>
          <w:szCs w:val="20"/>
        </w:rPr>
      </w:pPr>
    </w:p>
    <w:p w:rsidR="00A03487" w:rsidRDefault="00A03487" w:rsidP="00A03487">
      <w:pPr>
        <w:spacing w:after="0" w:line="240" w:lineRule="auto"/>
        <w:rPr>
          <w:rFonts w:ascii="Verdana" w:hAnsi="Verdana"/>
          <w:sz w:val="20"/>
          <w:szCs w:val="20"/>
        </w:rPr>
      </w:pPr>
      <w:r>
        <w:rPr>
          <w:rFonts w:ascii="Verdana" w:hAnsi="Verdana"/>
          <w:sz w:val="20"/>
          <w:szCs w:val="20"/>
        </w:rPr>
        <w:t>de conformidad con el artículo 67 de la Convención Americana sobre Derechos Humanos y los artículos 31.3 y 68 del Reglamento,</w:t>
      </w:r>
    </w:p>
    <w:p w:rsidR="00A03487" w:rsidRDefault="00A03487" w:rsidP="00A03487">
      <w:pPr>
        <w:spacing w:after="0" w:line="240" w:lineRule="auto"/>
        <w:rPr>
          <w:rFonts w:ascii="Verdana" w:hAnsi="Verdana"/>
          <w:sz w:val="20"/>
          <w:szCs w:val="20"/>
        </w:rPr>
      </w:pPr>
    </w:p>
    <w:p w:rsidR="00A03487" w:rsidRDefault="00A03487" w:rsidP="00A03487">
      <w:pPr>
        <w:spacing w:after="0" w:line="240" w:lineRule="auto"/>
        <w:rPr>
          <w:rFonts w:ascii="Verdana" w:hAnsi="Verdana"/>
          <w:b/>
          <w:sz w:val="20"/>
          <w:szCs w:val="20"/>
        </w:rPr>
      </w:pPr>
      <w:r>
        <w:rPr>
          <w:rFonts w:ascii="Verdana" w:hAnsi="Verdana"/>
          <w:b/>
          <w:sz w:val="20"/>
          <w:szCs w:val="20"/>
        </w:rPr>
        <w:t>DECIDE:</w:t>
      </w:r>
    </w:p>
    <w:p w:rsidR="00A03487" w:rsidRDefault="00A03487" w:rsidP="00A03487">
      <w:pPr>
        <w:spacing w:after="0" w:line="240" w:lineRule="auto"/>
        <w:rPr>
          <w:rFonts w:ascii="Verdana" w:hAnsi="Verdana"/>
          <w:b/>
          <w:sz w:val="20"/>
          <w:szCs w:val="20"/>
        </w:rPr>
      </w:pPr>
    </w:p>
    <w:p w:rsidR="00A03487" w:rsidRDefault="00A03487" w:rsidP="00A03487">
      <w:pPr>
        <w:spacing w:after="0" w:line="240" w:lineRule="auto"/>
        <w:rPr>
          <w:rFonts w:ascii="Verdana" w:hAnsi="Verdana"/>
          <w:sz w:val="20"/>
          <w:szCs w:val="20"/>
        </w:rPr>
      </w:pPr>
      <w:r>
        <w:rPr>
          <w:rFonts w:ascii="Verdana" w:hAnsi="Verdana"/>
          <w:sz w:val="20"/>
          <w:szCs w:val="20"/>
        </w:rPr>
        <w:t>Por unanimidad,</w:t>
      </w:r>
    </w:p>
    <w:p w:rsidR="00A03487" w:rsidRDefault="00A03487" w:rsidP="00A03487">
      <w:pPr>
        <w:spacing w:after="0" w:line="240" w:lineRule="auto"/>
        <w:rPr>
          <w:rFonts w:ascii="Verdana" w:hAnsi="Verdana"/>
          <w:sz w:val="20"/>
          <w:szCs w:val="20"/>
        </w:rPr>
      </w:pPr>
    </w:p>
    <w:p w:rsidR="00A03487" w:rsidRDefault="00A03487" w:rsidP="00A03487">
      <w:pPr>
        <w:pStyle w:val="Prrafodelista"/>
        <w:numPr>
          <w:ilvl w:val="0"/>
          <w:numId w:val="3"/>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de la Sentencia de fondo, reparaciones y costas, emitida en el caso </w:t>
      </w:r>
      <w:r>
        <w:rPr>
          <w:rFonts w:ascii="Verdana" w:hAnsi="Verdana"/>
          <w:i/>
          <w:sz w:val="20"/>
          <w:szCs w:val="20"/>
        </w:rPr>
        <w:t xml:space="preserve">López Soto y otros Vs. Venezuela, </w:t>
      </w:r>
      <w:r>
        <w:rPr>
          <w:rFonts w:ascii="Verdana" w:hAnsi="Verdana"/>
          <w:sz w:val="20"/>
          <w:szCs w:val="20"/>
        </w:rPr>
        <w:t xml:space="preserve">presentada por los representantes de las víctimas. </w:t>
      </w:r>
    </w:p>
    <w:p w:rsidR="00D86C19" w:rsidRDefault="00D86C19" w:rsidP="00D86C19">
      <w:pPr>
        <w:pStyle w:val="Prrafodelista"/>
        <w:spacing w:after="0" w:line="240" w:lineRule="auto"/>
        <w:ind w:left="0"/>
        <w:jc w:val="both"/>
        <w:rPr>
          <w:rFonts w:ascii="Verdana" w:hAnsi="Verdana"/>
          <w:sz w:val="20"/>
          <w:szCs w:val="20"/>
        </w:rPr>
      </w:pPr>
    </w:p>
    <w:p w:rsidR="00A03487" w:rsidRDefault="00A03487" w:rsidP="00A03487">
      <w:pPr>
        <w:pStyle w:val="Prrafodelista"/>
        <w:numPr>
          <w:ilvl w:val="0"/>
          <w:numId w:val="3"/>
        </w:numPr>
        <w:spacing w:after="0" w:line="240" w:lineRule="auto"/>
        <w:ind w:left="0" w:firstLine="0"/>
        <w:jc w:val="both"/>
        <w:rPr>
          <w:rFonts w:ascii="Verdana" w:hAnsi="Verdana"/>
          <w:sz w:val="20"/>
          <w:szCs w:val="20"/>
        </w:rPr>
      </w:pPr>
      <w:r>
        <w:rPr>
          <w:rFonts w:ascii="Verdana" w:hAnsi="Verdana"/>
          <w:sz w:val="20"/>
          <w:szCs w:val="20"/>
        </w:rPr>
        <w:t xml:space="preserve">Aclarar por medio de interpretación la Sentencia de fondo, reparaciones y costas, emitida en el caso </w:t>
      </w:r>
      <w:r>
        <w:rPr>
          <w:rFonts w:ascii="Verdana" w:hAnsi="Verdana"/>
          <w:i/>
          <w:sz w:val="20"/>
          <w:szCs w:val="20"/>
        </w:rPr>
        <w:t>López Soto y otros Vs. Venezuela</w:t>
      </w:r>
      <w:r>
        <w:rPr>
          <w:rFonts w:ascii="Verdana" w:hAnsi="Verdana"/>
          <w:sz w:val="20"/>
          <w:szCs w:val="20"/>
        </w:rPr>
        <w:t xml:space="preserve">, en los términos del párrafo </w:t>
      </w:r>
      <w:r w:rsidR="008976FB">
        <w:rPr>
          <w:rFonts w:ascii="Verdana" w:hAnsi="Verdana"/>
          <w:sz w:val="20"/>
          <w:szCs w:val="20"/>
        </w:rPr>
        <w:t xml:space="preserve">16 y 17. </w:t>
      </w:r>
    </w:p>
    <w:p w:rsidR="008976FB" w:rsidRDefault="008976FB" w:rsidP="008976FB">
      <w:pPr>
        <w:pStyle w:val="Prrafodelista"/>
        <w:spacing w:after="0" w:line="240" w:lineRule="auto"/>
        <w:ind w:left="0"/>
        <w:jc w:val="both"/>
        <w:rPr>
          <w:rFonts w:ascii="Verdana" w:hAnsi="Verdana"/>
          <w:sz w:val="20"/>
          <w:szCs w:val="20"/>
        </w:rPr>
      </w:pPr>
    </w:p>
    <w:p w:rsidR="008976FB" w:rsidRDefault="008976FB" w:rsidP="00A03487">
      <w:pPr>
        <w:pStyle w:val="Prrafodelista"/>
        <w:numPr>
          <w:ilvl w:val="0"/>
          <w:numId w:val="3"/>
        </w:numPr>
        <w:spacing w:after="0" w:line="240" w:lineRule="auto"/>
        <w:ind w:left="0" w:firstLine="0"/>
        <w:jc w:val="both"/>
        <w:rPr>
          <w:rFonts w:ascii="Verdana" w:hAnsi="Verdana"/>
          <w:sz w:val="20"/>
          <w:szCs w:val="20"/>
        </w:rPr>
      </w:pPr>
      <w:r>
        <w:rPr>
          <w:rFonts w:ascii="Verdana" w:hAnsi="Verdana"/>
          <w:sz w:val="20"/>
          <w:szCs w:val="20"/>
        </w:rPr>
        <w:t xml:space="preserve">Desestimar por improcedente la solicitud de interpretación de la Sentencia de fondo, reparaciones y costas emitida en el caso </w:t>
      </w:r>
      <w:r>
        <w:rPr>
          <w:rFonts w:ascii="Verdana" w:hAnsi="Verdana"/>
          <w:i/>
          <w:sz w:val="20"/>
          <w:szCs w:val="20"/>
        </w:rPr>
        <w:t>López Soto y otros Vs. Venezuela</w:t>
      </w:r>
      <w:r>
        <w:rPr>
          <w:rFonts w:ascii="Verdana" w:hAnsi="Verdana"/>
          <w:sz w:val="20"/>
          <w:szCs w:val="20"/>
        </w:rPr>
        <w:t>, presentada por los representantes de las víctimas, en los términos de los párrafos 21, 22, 2</w:t>
      </w:r>
      <w:r w:rsidR="009D2EFC">
        <w:rPr>
          <w:rFonts w:ascii="Verdana" w:hAnsi="Verdana"/>
          <w:sz w:val="20"/>
          <w:szCs w:val="20"/>
        </w:rPr>
        <w:t>8 y 29</w:t>
      </w:r>
      <w:r>
        <w:rPr>
          <w:rFonts w:ascii="Verdana" w:hAnsi="Verdana"/>
          <w:sz w:val="20"/>
          <w:szCs w:val="20"/>
        </w:rPr>
        <w:t xml:space="preserve">. </w:t>
      </w:r>
    </w:p>
    <w:p w:rsidR="008976FB" w:rsidRPr="008976FB" w:rsidRDefault="008976FB" w:rsidP="008976FB">
      <w:pPr>
        <w:pStyle w:val="Prrafodelista"/>
        <w:rPr>
          <w:rFonts w:ascii="Verdana" w:hAnsi="Verdana"/>
          <w:sz w:val="20"/>
          <w:szCs w:val="20"/>
        </w:rPr>
      </w:pPr>
    </w:p>
    <w:p w:rsidR="008976FB" w:rsidRDefault="008976FB" w:rsidP="00A03487">
      <w:pPr>
        <w:pStyle w:val="Prrafodelista"/>
        <w:numPr>
          <w:ilvl w:val="0"/>
          <w:numId w:val="3"/>
        </w:numPr>
        <w:spacing w:after="0" w:line="240" w:lineRule="auto"/>
        <w:ind w:left="0" w:firstLine="0"/>
        <w:jc w:val="both"/>
        <w:rPr>
          <w:rFonts w:ascii="Verdana" w:hAnsi="Verdana"/>
          <w:sz w:val="20"/>
          <w:szCs w:val="20"/>
        </w:rPr>
      </w:pPr>
      <w:r>
        <w:rPr>
          <w:rFonts w:ascii="Verdana" w:hAnsi="Verdana"/>
          <w:sz w:val="20"/>
          <w:szCs w:val="20"/>
        </w:rPr>
        <w:t>Disponer que la Secretaría de la Corte notifique la presente Sentencia de interpretación a la República Bolivariana de Venezuela, a los representantes de las víctimas y a la Comisión Interamericana de Derechos Humanos.</w:t>
      </w:r>
    </w:p>
    <w:p w:rsidR="00326C79" w:rsidRPr="00326C79" w:rsidRDefault="00326C79" w:rsidP="00326C79">
      <w:pPr>
        <w:pStyle w:val="Prrafodelista"/>
        <w:rPr>
          <w:rFonts w:ascii="Verdana" w:hAnsi="Verdana"/>
          <w:sz w:val="20"/>
          <w:szCs w:val="20"/>
        </w:rPr>
      </w:pPr>
    </w:p>
    <w:p w:rsidR="00326C79" w:rsidRDefault="00326C79" w:rsidP="00326C79">
      <w:pPr>
        <w:pStyle w:val="Prrafodelista"/>
        <w:spacing w:after="0" w:line="240" w:lineRule="auto"/>
        <w:ind w:left="0"/>
        <w:jc w:val="both"/>
        <w:rPr>
          <w:rFonts w:ascii="Verdana" w:hAnsi="Verdana"/>
          <w:sz w:val="20"/>
          <w:szCs w:val="20"/>
        </w:rPr>
      </w:pPr>
    </w:p>
    <w:p w:rsidR="00326C79" w:rsidRDefault="00326C79" w:rsidP="00326C79">
      <w:pPr>
        <w:pStyle w:val="Prrafodelista"/>
        <w:spacing w:after="0" w:line="240" w:lineRule="auto"/>
        <w:ind w:left="0"/>
        <w:jc w:val="both"/>
        <w:rPr>
          <w:rFonts w:ascii="Verdana" w:hAnsi="Verdana"/>
          <w:sz w:val="20"/>
          <w:szCs w:val="20"/>
        </w:rPr>
      </w:pPr>
    </w:p>
    <w:p w:rsidR="00326C79" w:rsidRDefault="00326C79" w:rsidP="00326C79">
      <w:pPr>
        <w:pStyle w:val="Prrafodelista"/>
        <w:spacing w:after="0" w:line="240" w:lineRule="auto"/>
        <w:ind w:left="0"/>
        <w:jc w:val="both"/>
        <w:rPr>
          <w:rFonts w:ascii="Verdana" w:hAnsi="Verdana"/>
          <w:sz w:val="20"/>
          <w:szCs w:val="20"/>
        </w:rPr>
      </w:pPr>
    </w:p>
    <w:p w:rsidR="00326C79" w:rsidRDefault="00326C79" w:rsidP="00326C79">
      <w:pPr>
        <w:pStyle w:val="Prrafodelista"/>
        <w:spacing w:after="0" w:line="240" w:lineRule="auto"/>
        <w:ind w:left="0"/>
        <w:jc w:val="both"/>
        <w:rPr>
          <w:rFonts w:ascii="Verdana" w:hAnsi="Verdana"/>
          <w:sz w:val="20"/>
          <w:szCs w:val="20"/>
        </w:rPr>
      </w:pPr>
    </w:p>
    <w:p w:rsidR="00326C79" w:rsidRDefault="00326C79" w:rsidP="00326C79">
      <w:pPr>
        <w:pStyle w:val="Prrafodelista"/>
        <w:spacing w:after="0" w:line="240" w:lineRule="auto"/>
        <w:ind w:left="0"/>
        <w:jc w:val="both"/>
        <w:rPr>
          <w:rFonts w:ascii="Verdana" w:hAnsi="Verdana"/>
          <w:sz w:val="20"/>
          <w:szCs w:val="20"/>
        </w:rPr>
      </w:pPr>
    </w:p>
    <w:p w:rsidR="00326C79" w:rsidRDefault="00326C79" w:rsidP="00326C79">
      <w:pPr>
        <w:spacing w:after="0"/>
        <w:jc w:val="both"/>
        <w:rPr>
          <w:rFonts w:ascii="Verdana" w:hAnsi="Verdana"/>
          <w:sz w:val="20"/>
          <w:lang w:val="es-ES"/>
        </w:rPr>
      </w:pPr>
      <w:r>
        <w:rPr>
          <w:rFonts w:ascii="Verdana" w:hAnsi="Verdana"/>
          <w:sz w:val="20"/>
          <w:lang w:val="es-ES"/>
        </w:rPr>
        <w:lastRenderedPageBreak/>
        <w:t xml:space="preserve">Corte IDH. </w:t>
      </w:r>
      <w:r w:rsidRPr="00FD32E4">
        <w:rPr>
          <w:rFonts w:ascii="Verdana" w:hAnsi="Verdana"/>
          <w:i/>
          <w:sz w:val="20"/>
          <w:lang w:val="es-ES"/>
        </w:rPr>
        <w:t>Caso López Soto y otros Vs. Venezuela. Interpretación de la Sentencia de Fondo, Reparaciones y Costas</w:t>
      </w:r>
      <w:r>
        <w:rPr>
          <w:rFonts w:ascii="Verdana" w:hAnsi="Verdana"/>
          <w:sz w:val="20"/>
          <w:lang w:val="es-ES"/>
        </w:rPr>
        <w:t>. Sentencia de 14 de mayo de 2019.</w:t>
      </w:r>
    </w:p>
    <w:p w:rsidR="00326C79" w:rsidRPr="008F1C23" w:rsidRDefault="00326C79" w:rsidP="00326C79">
      <w:pPr>
        <w:spacing w:after="0"/>
        <w:jc w:val="center"/>
        <w:rPr>
          <w:rFonts w:ascii="Verdana" w:hAnsi="Verdana"/>
          <w:b/>
          <w:sz w:val="20"/>
          <w:lang w:val="es-ES"/>
        </w:rPr>
      </w:pPr>
    </w:p>
    <w:p w:rsidR="00326C79" w:rsidRPr="005F1B14" w:rsidRDefault="00326C79" w:rsidP="00326C79">
      <w:pPr>
        <w:spacing w:after="0"/>
        <w:jc w:val="center"/>
        <w:rPr>
          <w:rFonts w:ascii="Verdana" w:hAnsi="Verdana"/>
          <w:sz w:val="20"/>
          <w:lang w:val="es-ES"/>
        </w:rPr>
      </w:pPr>
    </w:p>
    <w:p w:rsidR="00326C79" w:rsidRDefault="00326C79" w:rsidP="00326C79">
      <w:pPr>
        <w:spacing w:after="0"/>
        <w:jc w:val="center"/>
        <w:rPr>
          <w:rFonts w:ascii="Verdana" w:hAnsi="Verdana"/>
          <w:sz w:val="20"/>
          <w:lang w:val="pt-BR"/>
        </w:rPr>
      </w:pPr>
    </w:p>
    <w:p w:rsidR="00326C79" w:rsidRDefault="00326C79" w:rsidP="00326C79">
      <w:pPr>
        <w:spacing w:after="0"/>
        <w:jc w:val="center"/>
        <w:rPr>
          <w:rFonts w:ascii="Verdana" w:hAnsi="Verdana"/>
          <w:sz w:val="20"/>
          <w:lang w:val="pt-BR"/>
        </w:rPr>
      </w:pPr>
    </w:p>
    <w:p w:rsidR="00326C79" w:rsidRPr="008943BD" w:rsidRDefault="00326C79" w:rsidP="00326C79">
      <w:pPr>
        <w:spacing w:after="0"/>
        <w:jc w:val="center"/>
        <w:rPr>
          <w:rFonts w:ascii="Verdana" w:hAnsi="Verdana"/>
          <w:sz w:val="20"/>
          <w:lang w:val="pt-BR"/>
        </w:rPr>
      </w:pPr>
    </w:p>
    <w:p w:rsidR="00326C79" w:rsidRDefault="00326C79" w:rsidP="00326C79">
      <w:pPr>
        <w:spacing w:after="0"/>
        <w:jc w:val="center"/>
        <w:rPr>
          <w:rFonts w:ascii="Verdana" w:hAnsi="Verdana"/>
          <w:sz w:val="20"/>
          <w:lang w:val="pt-BR"/>
        </w:rPr>
      </w:pPr>
    </w:p>
    <w:p w:rsidR="00326C79" w:rsidRPr="0019261A" w:rsidRDefault="00326C79" w:rsidP="00326C79">
      <w:pPr>
        <w:spacing w:after="0"/>
        <w:jc w:val="center"/>
        <w:rPr>
          <w:rFonts w:ascii="Verdana" w:hAnsi="Verdana"/>
          <w:sz w:val="20"/>
          <w:lang w:val="pt-BR"/>
        </w:rPr>
      </w:pPr>
      <w:r w:rsidRPr="0019261A">
        <w:rPr>
          <w:rFonts w:ascii="Verdana" w:hAnsi="Verdana"/>
          <w:sz w:val="20"/>
          <w:lang w:val="pt-BR"/>
        </w:rPr>
        <w:t>Eduardo Ferrer Mac-Gregor Poisot</w:t>
      </w:r>
    </w:p>
    <w:p w:rsidR="00326C79" w:rsidRPr="0019261A" w:rsidRDefault="00326C79" w:rsidP="00326C79">
      <w:pPr>
        <w:spacing w:after="0"/>
        <w:jc w:val="center"/>
        <w:rPr>
          <w:rFonts w:ascii="Verdana" w:hAnsi="Verdana"/>
          <w:sz w:val="20"/>
          <w:lang w:val="pt-BR"/>
        </w:rPr>
      </w:pPr>
      <w:r w:rsidRPr="0019261A">
        <w:rPr>
          <w:rFonts w:ascii="Verdana" w:hAnsi="Verdana"/>
          <w:sz w:val="20"/>
          <w:lang w:val="pt-BR"/>
        </w:rPr>
        <w:t xml:space="preserve">Presidente </w:t>
      </w:r>
    </w:p>
    <w:p w:rsidR="00326C79" w:rsidRPr="0019261A" w:rsidRDefault="00326C79" w:rsidP="00326C79">
      <w:pPr>
        <w:spacing w:after="0"/>
        <w:rPr>
          <w:rFonts w:ascii="Verdana" w:hAnsi="Verdana"/>
          <w:sz w:val="20"/>
          <w:lang w:val="pt-BR"/>
        </w:rPr>
      </w:pPr>
    </w:p>
    <w:p w:rsidR="00326C79" w:rsidRPr="0019261A" w:rsidRDefault="00326C79" w:rsidP="00326C79">
      <w:pPr>
        <w:spacing w:after="0"/>
        <w:rPr>
          <w:rFonts w:ascii="Verdana" w:hAnsi="Verdana"/>
          <w:sz w:val="20"/>
          <w:lang w:val="pt-BR"/>
        </w:rPr>
      </w:pPr>
    </w:p>
    <w:p w:rsidR="00326C79" w:rsidRDefault="00326C79" w:rsidP="00326C79">
      <w:pPr>
        <w:spacing w:after="0"/>
        <w:rPr>
          <w:rFonts w:ascii="Verdana" w:hAnsi="Verdana"/>
          <w:sz w:val="20"/>
          <w:lang w:val="pt-BR"/>
        </w:rPr>
      </w:pPr>
      <w:r w:rsidRPr="0019261A">
        <w:rPr>
          <w:rFonts w:ascii="Verdana" w:hAnsi="Verdana"/>
          <w:sz w:val="20"/>
          <w:lang w:val="pt-BR"/>
        </w:rPr>
        <w:t xml:space="preserve"> Eduardo Vio Grossi</w:t>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Humberto A. Sierra Porto</w:t>
      </w:r>
      <w:r w:rsidRPr="0019261A">
        <w:rPr>
          <w:rFonts w:ascii="Verdana" w:hAnsi="Verdana"/>
          <w:sz w:val="20"/>
          <w:lang w:val="pt-BR"/>
        </w:rPr>
        <w:tab/>
      </w:r>
      <w:r w:rsidRPr="0019261A">
        <w:rPr>
          <w:rFonts w:ascii="Verdana" w:hAnsi="Verdana"/>
          <w:sz w:val="20"/>
          <w:lang w:val="pt-BR"/>
        </w:rPr>
        <w:tab/>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p>
    <w:p w:rsidR="00326C79" w:rsidRDefault="00326C79" w:rsidP="00326C79">
      <w:pPr>
        <w:spacing w:after="0"/>
        <w:rPr>
          <w:rFonts w:ascii="Verdana" w:hAnsi="Verdana"/>
          <w:sz w:val="20"/>
          <w:lang w:val="pt-BR"/>
        </w:rPr>
      </w:pPr>
    </w:p>
    <w:p w:rsidR="00326C79" w:rsidRDefault="00326C79" w:rsidP="00326C79">
      <w:pPr>
        <w:spacing w:after="0"/>
        <w:rPr>
          <w:rFonts w:ascii="Verdana" w:hAnsi="Verdana"/>
          <w:sz w:val="20"/>
          <w:lang w:val="pt-BR"/>
        </w:rPr>
      </w:pPr>
    </w:p>
    <w:p w:rsidR="00326C79" w:rsidRDefault="00326C79" w:rsidP="00326C79">
      <w:pPr>
        <w:spacing w:after="0"/>
        <w:rPr>
          <w:rFonts w:ascii="Verdana" w:hAnsi="Verdana"/>
          <w:sz w:val="20"/>
          <w:lang w:val="pt-BR"/>
        </w:rPr>
      </w:pPr>
    </w:p>
    <w:p w:rsidR="00326C79" w:rsidRDefault="00326C79" w:rsidP="00326C79">
      <w:pPr>
        <w:spacing w:after="0"/>
        <w:rPr>
          <w:rFonts w:ascii="Verdana" w:hAnsi="Verdana"/>
          <w:sz w:val="20"/>
          <w:lang w:val="pt-BR"/>
        </w:rPr>
      </w:pPr>
    </w:p>
    <w:p w:rsidR="00326C79" w:rsidRDefault="00326C79" w:rsidP="00326C79">
      <w:pPr>
        <w:spacing w:after="0"/>
        <w:rPr>
          <w:rFonts w:ascii="Verdana" w:hAnsi="Verdana"/>
          <w:sz w:val="20"/>
          <w:lang w:val="pt-BR"/>
        </w:rPr>
      </w:pPr>
      <w:r w:rsidRPr="00DA00D0">
        <w:rPr>
          <w:rFonts w:ascii="Verdana" w:hAnsi="Verdana"/>
          <w:sz w:val="20"/>
          <w:lang w:val="pt-BR"/>
        </w:rPr>
        <w:t>Eli</w:t>
      </w:r>
      <w:r>
        <w:rPr>
          <w:rFonts w:ascii="Verdana" w:hAnsi="Verdana"/>
          <w:sz w:val="20"/>
          <w:lang w:val="pt-BR"/>
        </w:rPr>
        <w:t>zabeth Odio Benito</w:t>
      </w:r>
      <w:r w:rsidRPr="0019261A">
        <w:rPr>
          <w:rFonts w:ascii="Verdana" w:hAnsi="Verdana"/>
          <w:sz w:val="20"/>
          <w:lang w:val="pt-BR"/>
        </w:rPr>
        <w:tab/>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19261A">
        <w:rPr>
          <w:rFonts w:ascii="Verdana" w:hAnsi="Verdana"/>
          <w:sz w:val="20"/>
          <w:lang w:val="pt-BR"/>
        </w:rPr>
        <w:t>Eugenio Raúl Zaffaroni</w:t>
      </w:r>
      <w:r>
        <w:rPr>
          <w:rFonts w:ascii="Verdana" w:hAnsi="Verdana"/>
          <w:sz w:val="20"/>
          <w:lang w:val="pt-BR"/>
        </w:rPr>
        <w:t xml:space="preserve"> </w:t>
      </w:r>
    </w:p>
    <w:p w:rsidR="00326C79" w:rsidRDefault="00326C79" w:rsidP="00326C79">
      <w:pPr>
        <w:spacing w:after="0"/>
        <w:rPr>
          <w:rFonts w:ascii="Verdana" w:hAnsi="Verdana"/>
          <w:sz w:val="20"/>
          <w:lang w:val="pt-BR"/>
        </w:rPr>
      </w:pPr>
    </w:p>
    <w:p w:rsidR="00326C79" w:rsidRDefault="00326C79" w:rsidP="00326C79">
      <w:pPr>
        <w:spacing w:after="0"/>
        <w:jc w:val="center"/>
        <w:rPr>
          <w:rFonts w:ascii="Verdana" w:hAnsi="Verdana"/>
          <w:sz w:val="20"/>
          <w:lang w:val="pt-BR"/>
        </w:rPr>
      </w:pPr>
    </w:p>
    <w:p w:rsidR="00326C79" w:rsidRDefault="00326C79" w:rsidP="00326C79">
      <w:pPr>
        <w:spacing w:after="0"/>
        <w:jc w:val="center"/>
        <w:rPr>
          <w:rFonts w:ascii="Verdana" w:hAnsi="Verdana"/>
          <w:sz w:val="20"/>
          <w:lang w:val="pt-BR"/>
        </w:rPr>
      </w:pPr>
    </w:p>
    <w:p w:rsidR="00326C79" w:rsidRDefault="00326C79" w:rsidP="00326C79">
      <w:pPr>
        <w:spacing w:after="0"/>
        <w:jc w:val="center"/>
        <w:rPr>
          <w:rFonts w:ascii="Verdana" w:hAnsi="Verdana"/>
          <w:sz w:val="20"/>
          <w:lang w:val="pt-BR"/>
        </w:rPr>
      </w:pPr>
    </w:p>
    <w:p w:rsidR="00326C79" w:rsidRDefault="00326C79" w:rsidP="00326C79">
      <w:pPr>
        <w:spacing w:after="0"/>
        <w:jc w:val="center"/>
        <w:rPr>
          <w:rFonts w:ascii="Verdana" w:hAnsi="Verdana"/>
          <w:sz w:val="20"/>
          <w:lang w:val="pt-BR"/>
        </w:rPr>
      </w:pPr>
    </w:p>
    <w:p w:rsidR="00326C79" w:rsidRPr="0019261A" w:rsidRDefault="00326C79" w:rsidP="00326C79">
      <w:pPr>
        <w:spacing w:after="0"/>
        <w:jc w:val="center"/>
        <w:rPr>
          <w:rFonts w:ascii="Verdana" w:hAnsi="Verdana"/>
          <w:sz w:val="20"/>
          <w:lang w:val="pt-BR"/>
        </w:rPr>
      </w:pPr>
      <w:r>
        <w:rPr>
          <w:rFonts w:ascii="Verdana" w:hAnsi="Verdana"/>
          <w:sz w:val="20"/>
          <w:lang w:val="pt-BR"/>
        </w:rPr>
        <w:t>L. Patricio Pazmiño Frei</w:t>
      </w:r>
      <w:r w:rsidRPr="0019261A">
        <w:rPr>
          <w:rFonts w:ascii="Verdana" w:hAnsi="Verdana"/>
          <w:sz w:val="20"/>
          <w:lang w:val="pt-BR"/>
        </w:rPr>
        <w:t>re</w:t>
      </w:r>
    </w:p>
    <w:p w:rsidR="00326C79" w:rsidRDefault="00326C79" w:rsidP="00326C79">
      <w:pPr>
        <w:spacing w:after="0"/>
        <w:rPr>
          <w:rFonts w:ascii="Verdana" w:hAnsi="Verdana"/>
          <w:sz w:val="20"/>
          <w:lang w:val="pt-BR"/>
        </w:rPr>
      </w:pPr>
    </w:p>
    <w:p w:rsidR="00326C79" w:rsidRPr="0019261A" w:rsidRDefault="00326C79" w:rsidP="00326C79">
      <w:pPr>
        <w:spacing w:after="0"/>
        <w:jc w:val="both"/>
        <w:rPr>
          <w:rFonts w:ascii="Verdana" w:hAnsi="Verdana"/>
          <w:sz w:val="20"/>
          <w:lang w:val="pt-BR"/>
        </w:rPr>
      </w:pPr>
    </w:p>
    <w:p w:rsidR="00326C79" w:rsidRPr="0019261A" w:rsidRDefault="00326C79" w:rsidP="00326C79">
      <w:pPr>
        <w:spacing w:after="0"/>
        <w:jc w:val="both"/>
        <w:rPr>
          <w:rFonts w:ascii="Verdana" w:hAnsi="Verdana"/>
          <w:sz w:val="20"/>
          <w:lang w:val="pt-BR"/>
        </w:rPr>
      </w:pPr>
    </w:p>
    <w:p w:rsidR="00326C79" w:rsidRDefault="00326C79" w:rsidP="00326C79">
      <w:pPr>
        <w:spacing w:after="0"/>
        <w:jc w:val="center"/>
        <w:rPr>
          <w:rFonts w:ascii="Verdana" w:hAnsi="Verdana"/>
          <w:sz w:val="20"/>
          <w:lang w:val="pt-BR"/>
        </w:rPr>
      </w:pPr>
    </w:p>
    <w:p w:rsidR="00326C79" w:rsidRDefault="00326C79" w:rsidP="00326C79">
      <w:pPr>
        <w:spacing w:after="0"/>
        <w:jc w:val="center"/>
        <w:rPr>
          <w:rFonts w:ascii="Verdana" w:hAnsi="Verdana"/>
          <w:sz w:val="20"/>
          <w:lang w:val="pt-BR"/>
        </w:rPr>
      </w:pPr>
    </w:p>
    <w:p w:rsidR="00326C79" w:rsidRDefault="00326C79" w:rsidP="00326C79">
      <w:pPr>
        <w:spacing w:after="0"/>
        <w:rPr>
          <w:rFonts w:ascii="Verdana" w:hAnsi="Verdana"/>
          <w:sz w:val="20"/>
          <w:lang w:val="pt-BR"/>
        </w:rPr>
      </w:pPr>
    </w:p>
    <w:p w:rsidR="00326C79" w:rsidRDefault="00326C79" w:rsidP="00326C79">
      <w:pPr>
        <w:spacing w:after="0"/>
        <w:jc w:val="center"/>
        <w:rPr>
          <w:rFonts w:ascii="Verdana" w:hAnsi="Verdana"/>
          <w:sz w:val="20"/>
          <w:lang w:val="pt-BR"/>
        </w:rPr>
      </w:pPr>
    </w:p>
    <w:p w:rsidR="00326C79" w:rsidRPr="00FC4051" w:rsidRDefault="00326C79" w:rsidP="00326C79">
      <w:pPr>
        <w:spacing w:after="0"/>
        <w:jc w:val="center"/>
        <w:rPr>
          <w:rFonts w:ascii="Verdana" w:hAnsi="Verdana"/>
          <w:sz w:val="20"/>
          <w:lang w:val="pt-BR"/>
        </w:rPr>
      </w:pPr>
      <w:r w:rsidRPr="00FC4051">
        <w:rPr>
          <w:rFonts w:ascii="Verdana" w:hAnsi="Verdana"/>
          <w:sz w:val="20"/>
          <w:lang w:val="pt-BR"/>
        </w:rPr>
        <w:t>Pablo Saavedra Alessandri</w:t>
      </w:r>
    </w:p>
    <w:p w:rsidR="00326C79" w:rsidRDefault="00326C79" w:rsidP="00326C79">
      <w:pPr>
        <w:spacing w:after="0"/>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rsidR="00326C79" w:rsidRPr="00FC4051" w:rsidRDefault="00326C79" w:rsidP="00326C79">
      <w:pPr>
        <w:pStyle w:val="Textonotapie"/>
        <w:rPr>
          <w:rFonts w:ascii="Verdana" w:hAnsi="Verdana"/>
          <w:lang w:val="pt-BR"/>
        </w:rPr>
      </w:pPr>
      <w:r>
        <w:rPr>
          <w:rFonts w:ascii="Verdana" w:hAnsi="Verdana"/>
          <w:lang w:val="pt-BR"/>
        </w:rPr>
        <w:t>Comuníquese y ejecútese</w:t>
      </w:r>
      <w:r w:rsidRPr="00FC4051">
        <w:rPr>
          <w:rFonts w:ascii="Verdana" w:hAnsi="Verdana"/>
          <w:lang w:val="pt-BR"/>
        </w:rPr>
        <w:t>,</w:t>
      </w:r>
    </w:p>
    <w:p w:rsidR="00326C79" w:rsidRPr="00FC4051" w:rsidRDefault="00326C79" w:rsidP="00326C79">
      <w:pPr>
        <w:spacing w:after="0"/>
        <w:rPr>
          <w:rFonts w:ascii="Verdana" w:hAnsi="Verdana"/>
          <w:sz w:val="20"/>
          <w:lang w:val="pt-BR"/>
        </w:rPr>
      </w:pPr>
    </w:p>
    <w:p w:rsidR="00326C79" w:rsidRDefault="00326C79" w:rsidP="00326C79">
      <w:pPr>
        <w:spacing w:after="0"/>
        <w:jc w:val="right"/>
        <w:rPr>
          <w:rFonts w:ascii="Verdana" w:hAnsi="Verdana"/>
          <w:sz w:val="20"/>
          <w:lang w:val="pt-BR"/>
        </w:rPr>
      </w:pPr>
    </w:p>
    <w:p w:rsidR="00326C79" w:rsidRPr="00FC4051" w:rsidRDefault="00326C79" w:rsidP="00326C79">
      <w:pPr>
        <w:spacing w:after="0"/>
        <w:jc w:val="right"/>
        <w:rPr>
          <w:rFonts w:ascii="Verdana" w:hAnsi="Verdana"/>
          <w:sz w:val="20"/>
          <w:lang w:val="pt-BR"/>
        </w:rPr>
      </w:pPr>
    </w:p>
    <w:p w:rsidR="00326C79" w:rsidRPr="00FC4051" w:rsidRDefault="00326C79" w:rsidP="00326C79">
      <w:pPr>
        <w:spacing w:after="0"/>
        <w:jc w:val="right"/>
        <w:rPr>
          <w:rFonts w:ascii="Verdana" w:hAnsi="Verdana"/>
          <w:sz w:val="20"/>
          <w:lang w:val="pt-BR"/>
        </w:rPr>
      </w:pPr>
    </w:p>
    <w:p w:rsidR="00326C79" w:rsidRPr="00FC4051" w:rsidRDefault="00326C79" w:rsidP="00326C79">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Eduardo Ferrer Mac-Gregor Poisot</w:t>
      </w:r>
    </w:p>
    <w:p w:rsidR="00326C79" w:rsidRDefault="00326C79" w:rsidP="00326C79">
      <w:pPr>
        <w:spacing w:after="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19261A">
        <w:rPr>
          <w:rFonts w:ascii="Verdana" w:hAnsi="Verdana"/>
          <w:sz w:val="20"/>
          <w:lang w:val="pt-BR"/>
        </w:rPr>
        <w:t xml:space="preserve">Presidente </w:t>
      </w:r>
    </w:p>
    <w:p w:rsidR="00326C79" w:rsidRPr="00FC4051" w:rsidRDefault="00326C79" w:rsidP="00326C79">
      <w:pPr>
        <w:spacing w:after="0"/>
        <w:jc w:val="both"/>
        <w:rPr>
          <w:rFonts w:ascii="Verdana" w:hAnsi="Verdana"/>
          <w:sz w:val="20"/>
          <w:lang w:val="pt-BR"/>
        </w:rPr>
      </w:pPr>
    </w:p>
    <w:p w:rsidR="00326C79" w:rsidRPr="00FC4051" w:rsidRDefault="00326C79" w:rsidP="00326C79">
      <w:pPr>
        <w:spacing w:after="0"/>
        <w:jc w:val="both"/>
        <w:rPr>
          <w:rFonts w:ascii="Verdana" w:hAnsi="Verdana"/>
          <w:sz w:val="20"/>
          <w:lang w:val="pt-BR"/>
        </w:rPr>
      </w:pPr>
    </w:p>
    <w:p w:rsidR="00326C79" w:rsidRPr="00FC4051" w:rsidRDefault="00326C79" w:rsidP="00326C79">
      <w:pPr>
        <w:spacing w:after="0"/>
        <w:jc w:val="both"/>
        <w:rPr>
          <w:rFonts w:ascii="Verdana" w:hAnsi="Verdana"/>
          <w:sz w:val="20"/>
          <w:lang w:val="pt-BR"/>
        </w:rPr>
      </w:pPr>
      <w:r w:rsidRPr="00FC4051">
        <w:rPr>
          <w:rFonts w:ascii="Verdana" w:hAnsi="Verdana"/>
          <w:sz w:val="20"/>
          <w:lang w:val="pt-BR"/>
        </w:rPr>
        <w:t>Pablo Saavedra Alessandri</w:t>
      </w:r>
    </w:p>
    <w:p w:rsidR="00326C79" w:rsidRPr="007E10A8" w:rsidRDefault="00326C79" w:rsidP="00326C79">
      <w:pPr>
        <w:spacing w:after="0"/>
        <w:rPr>
          <w:lang w:val="es-ES"/>
        </w:rPr>
      </w:pPr>
      <w:r w:rsidRPr="00FC4051">
        <w:rPr>
          <w:rFonts w:ascii="Verdana" w:hAnsi="Verdana"/>
          <w:sz w:val="20"/>
          <w:lang w:val="pt-BR"/>
        </w:rPr>
        <w:tab/>
      </w:r>
      <w:r w:rsidRPr="0019261A">
        <w:rPr>
          <w:rFonts w:ascii="Verdana" w:hAnsi="Verdana"/>
          <w:sz w:val="20"/>
          <w:lang w:val="es-ES"/>
        </w:rPr>
        <w:t>Secret</w:t>
      </w:r>
      <w:r>
        <w:rPr>
          <w:rFonts w:ascii="Verdana" w:hAnsi="Verdana"/>
          <w:sz w:val="20"/>
          <w:lang w:val="es-ES"/>
        </w:rPr>
        <w:t>ario</w:t>
      </w:r>
    </w:p>
    <w:p w:rsidR="00326C79" w:rsidRPr="00A03487" w:rsidRDefault="00326C79" w:rsidP="00326C79">
      <w:pPr>
        <w:pStyle w:val="Prrafodelista"/>
        <w:spacing w:after="0" w:line="240" w:lineRule="auto"/>
        <w:ind w:left="0"/>
        <w:jc w:val="both"/>
        <w:rPr>
          <w:rFonts w:ascii="Verdana" w:hAnsi="Verdana"/>
          <w:sz w:val="20"/>
          <w:szCs w:val="20"/>
        </w:rPr>
      </w:pPr>
    </w:p>
    <w:sectPr w:rsidR="00326C79" w:rsidRPr="00A03487" w:rsidSect="00326C79">
      <w:footerReference w:type="default" r:id="rId8"/>
      <w:pgSz w:w="12240" w:h="15840"/>
      <w:pgMar w:top="1440" w:right="1247"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41B" w:rsidRDefault="00FD541B" w:rsidP="00A57ACC">
      <w:pPr>
        <w:spacing w:after="0" w:line="240" w:lineRule="auto"/>
      </w:pPr>
      <w:r>
        <w:separator/>
      </w:r>
    </w:p>
  </w:endnote>
  <w:endnote w:type="continuationSeparator" w:id="0">
    <w:p w:rsidR="00FD541B" w:rsidRDefault="00FD541B" w:rsidP="00A5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481121"/>
      <w:docPartObj>
        <w:docPartGallery w:val="Page Numbers (Bottom of Page)"/>
        <w:docPartUnique/>
      </w:docPartObj>
    </w:sdtPr>
    <w:sdtEndPr>
      <w:rPr>
        <w:noProof/>
      </w:rPr>
    </w:sdtEndPr>
    <w:sdtContent>
      <w:p w:rsidR="0011170C" w:rsidRDefault="0011170C">
        <w:pPr>
          <w:pStyle w:val="Piedepgina"/>
          <w:jc w:val="center"/>
        </w:pPr>
        <w:r w:rsidRPr="00151723">
          <w:rPr>
            <w:rFonts w:ascii="Verdana" w:hAnsi="Verdana"/>
            <w:sz w:val="20"/>
            <w:szCs w:val="20"/>
          </w:rPr>
          <w:fldChar w:fldCharType="begin"/>
        </w:r>
        <w:r w:rsidRPr="00151723">
          <w:rPr>
            <w:rFonts w:ascii="Verdana" w:hAnsi="Verdana"/>
            <w:sz w:val="20"/>
            <w:szCs w:val="20"/>
          </w:rPr>
          <w:instrText xml:space="preserve"> PAGE   \* MERGEFORMAT </w:instrText>
        </w:r>
        <w:r w:rsidRPr="00151723">
          <w:rPr>
            <w:rFonts w:ascii="Verdana" w:hAnsi="Verdana"/>
            <w:sz w:val="20"/>
            <w:szCs w:val="20"/>
          </w:rPr>
          <w:fldChar w:fldCharType="separate"/>
        </w:r>
        <w:r w:rsidR="008943BD">
          <w:rPr>
            <w:rFonts w:ascii="Verdana" w:hAnsi="Verdana"/>
            <w:noProof/>
            <w:sz w:val="20"/>
            <w:szCs w:val="20"/>
          </w:rPr>
          <w:t>8</w:t>
        </w:r>
        <w:r w:rsidRPr="00151723">
          <w:rPr>
            <w:rFonts w:ascii="Verdana" w:hAnsi="Verdana"/>
            <w:noProof/>
            <w:sz w:val="20"/>
            <w:szCs w:val="20"/>
          </w:rPr>
          <w:fldChar w:fldCharType="end"/>
        </w:r>
      </w:p>
    </w:sdtContent>
  </w:sdt>
  <w:p w:rsidR="0011170C" w:rsidRDefault="001117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41B" w:rsidRDefault="00FD541B" w:rsidP="00A57ACC">
      <w:pPr>
        <w:spacing w:after="0" w:line="240" w:lineRule="auto"/>
      </w:pPr>
      <w:r>
        <w:separator/>
      </w:r>
    </w:p>
  </w:footnote>
  <w:footnote w:type="continuationSeparator" w:id="0">
    <w:p w:rsidR="00FD541B" w:rsidRDefault="00FD541B" w:rsidP="00A57ACC">
      <w:pPr>
        <w:spacing w:after="0" w:line="240" w:lineRule="auto"/>
      </w:pPr>
      <w:r>
        <w:continuationSeparator/>
      </w:r>
    </w:p>
  </w:footnote>
  <w:footnote w:id="1">
    <w:p w:rsidR="0016672D" w:rsidRPr="0016672D" w:rsidRDefault="0016672D" w:rsidP="0016672D">
      <w:pPr>
        <w:pStyle w:val="Textonotapie"/>
        <w:jc w:val="both"/>
        <w:rPr>
          <w:rFonts w:ascii="Verdana" w:hAnsi="Verdana"/>
          <w:sz w:val="16"/>
          <w:szCs w:val="16"/>
        </w:rPr>
      </w:pPr>
      <w:r w:rsidRPr="0016672D">
        <w:rPr>
          <w:rStyle w:val="Refdenotaalpie"/>
          <w:rFonts w:ascii="Verdana" w:hAnsi="Verdana"/>
          <w:sz w:val="16"/>
          <w:szCs w:val="16"/>
        </w:rPr>
        <w:footnoteRef/>
      </w:r>
      <w:r w:rsidRPr="0016672D">
        <w:rPr>
          <w:rFonts w:ascii="Verdana" w:hAnsi="Verdana"/>
          <w:sz w:val="16"/>
          <w:szCs w:val="16"/>
        </w:rPr>
        <w:t xml:space="preserve"> </w:t>
      </w:r>
      <w:r w:rsidRPr="0016672D">
        <w:rPr>
          <w:rFonts w:ascii="Verdana" w:hAnsi="Verdana"/>
          <w:sz w:val="16"/>
          <w:szCs w:val="16"/>
        </w:rPr>
        <w:tab/>
      </w:r>
      <w:r w:rsidRPr="0016672D">
        <w:rPr>
          <w:rFonts w:ascii="Verdana" w:hAnsi="Verdana"/>
          <w:i/>
          <w:sz w:val="16"/>
          <w:szCs w:val="16"/>
        </w:rPr>
        <w:t>Cfr. Caso Loayza Tamayo Vs. Perú. Interpretación de la Sentencia de Fondo.</w:t>
      </w:r>
      <w:r w:rsidRPr="0016672D">
        <w:rPr>
          <w:rFonts w:ascii="Verdana" w:hAnsi="Verdana"/>
          <w:sz w:val="16"/>
          <w:szCs w:val="16"/>
        </w:rPr>
        <w:t xml:space="preserve"> Resolución de la Corte Interamericana de Derechos Humanos de 8 de marzo de 1998. Serie C No. 47, párr. 16, y </w:t>
      </w:r>
      <w:r w:rsidRPr="0016672D">
        <w:rPr>
          <w:rFonts w:ascii="Verdana" w:hAnsi="Verdana"/>
          <w:i/>
          <w:sz w:val="16"/>
          <w:szCs w:val="16"/>
        </w:rPr>
        <w:t>Caso Vereda La Esperanza Vs. Colombia. Interpretación de la Sentencia de Excepción Preliminar, Fondo, Reparaciones y Costas.</w:t>
      </w:r>
      <w:r w:rsidRPr="0016672D">
        <w:rPr>
          <w:rFonts w:ascii="Verdana" w:hAnsi="Verdana"/>
          <w:sz w:val="16"/>
          <w:szCs w:val="16"/>
        </w:rPr>
        <w:t xml:space="preserve"> Sentencia de la Corte Interamericana de Derechos Humanos 21 de noviembre de 2018, Serie C No. 367, párr. 11.</w:t>
      </w:r>
    </w:p>
  </w:footnote>
  <w:footnote w:id="2">
    <w:p w:rsidR="00A57ACC" w:rsidRDefault="00A57ACC" w:rsidP="00A57ACC">
      <w:pPr>
        <w:pStyle w:val="Textonotapie"/>
        <w:jc w:val="both"/>
      </w:pPr>
      <w:r w:rsidRPr="00A57ACC">
        <w:rPr>
          <w:rStyle w:val="Refdenotaalpie"/>
          <w:rFonts w:ascii="Verdana" w:hAnsi="Verdana"/>
          <w:sz w:val="16"/>
          <w:szCs w:val="16"/>
        </w:rPr>
        <w:footnoteRef/>
      </w:r>
      <w:r w:rsidRPr="00A57ACC">
        <w:rPr>
          <w:rFonts w:ascii="Verdana" w:hAnsi="Verdana"/>
          <w:sz w:val="16"/>
          <w:szCs w:val="16"/>
        </w:rPr>
        <w:t xml:space="preserve"> </w:t>
      </w:r>
      <w:r w:rsidRPr="00A57ACC">
        <w:rPr>
          <w:rFonts w:ascii="Verdana" w:hAnsi="Verdana"/>
          <w:sz w:val="16"/>
          <w:szCs w:val="16"/>
        </w:rPr>
        <w:tab/>
      </w:r>
      <w:r w:rsidRPr="00A57ACC">
        <w:rPr>
          <w:rFonts w:ascii="Verdana" w:hAnsi="Verdana"/>
          <w:i/>
          <w:sz w:val="16"/>
          <w:szCs w:val="16"/>
        </w:rPr>
        <w:t>Cfr. Caso Loayza Tamayo Vs. Perú. Interpretación de la Sentencia de Fondo, supra</w:t>
      </w:r>
      <w:r w:rsidR="0016672D">
        <w:rPr>
          <w:rFonts w:ascii="Verdana" w:hAnsi="Verdana"/>
          <w:sz w:val="16"/>
          <w:szCs w:val="16"/>
        </w:rPr>
        <w:t xml:space="preserve"> nota 1</w:t>
      </w:r>
      <w:r w:rsidRPr="00A57ACC">
        <w:rPr>
          <w:rFonts w:ascii="Verdana" w:hAnsi="Verdana"/>
          <w:i/>
          <w:sz w:val="16"/>
          <w:szCs w:val="16"/>
        </w:rPr>
        <w:t>,</w:t>
      </w:r>
      <w:r w:rsidRPr="00A57ACC">
        <w:rPr>
          <w:rFonts w:ascii="Verdana" w:hAnsi="Verdana"/>
          <w:sz w:val="16"/>
          <w:szCs w:val="16"/>
        </w:rPr>
        <w:t xml:space="preserve"> párr. 16, y</w:t>
      </w:r>
      <w:r>
        <w:rPr>
          <w:rFonts w:ascii="Verdana" w:hAnsi="Verdana"/>
          <w:sz w:val="16"/>
          <w:szCs w:val="16"/>
        </w:rPr>
        <w:t xml:space="preserve"> </w:t>
      </w:r>
      <w:r w:rsidRPr="00A57ACC">
        <w:rPr>
          <w:rFonts w:ascii="Verdana" w:hAnsi="Verdana"/>
          <w:i/>
          <w:sz w:val="16"/>
          <w:szCs w:val="16"/>
        </w:rPr>
        <w:t>Caso Vereda La Esperanza Vs. Colombia. Interpretación de la Sentencia de Excepción Preliminar, Fondo, Reparaciones y Costas</w:t>
      </w:r>
      <w:r>
        <w:rPr>
          <w:rFonts w:ascii="Verdana" w:hAnsi="Verdana"/>
          <w:sz w:val="16"/>
          <w:szCs w:val="16"/>
        </w:rPr>
        <w:t xml:space="preserve">, </w:t>
      </w:r>
      <w:r>
        <w:rPr>
          <w:rFonts w:ascii="Verdana" w:hAnsi="Verdana"/>
          <w:i/>
          <w:sz w:val="16"/>
          <w:szCs w:val="16"/>
        </w:rPr>
        <w:t>supra</w:t>
      </w:r>
      <w:r w:rsidR="0016672D">
        <w:rPr>
          <w:rFonts w:ascii="Verdana" w:hAnsi="Verdana"/>
          <w:i/>
          <w:sz w:val="16"/>
          <w:szCs w:val="16"/>
        </w:rPr>
        <w:t xml:space="preserve"> </w:t>
      </w:r>
      <w:r w:rsidR="0016672D">
        <w:rPr>
          <w:rFonts w:ascii="Verdana" w:hAnsi="Verdana"/>
          <w:sz w:val="16"/>
          <w:szCs w:val="16"/>
        </w:rPr>
        <w:t>nota 1</w:t>
      </w:r>
      <w:r>
        <w:rPr>
          <w:rFonts w:ascii="Verdana" w:hAnsi="Verdana"/>
          <w:sz w:val="16"/>
          <w:szCs w:val="16"/>
        </w:rPr>
        <w:t>, párr. 11.</w:t>
      </w:r>
    </w:p>
  </w:footnote>
  <w:footnote w:id="3">
    <w:p w:rsidR="00FB66CD" w:rsidRPr="00FB66CD" w:rsidRDefault="00FB66CD" w:rsidP="00FB66CD">
      <w:pPr>
        <w:pStyle w:val="Textonotapie"/>
        <w:jc w:val="both"/>
        <w:rPr>
          <w:rFonts w:ascii="Verdana" w:hAnsi="Verdana"/>
          <w:sz w:val="16"/>
          <w:szCs w:val="16"/>
        </w:rPr>
      </w:pPr>
      <w:r w:rsidRPr="00FB66CD">
        <w:rPr>
          <w:rStyle w:val="Refdenotaalpie"/>
          <w:rFonts w:ascii="Verdana" w:hAnsi="Verdana"/>
          <w:sz w:val="16"/>
          <w:szCs w:val="16"/>
        </w:rPr>
        <w:footnoteRef/>
      </w:r>
      <w:r w:rsidRPr="00FB66CD">
        <w:rPr>
          <w:rFonts w:ascii="Verdana" w:hAnsi="Verdana"/>
          <w:sz w:val="16"/>
          <w:szCs w:val="16"/>
        </w:rPr>
        <w:t xml:space="preserve"> </w:t>
      </w:r>
      <w:r w:rsidRPr="00FB66CD">
        <w:rPr>
          <w:rFonts w:ascii="Verdana" w:hAnsi="Verdana"/>
          <w:sz w:val="16"/>
          <w:szCs w:val="16"/>
        </w:rPr>
        <w:tab/>
      </w:r>
      <w:r w:rsidRPr="00FB66CD">
        <w:rPr>
          <w:rFonts w:ascii="Verdana" w:hAnsi="Verdana"/>
          <w:i/>
          <w:sz w:val="16"/>
          <w:szCs w:val="16"/>
        </w:rPr>
        <w:t>Cfr. Caso Loayza Tamayo Vs. Perú. Interpretación de la Sentencia de Reparaciones y Costas</w:t>
      </w:r>
      <w:r w:rsidR="003170D7">
        <w:rPr>
          <w:rFonts w:ascii="Verdana" w:hAnsi="Verdana"/>
          <w:i/>
          <w:sz w:val="16"/>
          <w:szCs w:val="16"/>
        </w:rPr>
        <w:t xml:space="preserve">. </w:t>
      </w:r>
      <w:r w:rsidR="003170D7">
        <w:rPr>
          <w:rFonts w:ascii="Verdana" w:hAnsi="Verdana"/>
          <w:sz w:val="16"/>
          <w:szCs w:val="16"/>
        </w:rPr>
        <w:t>Sentencia de 3 de junio de 1999. Serie C No. 53</w:t>
      </w:r>
      <w:r w:rsidRPr="00FB66CD">
        <w:rPr>
          <w:rFonts w:ascii="Verdana" w:hAnsi="Verdana"/>
          <w:sz w:val="16"/>
          <w:szCs w:val="16"/>
        </w:rPr>
        <w:t xml:space="preserve">, párr. 15, y </w:t>
      </w:r>
      <w:r w:rsidRPr="00FB66CD">
        <w:rPr>
          <w:rFonts w:ascii="Verdana" w:hAnsi="Verdana"/>
          <w:i/>
          <w:sz w:val="16"/>
          <w:szCs w:val="16"/>
        </w:rPr>
        <w:t>Caso Vereda La Esperanza Vs. Colombia. Interpretación de la Sentencia de Excepción Preliminar, Fondo, Reparaciones y Costas</w:t>
      </w:r>
      <w:r w:rsidRPr="00FB66CD">
        <w:rPr>
          <w:rFonts w:ascii="Verdana" w:hAnsi="Verdana"/>
          <w:sz w:val="16"/>
          <w:szCs w:val="16"/>
        </w:rPr>
        <w:t xml:space="preserve">, </w:t>
      </w:r>
      <w:r w:rsidRPr="00FB66CD">
        <w:rPr>
          <w:rFonts w:ascii="Verdana" w:hAnsi="Verdana"/>
          <w:i/>
          <w:sz w:val="16"/>
          <w:szCs w:val="16"/>
        </w:rPr>
        <w:t>supra</w:t>
      </w:r>
      <w:r w:rsidR="0016672D">
        <w:rPr>
          <w:rFonts w:ascii="Verdana" w:hAnsi="Verdana"/>
          <w:i/>
          <w:sz w:val="16"/>
          <w:szCs w:val="16"/>
        </w:rPr>
        <w:t xml:space="preserve"> </w:t>
      </w:r>
      <w:r w:rsidR="0016672D">
        <w:rPr>
          <w:rFonts w:ascii="Verdana" w:hAnsi="Verdana"/>
          <w:sz w:val="16"/>
          <w:szCs w:val="16"/>
        </w:rPr>
        <w:t>nota 1</w:t>
      </w:r>
      <w:r w:rsidRPr="00FB66CD">
        <w:rPr>
          <w:rFonts w:ascii="Verdana" w:hAnsi="Verdana"/>
          <w:sz w:val="16"/>
          <w:szCs w:val="16"/>
        </w:rPr>
        <w:t>, párr. 12.</w:t>
      </w:r>
    </w:p>
  </w:footnote>
  <w:footnote w:id="4">
    <w:p w:rsidR="00FB66CD" w:rsidRDefault="00FB66CD" w:rsidP="00FB66CD">
      <w:pPr>
        <w:pStyle w:val="Textonotapie"/>
        <w:jc w:val="both"/>
      </w:pPr>
      <w:r w:rsidRPr="00FB66CD">
        <w:rPr>
          <w:rStyle w:val="Refdenotaalpie"/>
          <w:rFonts w:ascii="Verdana" w:hAnsi="Verdana"/>
          <w:sz w:val="16"/>
          <w:szCs w:val="16"/>
        </w:rPr>
        <w:footnoteRef/>
      </w:r>
      <w:r w:rsidRPr="00FB66CD">
        <w:rPr>
          <w:rFonts w:ascii="Verdana" w:hAnsi="Verdana"/>
          <w:sz w:val="16"/>
          <w:szCs w:val="16"/>
        </w:rPr>
        <w:t xml:space="preserve"> </w:t>
      </w:r>
      <w:r w:rsidRPr="00FB66CD">
        <w:rPr>
          <w:rFonts w:ascii="Verdana" w:hAnsi="Verdana"/>
          <w:sz w:val="16"/>
          <w:szCs w:val="16"/>
        </w:rPr>
        <w:tab/>
      </w:r>
      <w:r w:rsidRPr="00FB66CD">
        <w:rPr>
          <w:rFonts w:ascii="Verdana" w:hAnsi="Verdana"/>
          <w:i/>
          <w:sz w:val="16"/>
          <w:szCs w:val="16"/>
        </w:rPr>
        <w:t>Cfr. Caso Salvador Chiriboga Vs. Ecuador. Interpretación de la Sentencia de Reparaciones y Costas.</w:t>
      </w:r>
      <w:r w:rsidRPr="00FB66CD">
        <w:rPr>
          <w:rFonts w:ascii="Verdana" w:hAnsi="Verdana"/>
          <w:sz w:val="16"/>
          <w:szCs w:val="16"/>
        </w:rPr>
        <w:t xml:space="preserve"> Sentencia de 29 de agosto de 2011. Serie C No. 230, párr. 30, y </w:t>
      </w:r>
      <w:r w:rsidRPr="00FB66CD">
        <w:rPr>
          <w:rFonts w:ascii="Verdana" w:hAnsi="Verdana"/>
          <w:i/>
          <w:sz w:val="16"/>
          <w:szCs w:val="16"/>
        </w:rPr>
        <w:t>Caso Vereda La Esperanza Vs. Colombia. Interpretación de la Sentencia de Excepción Preliminar, Fondo, Reparaciones y Costas</w:t>
      </w:r>
      <w:r w:rsidRPr="00FB66CD">
        <w:rPr>
          <w:rFonts w:ascii="Verdana" w:hAnsi="Verdana"/>
          <w:sz w:val="16"/>
          <w:szCs w:val="16"/>
        </w:rPr>
        <w:t xml:space="preserve">, </w:t>
      </w:r>
      <w:r w:rsidRPr="00FB66CD">
        <w:rPr>
          <w:rFonts w:ascii="Verdana" w:hAnsi="Verdana"/>
          <w:i/>
          <w:sz w:val="16"/>
          <w:szCs w:val="16"/>
        </w:rPr>
        <w:t>supra</w:t>
      </w:r>
      <w:r w:rsidR="0016672D">
        <w:rPr>
          <w:rFonts w:ascii="Verdana" w:hAnsi="Verdana"/>
          <w:i/>
          <w:sz w:val="16"/>
          <w:szCs w:val="16"/>
        </w:rPr>
        <w:t xml:space="preserve"> </w:t>
      </w:r>
      <w:r w:rsidR="0016672D">
        <w:rPr>
          <w:rFonts w:ascii="Verdana" w:hAnsi="Verdana"/>
          <w:sz w:val="16"/>
          <w:szCs w:val="16"/>
        </w:rPr>
        <w:t>nota 1</w:t>
      </w:r>
      <w:r w:rsidRPr="00FB66CD">
        <w:rPr>
          <w:rFonts w:ascii="Verdana" w:hAnsi="Verdana"/>
          <w:sz w:val="16"/>
          <w:szCs w:val="16"/>
        </w:rPr>
        <w:t>, párr. 12.</w:t>
      </w:r>
    </w:p>
  </w:footnote>
  <w:footnote w:id="5">
    <w:p w:rsidR="00FB66CD" w:rsidRPr="00FB66CD" w:rsidRDefault="00FB66CD" w:rsidP="00FB66CD">
      <w:pPr>
        <w:pStyle w:val="Textonotapie"/>
        <w:jc w:val="both"/>
        <w:rPr>
          <w:rFonts w:ascii="Verdana" w:hAnsi="Verdana"/>
          <w:sz w:val="16"/>
          <w:szCs w:val="16"/>
        </w:rPr>
      </w:pPr>
      <w:r w:rsidRPr="00FB66CD">
        <w:rPr>
          <w:rStyle w:val="Refdenotaalpie"/>
          <w:rFonts w:ascii="Verdana" w:hAnsi="Verdana"/>
          <w:sz w:val="16"/>
          <w:szCs w:val="16"/>
        </w:rPr>
        <w:footnoteRef/>
      </w:r>
      <w:r w:rsidRPr="00FB66CD">
        <w:rPr>
          <w:rFonts w:ascii="Verdana" w:hAnsi="Verdana"/>
          <w:sz w:val="16"/>
          <w:szCs w:val="16"/>
        </w:rPr>
        <w:t xml:space="preserve"> </w:t>
      </w:r>
      <w:r w:rsidRPr="00FB66CD">
        <w:rPr>
          <w:rFonts w:ascii="Verdana" w:hAnsi="Verdana"/>
          <w:sz w:val="16"/>
          <w:szCs w:val="16"/>
        </w:rPr>
        <w:tab/>
      </w:r>
      <w:r w:rsidRPr="00FB66CD">
        <w:rPr>
          <w:rFonts w:ascii="Verdana" w:hAnsi="Verdana"/>
          <w:i/>
          <w:sz w:val="16"/>
          <w:szCs w:val="16"/>
        </w:rPr>
        <w:t>Cfr. Caso Escher y otros Vs. Brasil. Interpretación de la Sentencia de Excepciones Preliminares, Fondo, Reparaciones y Costas.</w:t>
      </w:r>
      <w:r w:rsidRPr="00FB66CD">
        <w:rPr>
          <w:rFonts w:ascii="Verdana" w:hAnsi="Verdana"/>
          <w:sz w:val="16"/>
          <w:szCs w:val="16"/>
        </w:rPr>
        <w:t xml:space="preserve"> Sentencia de 20 de noviembre de 2009. Serie C No. 208, párr. 11, y </w:t>
      </w:r>
      <w:r w:rsidRPr="00FB66CD">
        <w:rPr>
          <w:rFonts w:ascii="Verdana" w:hAnsi="Verdana"/>
          <w:i/>
          <w:sz w:val="16"/>
          <w:szCs w:val="16"/>
        </w:rPr>
        <w:t>Caso Vereda La Esperanza Vs. Colombia. Interpretación de la Sentencia de Excepción Preliminar, Fondo, Reparaciones y Costas</w:t>
      </w:r>
      <w:r w:rsidRPr="00FB66CD">
        <w:rPr>
          <w:rFonts w:ascii="Verdana" w:hAnsi="Verdana"/>
          <w:sz w:val="16"/>
          <w:szCs w:val="16"/>
        </w:rPr>
        <w:t xml:space="preserve">, </w:t>
      </w:r>
      <w:r w:rsidRPr="00FB66CD">
        <w:rPr>
          <w:rFonts w:ascii="Verdana" w:hAnsi="Verdana"/>
          <w:i/>
          <w:sz w:val="16"/>
          <w:szCs w:val="16"/>
        </w:rPr>
        <w:t>supra</w:t>
      </w:r>
      <w:r w:rsidR="003170D7">
        <w:rPr>
          <w:rFonts w:ascii="Verdana" w:hAnsi="Verdana"/>
          <w:i/>
          <w:sz w:val="16"/>
          <w:szCs w:val="16"/>
        </w:rPr>
        <w:t xml:space="preserve"> </w:t>
      </w:r>
      <w:r w:rsidR="003170D7">
        <w:rPr>
          <w:rFonts w:ascii="Verdana" w:hAnsi="Verdana"/>
          <w:sz w:val="16"/>
          <w:szCs w:val="16"/>
        </w:rPr>
        <w:t>nota 1</w:t>
      </w:r>
      <w:r w:rsidRPr="00FB66CD">
        <w:rPr>
          <w:rFonts w:ascii="Verdana" w:hAnsi="Verdana"/>
          <w:sz w:val="16"/>
          <w:szCs w:val="16"/>
        </w:rPr>
        <w:t>, párr. 12.</w:t>
      </w:r>
    </w:p>
  </w:footnote>
  <w:footnote w:id="6">
    <w:p w:rsidR="00EA3055" w:rsidRPr="00EA3055" w:rsidRDefault="00EA3055" w:rsidP="00EA3055">
      <w:pPr>
        <w:pStyle w:val="Textonotapie"/>
        <w:jc w:val="both"/>
        <w:rPr>
          <w:rFonts w:ascii="Verdana" w:hAnsi="Verdana"/>
          <w:sz w:val="16"/>
          <w:szCs w:val="16"/>
        </w:rPr>
      </w:pPr>
      <w:r w:rsidRPr="00EA3055">
        <w:rPr>
          <w:rStyle w:val="Refdenotaalpie"/>
          <w:rFonts w:ascii="Verdana" w:hAnsi="Verdana"/>
          <w:sz w:val="16"/>
          <w:szCs w:val="16"/>
        </w:rPr>
        <w:footnoteRef/>
      </w:r>
      <w:r w:rsidRPr="00EA3055">
        <w:rPr>
          <w:rFonts w:ascii="Verdana" w:hAnsi="Verdana"/>
          <w:sz w:val="16"/>
          <w:szCs w:val="16"/>
        </w:rPr>
        <w:t xml:space="preserve"> </w:t>
      </w:r>
      <w:r w:rsidRPr="00EA3055">
        <w:rPr>
          <w:rFonts w:ascii="Verdana" w:hAnsi="Verdana"/>
          <w:sz w:val="16"/>
          <w:szCs w:val="16"/>
        </w:rPr>
        <w:tab/>
      </w:r>
      <w:r w:rsidRPr="00EA3055">
        <w:rPr>
          <w:rFonts w:ascii="Verdana" w:hAnsi="Verdana"/>
          <w:i/>
          <w:sz w:val="16"/>
          <w:szCs w:val="16"/>
        </w:rPr>
        <w:t xml:space="preserve">Cfr. Caso López Soto y otros Vs. Venezuela. Fondo, Reparaciones y Costas. </w:t>
      </w:r>
      <w:r w:rsidRPr="00EA3055">
        <w:rPr>
          <w:rFonts w:ascii="Verdana" w:hAnsi="Verdana"/>
          <w:sz w:val="16"/>
          <w:szCs w:val="16"/>
        </w:rPr>
        <w:t>Sentencia de 26 de septiembre de 2018. Serie C No. 362, párr. 289.</w:t>
      </w:r>
    </w:p>
  </w:footnote>
  <w:footnote w:id="7">
    <w:p w:rsidR="00D86C19" w:rsidRPr="00D86C19" w:rsidRDefault="00D86C19" w:rsidP="00D86C19">
      <w:pPr>
        <w:pStyle w:val="Textonotapie"/>
        <w:jc w:val="both"/>
        <w:rPr>
          <w:rFonts w:ascii="Verdana" w:hAnsi="Verdana"/>
          <w:sz w:val="16"/>
          <w:szCs w:val="16"/>
        </w:rPr>
      </w:pPr>
      <w:r w:rsidRPr="00D86C19">
        <w:rPr>
          <w:rStyle w:val="Refdenotaalpie"/>
          <w:rFonts w:ascii="Verdana" w:hAnsi="Verdana"/>
          <w:sz w:val="16"/>
          <w:szCs w:val="16"/>
        </w:rPr>
        <w:footnoteRef/>
      </w:r>
      <w:r w:rsidRPr="00D86C19">
        <w:rPr>
          <w:rFonts w:ascii="Verdana" w:hAnsi="Verdana"/>
          <w:sz w:val="16"/>
          <w:szCs w:val="16"/>
        </w:rPr>
        <w:t xml:space="preserve"> </w:t>
      </w:r>
      <w:r w:rsidRPr="00D86C19">
        <w:rPr>
          <w:rFonts w:ascii="Verdana" w:hAnsi="Verdana"/>
          <w:sz w:val="16"/>
          <w:szCs w:val="16"/>
        </w:rPr>
        <w:tab/>
      </w:r>
      <w:r w:rsidRPr="00D86C19">
        <w:rPr>
          <w:rFonts w:ascii="Verdana" w:hAnsi="Verdana"/>
          <w:i/>
          <w:sz w:val="16"/>
          <w:szCs w:val="16"/>
        </w:rPr>
        <w:t>Cfr. Caso Loayza Tamayo Vs. Perú. Interpretación de la Sen</w:t>
      </w:r>
      <w:r w:rsidR="003170D7">
        <w:rPr>
          <w:rFonts w:ascii="Verdana" w:hAnsi="Verdana"/>
          <w:i/>
          <w:sz w:val="16"/>
          <w:szCs w:val="16"/>
        </w:rPr>
        <w:t xml:space="preserve">tencia de Reparaciones y Costas, supra </w:t>
      </w:r>
      <w:r w:rsidR="003170D7">
        <w:rPr>
          <w:rFonts w:ascii="Verdana" w:hAnsi="Verdana"/>
          <w:sz w:val="16"/>
          <w:szCs w:val="16"/>
        </w:rPr>
        <w:t>nota 3</w:t>
      </w:r>
      <w:r w:rsidRPr="00D86C19">
        <w:rPr>
          <w:rFonts w:ascii="Verdana" w:hAnsi="Verdana"/>
          <w:sz w:val="16"/>
          <w:szCs w:val="16"/>
        </w:rPr>
        <w:t xml:space="preserve">, párr. 15, y </w:t>
      </w:r>
      <w:r w:rsidR="003170D7" w:rsidRPr="00FB66CD">
        <w:rPr>
          <w:rFonts w:ascii="Verdana" w:hAnsi="Verdana"/>
          <w:i/>
          <w:sz w:val="16"/>
          <w:szCs w:val="16"/>
        </w:rPr>
        <w:t>Caso Vereda La Esperanza Vs. Colombia. Interpretación de la Sentencia de Excepción Preliminar, Fondo, Reparaciones y Costas</w:t>
      </w:r>
      <w:r w:rsidR="003170D7" w:rsidRPr="00FB66CD">
        <w:rPr>
          <w:rFonts w:ascii="Verdana" w:hAnsi="Verdana"/>
          <w:sz w:val="16"/>
          <w:szCs w:val="16"/>
        </w:rPr>
        <w:t xml:space="preserve">, </w:t>
      </w:r>
      <w:r w:rsidR="003170D7" w:rsidRPr="00FB66CD">
        <w:rPr>
          <w:rFonts w:ascii="Verdana" w:hAnsi="Verdana"/>
          <w:i/>
          <w:sz w:val="16"/>
          <w:szCs w:val="16"/>
        </w:rPr>
        <w:t>supra</w:t>
      </w:r>
      <w:r w:rsidR="003170D7">
        <w:rPr>
          <w:rFonts w:ascii="Verdana" w:hAnsi="Verdana"/>
          <w:i/>
          <w:sz w:val="16"/>
          <w:szCs w:val="16"/>
        </w:rPr>
        <w:t xml:space="preserve"> </w:t>
      </w:r>
      <w:r w:rsidR="003170D7">
        <w:rPr>
          <w:rFonts w:ascii="Verdana" w:hAnsi="Verdana"/>
          <w:sz w:val="16"/>
          <w:szCs w:val="16"/>
        </w:rPr>
        <w:t>nota 1</w:t>
      </w:r>
      <w:r w:rsidR="003170D7" w:rsidRPr="00FB66CD">
        <w:rPr>
          <w:rFonts w:ascii="Verdana" w:hAnsi="Verdana"/>
          <w:sz w:val="16"/>
          <w:szCs w:val="16"/>
        </w:rPr>
        <w:t>, párr.</w:t>
      </w:r>
      <w:r w:rsidR="003170D7">
        <w:rPr>
          <w:rFonts w:ascii="Verdana" w:hAnsi="Verdana"/>
          <w:sz w:val="16"/>
          <w:szCs w:val="16"/>
        </w:rPr>
        <w:t xml:space="preserve"> 26</w:t>
      </w:r>
      <w:r w:rsidRPr="00D86C19">
        <w:rPr>
          <w:rFonts w:ascii="Verdana" w:hAnsi="Verdana"/>
          <w:sz w:val="16"/>
          <w:szCs w:val="16"/>
        </w:rPr>
        <w:t xml:space="preserve">. </w:t>
      </w:r>
    </w:p>
  </w:footnote>
  <w:footnote w:id="8">
    <w:p w:rsidR="00D86C19" w:rsidRDefault="00D86C19" w:rsidP="00D86C19">
      <w:pPr>
        <w:pStyle w:val="Textonotapie"/>
        <w:jc w:val="both"/>
      </w:pPr>
      <w:r w:rsidRPr="00D86C19">
        <w:rPr>
          <w:rStyle w:val="Refdenotaalpie"/>
          <w:rFonts w:ascii="Verdana" w:hAnsi="Verdana"/>
          <w:sz w:val="16"/>
          <w:szCs w:val="16"/>
        </w:rPr>
        <w:footnoteRef/>
      </w:r>
      <w:r w:rsidRPr="00D86C19">
        <w:rPr>
          <w:rFonts w:ascii="Verdana" w:hAnsi="Verdana"/>
          <w:sz w:val="16"/>
          <w:szCs w:val="16"/>
        </w:rPr>
        <w:t xml:space="preserve"> </w:t>
      </w:r>
      <w:r w:rsidRPr="00D86C19">
        <w:rPr>
          <w:rFonts w:ascii="Verdana" w:hAnsi="Verdana"/>
          <w:sz w:val="16"/>
          <w:szCs w:val="16"/>
        </w:rPr>
        <w:tab/>
      </w:r>
      <w:r w:rsidRPr="00D86C19">
        <w:rPr>
          <w:rFonts w:ascii="Verdana" w:hAnsi="Verdana"/>
          <w:i/>
          <w:sz w:val="16"/>
          <w:szCs w:val="16"/>
        </w:rPr>
        <w:t xml:space="preserve">Cfr. Caso Loayza Tamayo Vs. Perú, </w:t>
      </w:r>
      <w:r w:rsidR="003170D7" w:rsidRPr="00D86C19">
        <w:rPr>
          <w:rFonts w:ascii="Verdana" w:hAnsi="Verdana"/>
          <w:i/>
          <w:sz w:val="16"/>
          <w:szCs w:val="16"/>
        </w:rPr>
        <w:t>Interpretación de la Sen</w:t>
      </w:r>
      <w:r w:rsidR="003170D7">
        <w:rPr>
          <w:rFonts w:ascii="Verdana" w:hAnsi="Verdana"/>
          <w:i/>
          <w:sz w:val="16"/>
          <w:szCs w:val="16"/>
        </w:rPr>
        <w:t xml:space="preserve">tencia de Reparaciones y Costas, </w:t>
      </w:r>
      <w:r w:rsidRPr="00D86C19">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nota </w:t>
      </w:r>
      <w:r w:rsidR="003170D7">
        <w:rPr>
          <w:rFonts w:ascii="Verdana" w:hAnsi="Verdana"/>
          <w:sz w:val="16"/>
          <w:szCs w:val="16"/>
        </w:rPr>
        <w:t>3</w:t>
      </w:r>
      <w:r w:rsidRPr="00D86C19">
        <w:rPr>
          <w:rFonts w:ascii="Verdana" w:hAnsi="Verdana"/>
          <w:i/>
          <w:sz w:val="16"/>
          <w:szCs w:val="16"/>
        </w:rPr>
        <w:t>,</w:t>
      </w:r>
      <w:r w:rsidRPr="00D86C19">
        <w:rPr>
          <w:rFonts w:ascii="Verdana" w:hAnsi="Verdana"/>
          <w:sz w:val="16"/>
          <w:szCs w:val="16"/>
        </w:rPr>
        <w:t xml:space="preserve"> párr. 16, y </w:t>
      </w:r>
      <w:r w:rsidR="003170D7" w:rsidRPr="00FB66CD">
        <w:rPr>
          <w:rFonts w:ascii="Verdana" w:hAnsi="Verdana"/>
          <w:i/>
          <w:sz w:val="16"/>
          <w:szCs w:val="16"/>
        </w:rPr>
        <w:t>Caso Vereda La Esperanza Vs. Colombia. Interpretación de la Sentencia de Excepción Preliminar, Fondo, Reparaciones y Costas</w:t>
      </w:r>
      <w:r w:rsidR="003170D7" w:rsidRPr="00FB66CD">
        <w:rPr>
          <w:rFonts w:ascii="Verdana" w:hAnsi="Verdana"/>
          <w:sz w:val="16"/>
          <w:szCs w:val="16"/>
        </w:rPr>
        <w:t xml:space="preserve">, </w:t>
      </w:r>
      <w:r w:rsidR="003170D7" w:rsidRPr="00FB66CD">
        <w:rPr>
          <w:rFonts w:ascii="Verdana" w:hAnsi="Verdana"/>
          <w:i/>
          <w:sz w:val="16"/>
          <w:szCs w:val="16"/>
        </w:rPr>
        <w:t>supra</w:t>
      </w:r>
      <w:r w:rsidR="003170D7">
        <w:rPr>
          <w:rFonts w:ascii="Verdana" w:hAnsi="Verdana"/>
          <w:i/>
          <w:sz w:val="16"/>
          <w:szCs w:val="16"/>
        </w:rPr>
        <w:t xml:space="preserve"> </w:t>
      </w:r>
      <w:r w:rsidR="003170D7">
        <w:rPr>
          <w:rFonts w:ascii="Verdana" w:hAnsi="Verdana"/>
          <w:sz w:val="16"/>
          <w:szCs w:val="16"/>
        </w:rPr>
        <w:t>nota 1</w:t>
      </w:r>
      <w:r w:rsidR="003170D7" w:rsidRPr="00FB66CD">
        <w:rPr>
          <w:rFonts w:ascii="Verdana" w:hAnsi="Verdana"/>
          <w:sz w:val="16"/>
          <w:szCs w:val="16"/>
        </w:rPr>
        <w:t>, párr.</w:t>
      </w:r>
      <w:r w:rsidR="003170D7">
        <w:rPr>
          <w:rFonts w:ascii="Verdana" w:hAnsi="Verdana"/>
          <w:sz w:val="16"/>
          <w:szCs w:val="16"/>
        </w:rPr>
        <w:t xml:space="preserve"> 26</w:t>
      </w:r>
      <w:r w:rsidR="003170D7" w:rsidRPr="00D86C19">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E3D3A"/>
    <w:multiLevelType w:val="hybridMultilevel"/>
    <w:tmpl w:val="7C400068"/>
    <w:lvl w:ilvl="0" w:tplc="EFD08706">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15:restartNumberingAfterBreak="0">
    <w:nsid w:val="4CBF02C5"/>
    <w:multiLevelType w:val="hybridMultilevel"/>
    <w:tmpl w:val="20D879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AC42F37"/>
    <w:multiLevelType w:val="hybridMultilevel"/>
    <w:tmpl w:val="BB100E5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F5"/>
    <w:rsid w:val="000A3CBA"/>
    <w:rsid w:val="0011170C"/>
    <w:rsid w:val="00133EE6"/>
    <w:rsid w:val="00151723"/>
    <w:rsid w:val="0016672D"/>
    <w:rsid w:val="00185E1C"/>
    <w:rsid w:val="001A4938"/>
    <w:rsid w:val="001D6B1C"/>
    <w:rsid w:val="002033CA"/>
    <w:rsid w:val="002471A6"/>
    <w:rsid w:val="00261D91"/>
    <w:rsid w:val="002631D9"/>
    <w:rsid w:val="002656AA"/>
    <w:rsid w:val="00265EB7"/>
    <w:rsid w:val="002A7B26"/>
    <w:rsid w:val="002C083D"/>
    <w:rsid w:val="002D32C9"/>
    <w:rsid w:val="002E5E50"/>
    <w:rsid w:val="003170D7"/>
    <w:rsid w:val="00326C79"/>
    <w:rsid w:val="00341E9C"/>
    <w:rsid w:val="0035795D"/>
    <w:rsid w:val="003E11EF"/>
    <w:rsid w:val="00410F7A"/>
    <w:rsid w:val="00427A9E"/>
    <w:rsid w:val="0046227F"/>
    <w:rsid w:val="00475ABD"/>
    <w:rsid w:val="00544E1E"/>
    <w:rsid w:val="005A26AE"/>
    <w:rsid w:val="005E758C"/>
    <w:rsid w:val="0060124A"/>
    <w:rsid w:val="00631872"/>
    <w:rsid w:val="0064124E"/>
    <w:rsid w:val="006522B5"/>
    <w:rsid w:val="006B478B"/>
    <w:rsid w:val="006E0069"/>
    <w:rsid w:val="006F14CA"/>
    <w:rsid w:val="00722496"/>
    <w:rsid w:val="00726F1E"/>
    <w:rsid w:val="008943BD"/>
    <w:rsid w:val="00896292"/>
    <w:rsid w:val="008976FB"/>
    <w:rsid w:val="008A2975"/>
    <w:rsid w:val="008B7F2D"/>
    <w:rsid w:val="008C46FA"/>
    <w:rsid w:val="00920089"/>
    <w:rsid w:val="009D0958"/>
    <w:rsid w:val="009D2EFC"/>
    <w:rsid w:val="00A03487"/>
    <w:rsid w:val="00A53C30"/>
    <w:rsid w:val="00A57ACC"/>
    <w:rsid w:val="00A9174A"/>
    <w:rsid w:val="00AA67ED"/>
    <w:rsid w:val="00BB2E11"/>
    <w:rsid w:val="00BB324D"/>
    <w:rsid w:val="00BD5ECF"/>
    <w:rsid w:val="00C66FA1"/>
    <w:rsid w:val="00CB2E7C"/>
    <w:rsid w:val="00CB6EA3"/>
    <w:rsid w:val="00D86C19"/>
    <w:rsid w:val="00D91AF5"/>
    <w:rsid w:val="00D9704A"/>
    <w:rsid w:val="00DE2817"/>
    <w:rsid w:val="00E27624"/>
    <w:rsid w:val="00E537C8"/>
    <w:rsid w:val="00E91352"/>
    <w:rsid w:val="00EA3055"/>
    <w:rsid w:val="00EA35A6"/>
    <w:rsid w:val="00EC7CC4"/>
    <w:rsid w:val="00EF6514"/>
    <w:rsid w:val="00F2129C"/>
    <w:rsid w:val="00F42B42"/>
    <w:rsid w:val="00F964CF"/>
    <w:rsid w:val="00FB66CD"/>
    <w:rsid w:val="00FD541B"/>
    <w:rsid w:val="00FE1DB5"/>
    <w:rsid w:val="00FF5E4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4CBD7-1B72-494F-B82A-329EB104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E7C"/>
    <w:pPr>
      <w:ind w:left="720"/>
      <w:contextualSpacing/>
    </w:pPr>
  </w:style>
  <w:style w:type="paragraph" w:styleId="Textonotapie">
    <w:name w:val="footnote text"/>
    <w:basedOn w:val="Normal"/>
    <w:link w:val="TextonotapieCar"/>
    <w:unhideWhenUsed/>
    <w:rsid w:val="00A57ACC"/>
    <w:pPr>
      <w:spacing w:after="0" w:line="240" w:lineRule="auto"/>
    </w:pPr>
    <w:rPr>
      <w:sz w:val="20"/>
      <w:szCs w:val="20"/>
    </w:rPr>
  </w:style>
  <w:style w:type="character" w:customStyle="1" w:styleId="TextonotapieCar">
    <w:name w:val="Texto nota pie Car"/>
    <w:basedOn w:val="Fuentedeprrafopredeter"/>
    <w:link w:val="Textonotapie"/>
    <w:rsid w:val="00A57ACC"/>
    <w:rPr>
      <w:sz w:val="20"/>
      <w:szCs w:val="20"/>
    </w:rPr>
  </w:style>
  <w:style w:type="character" w:styleId="Refdenotaalpie">
    <w:name w:val="footnote reference"/>
    <w:basedOn w:val="Fuentedeprrafopredeter"/>
    <w:uiPriority w:val="99"/>
    <w:semiHidden/>
    <w:unhideWhenUsed/>
    <w:rsid w:val="00A57ACC"/>
    <w:rPr>
      <w:vertAlign w:val="superscript"/>
    </w:rPr>
  </w:style>
  <w:style w:type="character" w:styleId="Nmerodelnea">
    <w:name w:val="line number"/>
    <w:basedOn w:val="Fuentedeprrafopredeter"/>
    <w:uiPriority w:val="99"/>
    <w:semiHidden/>
    <w:unhideWhenUsed/>
    <w:rsid w:val="00FE1DB5"/>
  </w:style>
  <w:style w:type="paragraph" w:styleId="Encabezado">
    <w:name w:val="header"/>
    <w:basedOn w:val="Normal"/>
    <w:link w:val="EncabezadoCar"/>
    <w:uiPriority w:val="99"/>
    <w:unhideWhenUsed/>
    <w:rsid w:val="00FE1DB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1DB5"/>
  </w:style>
  <w:style w:type="paragraph" w:styleId="Piedepgina">
    <w:name w:val="footer"/>
    <w:basedOn w:val="Normal"/>
    <w:link w:val="PiedepginaCar"/>
    <w:uiPriority w:val="99"/>
    <w:unhideWhenUsed/>
    <w:rsid w:val="00FE1DB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1DB5"/>
  </w:style>
  <w:style w:type="paragraph" w:styleId="Textodeglobo">
    <w:name w:val="Balloon Text"/>
    <w:basedOn w:val="Normal"/>
    <w:link w:val="TextodegloboCar"/>
    <w:uiPriority w:val="99"/>
    <w:semiHidden/>
    <w:unhideWhenUsed/>
    <w:rsid w:val="00CB6E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5AF4-E991-4C88-B971-8527F531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3394</Words>
  <Characters>18671</Characters>
  <Application>Microsoft Office Word</Application>
  <DocSecurity>4</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dcterms:created xsi:type="dcterms:W3CDTF">2019-05-31T16:46:00Z</dcterms:created>
  <dcterms:modified xsi:type="dcterms:W3CDTF">2019-05-31T16:46:00Z</dcterms:modified>
</cp:coreProperties>
</file>