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A12" w:rsidRDefault="00660A12" w:rsidP="00660A12">
      <w:pPr>
        <w:spacing w:line="240" w:lineRule="auto"/>
        <w:ind w:right="-138"/>
        <w:jc w:val="center"/>
        <w:rPr>
          <w:rFonts w:ascii="Verdana" w:eastAsia="MS Mincho" w:hAnsi="Verdana"/>
          <w:b/>
          <w:noProof/>
          <w:sz w:val="20"/>
          <w:szCs w:val="20"/>
          <w:lang w:val="es-ES_tradnl"/>
        </w:rPr>
      </w:pPr>
    </w:p>
    <w:p w:rsidR="00F262C1" w:rsidRDefault="00F262C1" w:rsidP="00660A12">
      <w:pPr>
        <w:spacing w:line="240" w:lineRule="auto"/>
        <w:ind w:right="-138"/>
        <w:jc w:val="center"/>
        <w:rPr>
          <w:rFonts w:ascii="Verdana" w:eastAsia="MS Mincho" w:hAnsi="Verdana"/>
          <w:b/>
          <w:noProof/>
          <w:sz w:val="20"/>
          <w:szCs w:val="20"/>
          <w:lang w:val="es-ES_tradnl"/>
        </w:rPr>
      </w:pPr>
    </w:p>
    <w:p w:rsidR="00A634C9" w:rsidRDefault="00A634C9" w:rsidP="00660A12">
      <w:pPr>
        <w:spacing w:line="240" w:lineRule="auto"/>
        <w:ind w:right="-138"/>
        <w:jc w:val="center"/>
        <w:rPr>
          <w:rFonts w:ascii="Verdana" w:eastAsia="MS Mincho" w:hAnsi="Verdana"/>
          <w:b/>
          <w:noProof/>
          <w:sz w:val="20"/>
          <w:szCs w:val="20"/>
          <w:lang w:val="es-ES_tradnl"/>
        </w:rPr>
      </w:pPr>
    </w:p>
    <w:p w:rsidR="00A634C9" w:rsidRDefault="00A634C9" w:rsidP="00660A12">
      <w:pPr>
        <w:spacing w:line="240" w:lineRule="auto"/>
        <w:ind w:right="-138"/>
        <w:jc w:val="center"/>
        <w:rPr>
          <w:rFonts w:ascii="Verdana" w:eastAsia="MS Mincho" w:hAnsi="Verdana"/>
          <w:b/>
          <w:noProof/>
          <w:sz w:val="20"/>
          <w:szCs w:val="20"/>
          <w:lang w:val="es-ES_tradnl"/>
        </w:rPr>
      </w:pPr>
    </w:p>
    <w:p w:rsidR="00A634C9" w:rsidRPr="009B7DFC" w:rsidRDefault="00A634C9" w:rsidP="00660A12">
      <w:pPr>
        <w:spacing w:line="240" w:lineRule="auto"/>
        <w:ind w:right="-138"/>
        <w:jc w:val="center"/>
        <w:rPr>
          <w:rFonts w:ascii="Verdana" w:eastAsia="MS Mincho" w:hAnsi="Verdana"/>
          <w:b/>
          <w:noProof/>
          <w:sz w:val="20"/>
          <w:szCs w:val="20"/>
          <w:lang w:val="es-ES_tradnl"/>
        </w:rPr>
      </w:pPr>
    </w:p>
    <w:p w:rsidR="00C72A1E" w:rsidRPr="009B7DFC" w:rsidRDefault="00C72A1E" w:rsidP="00660A12">
      <w:pPr>
        <w:spacing w:line="240" w:lineRule="auto"/>
        <w:ind w:right="-138"/>
        <w:jc w:val="center"/>
        <w:rPr>
          <w:rFonts w:ascii="Verdana" w:eastAsia="MS Mincho" w:hAnsi="Verdana"/>
          <w:b/>
          <w:noProof/>
          <w:sz w:val="20"/>
          <w:szCs w:val="20"/>
          <w:lang w:val="es-ES_tradnl"/>
        </w:rPr>
      </w:pPr>
      <w:r w:rsidRPr="009B7DFC">
        <w:rPr>
          <w:rFonts w:ascii="Verdana" w:eastAsia="MS Mincho" w:hAnsi="Verdana"/>
          <w:b/>
          <w:noProof/>
          <w:sz w:val="20"/>
          <w:szCs w:val="20"/>
          <w:lang w:val="es-ES_tradnl"/>
        </w:rPr>
        <w:t>CORTE INTERAMERICANA DE DERECHOS HUMANOS</w:t>
      </w:r>
    </w:p>
    <w:p w:rsidR="00C72A1E" w:rsidRPr="009B7DFC" w:rsidRDefault="00C72A1E" w:rsidP="00C72A1E">
      <w:pPr>
        <w:spacing w:line="240" w:lineRule="auto"/>
        <w:ind w:right="-138"/>
        <w:rPr>
          <w:rFonts w:ascii="Verdana" w:eastAsia="MS Mincho" w:hAnsi="Verdana"/>
          <w:b/>
          <w:noProof/>
          <w:sz w:val="20"/>
          <w:szCs w:val="20"/>
          <w:lang w:val="es-ES_tradnl"/>
        </w:rPr>
      </w:pPr>
      <w:bookmarkStart w:id="0" w:name="_GoBack"/>
    </w:p>
    <w:bookmarkEnd w:id="0"/>
    <w:p w:rsidR="00C72A1E" w:rsidRPr="009B7DFC" w:rsidRDefault="00C72A1E" w:rsidP="00C72A1E">
      <w:pPr>
        <w:spacing w:line="240" w:lineRule="auto"/>
        <w:ind w:left="-142" w:right="-138"/>
        <w:jc w:val="center"/>
        <w:rPr>
          <w:rFonts w:ascii="Verdana" w:eastAsia="MS Mincho" w:hAnsi="Verdana"/>
          <w:b/>
          <w:noProof/>
          <w:sz w:val="20"/>
          <w:szCs w:val="20"/>
          <w:lang w:val="es-ES_tradnl"/>
        </w:rPr>
      </w:pPr>
      <w:r w:rsidRPr="009B7DFC">
        <w:rPr>
          <w:rFonts w:ascii="Verdana" w:eastAsia="MS Mincho" w:hAnsi="Verdana"/>
          <w:b/>
          <w:i/>
          <w:noProof/>
          <w:sz w:val="20"/>
          <w:szCs w:val="20"/>
          <w:lang w:val="es-ES_tradnl"/>
        </w:rPr>
        <w:t>CASO ALVARADO ESPINOZA Y OT</w:t>
      </w:r>
      <w:r w:rsidR="00A20632" w:rsidRPr="009B7DFC">
        <w:rPr>
          <w:rFonts w:ascii="Verdana" w:eastAsia="MS Mincho" w:hAnsi="Verdana"/>
          <w:b/>
          <w:i/>
          <w:noProof/>
          <w:sz w:val="20"/>
          <w:szCs w:val="20"/>
          <w:lang w:val="es-ES_tradnl"/>
        </w:rPr>
        <w:t>R</w:t>
      </w:r>
      <w:r w:rsidRPr="009B7DFC">
        <w:rPr>
          <w:rFonts w:ascii="Verdana" w:eastAsia="MS Mincho" w:hAnsi="Verdana"/>
          <w:b/>
          <w:i/>
          <w:noProof/>
          <w:sz w:val="20"/>
          <w:szCs w:val="20"/>
          <w:lang w:val="es-ES_tradnl"/>
        </w:rPr>
        <w:t>OS VS. MÉXICO</w:t>
      </w:r>
    </w:p>
    <w:p w:rsidR="00C72A1E" w:rsidRPr="009B7DFC" w:rsidRDefault="00C72A1E" w:rsidP="00C72A1E">
      <w:pPr>
        <w:spacing w:line="240" w:lineRule="auto"/>
        <w:ind w:right="-138"/>
        <w:rPr>
          <w:rFonts w:ascii="Verdana" w:eastAsia="MS Mincho" w:hAnsi="Verdana"/>
          <w:b/>
          <w:noProof/>
          <w:sz w:val="20"/>
          <w:szCs w:val="20"/>
          <w:lang w:val="es-ES_tradnl"/>
        </w:rPr>
      </w:pPr>
    </w:p>
    <w:p w:rsidR="00C72A1E" w:rsidRPr="009B7DFC" w:rsidRDefault="0017288A" w:rsidP="00C72A1E">
      <w:pPr>
        <w:spacing w:line="240" w:lineRule="auto"/>
        <w:ind w:left="-142" w:right="-138"/>
        <w:jc w:val="center"/>
        <w:rPr>
          <w:rFonts w:ascii="Verdana" w:eastAsia="MS Mincho" w:hAnsi="Verdana"/>
          <w:b/>
          <w:noProof/>
          <w:sz w:val="20"/>
          <w:szCs w:val="20"/>
          <w:lang w:val="es-ES_tradnl"/>
        </w:rPr>
      </w:pPr>
      <w:r w:rsidRPr="009B7DFC">
        <w:rPr>
          <w:rFonts w:ascii="Verdana" w:eastAsia="MS Mincho" w:hAnsi="Verdana"/>
          <w:b/>
          <w:noProof/>
          <w:sz w:val="20"/>
          <w:szCs w:val="20"/>
          <w:lang w:val="es-ES_tradnl"/>
        </w:rPr>
        <w:t xml:space="preserve">SENTENCIA DE 30 </w:t>
      </w:r>
      <w:r w:rsidR="00A20632" w:rsidRPr="009B7DFC">
        <w:rPr>
          <w:rFonts w:ascii="Verdana" w:eastAsia="MS Mincho" w:hAnsi="Verdana"/>
          <w:b/>
          <w:noProof/>
          <w:sz w:val="20"/>
          <w:szCs w:val="20"/>
          <w:lang w:val="es-ES_tradnl"/>
        </w:rPr>
        <w:t>DE</w:t>
      </w:r>
      <w:r w:rsidRPr="009B7DFC">
        <w:rPr>
          <w:rFonts w:ascii="Verdana" w:eastAsia="MS Mincho" w:hAnsi="Verdana"/>
          <w:b/>
          <w:noProof/>
          <w:sz w:val="20"/>
          <w:szCs w:val="20"/>
          <w:lang w:val="es-ES_tradnl"/>
        </w:rPr>
        <w:t xml:space="preserve"> AGOSTO </w:t>
      </w:r>
      <w:r w:rsidR="00A20632" w:rsidRPr="009B7DFC">
        <w:rPr>
          <w:rFonts w:ascii="Verdana" w:eastAsia="MS Mincho" w:hAnsi="Verdana"/>
          <w:b/>
          <w:noProof/>
          <w:sz w:val="20"/>
          <w:szCs w:val="20"/>
          <w:lang w:val="es-ES_tradnl"/>
        </w:rPr>
        <w:t>DE</w:t>
      </w:r>
      <w:r w:rsidR="00C72A1E" w:rsidRPr="009B7DFC">
        <w:rPr>
          <w:rFonts w:ascii="Verdana" w:eastAsia="MS Mincho" w:hAnsi="Verdana"/>
          <w:b/>
          <w:noProof/>
          <w:sz w:val="20"/>
          <w:szCs w:val="20"/>
          <w:lang w:val="es-ES_tradnl"/>
        </w:rPr>
        <w:t xml:space="preserve"> 2019</w:t>
      </w:r>
    </w:p>
    <w:p w:rsidR="00C72A1E" w:rsidRPr="009B7DFC" w:rsidRDefault="00C72A1E" w:rsidP="00C72A1E">
      <w:pPr>
        <w:spacing w:line="240" w:lineRule="auto"/>
        <w:ind w:left="-142" w:right="-138"/>
        <w:jc w:val="center"/>
        <w:rPr>
          <w:rFonts w:ascii="Verdana" w:hAnsi="Verdana"/>
          <w:b/>
          <w:i/>
          <w:iCs/>
          <w:noProof/>
          <w:spacing w:val="15"/>
          <w:sz w:val="20"/>
          <w:szCs w:val="20"/>
          <w:lang w:val="es-ES_tradnl"/>
        </w:rPr>
      </w:pPr>
      <w:r w:rsidRPr="009B7DFC">
        <w:rPr>
          <w:rFonts w:ascii="Verdana" w:hAnsi="Verdana"/>
          <w:b/>
          <w:i/>
          <w:iCs/>
          <w:noProof/>
          <w:spacing w:val="15"/>
          <w:sz w:val="20"/>
          <w:szCs w:val="20"/>
          <w:lang w:val="es-ES_tradnl"/>
        </w:rPr>
        <w:t>(Interpretación de la Sentencia de Fondo, Reparaciones y Costas)</w:t>
      </w:r>
    </w:p>
    <w:p w:rsidR="00C72A1E" w:rsidRPr="009B7DFC" w:rsidRDefault="00C72A1E" w:rsidP="00C72A1E">
      <w:pPr>
        <w:spacing w:line="240" w:lineRule="auto"/>
        <w:ind w:right="-138"/>
        <w:rPr>
          <w:rFonts w:ascii="Verdana" w:eastAsia="Batang" w:hAnsi="Verdana" w:cs="Times"/>
          <w:sz w:val="20"/>
          <w:szCs w:val="20"/>
          <w:lang w:val="es-ES"/>
        </w:rPr>
      </w:pPr>
    </w:p>
    <w:p w:rsidR="00C72A1E" w:rsidRPr="009B7DFC" w:rsidRDefault="00C72A1E" w:rsidP="00C72A1E">
      <w:pPr>
        <w:spacing w:line="240" w:lineRule="auto"/>
        <w:ind w:left="-142" w:right="-138"/>
        <w:rPr>
          <w:rFonts w:ascii="Verdana" w:eastAsia="Batang" w:hAnsi="Verdana" w:cs="Times"/>
          <w:sz w:val="20"/>
          <w:szCs w:val="20"/>
          <w:lang w:val="es-ES"/>
        </w:rPr>
      </w:pPr>
    </w:p>
    <w:p w:rsidR="00C72A1E" w:rsidRPr="009B7DFC" w:rsidRDefault="00C72A1E" w:rsidP="00C72A1E">
      <w:pPr>
        <w:spacing w:after="0" w:line="240" w:lineRule="auto"/>
        <w:rPr>
          <w:rFonts w:ascii="Verdana" w:eastAsia="Batang" w:hAnsi="Verdana" w:cs="Times"/>
          <w:sz w:val="20"/>
          <w:szCs w:val="20"/>
          <w:lang w:val="es-ES"/>
        </w:rPr>
      </w:pPr>
      <w:r w:rsidRPr="009B7DFC">
        <w:rPr>
          <w:rFonts w:ascii="Verdana" w:eastAsia="Batang" w:hAnsi="Verdana" w:cs="Times"/>
          <w:sz w:val="20"/>
          <w:szCs w:val="20"/>
          <w:lang w:val="es-ES"/>
        </w:rPr>
        <w:t xml:space="preserve">En el </w:t>
      </w:r>
      <w:r w:rsidRPr="009B7DFC">
        <w:rPr>
          <w:rFonts w:ascii="Verdana" w:eastAsia="Batang" w:hAnsi="Verdana" w:cs="Times"/>
          <w:i/>
          <w:sz w:val="20"/>
          <w:szCs w:val="20"/>
          <w:lang w:val="es-ES"/>
        </w:rPr>
        <w:t>Caso Alvarado Espinoza vs. México,</w:t>
      </w:r>
    </w:p>
    <w:p w:rsidR="00C72A1E" w:rsidRPr="009B7DFC" w:rsidRDefault="00C72A1E" w:rsidP="00C72A1E">
      <w:pPr>
        <w:spacing w:after="0" w:line="240" w:lineRule="auto"/>
        <w:ind w:left="-142" w:right="-138"/>
        <w:rPr>
          <w:rFonts w:ascii="Verdana" w:eastAsia="Batang" w:hAnsi="Verdana" w:cs="Times"/>
          <w:sz w:val="20"/>
          <w:szCs w:val="20"/>
          <w:lang w:val="es-ES"/>
        </w:rPr>
      </w:pPr>
    </w:p>
    <w:p w:rsidR="00C72A1E" w:rsidRPr="009B7DFC" w:rsidRDefault="00C72A1E" w:rsidP="00C72A1E">
      <w:pPr>
        <w:spacing w:after="0" w:line="240" w:lineRule="auto"/>
        <w:ind w:right="-138"/>
        <w:rPr>
          <w:rFonts w:ascii="Verdana" w:eastAsia="Batang" w:hAnsi="Verdana" w:cs="Times"/>
          <w:sz w:val="20"/>
          <w:szCs w:val="20"/>
          <w:lang w:val="es-ES"/>
        </w:rPr>
      </w:pPr>
      <w:r w:rsidRPr="009B7DFC">
        <w:rPr>
          <w:rFonts w:ascii="Verdana" w:eastAsia="Batang" w:hAnsi="Verdana" w:cs="Times"/>
          <w:sz w:val="20"/>
          <w:szCs w:val="20"/>
          <w:lang w:val="es-ES"/>
        </w:rPr>
        <w:t>la Corte Interamericana de Derechos Humanos (en adelante “la Corte Interamericana”, “la Corte” o “el Tribunal”), integrada por los siguientes Jueces</w:t>
      </w:r>
      <w:r w:rsidRPr="009B7DFC">
        <w:rPr>
          <w:rFonts w:ascii="Verdana" w:eastAsia="Batang" w:hAnsi="Verdana" w:cs="Times"/>
          <w:sz w:val="20"/>
          <w:szCs w:val="20"/>
          <w:vertAlign w:val="superscript"/>
          <w:lang w:val="es-ES"/>
        </w:rPr>
        <w:footnoteReference w:id="1"/>
      </w:r>
      <w:r w:rsidRPr="009B7DFC">
        <w:rPr>
          <w:rFonts w:ascii="Verdana" w:eastAsia="Batang" w:hAnsi="Verdana" w:cs="Times"/>
          <w:sz w:val="20"/>
          <w:szCs w:val="20"/>
          <w:lang w:val="es-ES"/>
        </w:rPr>
        <w:t>:</w:t>
      </w:r>
    </w:p>
    <w:p w:rsidR="00C72A1E" w:rsidRPr="009B7DFC" w:rsidRDefault="00C72A1E" w:rsidP="00C72A1E">
      <w:pPr>
        <w:spacing w:after="0" w:line="240" w:lineRule="auto"/>
        <w:ind w:right="-138"/>
        <w:rPr>
          <w:rFonts w:ascii="Verdana" w:eastAsia="Batang" w:hAnsi="Verdana" w:cs="Times"/>
          <w:sz w:val="20"/>
          <w:szCs w:val="20"/>
          <w:lang w:val="es-ES"/>
        </w:rPr>
      </w:pPr>
    </w:p>
    <w:p w:rsidR="00C72A1E" w:rsidRPr="009B7DFC" w:rsidRDefault="00C72A1E" w:rsidP="00C72A1E">
      <w:pPr>
        <w:spacing w:after="0" w:line="240" w:lineRule="auto"/>
        <w:ind w:left="708" w:right="-138"/>
        <w:rPr>
          <w:rFonts w:ascii="Verdana" w:eastAsia="Batang" w:hAnsi="Verdana" w:cs="Times"/>
          <w:sz w:val="20"/>
          <w:szCs w:val="20"/>
          <w:lang w:val="es-ES"/>
        </w:rPr>
      </w:pPr>
      <w:r w:rsidRPr="009B7DFC">
        <w:rPr>
          <w:rFonts w:ascii="Verdana" w:eastAsia="Batang" w:hAnsi="Verdana" w:cs="Times"/>
          <w:sz w:val="20"/>
          <w:szCs w:val="20"/>
          <w:lang w:val="es-ES"/>
        </w:rPr>
        <w:t>Eduardo Vio Grossi, Presidente en ejercicio;</w:t>
      </w:r>
    </w:p>
    <w:p w:rsidR="00C72A1E" w:rsidRPr="009B7DFC" w:rsidRDefault="00C72A1E" w:rsidP="00C72A1E">
      <w:pPr>
        <w:spacing w:after="0" w:line="240" w:lineRule="auto"/>
        <w:ind w:left="708" w:right="-138"/>
        <w:rPr>
          <w:rFonts w:ascii="Verdana" w:hAnsi="Verdana"/>
          <w:sz w:val="20"/>
          <w:szCs w:val="20"/>
          <w:lang w:val="es-ES"/>
        </w:rPr>
      </w:pPr>
      <w:r w:rsidRPr="009B7DFC">
        <w:rPr>
          <w:rFonts w:ascii="Verdana" w:hAnsi="Verdana"/>
          <w:sz w:val="20"/>
          <w:szCs w:val="20"/>
          <w:lang w:val="es-ES"/>
        </w:rPr>
        <w:t xml:space="preserve">Humberto Antonio Sierra Porto, Juez; </w:t>
      </w:r>
    </w:p>
    <w:p w:rsidR="00C72A1E" w:rsidRPr="009B7DFC" w:rsidRDefault="00C72A1E" w:rsidP="00C72A1E">
      <w:pPr>
        <w:spacing w:after="0" w:line="240" w:lineRule="auto"/>
        <w:ind w:left="708" w:right="-138"/>
        <w:rPr>
          <w:rFonts w:ascii="Verdana" w:hAnsi="Verdana"/>
          <w:sz w:val="20"/>
          <w:szCs w:val="20"/>
          <w:lang w:val="es-ES"/>
        </w:rPr>
      </w:pPr>
      <w:r w:rsidRPr="009B7DFC">
        <w:rPr>
          <w:rFonts w:ascii="Verdana" w:hAnsi="Verdana"/>
          <w:sz w:val="20"/>
          <w:szCs w:val="20"/>
          <w:lang w:val="es-ES"/>
        </w:rPr>
        <w:t>Elizabeth Odio Benito, Juez;</w:t>
      </w:r>
    </w:p>
    <w:p w:rsidR="00C72A1E" w:rsidRPr="009B7DFC" w:rsidRDefault="00C72A1E" w:rsidP="00C72A1E">
      <w:pPr>
        <w:spacing w:after="0" w:line="240" w:lineRule="auto"/>
        <w:ind w:left="708" w:right="-138"/>
        <w:rPr>
          <w:rFonts w:ascii="Verdana" w:hAnsi="Verdana"/>
          <w:sz w:val="20"/>
          <w:szCs w:val="20"/>
          <w:lang w:val="es-ES"/>
        </w:rPr>
      </w:pPr>
      <w:r w:rsidRPr="009B7DFC">
        <w:rPr>
          <w:rFonts w:ascii="Verdana" w:hAnsi="Verdana"/>
          <w:sz w:val="20"/>
          <w:szCs w:val="20"/>
          <w:lang w:val="es-ES"/>
        </w:rPr>
        <w:t xml:space="preserve">Eugenio Raúl Zaffaroni, Juez, y </w:t>
      </w:r>
    </w:p>
    <w:p w:rsidR="00C72A1E" w:rsidRPr="009B7DFC" w:rsidRDefault="00A20632" w:rsidP="00C72A1E">
      <w:pPr>
        <w:spacing w:after="0" w:line="240" w:lineRule="auto"/>
        <w:ind w:left="708" w:right="-138"/>
        <w:rPr>
          <w:rFonts w:ascii="Verdana" w:hAnsi="Verdana"/>
          <w:sz w:val="20"/>
          <w:szCs w:val="20"/>
          <w:lang w:val="es-ES"/>
        </w:rPr>
      </w:pPr>
      <w:r w:rsidRPr="009B7DFC">
        <w:rPr>
          <w:rFonts w:ascii="Verdana" w:hAnsi="Verdana"/>
          <w:sz w:val="20"/>
          <w:szCs w:val="20"/>
          <w:lang w:val="es-ES"/>
        </w:rPr>
        <w:t xml:space="preserve">L. </w:t>
      </w:r>
      <w:r w:rsidR="00C72A1E" w:rsidRPr="009B7DFC">
        <w:rPr>
          <w:rFonts w:ascii="Verdana" w:hAnsi="Verdana"/>
          <w:sz w:val="20"/>
          <w:szCs w:val="20"/>
          <w:lang w:val="es-ES"/>
        </w:rPr>
        <w:t xml:space="preserve">Patricio Pazmiño Freire, Juez </w:t>
      </w:r>
    </w:p>
    <w:p w:rsidR="00C72A1E" w:rsidRPr="009B7DFC" w:rsidRDefault="00C72A1E" w:rsidP="00C72A1E">
      <w:pPr>
        <w:spacing w:line="240" w:lineRule="auto"/>
        <w:ind w:right="-138"/>
        <w:rPr>
          <w:rFonts w:ascii="Verdana" w:eastAsia="Batang" w:hAnsi="Verdana" w:cs="Times"/>
          <w:sz w:val="20"/>
          <w:szCs w:val="20"/>
          <w:lang w:val="es-ES"/>
        </w:rPr>
      </w:pPr>
    </w:p>
    <w:p w:rsidR="00C72A1E" w:rsidRPr="009B7DFC" w:rsidRDefault="00C72A1E" w:rsidP="00C72A1E">
      <w:pPr>
        <w:spacing w:after="0" w:line="240" w:lineRule="auto"/>
        <w:ind w:right="-138"/>
        <w:jc w:val="both"/>
        <w:rPr>
          <w:rFonts w:ascii="Verdana" w:eastAsia="Batang" w:hAnsi="Verdana" w:cs="Times"/>
          <w:sz w:val="20"/>
          <w:szCs w:val="20"/>
          <w:lang w:val="es-ES"/>
        </w:rPr>
      </w:pPr>
      <w:r w:rsidRPr="009B7DFC">
        <w:rPr>
          <w:rFonts w:ascii="Verdana" w:eastAsia="Batang" w:hAnsi="Verdana" w:cs="Times"/>
          <w:sz w:val="20"/>
          <w:szCs w:val="20"/>
          <w:lang w:val="es-ES"/>
        </w:rPr>
        <w:t>presente, además,</w:t>
      </w:r>
    </w:p>
    <w:p w:rsidR="00C72A1E" w:rsidRPr="009B7DFC" w:rsidRDefault="00C72A1E" w:rsidP="00C72A1E">
      <w:pPr>
        <w:spacing w:after="0" w:line="240" w:lineRule="auto"/>
        <w:ind w:right="-138"/>
        <w:jc w:val="both"/>
        <w:rPr>
          <w:rFonts w:ascii="Verdana" w:eastAsia="Batang" w:hAnsi="Verdana" w:cs="Times"/>
          <w:sz w:val="20"/>
          <w:szCs w:val="20"/>
          <w:lang w:val="es-ES"/>
        </w:rPr>
      </w:pPr>
    </w:p>
    <w:p w:rsidR="00C72A1E" w:rsidRPr="009B7DFC" w:rsidRDefault="00C72A1E" w:rsidP="00C72A1E">
      <w:pPr>
        <w:spacing w:after="0" w:line="240" w:lineRule="auto"/>
        <w:ind w:firstLine="708"/>
        <w:jc w:val="both"/>
        <w:rPr>
          <w:rFonts w:ascii="Verdana" w:eastAsia="Batang" w:hAnsi="Verdana" w:cs="Times"/>
          <w:sz w:val="20"/>
          <w:szCs w:val="20"/>
          <w:lang w:val="es-ES"/>
        </w:rPr>
      </w:pPr>
      <w:r w:rsidRPr="009B7DFC">
        <w:rPr>
          <w:rFonts w:ascii="Verdana" w:eastAsia="Batang" w:hAnsi="Verdana" w:cs="Times"/>
          <w:sz w:val="20"/>
          <w:szCs w:val="20"/>
          <w:lang w:val="es-ES"/>
        </w:rPr>
        <w:t xml:space="preserve">Pablo Saavedra Alessandri, Secretario, </w:t>
      </w:r>
    </w:p>
    <w:p w:rsidR="00C72A1E" w:rsidRPr="009B7DFC" w:rsidRDefault="00C72A1E" w:rsidP="00C72A1E">
      <w:pPr>
        <w:spacing w:after="0" w:line="240" w:lineRule="auto"/>
        <w:ind w:firstLine="708"/>
        <w:jc w:val="both"/>
        <w:rPr>
          <w:rFonts w:ascii="Verdana" w:eastAsia="Batang" w:hAnsi="Verdana" w:cs="Times"/>
          <w:sz w:val="20"/>
          <w:szCs w:val="20"/>
          <w:lang w:val="es-ES"/>
        </w:rPr>
      </w:pPr>
    </w:p>
    <w:p w:rsidR="00C72A1E" w:rsidRPr="009B7DFC" w:rsidRDefault="00C72A1E" w:rsidP="00C72A1E">
      <w:pPr>
        <w:spacing w:after="0" w:line="240" w:lineRule="auto"/>
        <w:ind w:firstLine="708"/>
        <w:jc w:val="both"/>
        <w:rPr>
          <w:rFonts w:ascii="Verdana" w:eastAsia="Batang" w:hAnsi="Verdana" w:cs="Times"/>
          <w:sz w:val="20"/>
          <w:szCs w:val="20"/>
          <w:lang w:val="es-ES"/>
        </w:rPr>
      </w:pPr>
    </w:p>
    <w:p w:rsidR="00C72A1E" w:rsidRPr="009B7DFC" w:rsidRDefault="00C72A1E" w:rsidP="00C72A1E">
      <w:pPr>
        <w:spacing w:after="0" w:line="240" w:lineRule="auto"/>
        <w:ind w:right="-138"/>
        <w:jc w:val="both"/>
        <w:rPr>
          <w:rFonts w:ascii="Verdana" w:eastAsia="Batang" w:hAnsi="Verdana" w:cs="Times"/>
          <w:sz w:val="20"/>
          <w:szCs w:val="20"/>
          <w:lang w:val="es-ES"/>
        </w:rPr>
      </w:pPr>
    </w:p>
    <w:p w:rsidR="00C72A1E" w:rsidRPr="009B7DFC" w:rsidRDefault="00C72A1E" w:rsidP="00475CAF">
      <w:pPr>
        <w:spacing w:after="0" w:line="240" w:lineRule="auto"/>
        <w:ind w:right="-138"/>
        <w:jc w:val="both"/>
        <w:rPr>
          <w:rFonts w:ascii="Verdana" w:eastAsia="Batang" w:hAnsi="Verdana" w:cs="Verdana"/>
          <w:spacing w:val="-2"/>
          <w:sz w:val="20"/>
          <w:szCs w:val="20"/>
          <w:lang w:val="es-ES_tradnl"/>
        </w:rPr>
      </w:pPr>
      <w:r w:rsidRPr="009B7DFC">
        <w:rPr>
          <w:rFonts w:ascii="Verdana" w:eastAsia="Batang" w:hAnsi="Verdana" w:cs="Verdana"/>
          <w:spacing w:val="-2"/>
          <w:sz w:val="20"/>
          <w:szCs w:val="20"/>
          <w:lang w:val="es-ES_tradnl"/>
        </w:rPr>
        <w:t>de conformidad con el artículo 67 de la Convención Americana sobre Derechos Humanos (en adelante también “la Convención Americana” o “la Convención”) y el artículo 68 del Reglamento de la Corte (en adelante “el Reglamento”), resuelve la solicitud de interpretación de la Sentencia sobre Fondo, Reparaciones y Costas emitida por este Tribunal el 28 de noviembre de 2018 en el presente caso (en adelante también “la Sentencia”), interpuesta el día 14 de marzo de 2019, por las representantes de las víctimas (en</w:t>
      </w:r>
      <w:r w:rsidR="00475CAF" w:rsidRPr="009B7DFC">
        <w:rPr>
          <w:rFonts w:ascii="Verdana" w:eastAsia="Batang" w:hAnsi="Verdana" w:cs="Verdana"/>
          <w:spacing w:val="-2"/>
          <w:sz w:val="20"/>
          <w:szCs w:val="20"/>
          <w:lang w:val="es-ES_tradnl"/>
        </w:rPr>
        <w:t xml:space="preserve"> adelante “las representantes”)</w:t>
      </w:r>
      <w:r w:rsidR="00A20632" w:rsidRPr="009B7DFC">
        <w:rPr>
          <w:rFonts w:ascii="Verdana" w:eastAsia="Batang" w:hAnsi="Verdana" w:cs="Verdana"/>
          <w:spacing w:val="-2"/>
          <w:sz w:val="20"/>
          <w:szCs w:val="20"/>
          <w:lang w:val="es-ES_tradnl"/>
        </w:rPr>
        <w:t>.</w:t>
      </w:r>
    </w:p>
    <w:p w:rsidR="00475CAF" w:rsidRPr="009B7DFC" w:rsidRDefault="00475CAF" w:rsidP="00475CAF">
      <w:pPr>
        <w:spacing w:after="0" w:line="240" w:lineRule="auto"/>
        <w:ind w:right="-138"/>
        <w:jc w:val="both"/>
        <w:rPr>
          <w:rFonts w:ascii="Verdana" w:eastAsia="Batang" w:hAnsi="Verdana" w:cs="Times"/>
          <w:sz w:val="20"/>
          <w:szCs w:val="20"/>
          <w:lang w:val="es-ES_tradnl"/>
        </w:rPr>
      </w:pPr>
    </w:p>
    <w:p w:rsidR="00CB1042" w:rsidRPr="009B7DFC" w:rsidRDefault="00CB1042" w:rsidP="00475CAF">
      <w:pPr>
        <w:spacing w:after="0" w:line="240" w:lineRule="auto"/>
        <w:ind w:right="-138"/>
        <w:jc w:val="both"/>
        <w:rPr>
          <w:rFonts w:ascii="Verdana" w:eastAsia="Batang" w:hAnsi="Verdana" w:cs="Times"/>
          <w:sz w:val="20"/>
          <w:szCs w:val="20"/>
          <w:lang w:val="es-ES_tradnl"/>
        </w:rPr>
      </w:pPr>
    </w:p>
    <w:p w:rsidR="00CB1042" w:rsidRPr="009B7DFC" w:rsidRDefault="00CB1042" w:rsidP="00475CAF">
      <w:pPr>
        <w:spacing w:after="0" w:line="240" w:lineRule="auto"/>
        <w:ind w:right="-138"/>
        <w:jc w:val="both"/>
        <w:rPr>
          <w:rFonts w:ascii="Verdana" w:eastAsia="Batang" w:hAnsi="Verdana" w:cs="Times"/>
          <w:sz w:val="20"/>
          <w:szCs w:val="20"/>
          <w:lang w:val="es-ES_tradnl"/>
        </w:rPr>
      </w:pPr>
    </w:p>
    <w:p w:rsidR="00C72A1E" w:rsidRPr="009B7DFC" w:rsidRDefault="00C72A1E" w:rsidP="00A634C9">
      <w:pPr>
        <w:keepNext/>
        <w:tabs>
          <w:tab w:val="left" w:pos="567"/>
        </w:tabs>
        <w:spacing w:after="240" w:line="240" w:lineRule="auto"/>
        <w:jc w:val="center"/>
        <w:outlineLvl w:val="1"/>
        <w:rPr>
          <w:rFonts w:ascii="Verdana" w:hAnsi="Verdana" w:cs="Verdana"/>
          <w:b/>
          <w:bCs/>
          <w:iCs/>
          <w:caps/>
          <w:snapToGrid w:val="0"/>
          <w:spacing w:val="-2"/>
          <w:sz w:val="20"/>
          <w:szCs w:val="20"/>
          <w:lang w:val="es-ES_tradnl" w:eastAsia="es-ES"/>
        </w:rPr>
      </w:pPr>
      <w:r w:rsidRPr="009B7DFC">
        <w:rPr>
          <w:rFonts w:ascii="Verdana" w:hAnsi="Verdana" w:cs="Verdana"/>
          <w:b/>
          <w:bCs/>
          <w:iCs/>
          <w:caps/>
          <w:snapToGrid w:val="0"/>
          <w:spacing w:val="-2"/>
          <w:sz w:val="20"/>
          <w:szCs w:val="20"/>
          <w:lang w:val="es-ES_tradnl" w:eastAsia="es-ES"/>
        </w:rPr>
        <w:lastRenderedPageBreak/>
        <w:t>I</w:t>
      </w:r>
    </w:p>
    <w:p w:rsidR="00C72A1E" w:rsidRPr="009B7DFC" w:rsidRDefault="00475CAF" w:rsidP="00A634C9">
      <w:pPr>
        <w:keepNext/>
        <w:tabs>
          <w:tab w:val="left" w:pos="567"/>
        </w:tabs>
        <w:spacing w:after="240" w:line="240" w:lineRule="auto"/>
        <w:jc w:val="center"/>
        <w:outlineLvl w:val="1"/>
        <w:rPr>
          <w:rFonts w:ascii="Verdana" w:hAnsi="Verdana" w:cs="Verdana"/>
          <w:b/>
          <w:bCs/>
          <w:iCs/>
          <w:caps/>
          <w:snapToGrid w:val="0"/>
          <w:spacing w:val="-2"/>
          <w:sz w:val="20"/>
          <w:szCs w:val="20"/>
          <w:lang w:val="es-ES_tradnl" w:eastAsia="es-ES"/>
        </w:rPr>
      </w:pPr>
      <w:r w:rsidRPr="009B7DFC">
        <w:rPr>
          <w:rFonts w:ascii="Verdana" w:hAnsi="Verdana" w:cs="Verdana"/>
          <w:b/>
          <w:bCs/>
          <w:iCs/>
          <w:caps/>
          <w:snapToGrid w:val="0"/>
          <w:spacing w:val="-2"/>
          <w:sz w:val="20"/>
          <w:szCs w:val="20"/>
          <w:lang w:val="es-ES_tradnl" w:eastAsia="es-ES"/>
        </w:rPr>
        <w:t xml:space="preserve">SOLICITUD DE INTERPRETACIÓN </w:t>
      </w:r>
      <w:r w:rsidR="00C72A1E" w:rsidRPr="009B7DFC">
        <w:rPr>
          <w:rFonts w:ascii="Verdana" w:hAnsi="Verdana" w:cs="Verdana"/>
          <w:b/>
          <w:bCs/>
          <w:iCs/>
          <w:caps/>
          <w:snapToGrid w:val="0"/>
          <w:spacing w:val="-2"/>
          <w:sz w:val="20"/>
          <w:szCs w:val="20"/>
          <w:lang w:val="es-ES_tradnl" w:eastAsia="es-ES"/>
        </w:rPr>
        <w:t>Y PROCEDIMIENTO ANTE LA cORTE</w:t>
      </w:r>
    </w:p>
    <w:p w:rsidR="00C72A1E" w:rsidRPr="009B7DFC" w:rsidRDefault="00C72A1E" w:rsidP="00A634C9">
      <w:pPr>
        <w:widowControl w:val="0"/>
        <w:numPr>
          <w:ilvl w:val="0"/>
          <w:numId w:val="1"/>
        </w:numPr>
        <w:tabs>
          <w:tab w:val="left" w:pos="567"/>
          <w:tab w:val="num" w:pos="12305"/>
        </w:tabs>
        <w:adjustRightInd w:val="0"/>
        <w:spacing w:before="120" w:after="240" w:line="240" w:lineRule="auto"/>
        <w:ind w:left="0" w:firstLine="0"/>
        <w:jc w:val="both"/>
        <w:textAlignment w:val="baseline"/>
        <w:rPr>
          <w:rFonts w:ascii="Verdana" w:eastAsia="Verdana" w:hAnsi="Verdana" w:cs="Verdana"/>
          <w:sz w:val="20"/>
          <w:szCs w:val="20"/>
          <w:lang w:val="es-ES" w:eastAsia="es-CR"/>
        </w:rPr>
      </w:pPr>
      <w:r w:rsidRPr="009B7DFC">
        <w:rPr>
          <w:rFonts w:ascii="Verdana" w:eastAsia="Verdana" w:hAnsi="Verdana" w:cs="Verdana"/>
          <w:sz w:val="20"/>
          <w:szCs w:val="20"/>
          <w:lang w:val="es-ES" w:eastAsia="es-CR"/>
        </w:rPr>
        <w:t xml:space="preserve">El 28 de noviembre de 2018 la Corte emitió la Sentencia </w:t>
      </w:r>
      <w:r w:rsidR="00475CAF" w:rsidRPr="009B7DFC">
        <w:rPr>
          <w:rFonts w:ascii="Verdana" w:eastAsia="Verdana" w:hAnsi="Verdana" w:cs="Verdana"/>
          <w:sz w:val="20"/>
          <w:szCs w:val="20"/>
          <w:lang w:val="es-ES" w:eastAsia="es-CR"/>
        </w:rPr>
        <w:t xml:space="preserve">de Fondo, Reparaciones y Costas </w:t>
      </w:r>
      <w:r w:rsidRPr="009B7DFC">
        <w:rPr>
          <w:rFonts w:ascii="Verdana" w:eastAsia="Verdana" w:hAnsi="Verdana" w:cs="Verdana"/>
          <w:sz w:val="20"/>
          <w:szCs w:val="20"/>
          <w:lang w:val="es-ES" w:eastAsia="es-CR"/>
        </w:rPr>
        <w:t>en el presente caso, la cual fue notificada a las partes y a la Comisión Interamericana de Derechos Humanos (en adelante “la Comisión Interamericana” o “la Comisión”) el 20 de diciembre del mismo año.</w:t>
      </w:r>
    </w:p>
    <w:p w:rsidR="00C72A1E" w:rsidRPr="009B7DFC" w:rsidRDefault="00C72A1E" w:rsidP="00A634C9">
      <w:pPr>
        <w:widowControl w:val="0"/>
        <w:numPr>
          <w:ilvl w:val="0"/>
          <w:numId w:val="1"/>
        </w:numPr>
        <w:tabs>
          <w:tab w:val="left" w:pos="567"/>
          <w:tab w:val="num" w:pos="12305"/>
        </w:tabs>
        <w:adjustRightInd w:val="0"/>
        <w:spacing w:before="120" w:after="240" w:line="240" w:lineRule="auto"/>
        <w:ind w:left="0" w:firstLine="0"/>
        <w:jc w:val="both"/>
        <w:textAlignment w:val="baseline"/>
        <w:rPr>
          <w:rFonts w:ascii="Verdana" w:eastAsia="Verdana" w:hAnsi="Verdana" w:cs="Verdana"/>
          <w:sz w:val="20"/>
          <w:szCs w:val="20"/>
          <w:lang w:val="es-ES" w:eastAsia="es-CR"/>
        </w:rPr>
      </w:pPr>
      <w:bookmarkStart w:id="1" w:name="_Ref363085373"/>
      <w:bookmarkStart w:id="2" w:name="_Ref403060836"/>
      <w:bookmarkStart w:id="3" w:name="_Ref395083029"/>
      <w:r w:rsidRPr="009B7DFC">
        <w:rPr>
          <w:rFonts w:ascii="Verdana" w:eastAsia="Verdana" w:hAnsi="Verdana" w:cs="Verdana"/>
          <w:sz w:val="20"/>
          <w:szCs w:val="20"/>
          <w:lang w:val="es-ES" w:eastAsia="es-CR"/>
        </w:rPr>
        <w:t>El 14 de marzo de 2019,</w:t>
      </w:r>
      <w:bookmarkStart w:id="4" w:name="_Ref403060837"/>
      <w:bookmarkEnd w:id="1"/>
      <w:bookmarkEnd w:id="2"/>
      <w:bookmarkEnd w:id="3"/>
      <w:r w:rsidRPr="009B7DFC">
        <w:rPr>
          <w:rFonts w:ascii="Verdana" w:eastAsia="Verdana" w:hAnsi="Verdana" w:cs="Verdana"/>
          <w:sz w:val="20"/>
          <w:szCs w:val="20"/>
          <w:lang w:val="es-ES" w:eastAsia="es-CR"/>
        </w:rPr>
        <w:t xml:space="preserve"> </w:t>
      </w:r>
      <w:bookmarkEnd w:id="4"/>
      <w:r w:rsidRPr="009B7DFC">
        <w:rPr>
          <w:rFonts w:ascii="Verdana" w:eastAsia="Verdana" w:hAnsi="Verdana" w:cs="Verdana"/>
          <w:sz w:val="20"/>
          <w:szCs w:val="20"/>
          <w:lang w:val="es-ES" w:eastAsia="es-CR"/>
        </w:rPr>
        <w:t>las representantes de las víctimas</w:t>
      </w:r>
      <w:r w:rsidRPr="009B7DFC">
        <w:rPr>
          <w:rFonts w:ascii="Verdana" w:eastAsia="Verdana" w:hAnsi="Verdana" w:cs="Verdana"/>
          <w:sz w:val="20"/>
          <w:szCs w:val="20"/>
          <w:vertAlign w:val="superscript"/>
          <w:lang w:val="es-ES" w:eastAsia="es-CR"/>
        </w:rPr>
        <w:footnoteReference w:id="2"/>
      </w:r>
      <w:r w:rsidR="00475CAF" w:rsidRPr="009B7DFC">
        <w:rPr>
          <w:rFonts w:ascii="Verdana" w:eastAsia="Verdana" w:hAnsi="Verdana" w:cs="Verdana"/>
          <w:sz w:val="20"/>
          <w:szCs w:val="20"/>
          <w:lang w:val="es-ES" w:eastAsia="es-CR"/>
        </w:rPr>
        <w:t xml:space="preserve"> (en adelante “las representantes) sometieron </w:t>
      </w:r>
      <w:r w:rsidRPr="009B7DFC">
        <w:rPr>
          <w:rFonts w:ascii="Verdana" w:eastAsia="Verdana" w:hAnsi="Verdana" w:cs="Verdana"/>
          <w:sz w:val="20"/>
          <w:szCs w:val="20"/>
          <w:lang w:val="es-ES" w:eastAsia="es-CR"/>
        </w:rPr>
        <w:t>una solicitud de interpretación relacionada con: a) el alcance y las obligaciones relacionadas con la determinación del paradero de Nitza Paola, José Ángel y Rocío Irene Alvarado,</w:t>
      </w:r>
      <w:r w:rsidR="00475CAF" w:rsidRPr="009B7DFC">
        <w:rPr>
          <w:rFonts w:ascii="Verdana" w:eastAsia="Verdana" w:hAnsi="Verdana" w:cs="Verdana"/>
          <w:sz w:val="20"/>
          <w:szCs w:val="20"/>
          <w:lang w:val="es-ES" w:eastAsia="es-CR"/>
        </w:rPr>
        <w:t xml:space="preserve"> y</w:t>
      </w:r>
      <w:r w:rsidRPr="009B7DFC">
        <w:rPr>
          <w:rFonts w:ascii="Verdana" w:eastAsia="Verdana" w:hAnsi="Verdana" w:cs="Verdana"/>
          <w:sz w:val="20"/>
          <w:szCs w:val="20"/>
          <w:lang w:val="es-ES" w:eastAsia="es-CR"/>
        </w:rPr>
        <w:t xml:space="preserve"> b) el alcance y plazo relativo a la medida respecto del registro de personas desaparecidas.</w:t>
      </w:r>
    </w:p>
    <w:p w:rsidR="00C72A1E" w:rsidRPr="009B7DFC" w:rsidRDefault="00C72A1E" w:rsidP="00A634C9">
      <w:pPr>
        <w:widowControl w:val="0"/>
        <w:numPr>
          <w:ilvl w:val="0"/>
          <w:numId w:val="1"/>
        </w:numPr>
        <w:tabs>
          <w:tab w:val="left" w:pos="567"/>
          <w:tab w:val="num" w:pos="12305"/>
        </w:tabs>
        <w:adjustRightInd w:val="0"/>
        <w:spacing w:before="120" w:after="240" w:line="240" w:lineRule="auto"/>
        <w:ind w:left="0" w:firstLine="0"/>
        <w:jc w:val="both"/>
        <w:textAlignment w:val="baseline"/>
        <w:rPr>
          <w:rFonts w:ascii="Verdana" w:eastAsia="Verdana" w:hAnsi="Verdana" w:cs="Verdana"/>
          <w:sz w:val="20"/>
          <w:szCs w:val="20"/>
          <w:lang w:val="es-ES" w:eastAsia="es-CR"/>
        </w:rPr>
      </w:pPr>
      <w:bookmarkStart w:id="5" w:name="_Ref403065790"/>
      <w:r w:rsidRPr="009B7DFC">
        <w:rPr>
          <w:rFonts w:ascii="Verdana" w:eastAsia="Verdana" w:hAnsi="Verdana" w:cs="Verdana"/>
          <w:sz w:val="20"/>
          <w:szCs w:val="20"/>
          <w:lang w:val="es-ES" w:eastAsia="es-CR"/>
        </w:rPr>
        <w:t>El 1 de abril de 2019, de conformidad con el artículo 68.2 del Reglamento y siguiendo instrucciones del Presidente de la Cor</w:t>
      </w:r>
      <w:r w:rsidR="00475CAF" w:rsidRPr="009B7DFC">
        <w:rPr>
          <w:rFonts w:ascii="Verdana" w:eastAsia="Verdana" w:hAnsi="Verdana" w:cs="Verdana"/>
          <w:sz w:val="20"/>
          <w:szCs w:val="20"/>
          <w:lang w:val="es-ES" w:eastAsia="es-CR"/>
        </w:rPr>
        <w:t>te, la Secretaría transmitió la referida solicitud</w:t>
      </w:r>
      <w:r w:rsidRPr="009B7DFC">
        <w:rPr>
          <w:rFonts w:ascii="Verdana" w:eastAsia="Verdana" w:hAnsi="Verdana" w:cs="Verdana"/>
          <w:sz w:val="20"/>
          <w:szCs w:val="20"/>
          <w:lang w:val="es-ES" w:eastAsia="es-CR"/>
        </w:rPr>
        <w:t xml:space="preserve"> de interpretación a las partes y a la Comisión</w:t>
      </w:r>
      <w:r w:rsidR="00475CAF" w:rsidRPr="009B7DFC">
        <w:rPr>
          <w:rFonts w:ascii="Verdana" w:eastAsia="Verdana" w:hAnsi="Verdana" w:cs="Verdana"/>
          <w:sz w:val="20"/>
          <w:szCs w:val="20"/>
          <w:lang w:val="es-ES" w:eastAsia="es-CR"/>
        </w:rPr>
        <w:t>,</w:t>
      </w:r>
      <w:r w:rsidRPr="009B7DFC">
        <w:rPr>
          <w:rFonts w:ascii="Verdana" w:eastAsia="Verdana" w:hAnsi="Verdana" w:cs="Verdana"/>
          <w:sz w:val="20"/>
          <w:szCs w:val="20"/>
          <w:lang w:val="es-ES" w:eastAsia="es-CR"/>
        </w:rPr>
        <w:t xml:space="preserve"> y les otorgó plazo hasta el 23 de abril para que presentaran las observaciones escritas que estimaran pertinentes</w:t>
      </w:r>
      <w:bookmarkEnd w:id="5"/>
      <w:r w:rsidRPr="009B7DFC">
        <w:rPr>
          <w:rFonts w:ascii="Verdana" w:eastAsia="Verdana" w:hAnsi="Verdana" w:cs="Verdana"/>
          <w:sz w:val="20"/>
          <w:szCs w:val="20"/>
          <w:lang w:val="es-ES" w:eastAsia="es-CR"/>
        </w:rPr>
        <w:t>.</w:t>
      </w:r>
    </w:p>
    <w:p w:rsidR="00C72A1E" w:rsidRPr="009B7DFC" w:rsidRDefault="00C72A1E" w:rsidP="00A634C9">
      <w:pPr>
        <w:widowControl w:val="0"/>
        <w:numPr>
          <w:ilvl w:val="0"/>
          <w:numId w:val="1"/>
        </w:numPr>
        <w:tabs>
          <w:tab w:val="left" w:pos="567"/>
          <w:tab w:val="num" w:pos="12305"/>
        </w:tabs>
        <w:adjustRightInd w:val="0"/>
        <w:spacing w:before="120" w:after="240" w:line="240" w:lineRule="auto"/>
        <w:ind w:left="0" w:firstLine="0"/>
        <w:jc w:val="both"/>
        <w:textAlignment w:val="baseline"/>
        <w:rPr>
          <w:rFonts w:ascii="Verdana" w:eastAsia="Verdana" w:hAnsi="Verdana" w:cs="Verdana"/>
          <w:sz w:val="20"/>
          <w:szCs w:val="20"/>
          <w:lang w:val="es-ES" w:eastAsia="es-CR"/>
        </w:rPr>
      </w:pPr>
      <w:r w:rsidRPr="009B7DFC">
        <w:rPr>
          <w:rFonts w:ascii="Verdana" w:eastAsia="Verdana" w:hAnsi="Verdana" w:cs="Verdana"/>
          <w:sz w:val="20"/>
          <w:szCs w:val="20"/>
          <w:lang w:val="es-ES" w:eastAsia="es-CR"/>
        </w:rPr>
        <w:t>El 23 y 29 de abril de 2019 el Estado y la Comisión, respectivamente, remitieron a la Corte sus observaciones a la solicitud presentada por las representantes.</w:t>
      </w:r>
    </w:p>
    <w:p w:rsidR="00C72A1E" w:rsidRPr="009B7DFC" w:rsidRDefault="00C72A1E" w:rsidP="00A634C9">
      <w:pPr>
        <w:tabs>
          <w:tab w:val="left" w:pos="567"/>
        </w:tabs>
        <w:spacing w:after="240" w:line="240" w:lineRule="auto"/>
        <w:jc w:val="center"/>
        <w:rPr>
          <w:rFonts w:ascii="Verdana" w:eastAsia="Times" w:hAnsi="Verdana" w:cs="Times"/>
          <w:b/>
          <w:bCs/>
          <w:spacing w:val="-2"/>
          <w:sz w:val="20"/>
          <w:szCs w:val="20"/>
          <w:lang w:val="es-ES_tradnl"/>
        </w:rPr>
      </w:pPr>
      <w:r w:rsidRPr="009B7DFC">
        <w:rPr>
          <w:rFonts w:ascii="Verdana" w:eastAsia="Times" w:hAnsi="Verdana" w:cs="Times"/>
          <w:b/>
          <w:bCs/>
          <w:spacing w:val="-2"/>
          <w:sz w:val="20"/>
          <w:szCs w:val="20"/>
          <w:lang w:val="es-ES_tradnl"/>
        </w:rPr>
        <w:t>II</w:t>
      </w:r>
    </w:p>
    <w:p w:rsidR="00C72A1E" w:rsidRPr="009B7DFC" w:rsidRDefault="00C72A1E" w:rsidP="00A634C9">
      <w:pPr>
        <w:tabs>
          <w:tab w:val="left" w:pos="567"/>
        </w:tabs>
        <w:spacing w:after="240" w:line="240" w:lineRule="auto"/>
        <w:jc w:val="center"/>
        <w:rPr>
          <w:rFonts w:ascii="Verdana" w:eastAsia="Times" w:hAnsi="Verdana" w:cs="Times"/>
          <w:b/>
          <w:bCs/>
          <w:spacing w:val="-2"/>
          <w:sz w:val="20"/>
          <w:szCs w:val="20"/>
          <w:lang w:val="es-ES_tradnl"/>
        </w:rPr>
      </w:pPr>
      <w:r w:rsidRPr="009B7DFC">
        <w:rPr>
          <w:rFonts w:ascii="Verdana" w:eastAsia="Times" w:hAnsi="Verdana" w:cs="Times"/>
          <w:b/>
          <w:bCs/>
          <w:spacing w:val="-2"/>
          <w:sz w:val="20"/>
          <w:szCs w:val="20"/>
          <w:lang w:val="es-ES_tradnl"/>
        </w:rPr>
        <w:t>COMPETENCIA</w:t>
      </w:r>
    </w:p>
    <w:p w:rsidR="0063629C" w:rsidRPr="009B7DFC" w:rsidRDefault="0063629C" w:rsidP="00A634C9">
      <w:pPr>
        <w:widowControl w:val="0"/>
        <w:numPr>
          <w:ilvl w:val="0"/>
          <w:numId w:val="1"/>
        </w:numPr>
        <w:tabs>
          <w:tab w:val="left" w:pos="567"/>
          <w:tab w:val="num" w:pos="12305"/>
        </w:tabs>
        <w:adjustRightInd w:val="0"/>
        <w:spacing w:before="120" w:after="240" w:line="240" w:lineRule="auto"/>
        <w:ind w:left="0" w:firstLine="0"/>
        <w:jc w:val="both"/>
        <w:textAlignment w:val="baseline"/>
        <w:rPr>
          <w:rFonts w:ascii="Verdana" w:hAnsi="Verdana"/>
          <w:sz w:val="20"/>
          <w:szCs w:val="20"/>
        </w:rPr>
      </w:pPr>
      <w:r w:rsidRPr="009B7DFC">
        <w:rPr>
          <w:rFonts w:ascii="Verdana" w:hAnsi="Verdana"/>
          <w:sz w:val="20"/>
          <w:szCs w:val="20"/>
        </w:rPr>
        <w:t xml:space="preserve">El artículo 67 de la Convención establece que: </w:t>
      </w:r>
    </w:p>
    <w:p w:rsidR="0063629C" w:rsidRPr="009B7DFC" w:rsidRDefault="0063629C" w:rsidP="00A634C9">
      <w:pPr>
        <w:widowControl w:val="0"/>
        <w:tabs>
          <w:tab w:val="left" w:pos="567"/>
        </w:tabs>
        <w:adjustRightInd w:val="0"/>
        <w:spacing w:before="120" w:after="240" w:line="240" w:lineRule="auto"/>
        <w:ind w:left="720"/>
        <w:jc w:val="both"/>
        <w:textAlignment w:val="baseline"/>
        <w:rPr>
          <w:rFonts w:ascii="Verdana" w:hAnsi="Verdana"/>
          <w:sz w:val="18"/>
          <w:szCs w:val="18"/>
        </w:rPr>
      </w:pPr>
      <w:r w:rsidRPr="009B7DFC">
        <w:rPr>
          <w:rFonts w:ascii="Verdana" w:hAnsi="Verdana"/>
          <w:sz w:val="18"/>
          <w:szCs w:val="18"/>
        </w:rPr>
        <w:t>“El fallo de la Corte será definitivo e inapelable. En caso de desacuerdo sobre el sentido o alcance del fallo, la Corte lo interpretará a solicitud de cualquiera de las partes, siempre que dicha solicitud se presente dentro de los noventa días a partir de la fecha de notificación del fallo.”</w:t>
      </w:r>
    </w:p>
    <w:p w:rsidR="0063629C" w:rsidRPr="009B7DFC" w:rsidRDefault="0063629C" w:rsidP="00A634C9">
      <w:pPr>
        <w:widowControl w:val="0"/>
        <w:numPr>
          <w:ilvl w:val="0"/>
          <w:numId w:val="1"/>
        </w:numPr>
        <w:tabs>
          <w:tab w:val="left" w:pos="567"/>
          <w:tab w:val="num" w:pos="12305"/>
        </w:tabs>
        <w:adjustRightInd w:val="0"/>
        <w:spacing w:before="120" w:after="240" w:line="240" w:lineRule="auto"/>
        <w:ind w:left="0" w:firstLine="0"/>
        <w:jc w:val="both"/>
        <w:textAlignment w:val="baseline"/>
        <w:rPr>
          <w:rFonts w:ascii="Verdana" w:hAnsi="Verdana"/>
          <w:b/>
          <w:sz w:val="20"/>
          <w:szCs w:val="20"/>
        </w:rPr>
      </w:pPr>
      <w:r w:rsidRPr="009B7DFC">
        <w:rPr>
          <w:rFonts w:ascii="Verdana" w:hAnsi="Verdana"/>
          <w:sz w:val="20"/>
          <w:szCs w:val="20"/>
        </w:rPr>
        <w:t>De conformidad con el artículo citado, la Corte es competente para interpretar sus fallos. Para realizar el examen de la solicitud de interpretación y resolver lo que corresponda, el Tribunal debe tener, si es posible, la misma composición que tenía al dictar la Sentencia respectiva, de acuerdo con el artículo 68.3 del Reglamento (</w:t>
      </w:r>
      <w:r w:rsidRPr="009B7DFC">
        <w:rPr>
          <w:rFonts w:ascii="Verdana" w:hAnsi="Verdana"/>
          <w:i/>
          <w:sz w:val="20"/>
          <w:szCs w:val="20"/>
        </w:rPr>
        <w:t>supra</w:t>
      </w:r>
      <w:r w:rsidRPr="009B7DFC">
        <w:rPr>
          <w:rFonts w:ascii="Verdana" w:hAnsi="Verdana"/>
          <w:sz w:val="20"/>
          <w:szCs w:val="20"/>
        </w:rPr>
        <w:t xml:space="preserve">). </w:t>
      </w:r>
    </w:p>
    <w:p w:rsidR="00C72A1E" w:rsidRPr="009B7DFC" w:rsidRDefault="00C72A1E" w:rsidP="00A634C9">
      <w:pPr>
        <w:spacing w:after="240" w:line="240" w:lineRule="auto"/>
        <w:jc w:val="center"/>
        <w:rPr>
          <w:rFonts w:ascii="Verdana" w:eastAsia="Calibri" w:hAnsi="Verdana" w:cs="Verdana"/>
          <w:b/>
          <w:spacing w:val="-2"/>
          <w:sz w:val="20"/>
          <w:szCs w:val="20"/>
          <w:lang w:val="es-ES_tradnl"/>
        </w:rPr>
      </w:pPr>
      <w:r w:rsidRPr="009B7DFC">
        <w:rPr>
          <w:rFonts w:ascii="Verdana" w:eastAsia="Calibri" w:hAnsi="Verdana" w:cs="Verdana"/>
          <w:b/>
          <w:spacing w:val="-2"/>
          <w:sz w:val="20"/>
          <w:szCs w:val="20"/>
          <w:lang w:val="es-ES_tradnl"/>
        </w:rPr>
        <w:t>III</w:t>
      </w:r>
    </w:p>
    <w:p w:rsidR="0012717C" w:rsidRPr="009B7DFC" w:rsidRDefault="00C72A1E" w:rsidP="00A634C9">
      <w:pPr>
        <w:spacing w:after="240" w:line="240" w:lineRule="auto"/>
        <w:jc w:val="center"/>
        <w:rPr>
          <w:rFonts w:ascii="Verdana" w:eastAsia="Calibri" w:hAnsi="Verdana" w:cs="Verdana"/>
          <w:b/>
          <w:spacing w:val="-2"/>
          <w:sz w:val="20"/>
          <w:szCs w:val="20"/>
          <w:lang w:val="es-ES_tradnl"/>
        </w:rPr>
      </w:pPr>
      <w:r w:rsidRPr="009B7DFC">
        <w:rPr>
          <w:rFonts w:ascii="Verdana" w:eastAsia="Calibri" w:hAnsi="Verdana" w:cs="Verdana"/>
          <w:b/>
          <w:spacing w:val="-2"/>
          <w:sz w:val="20"/>
          <w:szCs w:val="20"/>
          <w:lang w:val="es-ES_tradnl"/>
        </w:rPr>
        <w:t>ADMISIBILIDAD</w:t>
      </w:r>
    </w:p>
    <w:p w:rsidR="0012717C" w:rsidRPr="000D391C" w:rsidRDefault="0012717C" w:rsidP="00A634C9">
      <w:pPr>
        <w:widowControl w:val="0"/>
        <w:numPr>
          <w:ilvl w:val="0"/>
          <w:numId w:val="1"/>
        </w:numPr>
        <w:tabs>
          <w:tab w:val="left" w:pos="567"/>
          <w:tab w:val="num" w:pos="12305"/>
        </w:tabs>
        <w:adjustRightInd w:val="0"/>
        <w:spacing w:before="120" w:after="240" w:line="240" w:lineRule="auto"/>
        <w:ind w:left="0" w:firstLine="0"/>
        <w:jc w:val="both"/>
        <w:textAlignment w:val="baseline"/>
        <w:rPr>
          <w:rFonts w:ascii="Verdana" w:hAnsi="Verdana"/>
          <w:sz w:val="18"/>
          <w:szCs w:val="18"/>
        </w:rPr>
      </w:pPr>
      <w:r w:rsidRPr="009B7DFC">
        <w:rPr>
          <w:rFonts w:ascii="Verdana" w:hAnsi="Verdana"/>
          <w:sz w:val="20"/>
          <w:szCs w:val="20"/>
        </w:rPr>
        <w:t xml:space="preserve">Corresponde a la Corte verificar si la solicitud presentada por las representantes cumple con los requisitos establecidos en las normas aplicables a una solicitud de interpretación de Sentencia, a saber, el artículo 67 de la Convención, y el artículo 68 del Reglamento que dispone, en lo pertinente, que: </w:t>
      </w:r>
    </w:p>
    <w:p w:rsidR="0012717C" w:rsidRPr="000D391C" w:rsidRDefault="0012717C" w:rsidP="00A634C9">
      <w:pPr>
        <w:pStyle w:val="Prrafodelista"/>
        <w:spacing w:before="120" w:after="240" w:line="240" w:lineRule="auto"/>
        <w:ind w:firstLine="0"/>
        <w:rPr>
          <w:rFonts w:ascii="Verdana" w:hAnsi="Verdana"/>
          <w:sz w:val="18"/>
          <w:szCs w:val="18"/>
          <w:lang w:val="es-CR"/>
        </w:rPr>
      </w:pPr>
      <w:r w:rsidRPr="000D391C">
        <w:rPr>
          <w:rFonts w:ascii="Verdana" w:hAnsi="Verdana"/>
          <w:sz w:val="18"/>
          <w:szCs w:val="18"/>
          <w:lang w:val="es-CR"/>
        </w:rPr>
        <w:lastRenderedPageBreak/>
        <w:t>1.</w:t>
      </w:r>
      <w:r w:rsidRPr="000D391C">
        <w:rPr>
          <w:rFonts w:ascii="Verdana" w:hAnsi="Verdana"/>
          <w:sz w:val="18"/>
          <w:szCs w:val="18"/>
          <w:lang w:val="es-CR"/>
        </w:rPr>
        <w:tab/>
        <w:t>“La solicitud de interpretación a que se refiere el artículo 67 de la Convención podrá promoverse en relación con las sentencias de excepciones preliminares, fondo o reparaciones y costas y se presentará en la Secretaría de la Corte indicándose en ella, con precisión, las cuestiones relativas al sentido o alcance de la sentencia cuya interpretación se pida.</w:t>
      </w:r>
    </w:p>
    <w:p w:rsidR="0012717C" w:rsidRPr="000D391C" w:rsidRDefault="0012717C" w:rsidP="00A634C9">
      <w:pPr>
        <w:pStyle w:val="Prrafodelista"/>
        <w:spacing w:before="120" w:after="240" w:line="240" w:lineRule="auto"/>
        <w:rPr>
          <w:rFonts w:ascii="Verdana" w:hAnsi="Verdana"/>
          <w:sz w:val="18"/>
          <w:szCs w:val="18"/>
          <w:lang w:val="es-CR"/>
        </w:rPr>
      </w:pPr>
      <w:r w:rsidRPr="000D391C">
        <w:rPr>
          <w:rFonts w:ascii="Verdana" w:hAnsi="Verdana"/>
          <w:sz w:val="18"/>
          <w:szCs w:val="18"/>
          <w:lang w:val="es-CR"/>
        </w:rPr>
        <w:t>[…]</w:t>
      </w:r>
    </w:p>
    <w:p w:rsidR="0012717C" w:rsidRPr="000D391C" w:rsidRDefault="0012717C" w:rsidP="00A634C9">
      <w:pPr>
        <w:spacing w:before="120" w:after="240" w:line="240" w:lineRule="auto"/>
        <w:ind w:firstLine="708"/>
        <w:rPr>
          <w:rFonts w:ascii="Verdana" w:hAnsi="Verdana"/>
          <w:sz w:val="18"/>
          <w:szCs w:val="18"/>
        </w:rPr>
      </w:pPr>
      <w:r w:rsidRPr="000D391C">
        <w:rPr>
          <w:rFonts w:ascii="Verdana" w:hAnsi="Verdana"/>
          <w:sz w:val="18"/>
          <w:szCs w:val="18"/>
        </w:rPr>
        <w:t>4.</w:t>
      </w:r>
      <w:r w:rsidRPr="000D391C">
        <w:rPr>
          <w:rFonts w:ascii="Verdana" w:hAnsi="Verdana"/>
          <w:sz w:val="18"/>
          <w:szCs w:val="18"/>
        </w:rPr>
        <w:tab/>
        <w:t>La solicitud de interpretación no suspenderá la ejecución de la sentencia.</w:t>
      </w:r>
    </w:p>
    <w:p w:rsidR="0012717C" w:rsidRPr="009B7DFC" w:rsidRDefault="0012717C" w:rsidP="00A634C9">
      <w:pPr>
        <w:spacing w:before="120" w:after="240" w:line="240" w:lineRule="auto"/>
        <w:ind w:left="708"/>
        <w:rPr>
          <w:rFonts w:ascii="Verdana" w:hAnsi="Verdana"/>
          <w:sz w:val="20"/>
          <w:szCs w:val="20"/>
        </w:rPr>
      </w:pPr>
      <w:r w:rsidRPr="000D391C">
        <w:rPr>
          <w:rFonts w:ascii="Verdana" w:hAnsi="Verdana"/>
          <w:sz w:val="18"/>
          <w:szCs w:val="18"/>
        </w:rPr>
        <w:t>5.</w:t>
      </w:r>
      <w:r w:rsidRPr="000D391C">
        <w:rPr>
          <w:rFonts w:ascii="Verdana" w:hAnsi="Verdana"/>
          <w:sz w:val="18"/>
          <w:szCs w:val="18"/>
        </w:rPr>
        <w:tab/>
        <w:t xml:space="preserve">La Corte determinará el procedimiento que se seguirá y resolverá mediante </w:t>
      </w:r>
      <w:r w:rsidR="001F3282" w:rsidRPr="000D391C">
        <w:rPr>
          <w:rFonts w:ascii="Verdana" w:hAnsi="Verdana"/>
          <w:sz w:val="18"/>
          <w:szCs w:val="18"/>
        </w:rPr>
        <w:t xml:space="preserve">    </w:t>
      </w:r>
      <w:r w:rsidRPr="000D391C">
        <w:rPr>
          <w:rFonts w:ascii="Verdana" w:hAnsi="Verdana"/>
          <w:sz w:val="18"/>
          <w:szCs w:val="18"/>
        </w:rPr>
        <w:t>una sentencia.”</w:t>
      </w:r>
    </w:p>
    <w:p w:rsidR="0012717C" w:rsidRPr="009B7DFC" w:rsidRDefault="0012717C" w:rsidP="00A634C9">
      <w:pPr>
        <w:widowControl w:val="0"/>
        <w:numPr>
          <w:ilvl w:val="0"/>
          <w:numId w:val="1"/>
        </w:numPr>
        <w:tabs>
          <w:tab w:val="left" w:pos="567"/>
          <w:tab w:val="num" w:pos="12305"/>
        </w:tabs>
        <w:adjustRightInd w:val="0"/>
        <w:spacing w:before="120" w:after="240" w:line="240" w:lineRule="auto"/>
        <w:ind w:left="0" w:firstLine="0"/>
        <w:jc w:val="both"/>
        <w:textAlignment w:val="baseline"/>
        <w:rPr>
          <w:rFonts w:ascii="Verdana" w:hAnsi="Verdana"/>
          <w:sz w:val="20"/>
          <w:szCs w:val="20"/>
        </w:rPr>
      </w:pPr>
      <w:r w:rsidRPr="009B7DFC">
        <w:rPr>
          <w:rFonts w:ascii="Verdana" w:hAnsi="Verdana"/>
          <w:sz w:val="20"/>
          <w:szCs w:val="20"/>
        </w:rPr>
        <w:t>Asimismo, el artículo 31.3 del Reglamento establece que “[c]ontra las sentencias y resoluciones de la Corte no procede ningún medio de impugnación”.</w:t>
      </w:r>
    </w:p>
    <w:p w:rsidR="0012717C" w:rsidRPr="009B7DFC" w:rsidRDefault="0012717C" w:rsidP="00A634C9">
      <w:pPr>
        <w:widowControl w:val="0"/>
        <w:numPr>
          <w:ilvl w:val="0"/>
          <w:numId w:val="1"/>
        </w:numPr>
        <w:tabs>
          <w:tab w:val="left" w:pos="567"/>
          <w:tab w:val="num" w:pos="12305"/>
        </w:tabs>
        <w:adjustRightInd w:val="0"/>
        <w:spacing w:before="120" w:after="240" w:line="240" w:lineRule="auto"/>
        <w:ind w:left="0" w:firstLine="0"/>
        <w:jc w:val="both"/>
        <w:textAlignment w:val="baseline"/>
        <w:rPr>
          <w:rFonts w:ascii="Verdana" w:hAnsi="Verdana"/>
          <w:sz w:val="20"/>
          <w:szCs w:val="20"/>
        </w:rPr>
      </w:pPr>
      <w:r w:rsidRPr="009B7DFC">
        <w:rPr>
          <w:rFonts w:ascii="Verdana" w:hAnsi="Verdana"/>
          <w:sz w:val="20"/>
          <w:szCs w:val="20"/>
        </w:rPr>
        <w:t>La Corte nota que las representantes presentaron su solicitud de interpretación de la Sentencia el 14 de marzo de 2019 dentro del plazo de noventa días establecido en el artículo 67 de la Convención, ya que la misma fue notificada el 20 de diciembre de 2018 mediante correo electrónico. Por ende, la solicitud resulta admisible en lo que se refiere al plazo de su presentación. En cuanto a los demás requisitos, la Corte realizar</w:t>
      </w:r>
      <w:r w:rsidR="00A20632" w:rsidRPr="009B7DFC">
        <w:rPr>
          <w:rFonts w:ascii="Verdana" w:hAnsi="Verdana"/>
          <w:sz w:val="20"/>
          <w:szCs w:val="20"/>
        </w:rPr>
        <w:t>á</w:t>
      </w:r>
      <w:r w:rsidRPr="009B7DFC">
        <w:rPr>
          <w:rFonts w:ascii="Verdana" w:hAnsi="Verdana"/>
          <w:sz w:val="20"/>
          <w:szCs w:val="20"/>
        </w:rPr>
        <w:t xml:space="preserve"> el análisis respectivo al examinar el contenido de la presente solicitud de interpretación en el próximo capítulo. </w:t>
      </w:r>
    </w:p>
    <w:p w:rsidR="00C72A1E" w:rsidRPr="009B7DFC" w:rsidRDefault="00C72A1E" w:rsidP="00A634C9">
      <w:pPr>
        <w:spacing w:after="240" w:line="240" w:lineRule="auto"/>
        <w:jc w:val="center"/>
        <w:rPr>
          <w:rFonts w:ascii="Verdana" w:eastAsia="Calibri" w:hAnsi="Verdana" w:cs="Verdana"/>
          <w:b/>
          <w:spacing w:val="-2"/>
          <w:sz w:val="20"/>
          <w:szCs w:val="20"/>
          <w:lang w:val="es-ES_tradnl"/>
        </w:rPr>
      </w:pPr>
      <w:r w:rsidRPr="009B7DFC">
        <w:rPr>
          <w:rFonts w:ascii="Verdana" w:eastAsia="Calibri" w:hAnsi="Verdana" w:cs="Verdana"/>
          <w:b/>
          <w:spacing w:val="-2"/>
          <w:sz w:val="20"/>
          <w:szCs w:val="20"/>
          <w:lang w:val="es-ES_tradnl"/>
        </w:rPr>
        <w:t>IV</w:t>
      </w:r>
    </w:p>
    <w:p w:rsidR="00C72A1E" w:rsidRPr="009B7DFC" w:rsidRDefault="00C72A1E" w:rsidP="00A634C9">
      <w:pPr>
        <w:spacing w:after="240" w:line="240" w:lineRule="auto"/>
        <w:jc w:val="center"/>
        <w:rPr>
          <w:rFonts w:ascii="Verdana" w:eastAsia="Calibri" w:hAnsi="Verdana" w:cs="Verdana"/>
          <w:b/>
          <w:spacing w:val="-2"/>
          <w:sz w:val="20"/>
          <w:szCs w:val="20"/>
          <w:lang w:val="es-ES_tradnl"/>
        </w:rPr>
      </w:pPr>
      <w:r w:rsidRPr="009B7DFC">
        <w:rPr>
          <w:rFonts w:ascii="Verdana" w:eastAsia="Calibri" w:hAnsi="Verdana" w:cs="Verdana"/>
          <w:b/>
          <w:spacing w:val="-2"/>
          <w:sz w:val="20"/>
          <w:szCs w:val="20"/>
          <w:lang w:val="es-ES_tradnl"/>
        </w:rPr>
        <w:t xml:space="preserve">ANÁLISIS DE LA PROCEDENCIA DE LA SOLICITUD DE INTERPRETACIÓN </w:t>
      </w:r>
    </w:p>
    <w:p w:rsidR="0063629C" w:rsidRPr="009B7DFC" w:rsidRDefault="0063629C" w:rsidP="00A634C9">
      <w:pPr>
        <w:widowControl w:val="0"/>
        <w:numPr>
          <w:ilvl w:val="0"/>
          <w:numId w:val="1"/>
        </w:numPr>
        <w:tabs>
          <w:tab w:val="left" w:pos="567"/>
          <w:tab w:val="num" w:pos="12305"/>
        </w:tabs>
        <w:adjustRightInd w:val="0"/>
        <w:spacing w:before="120" w:after="240" w:line="240" w:lineRule="auto"/>
        <w:ind w:left="0" w:firstLine="0"/>
        <w:jc w:val="both"/>
        <w:textAlignment w:val="baseline"/>
        <w:rPr>
          <w:rFonts w:ascii="Verdana" w:hAnsi="Verdana"/>
          <w:color w:val="5B9BD5" w:themeColor="accent1"/>
          <w:sz w:val="20"/>
          <w:szCs w:val="20"/>
        </w:rPr>
      </w:pPr>
      <w:r w:rsidRPr="009B7DFC">
        <w:rPr>
          <w:rFonts w:ascii="Verdana" w:hAnsi="Verdana"/>
          <w:sz w:val="20"/>
          <w:szCs w:val="20"/>
        </w:rPr>
        <w:t xml:space="preserve">A continuación, la Corte analizará la solicitud del Estado para determinar si, de acuerdo a la normativa y a los criterios desarrollados en su jurisprudencia, es procedente aclarar el sentido o alcance de algún punto de la Sentencia. </w:t>
      </w:r>
    </w:p>
    <w:p w:rsidR="0063629C" w:rsidRPr="009B7DFC" w:rsidRDefault="0063629C" w:rsidP="00A634C9">
      <w:pPr>
        <w:widowControl w:val="0"/>
        <w:numPr>
          <w:ilvl w:val="0"/>
          <w:numId w:val="1"/>
        </w:numPr>
        <w:tabs>
          <w:tab w:val="left" w:pos="567"/>
          <w:tab w:val="num" w:pos="12305"/>
        </w:tabs>
        <w:adjustRightInd w:val="0"/>
        <w:spacing w:before="120" w:after="240" w:line="240" w:lineRule="auto"/>
        <w:ind w:left="0" w:firstLine="0"/>
        <w:jc w:val="both"/>
        <w:textAlignment w:val="baseline"/>
        <w:rPr>
          <w:rFonts w:ascii="Verdana" w:hAnsi="Verdana"/>
          <w:color w:val="5B9BD5" w:themeColor="accent1"/>
          <w:sz w:val="20"/>
          <w:szCs w:val="20"/>
        </w:rPr>
      </w:pPr>
      <w:r w:rsidRPr="009B7DFC">
        <w:rPr>
          <w:rFonts w:ascii="Verdana" w:hAnsi="Verdana"/>
          <w:sz w:val="20"/>
          <w:szCs w:val="20"/>
        </w:rPr>
        <w:t xml:space="preserve">Para analizar la procedencia de la solicitud </w:t>
      </w:r>
      <w:r w:rsidR="00475CAF" w:rsidRPr="009B7DFC">
        <w:rPr>
          <w:rFonts w:ascii="Verdana" w:hAnsi="Verdana"/>
          <w:sz w:val="20"/>
          <w:szCs w:val="20"/>
        </w:rPr>
        <w:t>de las representantes</w:t>
      </w:r>
      <w:r w:rsidRPr="009B7DFC">
        <w:rPr>
          <w:rFonts w:ascii="Verdana" w:hAnsi="Verdana"/>
          <w:sz w:val="20"/>
          <w:szCs w:val="20"/>
        </w:rPr>
        <w:t>, la Corte toma en consideración su jurisprudencia constante, claramente sustentada en el ordenamiento aplicable, en cuanto a que una solicitud de interpretación de sentencia no puede utilizarse como medio de impugnación de la decisión cuya interpretación se requiere. Dicha solicitud tiene como objeto, exclusivamente, determinar el sentido de un fallo cuando alguna de las partes sostiene que el texto de sus puntos resolutivos o de sus consideraciones incida en dicha parte resolutiva</w:t>
      </w:r>
      <w:r w:rsidRPr="009B7DFC">
        <w:rPr>
          <w:rStyle w:val="Refdenotaalpie"/>
          <w:rFonts w:ascii="Verdana" w:hAnsi="Verdana"/>
          <w:sz w:val="20"/>
          <w:szCs w:val="20"/>
        </w:rPr>
        <w:footnoteReference w:id="3"/>
      </w:r>
      <w:r w:rsidRPr="009B7DFC">
        <w:rPr>
          <w:rFonts w:ascii="Verdana" w:hAnsi="Verdana"/>
          <w:sz w:val="20"/>
          <w:szCs w:val="20"/>
        </w:rPr>
        <w:t>. Por lo tanto, de conformidad con el artículo 31.3 del Reglamento, no se puede solicitar la modificación o anulación de la sentencia respectiva a través de una solicitud de interpretación</w:t>
      </w:r>
      <w:r w:rsidRPr="009B7DFC">
        <w:rPr>
          <w:rStyle w:val="Refdenotaalpie"/>
          <w:rFonts w:ascii="Verdana" w:hAnsi="Verdana"/>
          <w:sz w:val="20"/>
          <w:szCs w:val="20"/>
        </w:rPr>
        <w:footnoteReference w:id="4"/>
      </w:r>
      <w:r w:rsidRPr="009B7DFC">
        <w:rPr>
          <w:rFonts w:ascii="Verdana" w:hAnsi="Verdana"/>
          <w:sz w:val="20"/>
          <w:szCs w:val="20"/>
        </w:rPr>
        <w:t>.</w:t>
      </w:r>
    </w:p>
    <w:p w:rsidR="00A634C9" w:rsidRDefault="00F32C53" w:rsidP="00A634C9">
      <w:pPr>
        <w:widowControl w:val="0"/>
        <w:numPr>
          <w:ilvl w:val="0"/>
          <w:numId w:val="1"/>
        </w:numPr>
        <w:tabs>
          <w:tab w:val="left" w:pos="567"/>
          <w:tab w:val="num" w:pos="12305"/>
        </w:tabs>
        <w:adjustRightInd w:val="0"/>
        <w:spacing w:before="120" w:after="240" w:line="240" w:lineRule="auto"/>
        <w:ind w:left="0" w:firstLine="0"/>
        <w:jc w:val="both"/>
        <w:textAlignment w:val="baseline"/>
        <w:rPr>
          <w:rFonts w:ascii="Verdana" w:hAnsi="Verdana"/>
          <w:sz w:val="20"/>
          <w:szCs w:val="20"/>
        </w:rPr>
      </w:pPr>
      <w:r w:rsidRPr="009B7DFC">
        <w:rPr>
          <w:rFonts w:ascii="Verdana" w:hAnsi="Verdana"/>
          <w:sz w:val="20"/>
          <w:szCs w:val="20"/>
        </w:rPr>
        <w:t>De esta manera</w:t>
      </w:r>
      <w:r w:rsidR="0063629C" w:rsidRPr="009B7DFC">
        <w:rPr>
          <w:rFonts w:ascii="Verdana" w:hAnsi="Verdana"/>
          <w:sz w:val="20"/>
          <w:szCs w:val="20"/>
        </w:rPr>
        <w:t>, la Corte considerará la solicitud relacionada con el alcance de las medidas de reparación otorgadas en relación con los puntos resolutivos 10 y</w:t>
      </w:r>
      <w:r w:rsidRPr="009B7DFC">
        <w:rPr>
          <w:rFonts w:ascii="Verdana" w:hAnsi="Verdana"/>
          <w:sz w:val="20"/>
          <w:szCs w:val="20"/>
        </w:rPr>
        <w:t xml:space="preserve"> 16 de la Sentencia de Fondo, </w:t>
      </w:r>
      <w:r w:rsidR="0063629C" w:rsidRPr="009B7DFC">
        <w:rPr>
          <w:rFonts w:ascii="Verdana" w:hAnsi="Verdana"/>
          <w:sz w:val="20"/>
          <w:szCs w:val="20"/>
        </w:rPr>
        <w:t xml:space="preserve">Reparaciones y Costas emitida en el presente Caso.  </w:t>
      </w:r>
    </w:p>
    <w:p w:rsidR="00A634C9" w:rsidRDefault="00A634C9">
      <w:pPr>
        <w:rPr>
          <w:rFonts w:ascii="Verdana" w:hAnsi="Verdana"/>
          <w:sz w:val="20"/>
          <w:szCs w:val="20"/>
        </w:rPr>
      </w:pPr>
      <w:r>
        <w:rPr>
          <w:rFonts w:ascii="Verdana" w:hAnsi="Verdana"/>
          <w:sz w:val="20"/>
          <w:szCs w:val="20"/>
        </w:rPr>
        <w:br w:type="page"/>
      </w:r>
    </w:p>
    <w:p w:rsidR="00CA129A" w:rsidRPr="009B7DFC" w:rsidRDefault="00C72A1E" w:rsidP="00A634C9">
      <w:pPr>
        <w:pStyle w:val="Prrafodelista"/>
        <w:numPr>
          <w:ilvl w:val="0"/>
          <w:numId w:val="2"/>
        </w:numPr>
        <w:tabs>
          <w:tab w:val="left" w:pos="1276"/>
        </w:tabs>
        <w:spacing w:before="120" w:after="240" w:line="240" w:lineRule="auto"/>
        <w:ind w:hanging="11"/>
        <w:rPr>
          <w:rFonts w:ascii="Verdana" w:hAnsi="Verdana"/>
          <w:b/>
          <w:i/>
          <w:sz w:val="20"/>
          <w:szCs w:val="20"/>
          <w:lang w:val="es-CR"/>
        </w:rPr>
      </w:pPr>
      <w:r w:rsidRPr="009B7DFC">
        <w:rPr>
          <w:rFonts w:ascii="Verdana" w:hAnsi="Verdana"/>
          <w:b/>
          <w:i/>
          <w:sz w:val="20"/>
          <w:szCs w:val="20"/>
          <w:lang w:val="es-CR"/>
        </w:rPr>
        <w:lastRenderedPageBreak/>
        <w:t>Sobre el alcance y las obligaciones relacionadas con la determinación del paradero de Nitza Paola, José Ángel y Rocío Irene Alvarado.</w:t>
      </w:r>
    </w:p>
    <w:p w:rsidR="00CA129A" w:rsidRPr="009B7DFC" w:rsidRDefault="00CA129A" w:rsidP="00A634C9">
      <w:pPr>
        <w:pStyle w:val="Ttulo3"/>
        <w:numPr>
          <w:ilvl w:val="0"/>
          <w:numId w:val="8"/>
        </w:numPr>
        <w:spacing w:before="120" w:after="240"/>
        <w:ind w:left="1353" w:firstLine="207"/>
        <w:rPr>
          <w:b w:val="0"/>
          <w:lang w:val="es-ES_tradnl"/>
        </w:rPr>
      </w:pPr>
      <w:r w:rsidRPr="009B7DFC">
        <w:rPr>
          <w:b w:val="0"/>
          <w:lang w:val="es-ES_tradnl"/>
        </w:rPr>
        <w:t xml:space="preserve"> Argumentos de las partes y de la Comisión</w:t>
      </w:r>
    </w:p>
    <w:p w:rsidR="00C72A1E" w:rsidRPr="009B7DFC" w:rsidRDefault="00C72A1E" w:rsidP="00A634C9">
      <w:pPr>
        <w:widowControl w:val="0"/>
        <w:numPr>
          <w:ilvl w:val="0"/>
          <w:numId w:val="1"/>
        </w:numPr>
        <w:tabs>
          <w:tab w:val="left" w:pos="567"/>
          <w:tab w:val="num" w:pos="12305"/>
        </w:tabs>
        <w:adjustRightInd w:val="0"/>
        <w:spacing w:before="120" w:after="240" w:line="240" w:lineRule="auto"/>
        <w:ind w:left="0" w:firstLine="0"/>
        <w:jc w:val="both"/>
        <w:textAlignment w:val="baseline"/>
        <w:rPr>
          <w:rFonts w:ascii="Verdana" w:eastAsia="Verdana" w:hAnsi="Verdana" w:cs="Verdana"/>
          <w:sz w:val="20"/>
          <w:szCs w:val="20"/>
          <w:lang w:val="es-ES" w:eastAsia="es-CR"/>
        </w:rPr>
      </w:pPr>
      <w:r w:rsidRPr="009B7DFC">
        <w:rPr>
          <w:rFonts w:ascii="Verdana" w:eastAsia="Verdana" w:hAnsi="Verdana" w:cs="Verdana"/>
          <w:sz w:val="20"/>
          <w:szCs w:val="20"/>
          <w:lang w:val="es-ES" w:eastAsia="es-CR"/>
        </w:rPr>
        <w:t xml:space="preserve">Las </w:t>
      </w:r>
      <w:r w:rsidRPr="009B7DFC">
        <w:rPr>
          <w:rFonts w:ascii="Verdana" w:eastAsia="Verdana" w:hAnsi="Verdana" w:cs="Verdana"/>
          <w:b/>
          <w:i/>
          <w:sz w:val="20"/>
          <w:szCs w:val="20"/>
          <w:lang w:val="es-ES" w:eastAsia="es-CR"/>
        </w:rPr>
        <w:t>representantes</w:t>
      </w:r>
      <w:r w:rsidRPr="009B7DFC">
        <w:rPr>
          <w:rFonts w:ascii="Verdana" w:eastAsia="Verdana" w:hAnsi="Verdana" w:cs="Verdana"/>
          <w:sz w:val="20"/>
          <w:szCs w:val="20"/>
          <w:lang w:val="es-ES" w:eastAsia="es-CR"/>
        </w:rPr>
        <w:t>, partiendo de la obligación de realizar una búsqueda rigurosa, sistemática y con el uso de los recursos adecuados</w:t>
      </w:r>
      <w:r w:rsidR="00F32C53" w:rsidRPr="009B7DFC">
        <w:rPr>
          <w:rFonts w:ascii="Verdana" w:eastAsia="Verdana" w:hAnsi="Verdana" w:cs="Verdana"/>
          <w:sz w:val="20"/>
          <w:szCs w:val="20"/>
          <w:lang w:val="es-ES" w:eastAsia="es-CR"/>
        </w:rPr>
        <w:t>,</w:t>
      </w:r>
      <w:r w:rsidRPr="009B7DFC">
        <w:rPr>
          <w:rFonts w:ascii="Verdana" w:eastAsia="Verdana" w:hAnsi="Verdana" w:cs="Verdana"/>
          <w:sz w:val="20"/>
          <w:szCs w:val="20"/>
          <w:lang w:val="es-ES" w:eastAsia="es-CR"/>
        </w:rPr>
        <w:t xml:space="preserve"> contenida en el punto resolutivo 10</w:t>
      </w:r>
      <w:r w:rsidRPr="009B7DFC">
        <w:rPr>
          <w:rStyle w:val="Refdenotaalpie"/>
          <w:rFonts w:ascii="Verdana" w:eastAsia="Verdana" w:hAnsi="Verdana" w:cs="Verdana"/>
          <w:sz w:val="20"/>
          <w:szCs w:val="20"/>
          <w:lang w:val="es-ES" w:eastAsia="es-CR"/>
        </w:rPr>
        <w:footnoteReference w:id="5"/>
      </w:r>
      <w:r w:rsidRPr="009B7DFC">
        <w:rPr>
          <w:rFonts w:ascii="Verdana" w:eastAsia="Verdana" w:hAnsi="Verdana" w:cs="Verdana"/>
          <w:sz w:val="20"/>
          <w:szCs w:val="20"/>
          <w:lang w:val="es-ES" w:eastAsia="es-CR"/>
        </w:rPr>
        <w:t xml:space="preserve"> de la Sentencia, refieren a que dicho resolutivo debe referir no solo a los párrafos 247</w:t>
      </w:r>
      <w:r w:rsidRPr="009B7DFC">
        <w:rPr>
          <w:rStyle w:val="Refdenotaalpie"/>
          <w:rFonts w:ascii="Verdana" w:eastAsia="Verdana" w:hAnsi="Verdana" w:cs="Verdana"/>
          <w:sz w:val="20"/>
          <w:szCs w:val="20"/>
          <w:lang w:val="es-ES" w:eastAsia="es-CR"/>
        </w:rPr>
        <w:footnoteReference w:id="6"/>
      </w:r>
      <w:r w:rsidRPr="009B7DFC">
        <w:rPr>
          <w:rFonts w:ascii="Verdana" w:eastAsia="Verdana" w:hAnsi="Verdana" w:cs="Verdana"/>
          <w:sz w:val="20"/>
          <w:szCs w:val="20"/>
          <w:lang w:val="es-ES" w:eastAsia="es-CR"/>
        </w:rPr>
        <w:t xml:space="preserve"> y 300</w:t>
      </w:r>
      <w:r w:rsidRPr="009B7DFC">
        <w:rPr>
          <w:rStyle w:val="Refdenotaalpie"/>
          <w:rFonts w:ascii="Verdana" w:eastAsia="Verdana" w:hAnsi="Verdana" w:cs="Verdana"/>
          <w:sz w:val="20"/>
          <w:szCs w:val="20"/>
          <w:lang w:val="es-ES" w:eastAsia="es-CR"/>
        </w:rPr>
        <w:footnoteReference w:id="7"/>
      </w:r>
      <w:r w:rsidRPr="009B7DFC">
        <w:rPr>
          <w:rFonts w:ascii="Verdana" w:eastAsia="Verdana" w:hAnsi="Verdana" w:cs="Verdana"/>
          <w:sz w:val="20"/>
          <w:szCs w:val="20"/>
          <w:lang w:val="es-ES" w:eastAsia="es-CR"/>
        </w:rPr>
        <w:t xml:space="preserve"> de la Sentencia, sino también de manera directa al 299. </w:t>
      </w:r>
    </w:p>
    <w:p w:rsidR="00C72A1E" w:rsidRPr="009B7DFC" w:rsidRDefault="00C72A1E" w:rsidP="00A634C9">
      <w:pPr>
        <w:widowControl w:val="0"/>
        <w:numPr>
          <w:ilvl w:val="0"/>
          <w:numId w:val="1"/>
        </w:numPr>
        <w:tabs>
          <w:tab w:val="left" w:pos="567"/>
          <w:tab w:val="num" w:pos="12305"/>
        </w:tabs>
        <w:adjustRightInd w:val="0"/>
        <w:spacing w:before="120" w:after="240" w:line="240" w:lineRule="auto"/>
        <w:ind w:left="0" w:firstLine="0"/>
        <w:jc w:val="both"/>
        <w:textAlignment w:val="baseline"/>
        <w:rPr>
          <w:rFonts w:ascii="Verdana" w:eastAsia="Verdana" w:hAnsi="Verdana" w:cs="Verdana"/>
          <w:sz w:val="20"/>
          <w:szCs w:val="20"/>
          <w:lang w:val="es-ES" w:eastAsia="es-CR"/>
        </w:rPr>
      </w:pPr>
      <w:r w:rsidRPr="009B7DFC">
        <w:rPr>
          <w:rFonts w:ascii="Verdana" w:eastAsia="Verdana" w:hAnsi="Verdana" w:cs="Verdana"/>
          <w:sz w:val="20"/>
          <w:szCs w:val="20"/>
          <w:lang w:val="es-ES" w:eastAsia="es-CR"/>
        </w:rPr>
        <w:t>Consideraron que la obligación contenida en el párrafo 299 sobre la responsabilidad del Estado de “[…] realizar un cronograma de búsqueda, y en su próximo informe anual reportar al Tribunal sobre el resultado de las acciones realizadas”</w:t>
      </w:r>
      <w:r w:rsidRPr="009B7DFC">
        <w:rPr>
          <w:rStyle w:val="Refdenotaalpie"/>
          <w:rFonts w:ascii="Verdana" w:eastAsia="Verdana" w:hAnsi="Verdana" w:cs="Verdana"/>
          <w:sz w:val="20"/>
          <w:szCs w:val="20"/>
          <w:lang w:val="es-ES" w:eastAsia="es-CR"/>
        </w:rPr>
        <w:footnoteReference w:id="8"/>
      </w:r>
      <w:r w:rsidRPr="009B7DFC">
        <w:rPr>
          <w:rFonts w:ascii="Verdana" w:eastAsia="Verdana" w:hAnsi="Verdana" w:cs="Verdana"/>
          <w:sz w:val="20"/>
          <w:szCs w:val="20"/>
          <w:lang w:val="es-ES" w:eastAsia="es-CR"/>
        </w:rPr>
        <w:t>, corresponde a una medida diferenciada dentro de la misma categoría de la contenida en el párrafo 300</w:t>
      </w:r>
      <w:r w:rsidRPr="009B7DFC">
        <w:rPr>
          <w:rStyle w:val="Refdenotaalpie"/>
          <w:rFonts w:ascii="Verdana" w:eastAsia="Verdana" w:hAnsi="Verdana" w:cs="Verdana"/>
          <w:sz w:val="20"/>
          <w:szCs w:val="20"/>
          <w:lang w:val="es-ES" w:eastAsia="es-CR"/>
        </w:rPr>
        <w:footnoteReference w:id="9"/>
      </w:r>
      <w:r w:rsidRPr="009B7DFC">
        <w:rPr>
          <w:rFonts w:ascii="Verdana" w:eastAsia="Verdana" w:hAnsi="Verdana" w:cs="Verdana"/>
          <w:sz w:val="20"/>
          <w:szCs w:val="20"/>
          <w:lang w:val="es-ES" w:eastAsia="es-CR"/>
        </w:rPr>
        <w:t>, de manera que, en su opinión, el punto resolutivo 10 debería referir directamente tanto al párrafo 300 como al 299, para generar “[…] certeza en las partes ta</w:t>
      </w:r>
      <w:r w:rsidR="00B45E8D" w:rsidRPr="009B7DFC">
        <w:rPr>
          <w:rFonts w:ascii="Verdana" w:eastAsia="Verdana" w:hAnsi="Verdana" w:cs="Verdana"/>
          <w:sz w:val="20"/>
          <w:szCs w:val="20"/>
          <w:lang w:val="es-ES" w:eastAsia="es-CR"/>
        </w:rPr>
        <w:t>n</w:t>
      </w:r>
      <w:r w:rsidRPr="009B7DFC">
        <w:rPr>
          <w:rFonts w:ascii="Verdana" w:eastAsia="Verdana" w:hAnsi="Verdana" w:cs="Verdana"/>
          <w:sz w:val="20"/>
          <w:szCs w:val="20"/>
          <w:lang w:val="es-ES" w:eastAsia="es-CR"/>
        </w:rPr>
        <w:t xml:space="preserve">to en la obligación de buscar de manera inmediata a las víctimas como de presentar un cronograma de búsqueda […]”. Siendo así, solicitaron que la Corte definiera el contenido y alcance de la reparación ordenada por medio del punto resolutivo 10, a la luz tanto del párrafo 299 como del párrafo 300 de la Sentencia. </w:t>
      </w:r>
    </w:p>
    <w:p w:rsidR="00C72A1E" w:rsidRPr="009B7DFC" w:rsidRDefault="00C72A1E" w:rsidP="00A634C9">
      <w:pPr>
        <w:widowControl w:val="0"/>
        <w:numPr>
          <w:ilvl w:val="0"/>
          <w:numId w:val="1"/>
        </w:numPr>
        <w:tabs>
          <w:tab w:val="left" w:pos="567"/>
          <w:tab w:val="num" w:pos="12305"/>
        </w:tabs>
        <w:adjustRightInd w:val="0"/>
        <w:spacing w:before="120" w:after="240" w:line="240" w:lineRule="auto"/>
        <w:ind w:left="0" w:firstLine="0"/>
        <w:jc w:val="both"/>
        <w:textAlignment w:val="baseline"/>
        <w:rPr>
          <w:rFonts w:ascii="Verdana" w:eastAsia="Verdana" w:hAnsi="Verdana" w:cs="Verdana"/>
          <w:sz w:val="20"/>
          <w:szCs w:val="20"/>
          <w:lang w:val="es-ES" w:eastAsia="es-CR"/>
        </w:rPr>
      </w:pPr>
      <w:r w:rsidRPr="009B7DFC">
        <w:rPr>
          <w:rFonts w:ascii="Verdana" w:eastAsia="Verdana" w:hAnsi="Verdana" w:cs="Verdana"/>
          <w:sz w:val="20"/>
          <w:szCs w:val="20"/>
          <w:lang w:val="es-ES" w:eastAsia="es-CR"/>
        </w:rPr>
        <w:t xml:space="preserve">El </w:t>
      </w:r>
      <w:r w:rsidRPr="009B7DFC">
        <w:rPr>
          <w:rFonts w:ascii="Verdana" w:eastAsia="Verdana" w:hAnsi="Verdana" w:cs="Verdana"/>
          <w:b/>
          <w:i/>
          <w:sz w:val="20"/>
          <w:szCs w:val="20"/>
          <w:lang w:val="es-ES" w:eastAsia="es-CR"/>
        </w:rPr>
        <w:t>Estado</w:t>
      </w:r>
      <w:r w:rsidRPr="009B7DFC">
        <w:rPr>
          <w:rFonts w:ascii="Verdana" w:eastAsia="Verdana" w:hAnsi="Verdana" w:cs="Verdana"/>
          <w:sz w:val="20"/>
          <w:szCs w:val="20"/>
          <w:lang w:val="es-ES" w:eastAsia="es-CR"/>
        </w:rPr>
        <w:t xml:space="preserve"> consideró que lo referido en el punto resolutivo 10, así como su referencia directa al párrafo 299, no afecta el desarroll</w:t>
      </w:r>
      <w:r w:rsidR="00B45E8D" w:rsidRPr="009B7DFC">
        <w:rPr>
          <w:rFonts w:ascii="Verdana" w:eastAsia="Verdana" w:hAnsi="Verdana" w:cs="Verdana"/>
          <w:sz w:val="20"/>
          <w:szCs w:val="20"/>
          <w:lang w:val="es-ES" w:eastAsia="es-CR"/>
        </w:rPr>
        <w:t xml:space="preserve">o y tiempos de la investigación. </w:t>
      </w:r>
      <w:r w:rsidR="00A20632" w:rsidRPr="009B7DFC">
        <w:rPr>
          <w:rFonts w:ascii="Verdana" w:eastAsia="Verdana" w:hAnsi="Verdana" w:cs="Verdana"/>
          <w:sz w:val="20"/>
          <w:szCs w:val="20"/>
          <w:lang w:val="es-ES" w:eastAsia="es-CR"/>
        </w:rPr>
        <w:t>Sino que, p</w:t>
      </w:r>
      <w:r w:rsidRPr="009B7DFC">
        <w:rPr>
          <w:rFonts w:ascii="Verdana" w:eastAsia="Verdana" w:hAnsi="Verdana" w:cs="Verdana"/>
          <w:sz w:val="20"/>
          <w:szCs w:val="20"/>
          <w:lang w:val="es-ES" w:eastAsia="es-CR"/>
        </w:rPr>
        <w:t>or el contrario, permite llevar a cabo una planeación para el desarrollo de las diligencias e incluso determinar la disponibilidad del equipo interdisciplinario que intervendrá en tales diligencias de prospección.</w:t>
      </w:r>
      <w:r w:rsidR="00B45E8D" w:rsidRPr="009B7DFC">
        <w:rPr>
          <w:rFonts w:ascii="Verdana" w:eastAsia="Verdana" w:hAnsi="Verdana" w:cs="Verdana"/>
          <w:sz w:val="20"/>
          <w:szCs w:val="20"/>
          <w:lang w:val="es-ES" w:eastAsia="es-CR"/>
        </w:rPr>
        <w:t xml:space="preserve"> Por esta razón, consideró que</w:t>
      </w:r>
      <w:r w:rsidR="00A20632" w:rsidRPr="009B7DFC">
        <w:rPr>
          <w:rFonts w:ascii="Verdana" w:eastAsia="Verdana" w:hAnsi="Verdana" w:cs="Verdana"/>
          <w:sz w:val="20"/>
          <w:szCs w:val="20"/>
          <w:lang w:val="es-ES" w:eastAsia="es-CR"/>
        </w:rPr>
        <w:t>,</w:t>
      </w:r>
      <w:r w:rsidR="00B45E8D" w:rsidRPr="009B7DFC">
        <w:rPr>
          <w:rFonts w:ascii="Verdana" w:eastAsia="Verdana" w:hAnsi="Verdana" w:cs="Verdana"/>
          <w:sz w:val="20"/>
          <w:szCs w:val="20"/>
          <w:lang w:val="es-ES" w:eastAsia="es-CR"/>
        </w:rPr>
        <w:t xml:space="preserve"> a</w:t>
      </w:r>
      <w:r w:rsidRPr="009B7DFC">
        <w:rPr>
          <w:rFonts w:ascii="Verdana" w:eastAsia="Verdana" w:hAnsi="Verdana" w:cs="Verdana"/>
          <w:sz w:val="20"/>
          <w:szCs w:val="20"/>
          <w:lang w:val="es-ES" w:eastAsia="es-CR"/>
        </w:rPr>
        <w:t xml:space="preserve">l no hacerse referencia expresa al párrafo 299 en el punto resolutivo 10, no </w:t>
      </w:r>
      <w:r w:rsidR="00B45E8D" w:rsidRPr="009B7DFC">
        <w:rPr>
          <w:rFonts w:ascii="Verdana" w:eastAsia="Verdana" w:hAnsi="Verdana" w:cs="Verdana"/>
          <w:sz w:val="20"/>
          <w:szCs w:val="20"/>
          <w:lang w:val="es-ES" w:eastAsia="es-CR"/>
        </w:rPr>
        <w:t xml:space="preserve">se </w:t>
      </w:r>
      <w:r w:rsidRPr="009B7DFC">
        <w:rPr>
          <w:rFonts w:ascii="Verdana" w:eastAsia="Verdana" w:hAnsi="Verdana" w:cs="Verdana"/>
          <w:sz w:val="20"/>
          <w:szCs w:val="20"/>
          <w:lang w:val="es-ES" w:eastAsia="es-CR"/>
        </w:rPr>
        <w:t xml:space="preserve">afecta el interés legítimo de las víctimas toda vez que la propia </w:t>
      </w:r>
      <w:r w:rsidR="00A20632" w:rsidRPr="009B7DFC">
        <w:rPr>
          <w:rFonts w:ascii="Verdana" w:eastAsia="Verdana" w:hAnsi="Verdana" w:cs="Verdana"/>
          <w:sz w:val="20"/>
          <w:szCs w:val="20"/>
          <w:lang w:val="es-ES" w:eastAsia="es-CR"/>
        </w:rPr>
        <w:t>S</w:t>
      </w:r>
      <w:r w:rsidRPr="009B7DFC">
        <w:rPr>
          <w:rFonts w:ascii="Verdana" w:eastAsia="Verdana" w:hAnsi="Verdana" w:cs="Verdana"/>
          <w:sz w:val="20"/>
          <w:szCs w:val="20"/>
          <w:lang w:val="es-ES" w:eastAsia="es-CR"/>
        </w:rPr>
        <w:t xml:space="preserve">entencia ordena que las diligencias a realizar deberán hacerse el conocimiento de las víctimas indirectas y sus representantes. </w:t>
      </w:r>
    </w:p>
    <w:p w:rsidR="00C72A1E" w:rsidRPr="009B7DFC" w:rsidRDefault="00C72A1E" w:rsidP="00A634C9">
      <w:pPr>
        <w:widowControl w:val="0"/>
        <w:numPr>
          <w:ilvl w:val="0"/>
          <w:numId w:val="1"/>
        </w:numPr>
        <w:tabs>
          <w:tab w:val="left" w:pos="567"/>
          <w:tab w:val="num" w:pos="12305"/>
        </w:tabs>
        <w:adjustRightInd w:val="0"/>
        <w:spacing w:before="120" w:after="240" w:line="240" w:lineRule="auto"/>
        <w:ind w:left="0" w:firstLine="0"/>
        <w:jc w:val="both"/>
        <w:textAlignment w:val="baseline"/>
        <w:rPr>
          <w:rFonts w:ascii="Verdana" w:eastAsia="Verdana" w:hAnsi="Verdana" w:cs="Verdana"/>
          <w:sz w:val="20"/>
          <w:szCs w:val="20"/>
          <w:lang w:val="es-ES" w:eastAsia="es-CR"/>
        </w:rPr>
      </w:pPr>
      <w:r w:rsidRPr="009B7DFC">
        <w:rPr>
          <w:rFonts w:ascii="Verdana" w:eastAsia="Verdana" w:hAnsi="Verdana" w:cs="Verdana"/>
          <w:sz w:val="20"/>
          <w:szCs w:val="20"/>
          <w:lang w:val="es-ES" w:eastAsia="es-CR"/>
        </w:rPr>
        <w:t xml:space="preserve">Por su parte, la </w:t>
      </w:r>
      <w:r w:rsidRPr="009B7DFC">
        <w:rPr>
          <w:rFonts w:ascii="Verdana" w:eastAsia="Verdana" w:hAnsi="Verdana" w:cs="Verdana"/>
          <w:b/>
          <w:i/>
          <w:sz w:val="20"/>
          <w:szCs w:val="20"/>
          <w:lang w:val="es-ES" w:eastAsia="es-CR"/>
        </w:rPr>
        <w:t>Comisión</w:t>
      </w:r>
      <w:r w:rsidRPr="009B7DFC">
        <w:rPr>
          <w:rFonts w:ascii="Verdana" w:eastAsia="Verdana" w:hAnsi="Verdana" w:cs="Verdana"/>
          <w:sz w:val="20"/>
          <w:szCs w:val="20"/>
          <w:lang w:val="es-ES" w:eastAsia="es-CR"/>
        </w:rPr>
        <w:t xml:space="preserve"> consideró que dicha solicitud es procedente en tanto el párrafo en cuestión ordenó al Estado realizar un cronograma de búsqueda de las </w:t>
      </w:r>
      <w:r w:rsidRPr="009B7DFC">
        <w:rPr>
          <w:rFonts w:ascii="Verdana" w:eastAsia="Verdana" w:hAnsi="Verdana" w:cs="Verdana"/>
          <w:sz w:val="20"/>
          <w:szCs w:val="20"/>
          <w:lang w:val="es-ES" w:eastAsia="es-CR"/>
        </w:rPr>
        <w:lastRenderedPageBreak/>
        <w:t xml:space="preserve">víctimas e incluirlo en su informe anual al Tribunal, y en el resolutivo 10 no se hizo referencia a dicho párrafo ni del mismo resulta que el Estado tenga tal obligación. Por esta razón, la Comisión consideró pertinente que la Corte clarifique el alcance del punto resolutivo 10. </w:t>
      </w:r>
    </w:p>
    <w:p w:rsidR="00F81FDD" w:rsidRPr="009B7DFC" w:rsidRDefault="00F81FDD" w:rsidP="00A634C9">
      <w:pPr>
        <w:pStyle w:val="Ttulo3"/>
        <w:numPr>
          <w:ilvl w:val="0"/>
          <w:numId w:val="0"/>
        </w:numPr>
        <w:spacing w:before="120" w:after="240"/>
        <w:rPr>
          <w:b w:val="0"/>
          <w:lang w:val="es-ES_tradnl"/>
        </w:rPr>
      </w:pPr>
      <w:r w:rsidRPr="009B7DFC">
        <w:rPr>
          <w:b w:val="0"/>
          <w:lang w:val="es-ES_tradnl"/>
        </w:rPr>
        <w:tab/>
      </w:r>
      <w:r w:rsidRPr="009B7DFC">
        <w:rPr>
          <w:b w:val="0"/>
          <w:lang w:val="es-ES_tradnl"/>
        </w:rPr>
        <w:tab/>
        <w:t xml:space="preserve">A.2. Consideraciones de la Corte </w:t>
      </w:r>
    </w:p>
    <w:p w:rsidR="00F86B8B" w:rsidRPr="009B7DFC" w:rsidRDefault="00F81FDD" w:rsidP="00A634C9">
      <w:pPr>
        <w:widowControl w:val="0"/>
        <w:numPr>
          <w:ilvl w:val="0"/>
          <w:numId w:val="1"/>
        </w:numPr>
        <w:tabs>
          <w:tab w:val="left" w:pos="567"/>
          <w:tab w:val="num" w:pos="12305"/>
        </w:tabs>
        <w:adjustRightInd w:val="0"/>
        <w:spacing w:before="120" w:after="240" w:line="240" w:lineRule="auto"/>
        <w:ind w:left="0" w:firstLine="0"/>
        <w:jc w:val="both"/>
        <w:textAlignment w:val="baseline"/>
        <w:rPr>
          <w:rFonts w:ascii="Verdana" w:eastAsia="Verdana" w:hAnsi="Verdana" w:cs="Verdana"/>
          <w:sz w:val="20"/>
          <w:szCs w:val="20"/>
          <w:lang w:val="es-ES" w:eastAsia="es-CR"/>
        </w:rPr>
      </w:pPr>
      <w:r w:rsidRPr="009B7DFC">
        <w:rPr>
          <w:rFonts w:ascii="Verdana" w:eastAsia="Verdana" w:hAnsi="Verdana" w:cs="Verdana"/>
          <w:sz w:val="20"/>
          <w:szCs w:val="20"/>
          <w:lang w:val="es-ES" w:eastAsia="es-CR"/>
        </w:rPr>
        <w:t xml:space="preserve">En su Sentencia, la </w:t>
      </w:r>
      <w:r w:rsidRPr="009B7DFC">
        <w:rPr>
          <w:rFonts w:ascii="Verdana" w:eastAsia="Verdana" w:hAnsi="Verdana" w:cs="Verdana"/>
          <w:b/>
          <w:i/>
          <w:sz w:val="20"/>
          <w:szCs w:val="20"/>
          <w:lang w:val="es-ES" w:eastAsia="es-CR"/>
        </w:rPr>
        <w:t>Corte</w:t>
      </w:r>
      <w:r w:rsidR="00D143EB" w:rsidRPr="009B7DFC">
        <w:rPr>
          <w:rFonts w:ascii="Verdana" w:eastAsia="Verdana" w:hAnsi="Verdana" w:cs="Verdana"/>
          <w:sz w:val="20"/>
          <w:szCs w:val="20"/>
          <w:lang w:val="es-ES" w:eastAsia="es-CR"/>
        </w:rPr>
        <w:t xml:space="preserve"> </w:t>
      </w:r>
      <w:r w:rsidR="00F86B8B" w:rsidRPr="009B7DFC">
        <w:rPr>
          <w:rFonts w:ascii="Verdana" w:eastAsia="Verdana" w:hAnsi="Verdana" w:cs="Verdana"/>
          <w:sz w:val="20"/>
          <w:szCs w:val="20"/>
          <w:lang w:val="es-ES" w:eastAsia="es-CR"/>
        </w:rPr>
        <w:t xml:space="preserve">resolvió </w:t>
      </w:r>
      <w:r w:rsidR="00B45E8D" w:rsidRPr="009B7DFC">
        <w:rPr>
          <w:rFonts w:ascii="Verdana" w:eastAsia="Verdana" w:hAnsi="Verdana" w:cs="Verdana"/>
          <w:sz w:val="20"/>
          <w:szCs w:val="20"/>
          <w:lang w:val="es-ES" w:eastAsia="es-CR"/>
        </w:rPr>
        <w:t xml:space="preserve">a través de su punto resolutivo 10 </w:t>
      </w:r>
      <w:r w:rsidR="00F86B8B" w:rsidRPr="009B7DFC">
        <w:rPr>
          <w:rFonts w:ascii="Verdana" w:eastAsia="Verdana" w:hAnsi="Verdana" w:cs="Verdana"/>
          <w:sz w:val="20"/>
          <w:szCs w:val="20"/>
          <w:lang w:val="es-ES" w:eastAsia="es-CR"/>
        </w:rPr>
        <w:t xml:space="preserve">que: </w:t>
      </w:r>
    </w:p>
    <w:p w:rsidR="00F86B8B" w:rsidRPr="000D391C" w:rsidRDefault="00F86B8B" w:rsidP="00A634C9">
      <w:pPr>
        <w:widowControl w:val="0"/>
        <w:tabs>
          <w:tab w:val="left" w:pos="567"/>
        </w:tabs>
        <w:adjustRightInd w:val="0"/>
        <w:spacing w:before="120" w:after="240" w:line="240" w:lineRule="auto"/>
        <w:ind w:left="567"/>
        <w:jc w:val="both"/>
        <w:textAlignment w:val="baseline"/>
        <w:rPr>
          <w:rFonts w:ascii="Verdana" w:hAnsi="Verdana"/>
          <w:sz w:val="18"/>
          <w:szCs w:val="18"/>
        </w:rPr>
      </w:pPr>
      <w:r w:rsidRPr="000D391C">
        <w:rPr>
          <w:rFonts w:ascii="Verdana" w:hAnsi="Verdana"/>
          <w:sz w:val="18"/>
          <w:szCs w:val="18"/>
        </w:rPr>
        <w:t>El Estado debe realizar, a la mayor brevedad, una búsqueda rigurosa, sistemática y con los recursos humanos, técnicos y económicos adecuados, en la cual realice todos los esfuerzos para determinar el paradero de Nitza Paola Alvarado Espinoza, Rocío Irene Alvarado Reyes y José Ángel Alvarado Herrera, en los términos de los párrafos 247 y 300 de esta Sentencia.</w:t>
      </w:r>
    </w:p>
    <w:p w:rsidR="00D143EB" w:rsidRPr="009B7DFC" w:rsidRDefault="00F86B8B" w:rsidP="00A634C9">
      <w:pPr>
        <w:widowControl w:val="0"/>
        <w:numPr>
          <w:ilvl w:val="0"/>
          <w:numId w:val="1"/>
        </w:numPr>
        <w:tabs>
          <w:tab w:val="left" w:pos="567"/>
          <w:tab w:val="num" w:pos="12305"/>
        </w:tabs>
        <w:adjustRightInd w:val="0"/>
        <w:spacing w:before="120" w:after="240" w:line="240" w:lineRule="auto"/>
        <w:ind w:left="0" w:firstLine="0"/>
        <w:jc w:val="both"/>
        <w:textAlignment w:val="baseline"/>
        <w:rPr>
          <w:rFonts w:ascii="Verdana" w:hAnsi="Verdana"/>
          <w:sz w:val="20"/>
          <w:szCs w:val="20"/>
        </w:rPr>
      </w:pPr>
      <w:r w:rsidRPr="009B7DFC">
        <w:rPr>
          <w:rFonts w:ascii="Verdana" w:eastAsia="Verdana" w:hAnsi="Verdana" w:cs="Verdana"/>
          <w:sz w:val="20"/>
          <w:szCs w:val="20"/>
          <w:lang w:val="es-ES" w:eastAsia="es-CR"/>
        </w:rPr>
        <w:t>En</w:t>
      </w:r>
      <w:r w:rsidRPr="009B7DFC">
        <w:rPr>
          <w:rFonts w:ascii="Verdana" w:hAnsi="Verdana"/>
          <w:sz w:val="20"/>
          <w:szCs w:val="20"/>
        </w:rPr>
        <w:t xml:space="preserve"> virtud de</w:t>
      </w:r>
      <w:r w:rsidR="00D143EB" w:rsidRPr="009B7DFC">
        <w:rPr>
          <w:rFonts w:ascii="Verdana" w:hAnsi="Verdana"/>
          <w:sz w:val="20"/>
          <w:szCs w:val="20"/>
        </w:rPr>
        <w:t xml:space="preserve"> </w:t>
      </w:r>
      <w:r w:rsidRPr="009B7DFC">
        <w:rPr>
          <w:rFonts w:ascii="Verdana" w:hAnsi="Verdana"/>
          <w:sz w:val="20"/>
          <w:szCs w:val="20"/>
        </w:rPr>
        <w:t xml:space="preserve">lo solicitado por las representantes, la Corte considera pertinente </w:t>
      </w:r>
      <w:r w:rsidR="00DA0047" w:rsidRPr="009B7DFC">
        <w:rPr>
          <w:rFonts w:ascii="Verdana" w:hAnsi="Verdana"/>
          <w:sz w:val="20"/>
          <w:szCs w:val="20"/>
        </w:rPr>
        <w:t>recordar</w:t>
      </w:r>
      <w:r w:rsidR="00D143EB" w:rsidRPr="009B7DFC">
        <w:rPr>
          <w:rFonts w:ascii="Verdana" w:hAnsi="Verdana"/>
          <w:sz w:val="20"/>
          <w:szCs w:val="20"/>
        </w:rPr>
        <w:t xml:space="preserve"> que es preciso que las partes realicen una lectura integral de la Sentencia y no consideren cada párrafo del fallo como si fuese independiente del resto</w:t>
      </w:r>
      <w:r w:rsidR="00D143EB" w:rsidRPr="009B7DFC">
        <w:rPr>
          <w:rStyle w:val="Refdenotaalpie"/>
          <w:rFonts w:ascii="Verdana" w:hAnsi="Verdana"/>
          <w:sz w:val="20"/>
          <w:szCs w:val="20"/>
        </w:rPr>
        <w:footnoteReference w:id="10"/>
      </w:r>
      <w:r w:rsidR="00D143EB" w:rsidRPr="009B7DFC">
        <w:rPr>
          <w:rFonts w:ascii="Verdana" w:hAnsi="Verdana"/>
          <w:sz w:val="20"/>
          <w:szCs w:val="20"/>
        </w:rPr>
        <w:t>. En este sentido, de la lectura conjunta de los párrafos 298 al 300</w:t>
      </w:r>
      <w:r w:rsidR="00B45E8D" w:rsidRPr="009B7DFC">
        <w:rPr>
          <w:rFonts w:ascii="Verdana" w:hAnsi="Verdana"/>
          <w:sz w:val="20"/>
          <w:szCs w:val="20"/>
        </w:rPr>
        <w:t>,</w:t>
      </w:r>
      <w:r w:rsidR="00D143EB" w:rsidRPr="009B7DFC">
        <w:rPr>
          <w:rFonts w:ascii="Verdana" w:hAnsi="Verdana"/>
          <w:sz w:val="20"/>
          <w:szCs w:val="20"/>
        </w:rPr>
        <w:t xml:space="preserve"> a la luz de lo establecido en el punto resolutivo 10 de la Sentencia, se desprenden los criterios ordenados como medida de reparación por esta Corte</w:t>
      </w:r>
      <w:r w:rsidR="00B45E8D" w:rsidRPr="009B7DFC">
        <w:rPr>
          <w:rFonts w:ascii="Verdana" w:hAnsi="Verdana"/>
          <w:sz w:val="20"/>
          <w:szCs w:val="20"/>
        </w:rPr>
        <w:t xml:space="preserve"> </w:t>
      </w:r>
      <w:r w:rsidR="00DA0047" w:rsidRPr="009B7DFC">
        <w:rPr>
          <w:rFonts w:ascii="Verdana" w:hAnsi="Verdana"/>
          <w:sz w:val="20"/>
          <w:szCs w:val="20"/>
        </w:rPr>
        <w:t>con respecto a la obligación de dar con el paradero de las víctimas</w:t>
      </w:r>
      <w:r w:rsidR="00D143EB" w:rsidRPr="009B7DFC">
        <w:rPr>
          <w:rFonts w:ascii="Verdana" w:hAnsi="Verdana"/>
          <w:sz w:val="20"/>
          <w:szCs w:val="20"/>
        </w:rPr>
        <w:t xml:space="preserve">. En virtud de lo anterior, este Tribunal no considera relevante esbozar más consideraciones </w:t>
      </w:r>
      <w:r w:rsidR="00DA0047" w:rsidRPr="009B7DFC">
        <w:rPr>
          <w:rFonts w:ascii="Verdana" w:hAnsi="Verdana"/>
          <w:sz w:val="20"/>
          <w:szCs w:val="20"/>
        </w:rPr>
        <w:t xml:space="preserve">al respecto. </w:t>
      </w:r>
    </w:p>
    <w:p w:rsidR="00A9217D" w:rsidRPr="000D391C" w:rsidRDefault="00C72A1E" w:rsidP="00A634C9">
      <w:pPr>
        <w:pStyle w:val="Prrafodelista"/>
        <w:numPr>
          <w:ilvl w:val="0"/>
          <w:numId w:val="2"/>
        </w:numPr>
        <w:tabs>
          <w:tab w:val="left" w:pos="1134"/>
        </w:tabs>
        <w:spacing w:before="120" w:after="240" w:line="240" w:lineRule="auto"/>
        <w:ind w:hanging="11"/>
        <w:rPr>
          <w:rFonts w:ascii="Verdana" w:hAnsi="Verdana"/>
          <w:i/>
          <w:sz w:val="20"/>
          <w:szCs w:val="20"/>
          <w:lang w:val="es-CR"/>
        </w:rPr>
      </w:pPr>
      <w:r w:rsidRPr="009B7DFC">
        <w:rPr>
          <w:rFonts w:ascii="Verdana" w:hAnsi="Verdana"/>
          <w:b/>
          <w:i/>
          <w:sz w:val="20"/>
          <w:szCs w:val="20"/>
          <w:lang w:val="es-CR"/>
        </w:rPr>
        <w:t>En relación con el alcance y plazo relativo a la medida respecto del registro de personas desaparecidas.</w:t>
      </w:r>
    </w:p>
    <w:p w:rsidR="000D391C" w:rsidRPr="000D391C" w:rsidRDefault="000D391C" w:rsidP="00A634C9">
      <w:pPr>
        <w:pStyle w:val="Prrafodelista"/>
        <w:tabs>
          <w:tab w:val="left" w:pos="1134"/>
        </w:tabs>
        <w:spacing w:before="120" w:after="240" w:line="240" w:lineRule="auto"/>
        <w:ind w:firstLine="0"/>
        <w:rPr>
          <w:rFonts w:ascii="Verdana" w:hAnsi="Verdana"/>
          <w:i/>
          <w:sz w:val="20"/>
          <w:szCs w:val="20"/>
          <w:lang w:val="es-CR"/>
        </w:rPr>
      </w:pPr>
    </w:p>
    <w:p w:rsidR="00A9217D" w:rsidRPr="009B7DFC" w:rsidRDefault="00A9217D" w:rsidP="00A634C9">
      <w:pPr>
        <w:pStyle w:val="Prrafodelista"/>
        <w:tabs>
          <w:tab w:val="left" w:pos="1134"/>
        </w:tabs>
        <w:spacing w:before="120" w:after="240" w:line="240" w:lineRule="auto"/>
        <w:ind w:firstLine="0"/>
        <w:rPr>
          <w:rFonts w:ascii="Verdana" w:hAnsi="Verdana"/>
          <w:i/>
          <w:sz w:val="20"/>
          <w:szCs w:val="20"/>
          <w:lang w:val="es-CR"/>
        </w:rPr>
      </w:pPr>
      <w:r w:rsidRPr="009B7DFC">
        <w:rPr>
          <w:rFonts w:ascii="Verdana" w:hAnsi="Verdana"/>
          <w:i/>
          <w:sz w:val="20"/>
          <w:szCs w:val="20"/>
          <w:lang w:val="es-CR"/>
        </w:rPr>
        <w:tab/>
      </w:r>
      <w:r w:rsidRPr="009B7DFC">
        <w:rPr>
          <w:rFonts w:ascii="Verdana" w:hAnsi="Verdana"/>
          <w:i/>
          <w:sz w:val="20"/>
          <w:szCs w:val="20"/>
          <w:lang w:val="es-CR"/>
        </w:rPr>
        <w:tab/>
        <w:t>B.1. Argumentos de las partes y de la Comisión</w:t>
      </w:r>
    </w:p>
    <w:p w:rsidR="00DA0047" w:rsidRPr="009B7DFC" w:rsidRDefault="00DA0047" w:rsidP="00A634C9">
      <w:pPr>
        <w:widowControl w:val="0"/>
        <w:numPr>
          <w:ilvl w:val="0"/>
          <w:numId w:val="1"/>
        </w:numPr>
        <w:tabs>
          <w:tab w:val="left" w:pos="567"/>
          <w:tab w:val="num" w:pos="12305"/>
        </w:tabs>
        <w:adjustRightInd w:val="0"/>
        <w:spacing w:before="120" w:after="240" w:line="240" w:lineRule="auto"/>
        <w:ind w:left="0" w:firstLine="0"/>
        <w:jc w:val="both"/>
        <w:textAlignment w:val="baseline"/>
        <w:rPr>
          <w:rFonts w:ascii="Verdana" w:eastAsia="Verdana" w:hAnsi="Verdana" w:cs="Verdana"/>
          <w:sz w:val="20"/>
          <w:szCs w:val="20"/>
          <w:lang w:val="es-ES" w:eastAsia="es-CR"/>
        </w:rPr>
      </w:pPr>
      <w:r w:rsidRPr="009B7DFC">
        <w:rPr>
          <w:rFonts w:ascii="Verdana" w:eastAsia="Verdana" w:hAnsi="Verdana" w:cs="Verdana"/>
          <w:sz w:val="20"/>
          <w:szCs w:val="20"/>
          <w:lang w:val="es-ES" w:eastAsia="es-CR"/>
        </w:rPr>
        <w:t xml:space="preserve">Las </w:t>
      </w:r>
      <w:r w:rsidRPr="009B7DFC">
        <w:rPr>
          <w:rFonts w:ascii="Verdana" w:eastAsia="Verdana" w:hAnsi="Verdana" w:cs="Verdana"/>
          <w:b/>
          <w:i/>
          <w:sz w:val="20"/>
          <w:szCs w:val="20"/>
          <w:lang w:val="es-ES" w:eastAsia="es-CR"/>
        </w:rPr>
        <w:t>representantes</w:t>
      </w:r>
      <w:r w:rsidRPr="009B7DFC">
        <w:rPr>
          <w:rFonts w:ascii="Verdana" w:eastAsia="Verdana" w:hAnsi="Verdana" w:cs="Verdana"/>
          <w:sz w:val="20"/>
          <w:szCs w:val="20"/>
          <w:lang w:val="es-ES" w:eastAsia="es-CR"/>
        </w:rPr>
        <w:t>, con respecto al párrafo 325</w:t>
      </w:r>
      <w:r w:rsidRPr="009B7DFC">
        <w:rPr>
          <w:rStyle w:val="Refdenotaalpie"/>
          <w:rFonts w:ascii="Verdana" w:eastAsia="Verdana" w:hAnsi="Verdana" w:cs="Verdana"/>
          <w:sz w:val="20"/>
          <w:szCs w:val="20"/>
          <w:lang w:val="es-ES" w:eastAsia="es-CR"/>
        </w:rPr>
        <w:footnoteReference w:id="11"/>
      </w:r>
      <w:r w:rsidRPr="009B7DFC">
        <w:rPr>
          <w:rFonts w:ascii="Verdana" w:eastAsia="Verdana" w:hAnsi="Verdana" w:cs="Verdana"/>
          <w:sz w:val="20"/>
          <w:szCs w:val="20"/>
          <w:lang w:val="es-ES" w:eastAsia="es-CR"/>
        </w:rPr>
        <w:t xml:space="preserve"> de la Sentencia, resaltaron que el uso del término “recomienda” causa confusión respecto a los alcances de la obligación contenida en dicho párrafo a la luz de lo resuelto en el punto resolutivo 16</w:t>
      </w:r>
      <w:r w:rsidRPr="009B7DFC">
        <w:rPr>
          <w:rStyle w:val="Refdenotaalpie"/>
          <w:rFonts w:ascii="Verdana" w:eastAsia="Verdana" w:hAnsi="Verdana" w:cs="Verdana"/>
          <w:sz w:val="20"/>
          <w:szCs w:val="20"/>
          <w:lang w:val="es-ES" w:eastAsia="es-CR"/>
        </w:rPr>
        <w:footnoteReference w:id="12"/>
      </w:r>
      <w:r w:rsidRPr="009B7DFC">
        <w:rPr>
          <w:rFonts w:ascii="Verdana" w:eastAsia="Verdana" w:hAnsi="Verdana" w:cs="Verdana"/>
          <w:sz w:val="20"/>
          <w:szCs w:val="20"/>
          <w:lang w:val="es-ES" w:eastAsia="es-CR"/>
        </w:rPr>
        <w:t xml:space="preserve">. En este sentido, detallaron una serie de dudas generadas por el fraseo utilizado: </w:t>
      </w:r>
    </w:p>
    <w:p w:rsidR="00C72A1E" w:rsidRPr="000D391C" w:rsidRDefault="00C72A1E" w:rsidP="00A634C9">
      <w:pPr>
        <w:spacing w:before="120" w:after="240" w:line="240" w:lineRule="auto"/>
        <w:ind w:left="720"/>
        <w:jc w:val="both"/>
        <w:rPr>
          <w:rFonts w:ascii="Verdana" w:hAnsi="Verdana"/>
          <w:sz w:val="18"/>
          <w:szCs w:val="18"/>
        </w:rPr>
      </w:pPr>
      <w:r w:rsidRPr="000D391C">
        <w:rPr>
          <w:rFonts w:ascii="Verdana" w:hAnsi="Verdana"/>
          <w:sz w:val="18"/>
          <w:szCs w:val="18"/>
        </w:rPr>
        <w:t>a. ¿Cómo debe entenderse y cuál es el alcance del vocablo “recomienda” en este párrafo de la resolución de la Honorable Corte a la luz de la obligación contenida en el resolutivo 16 del mismo fallo?</w:t>
      </w:r>
    </w:p>
    <w:p w:rsidR="00C72A1E" w:rsidRPr="000D391C" w:rsidRDefault="00C72A1E" w:rsidP="00A634C9">
      <w:pPr>
        <w:spacing w:before="120" w:after="240" w:line="240" w:lineRule="auto"/>
        <w:ind w:left="720"/>
        <w:jc w:val="both"/>
        <w:rPr>
          <w:rFonts w:ascii="Verdana" w:hAnsi="Verdana"/>
          <w:sz w:val="18"/>
          <w:szCs w:val="18"/>
        </w:rPr>
      </w:pPr>
      <w:r w:rsidRPr="000D391C">
        <w:rPr>
          <w:rFonts w:ascii="Verdana" w:hAnsi="Verdana"/>
          <w:sz w:val="18"/>
          <w:szCs w:val="18"/>
        </w:rPr>
        <w:t xml:space="preserve">b. ¿Cuáles de los criterios previstos en el párrafo 325 son necesarios para que las medidas analizadas por el Ilustre Estado mexicano constituyan “medidas adecuadas para la creación de un registro único y actualizado de personas desaparecidas”? </w:t>
      </w:r>
    </w:p>
    <w:p w:rsidR="00C72A1E" w:rsidRPr="000D391C" w:rsidRDefault="00C72A1E" w:rsidP="00A634C9">
      <w:pPr>
        <w:spacing w:before="120" w:after="240" w:line="240" w:lineRule="auto"/>
        <w:ind w:left="720"/>
        <w:jc w:val="both"/>
        <w:rPr>
          <w:rFonts w:ascii="Verdana" w:hAnsi="Verdana"/>
          <w:sz w:val="18"/>
          <w:szCs w:val="18"/>
        </w:rPr>
      </w:pPr>
      <w:r w:rsidRPr="000D391C">
        <w:rPr>
          <w:rFonts w:ascii="Verdana" w:hAnsi="Verdana"/>
          <w:sz w:val="18"/>
          <w:szCs w:val="18"/>
        </w:rPr>
        <w:lastRenderedPageBreak/>
        <w:t>c. Si bien la Honorable Corte establece que el Estado deberá informar sobre este tema en su informe anual de cumplimiento (al igual que todas las reparaciones ordenadas, salvo las relacionadas con el resolutivo 14), consideramos que sería muy importante que se definiera un plazo determinado para que el Estado haga el análisis sobre la idoneidad de las medidas para la creación del registro mencionado y, en su caso, sobre las el tipo de seguimiento que hará esta Corte a la información sumini</w:t>
      </w:r>
      <w:r w:rsidR="00DA0047" w:rsidRPr="000D391C">
        <w:rPr>
          <w:rFonts w:ascii="Verdana" w:hAnsi="Verdana"/>
          <w:sz w:val="18"/>
          <w:szCs w:val="18"/>
        </w:rPr>
        <w:t>strada por el Estado condenado.</w:t>
      </w:r>
    </w:p>
    <w:p w:rsidR="00C72A1E" w:rsidRPr="009B7DFC" w:rsidRDefault="00C72A1E" w:rsidP="00A634C9">
      <w:pPr>
        <w:widowControl w:val="0"/>
        <w:numPr>
          <w:ilvl w:val="0"/>
          <w:numId w:val="1"/>
        </w:numPr>
        <w:tabs>
          <w:tab w:val="left" w:pos="567"/>
          <w:tab w:val="num" w:pos="12305"/>
        </w:tabs>
        <w:adjustRightInd w:val="0"/>
        <w:spacing w:before="120" w:after="240" w:line="240" w:lineRule="auto"/>
        <w:ind w:left="0" w:firstLine="0"/>
        <w:jc w:val="both"/>
        <w:textAlignment w:val="baseline"/>
        <w:rPr>
          <w:rFonts w:ascii="Verdana" w:eastAsia="Verdana" w:hAnsi="Verdana" w:cs="Verdana"/>
          <w:sz w:val="20"/>
          <w:szCs w:val="20"/>
          <w:lang w:val="es-ES" w:eastAsia="es-CR"/>
        </w:rPr>
      </w:pPr>
      <w:r w:rsidRPr="009B7DFC">
        <w:rPr>
          <w:rFonts w:ascii="Verdana" w:eastAsia="Verdana" w:hAnsi="Verdana" w:cs="Verdana"/>
          <w:sz w:val="20"/>
          <w:szCs w:val="20"/>
          <w:lang w:val="es-ES" w:eastAsia="es-CR"/>
        </w:rPr>
        <w:t xml:space="preserve">Por las razones anteriores, solicitaron que se aclare el alcance de la medida establecida, a fin de generar certeza a las partes. </w:t>
      </w:r>
    </w:p>
    <w:p w:rsidR="00C72A1E" w:rsidRPr="009B7DFC" w:rsidRDefault="00C72A1E" w:rsidP="00A634C9">
      <w:pPr>
        <w:widowControl w:val="0"/>
        <w:numPr>
          <w:ilvl w:val="0"/>
          <w:numId w:val="1"/>
        </w:numPr>
        <w:tabs>
          <w:tab w:val="left" w:pos="567"/>
          <w:tab w:val="num" w:pos="12305"/>
        </w:tabs>
        <w:adjustRightInd w:val="0"/>
        <w:spacing w:before="120" w:after="240" w:line="240" w:lineRule="auto"/>
        <w:ind w:left="0" w:firstLine="0"/>
        <w:jc w:val="both"/>
        <w:textAlignment w:val="baseline"/>
        <w:rPr>
          <w:rFonts w:ascii="Verdana" w:eastAsia="Verdana" w:hAnsi="Verdana" w:cs="Verdana"/>
          <w:sz w:val="20"/>
          <w:szCs w:val="20"/>
          <w:lang w:val="es-ES" w:eastAsia="es-CR"/>
        </w:rPr>
      </w:pPr>
      <w:r w:rsidRPr="009B7DFC">
        <w:rPr>
          <w:rFonts w:ascii="Verdana" w:eastAsia="Verdana" w:hAnsi="Verdana" w:cs="Verdana"/>
          <w:sz w:val="20"/>
          <w:szCs w:val="20"/>
          <w:lang w:val="es-ES" w:eastAsia="es-CR"/>
        </w:rPr>
        <w:t xml:space="preserve">El </w:t>
      </w:r>
      <w:r w:rsidRPr="009B7DFC">
        <w:rPr>
          <w:rFonts w:ascii="Verdana" w:eastAsia="Verdana" w:hAnsi="Verdana" w:cs="Verdana"/>
          <w:b/>
          <w:i/>
          <w:sz w:val="20"/>
          <w:szCs w:val="20"/>
          <w:lang w:val="es-ES" w:eastAsia="es-CR"/>
        </w:rPr>
        <w:t>Estado</w:t>
      </w:r>
      <w:r w:rsidRPr="009B7DFC">
        <w:rPr>
          <w:rFonts w:ascii="Verdana" w:eastAsia="Verdana" w:hAnsi="Verdana" w:cs="Verdana"/>
          <w:sz w:val="20"/>
          <w:szCs w:val="20"/>
          <w:lang w:val="es-ES" w:eastAsia="es-CR"/>
        </w:rPr>
        <w:t xml:space="preserve">, en primer lugar, destacó que la Ley </w:t>
      </w:r>
      <w:r w:rsidR="00CB1042" w:rsidRPr="009B7DFC">
        <w:rPr>
          <w:rFonts w:ascii="Verdana" w:eastAsia="Verdana" w:hAnsi="Verdana" w:cs="Verdana"/>
          <w:sz w:val="20"/>
          <w:szCs w:val="20"/>
          <w:lang w:val="es-ES" w:eastAsia="es-CR"/>
        </w:rPr>
        <w:t>G</w:t>
      </w:r>
      <w:r w:rsidRPr="009B7DFC">
        <w:rPr>
          <w:rFonts w:ascii="Verdana" w:eastAsia="Verdana" w:hAnsi="Verdana" w:cs="Verdana"/>
          <w:sz w:val="20"/>
          <w:szCs w:val="20"/>
          <w:lang w:val="es-ES" w:eastAsia="es-CR"/>
        </w:rPr>
        <w:t>eneral en Materia de Desaparición forzada de Personas, Desaparición Cometida por Particulares y del Sistema Nacional de Búsqueda (LGMDFP) del 17 de noviembre de 2017, estableció la creación del registro Nacional de Personas Desaparecidas y no Localizadas. En este sentido, señaló que la obligación de crear un registro de Personas Desaparecidas es una obligación establecida por</w:t>
      </w:r>
      <w:r w:rsidR="00B45E8D" w:rsidRPr="009B7DFC">
        <w:rPr>
          <w:rFonts w:ascii="Verdana" w:eastAsia="Verdana" w:hAnsi="Verdana" w:cs="Verdana"/>
          <w:sz w:val="20"/>
          <w:szCs w:val="20"/>
          <w:lang w:val="es-ES" w:eastAsia="es-CR"/>
        </w:rPr>
        <w:t xml:space="preserve"> la LGMDFP que continúa bajo </w:t>
      </w:r>
      <w:r w:rsidRPr="009B7DFC">
        <w:rPr>
          <w:rFonts w:ascii="Verdana" w:eastAsia="Verdana" w:hAnsi="Verdana" w:cs="Verdana"/>
          <w:sz w:val="20"/>
          <w:szCs w:val="20"/>
          <w:lang w:val="es-ES" w:eastAsia="es-CR"/>
        </w:rPr>
        <w:t xml:space="preserve">fortalecimiento para continuar su funcionamiento adecuado y efectivo. De esta manera, estableció que, independientemente del término que sea utilizado por la Corte en el punto resolutivo 16, el Estado dará cumplimiento a la Sentencia dictada en el presente caso. </w:t>
      </w:r>
    </w:p>
    <w:p w:rsidR="00C72A1E" w:rsidRPr="009B7DFC" w:rsidRDefault="00C72A1E" w:rsidP="00A634C9">
      <w:pPr>
        <w:widowControl w:val="0"/>
        <w:numPr>
          <w:ilvl w:val="0"/>
          <w:numId w:val="1"/>
        </w:numPr>
        <w:tabs>
          <w:tab w:val="left" w:pos="567"/>
          <w:tab w:val="num" w:pos="12305"/>
        </w:tabs>
        <w:adjustRightInd w:val="0"/>
        <w:spacing w:before="120" w:after="240" w:line="240" w:lineRule="auto"/>
        <w:ind w:left="0" w:firstLine="0"/>
        <w:jc w:val="both"/>
        <w:textAlignment w:val="baseline"/>
        <w:rPr>
          <w:rFonts w:ascii="Verdana" w:eastAsia="Verdana" w:hAnsi="Verdana" w:cs="Verdana"/>
          <w:sz w:val="20"/>
          <w:szCs w:val="20"/>
          <w:lang w:val="es-ES" w:eastAsia="es-CR"/>
        </w:rPr>
      </w:pPr>
      <w:r w:rsidRPr="009B7DFC">
        <w:rPr>
          <w:rFonts w:ascii="Verdana" w:hAnsi="Verdana"/>
          <w:sz w:val="20"/>
          <w:szCs w:val="20"/>
        </w:rPr>
        <w:t xml:space="preserve">Por su parte, la </w:t>
      </w:r>
      <w:r w:rsidRPr="009B7DFC">
        <w:rPr>
          <w:rFonts w:ascii="Verdana" w:hAnsi="Verdana"/>
          <w:b/>
          <w:i/>
          <w:sz w:val="20"/>
          <w:szCs w:val="20"/>
        </w:rPr>
        <w:t>Comisión</w:t>
      </w:r>
      <w:r w:rsidRPr="009B7DFC">
        <w:rPr>
          <w:rFonts w:ascii="Verdana" w:hAnsi="Verdana"/>
          <w:sz w:val="20"/>
          <w:szCs w:val="20"/>
        </w:rPr>
        <w:t xml:space="preserve"> estimó necesario que se clarifique el alcance del punto resolutivo 16, indicando específicamente, si los criterios del párrafo 325 son de cumplimiento obligatorio para el Estado. </w:t>
      </w:r>
    </w:p>
    <w:p w:rsidR="00DA0047" w:rsidRPr="009B7DFC" w:rsidRDefault="00A9217D" w:rsidP="00A634C9">
      <w:pPr>
        <w:widowControl w:val="0"/>
        <w:tabs>
          <w:tab w:val="left" w:pos="567"/>
        </w:tabs>
        <w:adjustRightInd w:val="0"/>
        <w:spacing w:before="120" w:after="240" w:line="240" w:lineRule="auto"/>
        <w:jc w:val="both"/>
        <w:textAlignment w:val="baseline"/>
        <w:rPr>
          <w:rFonts w:ascii="Verdana" w:hAnsi="Verdana"/>
          <w:i/>
          <w:sz w:val="20"/>
          <w:szCs w:val="20"/>
        </w:rPr>
      </w:pPr>
      <w:r w:rsidRPr="009B7DFC">
        <w:rPr>
          <w:rFonts w:ascii="Verdana" w:hAnsi="Verdana"/>
          <w:b/>
          <w:sz w:val="20"/>
          <w:szCs w:val="20"/>
        </w:rPr>
        <w:tab/>
      </w:r>
      <w:r w:rsidRPr="009B7DFC">
        <w:rPr>
          <w:rFonts w:ascii="Verdana" w:hAnsi="Verdana"/>
          <w:b/>
          <w:sz w:val="20"/>
          <w:szCs w:val="20"/>
        </w:rPr>
        <w:tab/>
      </w:r>
      <w:r w:rsidRPr="009B7DFC">
        <w:rPr>
          <w:rFonts w:ascii="Verdana" w:hAnsi="Verdana"/>
          <w:b/>
          <w:sz w:val="20"/>
          <w:szCs w:val="20"/>
        </w:rPr>
        <w:tab/>
      </w:r>
      <w:r w:rsidRPr="009B7DFC">
        <w:rPr>
          <w:rFonts w:ascii="Verdana" w:hAnsi="Verdana"/>
          <w:i/>
          <w:sz w:val="20"/>
          <w:szCs w:val="20"/>
        </w:rPr>
        <w:t xml:space="preserve">B.2. </w:t>
      </w:r>
      <w:r w:rsidR="00DA0047" w:rsidRPr="009B7DFC">
        <w:rPr>
          <w:rFonts w:ascii="Verdana" w:hAnsi="Verdana"/>
          <w:i/>
          <w:sz w:val="20"/>
          <w:szCs w:val="20"/>
        </w:rPr>
        <w:t>Consideraciones de la Corte</w:t>
      </w:r>
    </w:p>
    <w:p w:rsidR="00C32D34" w:rsidRPr="009B7DFC" w:rsidRDefault="00A9217D" w:rsidP="00A634C9">
      <w:pPr>
        <w:widowControl w:val="0"/>
        <w:numPr>
          <w:ilvl w:val="0"/>
          <w:numId w:val="1"/>
        </w:numPr>
        <w:tabs>
          <w:tab w:val="left" w:pos="567"/>
          <w:tab w:val="num" w:pos="12305"/>
        </w:tabs>
        <w:adjustRightInd w:val="0"/>
        <w:spacing w:before="120" w:after="240" w:line="240" w:lineRule="auto"/>
        <w:ind w:left="0" w:firstLine="0"/>
        <w:jc w:val="both"/>
        <w:textAlignment w:val="baseline"/>
        <w:rPr>
          <w:rFonts w:ascii="Verdana" w:eastAsia="Verdana" w:hAnsi="Verdana" w:cs="Verdana"/>
          <w:sz w:val="20"/>
          <w:szCs w:val="20"/>
          <w:lang w:val="es-ES" w:eastAsia="es-CR"/>
        </w:rPr>
      </w:pPr>
      <w:r w:rsidRPr="009B7DFC">
        <w:rPr>
          <w:rFonts w:ascii="Verdana" w:hAnsi="Verdana"/>
          <w:sz w:val="20"/>
          <w:szCs w:val="20"/>
        </w:rPr>
        <w:t xml:space="preserve">En virtud de lo solicitado por las representantes, así como de las interrogantes planteadas, </w:t>
      </w:r>
      <w:r w:rsidR="00C32D34" w:rsidRPr="009B7DFC">
        <w:rPr>
          <w:rFonts w:ascii="Verdana" w:hAnsi="Verdana"/>
          <w:sz w:val="20"/>
          <w:szCs w:val="20"/>
        </w:rPr>
        <w:t xml:space="preserve">la </w:t>
      </w:r>
      <w:r w:rsidR="00CB1042" w:rsidRPr="009B7DFC">
        <w:rPr>
          <w:rFonts w:ascii="Verdana" w:hAnsi="Verdana"/>
          <w:b/>
          <w:i/>
          <w:sz w:val="20"/>
          <w:szCs w:val="20"/>
        </w:rPr>
        <w:t>C</w:t>
      </w:r>
      <w:r w:rsidR="00C32D34" w:rsidRPr="009B7DFC">
        <w:rPr>
          <w:rFonts w:ascii="Verdana" w:hAnsi="Verdana"/>
          <w:b/>
          <w:i/>
          <w:sz w:val="20"/>
          <w:szCs w:val="20"/>
        </w:rPr>
        <w:t>orte</w:t>
      </w:r>
      <w:r w:rsidR="00C32D34" w:rsidRPr="009B7DFC">
        <w:rPr>
          <w:rFonts w:ascii="Verdana" w:hAnsi="Verdana"/>
          <w:sz w:val="20"/>
          <w:szCs w:val="20"/>
        </w:rPr>
        <w:t xml:space="preserve"> nota que se refiere a tres aspectos distintos: a) el alcance del término “recomienda”, b) los criterios recomendados en el párrafo 325, y c) la solicitud de que se fije un plazo para que el Estado realice un análisis sobre la idoneidad de las medidas para la creación del registro mencionado. </w:t>
      </w:r>
    </w:p>
    <w:p w:rsidR="00A9217D" w:rsidRPr="009B7DFC" w:rsidRDefault="00C32D34" w:rsidP="00A634C9">
      <w:pPr>
        <w:widowControl w:val="0"/>
        <w:numPr>
          <w:ilvl w:val="0"/>
          <w:numId w:val="1"/>
        </w:numPr>
        <w:tabs>
          <w:tab w:val="left" w:pos="567"/>
          <w:tab w:val="num" w:pos="12305"/>
        </w:tabs>
        <w:adjustRightInd w:val="0"/>
        <w:spacing w:before="120" w:after="240" w:line="240" w:lineRule="auto"/>
        <w:ind w:left="0" w:firstLine="0"/>
        <w:jc w:val="both"/>
        <w:textAlignment w:val="baseline"/>
        <w:rPr>
          <w:rFonts w:ascii="Verdana" w:eastAsia="Verdana" w:hAnsi="Verdana" w:cs="Verdana"/>
          <w:sz w:val="20"/>
          <w:szCs w:val="20"/>
          <w:lang w:val="es-ES" w:eastAsia="es-CR"/>
        </w:rPr>
      </w:pPr>
      <w:r w:rsidRPr="009B7DFC">
        <w:rPr>
          <w:rFonts w:ascii="Verdana" w:hAnsi="Verdana"/>
          <w:sz w:val="20"/>
          <w:szCs w:val="20"/>
        </w:rPr>
        <w:t xml:space="preserve">Con relación a los primeros dos aspectos, </w:t>
      </w:r>
      <w:r w:rsidR="00A9217D" w:rsidRPr="009B7DFC">
        <w:rPr>
          <w:rFonts w:ascii="Verdana" w:hAnsi="Verdana"/>
          <w:sz w:val="20"/>
          <w:szCs w:val="20"/>
        </w:rPr>
        <w:t xml:space="preserve">la Corte </w:t>
      </w:r>
      <w:r w:rsidR="00D80540" w:rsidRPr="009B7DFC">
        <w:rPr>
          <w:rFonts w:ascii="Verdana" w:hAnsi="Verdana"/>
          <w:sz w:val="20"/>
          <w:szCs w:val="20"/>
        </w:rPr>
        <w:t>se permite aclara</w:t>
      </w:r>
      <w:r w:rsidRPr="009B7DFC">
        <w:rPr>
          <w:rFonts w:ascii="Verdana" w:hAnsi="Verdana"/>
          <w:sz w:val="20"/>
          <w:szCs w:val="20"/>
        </w:rPr>
        <w:t>r</w:t>
      </w:r>
      <w:r w:rsidR="00D80540" w:rsidRPr="009B7DFC">
        <w:rPr>
          <w:rFonts w:ascii="Verdana" w:hAnsi="Verdana"/>
          <w:sz w:val="20"/>
          <w:szCs w:val="20"/>
        </w:rPr>
        <w:t xml:space="preserve"> que lo establecido en el párrafo 325 de la Sentencia se trata de criterios que</w:t>
      </w:r>
      <w:r w:rsidR="00B45E8D" w:rsidRPr="009B7DFC">
        <w:rPr>
          <w:rFonts w:ascii="Verdana" w:hAnsi="Verdana"/>
          <w:sz w:val="20"/>
          <w:szCs w:val="20"/>
        </w:rPr>
        <w:t xml:space="preserve"> el Estado</w:t>
      </w:r>
      <w:r w:rsidR="00D80540" w:rsidRPr="009B7DFC">
        <w:rPr>
          <w:rFonts w:ascii="Verdana" w:hAnsi="Verdana"/>
          <w:sz w:val="20"/>
          <w:szCs w:val="20"/>
        </w:rPr>
        <w:t xml:space="preserve"> podrá analizar e incluso incorporar, si así lo determina, a fin de cumplir con la obligación contenida en el punto resolutivo 16 sobre la creación de un </w:t>
      </w:r>
      <w:r w:rsidR="00D80540" w:rsidRPr="009B7DFC">
        <w:rPr>
          <w:rFonts w:ascii="Verdana" w:hAnsi="Verdana"/>
          <w:i/>
          <w:sz w:val="20"/>
          <w:szCs w:val="20"/>
        </w:rPr>
        <w:t>“</w:t>
      </w:r>
      <w:r w:rsidR="00D80540" w:rsidRPr="009B7DFC">
        <w:rPr>
          <w:rFonts w:ascii="Verdana" w:hAnsi="Verdana"/>
          <w:sz w:val="20"/>
          <w:szCs w:val="20"/>
        </w:rPr>
        <w:t>registro único y actualizado de personas desaparecidas que genere datos estadísticos que permitan determinar claramente en qué casos se trata de “desapariciones forzadas””</w:t>
      </w:r>
      <w:r w:rsidR="00D80540" w:rsidRPr="009B7DFC">
        <w:rPr>
          <w:rFonts w:ascii="Verdana" w:hAnsi="Verdana"/>
          <w:i/>
          <w:sz w:val="20"/>
          <w:szCs w:val="20"/>
        </w:rPr>
        <w:t xml:space="preserve">. </w:t>
      </w:r>
      <w:r w:rsidR="00D80540" w:rsidRPr="009B7DFC">
        <w:rPr>
          <w:rFonts w:ascii="Verdana" w:hAnsi="Verdana"/>
          <w:sz w:val="20"/>
          <w:szCs w:val="20"/>
        </w:rPr>
        <w:t xml:space="preserve">De este modo, la medida de reparación ordenada corresponde a la creación de este </w:t>
      </w:r>
      <w:r w:rsidR="0012717C" w:rsidRPr="009B7DFC">
        <w:rPr>
          <w:rFonts w:ascii="Verdana" w:hAnsi="Verdana"/>
          <w:sz w:val="20"/>
          <w:szCs w:val="20"/>
        </w:rPr>
        <w:t>registro, y no necesariament</w:t>
      </w:r>
      <w:r w:rsidR="00B45E8D" w:rsidRPr="009B7DFC">
        <w:rPr>
          <w:rFonts w:ascii="Verdana" w:hAnsi="Verdana"/>
          <w:sz w:val="20"/>
          <w:szCs w:val="20"/>
        </w:rPr>
        <w:t>e a la incorporación obligatoria</w:t>
      </w:r>
      <w:r w:rsidR="0012717C" w:rsidRPr="009B7DFC">
        <w:rPr>
          <w:rFonts w:ascii="Verdana" w:hAnsi="Verdana"/>
          <w:sz w:val="20"/>
          <w:szCs w:val="20"/>
        </w:rPr>
        <w:t xml:space="preserve"> de los criterios recomendados por este Tribunal en el párrafo 325. </w:t>
      </w:r>
    </w:p>
    <w:p w:rsidR="0012717C" w:rsidRPr="009B7DFC" w:rsidRDefault="00C32D34" w:rsidP="00A634C9">
      <w:pPr>
        <w:widowControl w:val="0"/>
        <w:numPr>
          <w:ilvl w:val="0"/>
          <w:numId w:val="1"/>
        </w:numPr>
        <w:tabs>
          <w:tab w:val="left" w:pos="567"/>
          <w:tab w:val="num" w:pos="720"/>
          <w:tab w:val="num" w:pos="12305"/>
        </w:tabs>
        <w:adjustRightInd w:val="0"/>
        <w:spacing w:before="120" w:after="240" w:line="240" w:lineRule="auto"/>
        <w:ind w:left="0" w:firstLine="0"/>
        <w:jc w:val="both"/>
        <w:textAlignment w:val="baseline"/>
        <w:rPr>
          <w:rFonts w:ascii="Verdana" w:hAnsi="Verdana"/>
          <w:sz w:val="20"/>
          <w:szCs w:val="20"/>
        </w:rPr>
      </w:pPr>
      <w:r w:rsidRPr="009B7DFC">
        <w:rPr>
          <w:rFonts w:ascii="Verdana" w:hAnsi="Verdana"/>
          <w:sz w:val="20"/>
          <w:szCs w:val="20"/>
        </w:rPr>
        <w:t>En cuanto al último aspecto,</w:t>
      </w:r>
      <w:r w:rsidR="0012717C" w:rsidRPr="009B7DFC">
        <w:rPr>
          <w:rFonts w:ascii="Verdana" w:hAnsi="Verdana"/>
          <w:sz w:val="20"/>
          <w:szCs w:val="20"/>
        </w:rPr>
        <w:t xml:space="preserve"> la Corte considera </w:t>
      </w:r>
      <w:r w:rsidRPr="009B7DFC">
        <w:rPr>
          <w:rFonts w:ascii="Verdana" w:hAnsi="Verdana"/>
          <w:sz w:val="20"/>
          <w:szCs w:val="20"/>
        </w:rPr>
        <w:t>importante</w:t>
      </w:r>
      <w:r w:rsidR="0012717C" w:rsidRPr="009B7DFC">
        <w:rPr>
          <w:rFonts w:ascii="Verdana" w:hAnsi="Verdana"/>
          <w:sz w:val="20"/>
          <w:szCs w:val="20"/>
        </w:rPr>
        <w:t xml:space="preserve"> recordar que </w:t>
      </w:r>
      <w:r w:rsidRPr="009B7DFC">
        <w:rPr>
          <w:rFonts w:ascii="Verdana" w:hAnsi="Verdana"/>
          <w:sz w:val="20"/>
          <w:szCs w:val="20"/>
        </w:rPr>
        <w:t xml:space="preserve">la función de interpretación de este Tribunal debe limitarse a aclarar el sentido o alcance de algún punto de la Sentencia, por lo que no correspondería utilizar dicha facultad para ampliar el sentido de las medidas de reparación ordenadas o incluir solicitudes que no fueron hechas en el momento procesal oportuno. </w:t>
      </w:r>
      <w:r w:rsidR="000E1177" w:rsidRPr="009B7DFC">
        <w:rPr>
          <w:rFonts w:ascii="Verdana" w:hAnsi="Verdana"/>
          <w:sz w:val="20"/>
          <w:szCs w:val="20"/>
        </w:rPr>
        <w:t>De manera que</w:t>
      </w:r>
      <w:r w:rsidR="00A20632" w:rsidRPr="009B7DFC">
        <w:rPr>
          <w:rFonts w:ascii="Verdana" w:hAnsi="Verdana"/>
          <w:sz w:val="20"/>
          <w:szCs w:val="20"/>
        </w:rPr>
        <w:t>,</w:t>
      </w:r>
      <w:r w:rsidRPr="009B7DFC">
        <w:rPr>
          <w:rFonts w:ascii="Verdana" w:hAnsi="Verdana"/>
          <w:sz w:val="20"/>
          <w:szCs w:val="20"/>
        </w:rPr>
        <w:t xml:space="preserve"> por esta vía</w:t>
      </w:r>
      <w:r w:rsidR="00A20632" w:rsidRPr="009B7DFC">
        <w:rPr>
          <w:rFonts w:ascii="Verdana" w:hAnsi="Verdana"/>
          <w:sz w:val="20"/>
          <w:szCs w:val="20"/>
        </w:rPr>
        <w:t>,</w:t>
      </w:r>
      <w:r w:rsidRPr="009B7DFC">
        <w:rPr>
          <w:rFonts w:ascii="Verdana" w:hAnsi="Verdana"/>
          <w:sz w:val="20"/>
          <w:szCs w:val="20"/>
        </w:rPr>
        <w:t xml:space="preserve"> </w:t>
      </w:r>
      <w:r w:rsidR="000E1177" w:rsidRPr="009B7DFC">
        <w:rPr>
          <w:rFonts w:ascii="Verdana" w:hAnsi="Verdana"/>
          <w:sz w:val="20"/>
          <w:szCs w:val="20"/>
        </w:rPr>
        <w:t xml:space="preserve">no </w:t>
      </w:r>
      <w:r w:rsidRPr="009B7DFC">
        <w:rPr>
          <w:rFonts w:ascii="Verdana" w:hAnsi="Verdana"/>
          <w:sz w:val="20"/>
          <w:szCs w:val="20"/>
        </w:rPr>
        <w:t>se puede ampliar el alcance de una medida de reparación ordenada oportunamente</w:t>
      </w:r>
      <w:r w:rsidRPr="009B7DFC">
        <w:rPr>
          <w:rFonts w:ascii="Verdana" w:hAnsi="Verdana"/>
          <w:sz w:val="20"/>
          <w:szCs w:val="20"/>
          <w:vertAlign w:val="superscript"/>
        </w:rPr>
        <w:footnoteReference w:id="13"/>
      </w:r>
      <w:r w:rsidR="000E1177" w:rsidRPr="009B7DFC">
        <w:rPr>
          <w:rFonts w:ascii="Verdana" w:hAnsi="Verdana"/>
          <w:sz w:val="20"/>
          <w:szCs w:val="20"/>
        </w:rPr>
        <w:t>.</w:t>
      </w:r>
    </w:p>
    <w:p w:rsidR="00C32D34" w:rsidRPr="009B7DFC" w:rsidRDefault="00C32D34" w:rsidP="00A634C9">
      <w:pPr>
        <w:widowControl w:val="0"/>
        <w:numPr>
          <w:ilvl w:val="0"/>
          <w:numId w:val="1"/>
        </w:numPr>
        <w:tabs>
          <w:tab w:val="left" w:pos="567"/>
          <w:tab w:val="num" w:pos="720"/>
          <w:tab w:val="num" w:pos="12305"/>
        </w:tabs>
        <w:adjustRightInd w:val="0"/>
        <w:spacing w:before="120" w:after="240" w:line="240" w:lineRule="auto"/>
        <w:ind w:left="0" w:firstLine="0"/>
        <w:jc w:val="both"/>
        <w:textAlignment w:val="baseline"/>
        <w:rPr>
          <w:rFonts w:ascii="Verdana" w:hAnsi="Verdana"/>
          <w:sz w:val="20"/>
          <w:szCs w:val="20"/>
        </w:rPr>
      </w:pPr>
      <w:r w:rsidRPr="009B7DFC">
        <w:rPr>
          <w:rFonts w:ascii="Verdana" w:hAnsi="Verdana"/>
          <w:sz w:val="20"/>
          <w:szCs w:val="20"/>
        </w:rPr>
        <w:lastRenderedPageBreak/>
        <w:t xml:space="preserve">En virtud de lo anterior, este Tribunal admite la solicitud de interpretación con respecto a las primeras dos interrogantes realizadas por las representantes, y rechaza la solicitud realizada en </w:t>
      </w:r>
      <w:r w:rsidR="000D391C" w:rsidRPr="009B7DFC">
        <w:rPr>
          <w:rFonts w:ascii="Verdana" w:hAnsi="Verdana"/>
          <w:sz w:val="20"/>
          <w:szCs w:val="20"/>
        </w:rPr>
        <w:t>la tercera interrogante</w:t>
      </w:r>
      <w:r w:rsidRPr="009B7DFC">
        <w:rPr>
          <w:rFonts w:ascii="Verdana" w:hAnsi="Verdana"/>
          <w:sz w:val="20"/>
          <w:szCs w:val="20"/>
        </w:rPr>
        <w:t xml:space="preserve"> por conside</w:t>
      </w:r>
      <w:r w:rsidR="00724C83" w:rsidRPr="009B7DFC">
        <w:rPr>
          <w:rFonts w:ascii="Verdana" w:hAnsi="Verdana"/>
          <w:sz w:val="20"/>
          <w:szCs w:val="20"/>
        </w:rPr>
        <w:t>rarse contraria al objeto de la facultad interpretativa de este Tribunal, establecida por</w:t>
      </w:r>
      <w:r w:rsidRPr="009B7DFC">
        <w:rPr>
          <w:rFonts w:ascii="Verdana" w:hAnsi="Verdana"/>
          <w:sz w:val="20"/>
          <w:szCs w:val="20"/>
        </w:rPr>
        <w:t xml:space="preserve"> los artículos 67 de la Convención y 31 del Reglamento. </w:t>
      </w:r>
    </w:p>
    <w:p w:rsidR="00C72A1E" w:rsidRPr="009B7DFC" w:rsidRDefault="00C72A1E" w:rsidP="00A634C9">
      <w:pPr>
        <w:widowControl w:val="0"/>
        <w:tabs>
          <w:tab w:val="left" w:pos="567"/>
        </w:tabs>
        <w:adjustRightInd w:val="0"/>
        <w:spacing w:after="240" w:line="240" w:lineRule="auto"/>
        <w:jc w:val="center"/>
        <w:textAlignment w:val="baseline"/>
        <w:rPr>
          <w:rFonts w:ascii="Verdana" w:hAnsi="Verdana"/>
          <w:b/>
          <w:sz w:val="20"/>
          <w:szCs w:val="20"/>
        </w:rPr>
      </w:pPr>
      <w:r w:rsidRPr="009B7DFC">
        <w:rPr>
          <w:rFonts w:ascii="Verdana" w:hAnsi="Verdana"/>
          <w:b/>
          <w:sz w:val="20"/>
          <w:szCs w:val="20"/>
        </w:rPr>
        <w:t>V</w:t>
      </w:r>
    </w:p>
    <w:p w:rsidR="00C72A1E" w:rsidRPr="009B7DFC" w:rsidRDefault="00C72A1E" w:rsidP="00A634C9">
      <w:pPr>
        <w:widowControl w:val="0"/>
        <w:tabs>
          <w:tab w:val="left" w:pos="567"/>
        </w:tabs>
        <w:adjustRightInd w:val="0"/>
        <w:spacing w:after="240" w:line="240" w:lineRule="auto"/>
        <w:jc w:val="center"/>
        <w:textAlignment w:val="baseline"/>
        <w:rPr>
          <w:rFonts w:ascii="Verdana" w:hAnsi="Verdana"/>
          <w:b/>
          <w:sz w:val="20"/>
          <w:szCs w:val="20"/>
        </w:rPr>
      </w:pPr>
      <w:r w:rsidRPr="009B7DFC">
        <w:rPr>
          <w:rFonts w:ascii="Verdana" w:hAnsi="Verdana"/>
          <w:b/>
          <w:sz w:val="20"/>
          <w:szCs w:val="20"/>
        </w:rPr>
        <w:t>PUNTOS RESOLUTIVOS</w:t>
      </w:r>
    </w:p>
    <w:p w:rsidR="00C72A1E" w:rsidRPr="009B7DFC" w:rsidRDefault="00C72A1E" w:rsidP="00A634C9">
      <w:pPr>
        <w:pStyle w:val="Prrafodelista"/>
        <w:widowControl w:val="0"/>
        <w:numPr>
          <w:ilvl w:val="0"/>
          <w:numId w:val="1"/>
        </w:numPr>
        <w:tabs>
          <w:tab w:val="left" w:pos="567"/>
        </w:tabs>
        <w:adjustRightInd w:val="0"/>
        <w:spacing w:before="120" w:after="240" w:line="240" w:lineRule="auto"/>
        <w:ind w:left="0" w:firstLine="0"/>
        <w:textAlignment w:val="baseline"/>
        <w:rPr>
          <w:rFonts w:ascii="Verdana" w:hAnsi="Verdana"/>
          <w:sz w:val="20"/>
          <w:szCs w:val="20"/>
          <w:lang w:val="es-CR"/>
        </w:rPr>
      </w:pPr>
      <w:r w:rsidRPr="009B7DFC">
        <w:rPr>
          <w:rFonts w:ascii="Verdana" w:hAnsi="Verdana"/>
          <w:sz w:val="20"/>
          <w:szCs w:val="20"/>
          <w:lang w:val="es-CR"/>
        </w:rPr>
        <w:t xml:space="preserve">Por tanto, de conformidad con el artículo 67 de la Convención Americana sobre Derechos Humanos y los artículos 31.3 y 68 del Reglamento del Tribunal, </w:t>
      </w:r>
    </w:p>
    <w:p w:rsidR="00C72A1E" w:rsidRPr="009B7DFC" w:rsidRDefault="00C72A1E" w:rsidP="00A634C9">
      <w:pPr>
        <w:pStyle w:val="Prrafodelista"/>
        <w:widowControl w:val="0"/>
        <w:tabs>
          <w:tab w:val="left" w:pos="567"/>
        </w:tabs>
        <w:adjustRightInd w:val="0"/>
        <w:spacing w:before="120" w:after="240" w:line="240" w:lineRule="auto"/>
        <w:textAlignment w:val="baseline"/>
        <w:rPr>
          <w:rFonts w:ascii="Verdana" w:hAnsi="Verdana"/>
          <w:sz w:val="20"/>
          <w:szCs w:val="20"/>
          <w:lang w:val="es-CR"/>
        </w:rPr>
      </w:pPr>
    </w:p>
    <w:p w:rsidR="00C72A1E" w:rsidRPr="009B7DFC" w:rsidRDefault="00C72A1E" w:rsidP="00A634C9">
      <w:pPr>
        <w:widowControl w:val="0"/>
        <w:tabs>
          <w:tab w:val="left" w:pos="567"/>
        </w:tabs>
        <w:adjustRightInd w:val="0"/>
        <w:spacing w:before="120" w:after="240" w:line="240" w:lineRule="auto"/>
        <w:textAlignment w:val="baseline"/>
        <w:rPr>
          <w:rFonts w:ascii="Verdana" w:hAnsi="Verdana"/>
          <w:b/>
          <w:sz w:val="20"/>
          <w:szCs w:val="20"/>
        </w:rPr>
      </w:pPr>
      <w:r w:rsidRPr="009B7DFC">
        <w:rPr>
          <w:rFonts w:ascii="Verdana" w:hAnsi="Verdana"/>
          <w:b/>
          <w:sz w:val="20"/>
          <w:szCs w:val="20"/>
        </w:rPr>
        <w:t xml:space="preserve">LA CORTE DECIDE: </w:t>
      </w:r>
    </w:p>
    <w:p w:rsidR="00C72A1E" w:rsidRDefault="00C72A1E" w:rsidP="00A634C9">
      <w:pPr>
        <w:widowControl w:val="0"/>
        <w:tabs>
          <w:tab w:val="left" w:pos="567"/>
        </w:tabs>
        <w:adjustRightInd w:val="0"/>
        <w:spacing w:before="120" w:after="240" w:line="240" w:lineRule="auto"/>
        <w:textAlignment w:val="baseline"/>
        <w:rPr>
          <w:rFonts w:ascii="Verdana" w:hAnsi="Verdana"/>
          <w:sz w:val="20"/>
          <w:szCs w:val="20"/>
        </w:rPr>
      </w:pPr>
      <w:r w:rsidRPr="009B7DFC">
        <w:rPr>
          <w:rFonts w:ascii="Verdana" w:hAnsi="Verdana"/>
          <w:sz w:val="20"/>
          <w:szCs w:val="20"/>
        </w:rPr>
        <w:t xml:space="preserve">Por unanimidad, </w:t>
      </w:r>
    </w:p>
    <w:p w:rsidR="000D391C" w:rsidRPr="009B7DFC" w:rsidRDefault="000D391C" w:rsidP="00A634C9">
      <w:pPr>
        <w:widowControl w:val="0"/>
        <w:tabs>
          <w:tab w:val="left" w:pos="567"/>
        </w:tabs>
        <w:adjustRightInd w:val="0"/>
        <w:spacing w:before="120" w:after="240" w:line="240" w:lineRule="auto"/>
        <w:textAlignment w:val="baseline"/>
        <w:rPr>
          <w:rFonts w:ascii="Verdana" w:hAnsi="Verdana"/>
          <w:sz w:val="20"/>
          <w:szCs w:val="20"/>
        </w:rPr>
      </w:pPr>
    </w:p>
    <w:p w:rsidR="00C72A1E" w:rsidRPr="009B7DFC" w:rsidRDefault="00087F46" w:rsidP="00A634C9">
      <w:pPr>
        <w:pStyle w:val="Prrafodelista"/>
        <w:widowControl w:val="0"/>
        <w:numPr>
          <w:ilvl w:val="0"/>
          <w:numId w:val="3"/>
        </w:numPr>
        <w:tabs>
          <w:tab w:val="left" w:pos="567"/>
        </w:tabs>
        <w:adjustRightInd w:val="0"/>
        <w:spacing w:before="120" w:after="240" w:line="240" w:lineRule="auto"/>
        <w:ind w:left="0" w:firstLine="0"/>
        <w:textAlignment w:val="baseline"/>
        <w:rPr>
          <w:rFonts w:ascii="Verdana" w:hAnsi="Verdana"/>
          <w:sz w:val="20"/>
          <w:szCs w:val="20"/>
          <w:lang w:val="es-CR"/>
        </w:rPr>
      </w:pPr>
      <w:r w:rsidRPr="009B7DFC">
        <w:rPr>
          <w:rFonts w:ascii="Verdana" w:hAnsi="Verdana"/>
          <w:sz w:val="20"/>
          <w:szCs w:val="20"/>
          <w:lang w:val="es-CR"/>
        </w:rPr>
        <w:t xml:space="preserve">Declarar admisible la solicitud de interpretación de la Sentencia de Fondo, </w:t>
      </w:r>
      <w:r w:rsidR="0063629C" w:rsidRPr="009B7DFC">
        <w:rPr>
          <w:rFonts w:ascii="Verdana" w:hAnsi="Verdana"/>
          <w:sz w:val="20"/>
          <w:szCs w:val="20"/>
          <w:lang w:val="es-CR"/>
        </w:rPr>
        <w:t xml:space="preserve">Reparaciones y Costas en el </w:t>
      </w:r>
      <w:r w:rsidR="0063629C" w:rsidRPr="009B7DFC">
        <w:rPr>
          <w:rFonts w:ascii="Verdana" w:hAnsi="Verdana"/>
          <w:i/>
          <w:sz w:val="20"/>
          <w:szCs w:val="20"/>
          <w:lang w:val="es-CR"/>
        </w:rPr>
        <w:t>C</w:t>
      </w:r>
      <w:r w:rsidRPr="009B7DFC">
        <w:rPr>
          <w:rFonts w:ascii="Verdana" w:hAnsi="Verdana"/>
          <w:i/>
          <w:sz w:val="20"/>
          <w:szCs w:val="20"/>
          <w:lang w:val="es-CR"/>
        </w:rPr>
        <w:t xml:space="preserve">aso Alvarado Espinoza </w:t>
      </w:r>
      <w:r w:rsidR="005E526B" w:rsidRPr="009B7DFC">
        <w:rPr>
          <w:rFonts w:ascii="Verdana" w:hAnsi="Verdana"/>
          <w:i/>
          <w:sz w:val="20"/>
          <w:szCs w:val="20"/>
          <w:lang w:val="es-CR"/>
        </w:rPr>
        <w:t>y otros vs. México</w:t>
      </w:r>
      <w:r w:rsidR="005E526B" w:rsidRPr="009B7DFC">
        <w:rPr>
          <w:rFonts w:ascii="Verdana" w:hAnsi="Verdana"/>
          <w:sz w:val="20"/>
          <w:szCs w:val="20"/>
          <w:lang w:val="es-CR"/>
        </w:rPr>
        <w:t xml:space="preserve">, interpuesta por </w:t>
      </w:r>
      <w:r w:rsidR="000E1177" w:rsidRPr="009B7DFC">
        <w:rPr>
          <w:rFonts w:ascii="Verdana" w:hAnsi="Verdana"/>
          <w:sz w:val="20"/>
          <w:szCs w:val="20"/>
          <w:lang w:val="es-CR"/>
        </w:rPr>
        <w:t>la representación de las víctimas</w:t>
      </w:r>
      <w:r w:rsidR="005E526B" w:rsidRPr="009B7DFC">
        <w:rPr>
          <w:rFonts w:ascii="Verdana" w:hAnsi="Verdana"/>
          <w:sz w:val="20"/>
          <w:szCs w:val="20"/>
          <w:lang w:val="es-CR"/>
        </w:rPr>
        <w:t xml:space="preserve">, en los términos del párrafo 9 de la presente Sentencia de Interpretación. </w:t>
      </w:r>
    </w:p>
    <w:p w:rsidR="00C72A1E" w:rsidRPr="009B7DFC" w:rsidRDefault="00C72A1E" w:rsidP="00A634C9">
      <w:pPr>
        <w:pStyle w:val="Prrafodelista"/>
        <w:widowControl w:val="0"/>
        <w:tabs>
          <w:tab w:val="left" w:pos="567"/>
        </w:tabs>
        <w:adjustRightInd w:val="0"/>
        <w:spacing w:before="120" w:after="240" w:line="240" w:lineRule="auto"/>
        <w:textAlignment w:val="baseline"/>
        <w:rPr>
          <w:rFonts w:ascii="Verdana" w:hAnsi="Verdana"/>
          <w:sz w:val="20"/>
          <w:szCs w:val="20"/>
          <w:lang w:val="es-CR"/>
        </w:rPr>
      </w:pPr>
    </w:p>
    <w:p w:rsidR="00C72A1E" w:rsidRPr="009B7DFC" w:rsidRDefault="005E526B" w:rsidP="00A634C9">
      <w:pPr>
        <w:pStyle w:val="Prrafodelista"/>
        <w:widowControl w:val="0"/>
        <w:numPr>
          <w:ilvl w:val="0"/>
          <w:numId w:val="3"/>
        </w:numPr>
        <w:tabs>
          <w:tab w:val="left" w:pos="567"/>
        </w:tabs>
        <w:adjustRightInd w:val="0"/>
        <w:spacing w:before="120" w:after="240" w:line="240" w:lineRule="auto"/>
        <w:ind w:left="0" w:firstLine="0"/>
        <w:textAlignment w:val="baseline"/>
        <w:rPr>
          <w:rFonts w:ascii="Verdana" w:hAnsi="Verdana"/>
          <w:sz w:val="20"/>
          <w:szCs w:val="20"/>
          <w:lang w:val="es-CR"/>
        </w:rPr>
      </w:pPr>
      <w:r w:rsidRPr="009B7DFC">
        <w:rPr>
          <w:rFonts w:ascii="Verdana" w:hAnsi="Verdana"/>
          <w:sz w:val="20"/>
          <w:szCs w:val="20"/>
          <w:lang w:val="es-CR"/>
        </w:rPr>
        <w:t xml:space="preserve">Aclarar, por medio de Interpretación, la Sentencia de Fondo, Reparaciones y Costas </w:t>
      </w:r>
      <w:r w:rsidR="0063629C" w:rsidRPr="009B7DFC">
        <w:rPr>
          <w:rFonts w:ascii="Verdana" w:hAnsi="Verdana"/>
          <w:sz w:val="20"/>
          <w:szCs w:val="20"/>
          <w:lang w:val="es-CR"/>
        </w:rPr>
        <w:t xml:space="preserve">emitida en el </w:t>
      </w:r>
      <w:r w:rsidR="0063629C" w:rsidRPr="009B7DFC">
        <w:rPr>
          <w:rFonts w:ascii="Verdana" w:hAnsi="Verdana"/>
          <w:i/>
          <w:sz w:val="20"/>
          <w:szCs w:val="20"/>
          <w:lang w:val="es-CR"/>
        </w:rPr>
        <w:t>C</w:t>
      </w:r>
      <w:r w:rsidRPr="009B7DFC">
        <w:rPr>
          <w:rFonts w:ascii="Verdana" w:hAnsi="Verdana"/>
          <w:i/>
          <w:sz w:val="20"/>
          <w:szCs w:val="20"/>
          <w:lang w:val="es-CR"/>
        </w:rPr>
        <w:t>aso</w:t>
      </w:r>
      <w:r w:rsidRPr="009B7DFC">
        <w:rPr>
          <w:rFonts w:ascii="Verdana" w:hAnsi="Verdana"/>
          <w:sz w:val="20"/>
          <w:szCs w:val="20"/>
          <w:lang w:val="es-CR"/>
        </w:rPr>
        <w:t xml:space="preserve"> </w:t>
      </w:r>
      <w:r w:rsidRPr="009B7DFC">
        <w:rPr>
          <w:rFonts w:ascii="Verdana" w:hAnsi="Verdana"/>
          <w:i/>
          <w:sz w:val="20"/>
          <w:szCs w:val="20"/>
          <w:lang w:val="es-CR"/>
        </w:rPr>
        <w:t>Alvarado Espinoza y otro Vs. M</w:t>
      </w:r>
      <w:r w:rsidR="00724C83" w:rsidRPr="009B7DFC">
        <w:rPr>
          <w:rFonts w:ascii="Verdana" w:hAnsi="Verdana"/>
          <w:i/>
          <w:sz w:val="20"/>
          <w:szCs w:val="20"/>
          <w:lang w:val="es-CR"/>
        </w:rPr>
        <w:t>éxico</w:t>
      </w:r>
      <w:r w:rsidR="00724C83" w:rsidRPr="009B7DFC">
        <w:rPr>
          <w:rFonts w:ascii="Verdana" w:hAnsi="Verdana"/>
          <w:sz w:val="20"/>
          <w:szCs w:val="20"/>
          <w:lang w:val="es-CR"/>
        </w:rPr>
        <w:t xml:space="preserve">, en los términos del párrafo 24 de la presente Sentencia de Interpretación. </w:t>
      </w:r>
    </w:p>
    <w:p w:rsidR="00724C83" w:rsidRPr="009B7DFC" w:rsidRDefault="00724C83" w:rsidP="00A634C9">
      <w:pPr>
        <w:pStyle w:val="Prrafodelista"/>
        <w:spacing w:before="120" w:after="240" w:line="240" w:lineRule="auto"/>
        <w:rPr>
          <w:rFonts w:ascii="Verdana" w:hAnsi="Verdana"/>
          <w:sz w:val="20"/>
          <w:szCs w:val="20"/>
          <w:lang w:val="es-CR"/>
        </w:rPr>
      </w:pPr>
    </w:p>
    <w:p w:rsidR="00724C83" w:rsidRPr="009B7DFC" w:rsidRDefault="00724C83" w:rsidP="00A634C9">
      <w:pPr>
        <w:pStyle w:val="Prrafodelista"/>
        <w:widowControl w:val="0"/>
        <w:numPr>
          <w:ilvl w:val="0"/>
          <w:numId w:val="3"/>
        </w:numPr>
        <w:tabs>
          <w:tab w:val="left" w:pos="567"/>
        </w:tabs>
        <w:adjustRightInd w:val="0"/>
        <w:spacing w:before="120" w:after="240" w:line="240" w:lineRule="auto"/>
        <w:ind w:left="0" w:firstLine="0"/>
        <w:textAlignment w:val="baseline"/>
        <w:rPr>
          <w:rFonts w:ascii="Verdana" w:hAnsi="Verdana"/>
          <w:sz w:val="20"/>
          <w:szCs w:val="20"/>
          <w:lang w:val="es-CR"/>
        </w:rPr>
      </w:pPr>
      <w:r w:rsidRPr="009B7DFC">
        <w:rPr>
          <w:rFonts w:ascii="Verdana" w:hAnsi="Verdana"/>
          <w:sz w:val="20"/>
          <w:szCs w:val="20"/>
          <w:lang w:val="es-CR"/>
        </w:rPr>
        <w:t>Desestimar por improcedente la solicitud de interpretación de la Sentencia de Fondo, Repar</w:t>
      </w:r>
      <w:r w:rsidR="0063629C" w:rsidRPr="009B7DFC">
        <w:rPr>
          <w:rFonts w:ascii="Verdana" w:hAnsi="Verdana"/>
          <w:sz w:val="20"/>
          <w:szCs w:val="20"/>
          <w:lang w:val="es-CR"/>
        </w:rPr>
        <w:t xml:space="preserve">aciones y Costas emitida en el </w:t>
      </w:r>
      <w:r w:rsidR="0063629C" w:rsidRPr="009B7DFC">
        <w:rPr>
          <w:rFonts w:ascii="Verdana" w:hAnsi="Verdana"/>
          <w:i/>
          <w:sz w:val="20"/>
          <w:szCs w:val="20"/>
          <w:lang w:val="es-CR"/>
        </w:rPr>
        <w:t>C</w:t>
      </w:r>
      <w:r w:rsidRPr="009B7DFC">
        <w:rPr>
          <w:rFonts w:ascii="Verdana" w:hAnsi="Verdana"/>
          <w:i/>
          <w:sz w:val="20"/>
          <w:szCs w:val="20"/>
          <w:lang w:val="es-CR"/>
        </w:rPr>
        <w:t>aso Alvarado Espinoza y otros Vs. México</w:t>
      </w:r>
      <w:r w:rsidRPr="009B7DFC">
        <w:rPr>
          <w:rFonts w:ascii="Verdana" w:hAnsi="Verdana"/>
          <w:sz w:val="20"/>
          <w:szCs w:val="20"/>
          <w:lang w:val="es-CR"/>
        </w:rPr>
        <w:t xml:space="preserve">, en los términos de los párrafos 18, 25 y 26 de la presente Sentencia de Interpretación. </w:t>
      </w:r>
    </w:p>
    <w:p w:rsidR="00724C83" w:rsidRPr="009B7DFC" w:rsidRDefault="00724C83" w:rsidP="00A634C9">
      <w:pPr>
        <w:pStyle w:val="Prrafodelista"/>
        <w:spacing w:before="120" w:after="240" w:line="240" w:lineRule="auto"/>
        <w:rPr>
          <w:rFonts w:ascii="Verdana" w:hAnsi="Verdana"/>
          <w:sz w:val="20"/>
          <w:szCs w:val="20"/>
          <w:lang w:val="es-CR"/>
        </w:rPr>
      </w:pPr>
    </w:p>
    <w:p w:rsidR="00724C83" w:rsidRPr="009B7DFC" w:rsidRDefault="00724C83" w:rsidP="00A634C9">
      <w:pPr>
        <w:pStyle w:val="Prrafodelista"/>
        <w:widowControl w:val="0"/>
        <w:numPr>
          <w:ilvl w:val="0"/>
          <w:numId w:val="3"/>
        </w:numPr>
        <w:tabs>
          <w:tab w:val="left" w:pos="567"/>
        </w:tabs>
        <w:adjustRightInd w:val="0"/>
        <w:spacing w:before="120" w:after="240" w:line="240" w:lineRule="auto"/>
        <w:ind w:left="0" w:firstLine="0"/>
        <w:textAlignment w:val="baseline"/>
        <w:rPr>
          <w:rFonts w:ascii="Verdana" w:hAnsi="Verdana"/>
          <w:sz w:val="20"/>
          <w:szCs w:val="20"/>
          <w:lang w:val="es-CR"/>
        </w:rPr>
      </w:pPr>
      <w:r w:rsidRPr="009B7DFC">
        <w:rPr>
          <w:rFonts w:ascii="Verdana" w:hAnsi="Verdana"/>
          <w:sz w:val="20"/>
          <w:szCs w:val="20"/>
          <w:lang w:val="es-CR"/>
        </w:rPr>
        <w:t xml:space="preserve">Disponer que la Secretaría de la Corte notifique la presente Sentencia de Interpretación al Estado, las representantes y a la Comisión. </w:t>
      </w:r>
    </w:p>
    <w:p w:rsidR="00724C83" w:rsidRPr="009B7DFC" w:rsidRDefault="00724C83" w:rsidP="00A634C9">
      <w:pPr>
        <w:pStyle w:val="Prrafodelista"/>
        <w:spacing w:before="120" w:after="240" w:line="240" w:lineRule="auto"/>
        <w:rPr>
          <w:rFonts w:ascii="Verdana" w:hAnsi="Verdana"/>
          <w:sz w:val="20"/>
          <w:szCs w:val="20"/>
          <w:lang w:val="es-CR"/>
        </w:rPr>
      </w:pPr>
    </w:p>
    <w:p w:rsidR="00724C83" w:rsidRPr="009B7DFC" w:rsidRDefault="00724C83" w:rsidP="00A634C9">
      <w:pPr>
        <w:widowControl w:val="0"/>
        <w:tabs>
          <w:tab w:val="left" w:pos="567"/>
        </w:tabs>
        <w:adjustRightInd w:val="0"/>
        <w:spacing w:before="120" w:after="240" w:line="240" w:lineRule="auto"/>
        <w:textAlignment w:val="baseline"/>
        <w:rPr>
          <w:rFonts w:ascii="Verdana" w:hAnsi="Verdana"/>
          <w:sz w:val="20"/>
          <w:szCs w:val="20"/>
        </w:rPr>
      </w:pPr>
    </w:p>
    <w:p w:rsidR="00724C83" w:rsidRPr="009B7DFC" w:rsidRDefault="00724C83" w:rsidP="000D391C">
      <w:pPr>
        <w:widowControl w:val="0"/>
        <w:tabs>
          <w:tab w:val="left" w:pos="567"/>
        </w:tabs>
        <w:adjustRightInd w:val="0"/>
        <w:spacing w:before="120" w:after="120" w:line="240" w:lineRule="auto"/>
        <w:textAlignment w:val="baseline"/>
        <w:rPr>
          <w:rFonts w:ascii="Verdana" w:hAnsi="Verdana"/>
          <w:sz w:val="20"/>
          <w:szCs w:val="20"/>
        </w:rPr>
      </w:pPr>
    </w:p>
    <w:p w:rsidR="00724C83" w:rsidRPr="009B7DFC" w:rsidRDefault="00724C83" w:rsidP="000D391C">
      <w:pPr>
        <w:widowControl w:val="0"/>
        <w:tabs>
          <w:tab w:val="left" w:pos="567"/>
        </w:tabs>
        <w:adjustRightInd w:val="0"/>
        <w:spacing w:before="120" w:after="120" w:line="240" w:lineRule="auto"/>
        <w:textAlignment w:val="baseline"/>
        <w:rPr>
          <w:rFonts w:ascii="Verdana" w:hAnsi="Verdana"/>
          <w:sz w:val="20"/>
          <w:szCs w:val="20"/>
        </w:rPr>
      </w:pPr>
      <w:r w:rsidRPr="009B7DFC">
        <w:rPr>
          <w:rFonts w:ascii="Verdana" w:hAnsi="Verdana"/>
          <w:sz w:val="20"/>
          <w:szCs w:val="20"/>
        </w:rPr>
        <w:t xml:space="preserve">Emitida en español, en </w:t>
      </w:r>
      <w:r w:rsidR="0079365E" w:rsidRPr="009B7DFC">
        <w:rPr>
          <w:rFonts w:ascii="Verdana" w:hAnsi="Verdana"/>
          <w:sz w:val="20"/>
          <w:szCs w:val="20"/>
        </w:rPr>
        <w:t>Barranquilla</w:t>
      </w:r>
      <w:r w:rsidRPr="009B7DFC">
        <w:rPr>
          <w:rFonts w:ascii="Verdana" w:hAnsi="Verdana"/>
          <w:sz w:val="20"/>
          <w:szCs w:val="20"/>
        </w:rPr>
        <w:t>,</w:t>
      </w:r>
      <w:r w:rsidR="00A20632" w:rsidRPr="009B7DFC">
        <w:rPr>
          <w:rFonts w:ascii="Verdana" w:hAnsi="Verdana"/>
          <w:sz w:val="20"/>
          <w:szCs w:val="20"/>
        </w:rPr>
        <w:t xml:space="preserve"> Colombia</w:t>
      </w:r>
      <w:r w:rsidRPr="009B7DFC">
        <w:rPr>
          <w:rFonts w:ascii="Verdana" w:hAnsi="Verdana"/>
          <w:sz w:val="20"/>
          <w:szCs w:val="20"/>
        </w:rPr>
        <w:t xml:space="preserve"> el </w:t>
      </w:r>
      <w:r w:rsidR="00A20632" w:rsidRPr="009B7DFC">
        <w:rPr>
          <w:rFonts w:ascii="Verdana" w:hAnsi="Verdana"/>
          <w:sz w:val="20"/>
          <w:szCs w:val="20"/>
        </w:rPr>
        <w:t>30</w:t>
      </w:r>
      <w:r w:rsidRPr="009B7DFC">
        <w:rPr>
          <w:rFonts w:ascii="Verdana" w:hAnsi="Verdana"/>
          <w:sz w:val="20"/>
          <w:szCs w:val="20"/>
        </w:rPr>
        <w:t xml:space="preserve"> de </w:t>
      </w:r>
      <w:r w:rsidR="00A20632" w:rsidRPr="009B7DFC">
        <w:rPr>
          <w:rFonts w:ascii="Verdana" w:hAnsi="Verdana"/>
          <w:sz w:val="20"/>
          <w:szCs w:val="20"/>
        </w:rPr>
        <w:t xml:space="preserve">agosto </w:t>
      </w:r>
      <w:r w:rsidRPr="009B7DFC">
        <w:rPr>
          <w:rFonts w:ascii="Verdana" w:hAnsi="Verdana"/>
          <w:sz w:val="20"/>
          <w:szCs w:val="20"/>
        </w:rPr>
        <w:t xml:space="preserve">de 2019. </w:t>
      </w:r>
    </w:p>
    <w:p w:rsidR="00C03305" w:rsidRDefault="00C03305">
      <w:r>
        <w:br w:type="page"/>
      </w:r>
    </w:p>
    <w:p w:rsidR="00C03305" w:rsidRPr="00C03305" w:rsidRDefault="00C03305" w:rsidP="00C03305">
      <w:pPr>
        <w:spacing w:after="0" w:line="240" w:lineRule="auto"/>
        <w:jc w:val="both"/>
        <w:rPr>
          <w:rFonts w:ascii="Verdana" w:eastAsia="Times" w:hAnsi="Verdana" w:cs="Courier New"/>
          <w:noProof/>
          <w:sz w:val="20"/>
          <w:szCs w:val="20"/>
          <w:lang w:val="pt-BR"/>
        </w:rPr>
      </w:pPr>
      <w:r w:rsidRPr="00C03305">
        <w:rPr>
          <w:rFonts w:ascii="Verdana" w:eastAsia="Times" w:hAnsi="Verdana" w:cs="Courier New"/>
          <w:noProof/>
          <w:sz w:val="20"/>
          <w:szCs w:val="20"/>
          <w:lang w:val="pt-BR"/>
        </w:rPr>
        <w:lastRenderedPageBreak/>
        <w:t xml:space="preserve">Corte IDH. </w:t>
      </w:r>
      <w:r w:rsidRPr="00C03305">
        <w:rPr>
          <w:rFonts w:ascii="Verdana" w:eastAsia="Times" w:hAnsi="Verdana" w:cs="Courier New"/>
          <w:i/>
          <w:noProof/>
          <w:sz w:val="20"/>
          <w:szCs w:val="20"/>
          <w:lang w:val="pt-BR"/>
        </w:rPr>
        <w:t>Caso Alvarado Espinoza y otros Vs. México</w:t>
      </w:r>
      <w:r w:rsidRPr="00C03305">
        <w:rPr>
          <w:rFonts w:ascii="Verdana" w:eastAsia="Times" w:hAnsi="Verdana" w:cs="Courier New"/>
          <w:noProof/>
          <w:sz w:val="20"/>
          <w:szCs w:val="20"/>
          <w:lang w:val="pt-BR"/>
        </w:rPr>
        <w:t>. Intepretación de la Sentencia de Fondo, Reparaciones y Costas. Sentencia de 30 de agosto de 2019.</w:t>
      </w:r>
    </w:p>
    <w:p w:rsidR="00C03305" w:rsidRPr="00C03305" w:rsidRDefault="00C03305" w:rsidP="00C03305">
      <w:pPr>
        <w:spacing w:after="0" w:line="240" w:lineRule="auto"/>
        <w:jc w:val="both"/>
        <w:rPr>
          <w:rFonts w:ascii="Verdana" w:eastAsia="Times" w:hAnsi="Verdana" w:cs="Courier New"/>
          <w:noProof/>
          <w:sz w:val="20"/>
          <w:szCs w:val="20"/>
          <w:lang w:val="pt-BR"/>
        </w:rPr>
      </w:pPr>
    </w:p>
    <w:p w:rsidR="00C03305" w:rsidRPr="00C03305" w:rsidRDefault="00C03305" w:rsidP="00C03305">
      <w:pPr>
        <w:spacing w:after="0" w:line="240" w:lineRule="auto"/>
        <w:jc w:val="both"/>
        <w:rPr>
          <w:rFonts w:ascii="Verdana" w:eastAsia="Times" w:hAnsi="Verdana" w:cs="Courier New"/>
          <w:noProof/>
          <w:sz w:val="20"/>
          <w:szCs w:val="20"/>
          <w:lang w:val="pt-BR"/>
        </w:rPr>
      </w:pPr>
    </w:p>
    <w:p w:rsidR="00C03305" w:rsidRPr="00C03305" w:rsidRDefault="00C03305" w:rsidP="00C03305">
      <w:pPr>
        <w:spacing w:after="0" w:line="240" w:lineRule="auto"/>
        <w:jc w:val="both"/>
        <w:rPr>
          <w:rFonts w:ascii="Verdana" w:eastAsia="Times" w:hAnsi="Verdana" w:cs="Courier New"/>
          <w:noProof/>
          <w:sz w:val="20"/>
          <w:szCs w:val="20"/>
          <w:lang w:val="pt-BR"/>
        </w:rPr>
      </w:pPr>
    </w:p>
    <w:p w:rsidR="00C03305" w:rsidRPr="00C03305" w:rsidRDefault="00C03305" w:rsidP="00C03305">
      <w:pPr>
        <w:spacing w:after="0" w:line="240" w:lineRule="auto"/>
        <w:jc w:val="both"/>
        <w:rPr>
          <w:rFonts w:ascii="Verdana" w:eastAsia="Times" w:hAnsi="Verdana" w:cs="Courier New"/>
          <w:noProof/>
          <w:sz w:val="20"/>
          <w:szCs w:val="20"/>
          <w:lang w:val="pt-BR"/>
        </w:rPr>
      </w:pPr>
    </w:p>
    <w:p w:rsidR="00C03305" w:rsidRPr="00C03305" w:rsidRDefault="00C03305" w:rsidP="00C03305">
      <w:pPr>
        <w:spacing w:after="0" w:line="240" w:lineRule="auto"/>
        <w:jc w:val="both"/>
        <w:rPr>
          <w:rFonts w:ascii="Verdana" w:eastAsia="Times" w:hAnsi="Verdana" w:cs="Courier New"/>
          <w:noProof/>
          <w:sz w:val="20"/>
          <w:szCs w:val="20"/>
          <w:lang w:val="pt-BR"/>
        </w:rPr>
      </w:pPr>
    </w:p>
    <w:p w:rsidR="00C03305" w:rsidRPr="00C03305" w:rsidRDefault="00C03305" w:rsidP="00C03305">
      <w:pPr>
        <w:spacing w:after="0" w:line="240" w:lineRule="auto"/>
        <w:jc w:val="both"/>
        <w:rPr>
          <w:rFonts w:ascii="Verdana" w:eastAsia="Times" w:hAnsi="Verdana" w:cs="Courier New"/>
          <w:noProof/>
          <w:sz w:val="20"/>
          <w:szCs w:val="20"/>
          <w:lang w:val="pt-BR"/>
        </w:rPr>
      </w:pPr>
    </w:p>
    <w:p w:rsidR="00C03305" w:rsidRPr="00C03305" w:rsidRDefault="00C03305" w:rsidP="00C03305">
      <w:pPr>
        <w:spacing w:after="0" w:line="240" w:lineRule="auto"/>
        <w:jc w:val="center"/>
        <w:rPr>
          <w:rFonts w:ascii="Verdana" w:eastAsia="Times" w:hAnsi="Verdana" w:cs="Times New Roman"/>
          <w:sz w:val="20"/>
          <w:szCs w:val="20"/>
          <w:lang w:val="pt-BR"/>
        </w:rPr>
      </w:pPr>
      <w:r w:rsidRPr="00C03305">
        <w:rPr>
          <w:rFonts w:ascii="Verdana" w:eastAsia="Times" w:hAnsi="Verdana" w:cs="Times New Roman"/>
          <w:sz w:val="20"/>
          <w:szCs w:val="20"/>
          <w:lang w:val="pt-BR"/>
        </w:rPr>
        <w:t>Eduardo Vio Grossi</w:t>
      </w:r>
    </w:p>
    <w:p w:rsidR="00C03305" w:rsidRPr="00C03305" w:rsidRDefault="00C03305" w:rsidP="00C03305">
      <w:pPr>
        <w:spacing w:after="0" w:line="240" w:lineRule="auto"/>
        <w:jc w:val="center"/>
        <w:rPr>
          <w:rFonts w:ascii="Verdana" w:eastAsia="Times" w:hAnsi="Verdana" w:cs="Times New Roman"/>
          <w:sz w:val="20"/>
          <w:szCs w:val="20"/>
          <w:lang w:val="pt-BR"/>
        </w:rPr>
      </w:pPr>
      <w:r w:rsidRPr="00C03305">
        <w:rPr>
          <w:rFonts w:ascii="Verdana" w:eastAsia="Times" w:hAnsi="Verdana" w:cs="Times New Roman"/>
          <w:sz w:val="20"/>
          <w:szCs w:val="20"/>
          <w:lang w:val="pt-BR"/>
        </w:rPr>
        <w:t>Presidente en ejercicio</w:t>
      </w:r>
    </w:p>
    <w:p w:rsidR="00C03305" w:rsidRPr="00C03305" w:rsidRDefault="00C03305" w:rsidP="00C03305">
      <w:pPr>
        <w:spacing w:after="0" w:line="240" w:lineRule="auto"/>
        <w:jc w:val="both"/>
        <w:rPr>
          <w:rFonts w:ascii="Verdana" w:eastAsia="Times" w:hAnsi="Verdana" w:cs="Courier New"/>
          <w:noProof/>
          <w:sz w:val="20"/>
          <w:szCs w:val="20"/>
          <w:lang w:val="pt-BR"/>
        </w:rPr>
      </w:pPr>
    </w:p>
    <w:p w:rsidR="00C03305" w:rsidRPr="00C03305" w:rsidRDefault="00C03305" w:rsidP="00C03305">
      <w:pPr>
        <w:spacing w:after="0" w:line="240" w:lineRule="auto"/>
        <w:jc w:val="both"/>
        <w:rPr>
          <w:rFonts w:ascii="Verdana" w:eastAsia="Times" w:hAnsi="Verdana" w:cs="Courier New"/>
          <w:noProof/>
          <w:sz w:val="20"/>
          <w:szCs w:val="20"/>
          <w:lang w:val="pt-BR"/>
        </w:rPr>
      </w:pPr>
    </w:p>
    <w:p w:rsidR="00C03305" w:rsidRPr="00C03305" w:rsidRDefault="00C03305" w:rsidP="00C03305">
      <w:pPr>
        <w:spacing w:after="0" w:line="240" w:lineRule="auto"/>
        <w:jc w:val="both"/>
        <w:rPr>
          <w:rFonts w:ascii="Verdana" w:eastAsia="Times" w:hAnsi="Verdana" w:cs="Courier New"/>
          <w:noProof/>
          <w:sz w:val="20"/>
          <w:szCs w:val="20"/>
          <w:lang w:val="pt-BR"/>
        </w:rPr>
      </w:pPr>
    </w:p>
    <w:p w:rsidR="00C03305" w:rsidRPr="00C03305" w:rsidRDefault="00C03305" w:rsidP="00C03305">
      <w:pPr>
        <w:spacing w:after="0" w:line="240" w:lineRule="auto"/>
        <w:jc w:val="both"/>
        <w:rPr>
          <w:rFonts w:ascii="Verdana" w:eastAsia="Times" w:hAnsi="Verdana" w:cs="Courier New"/>
          <w:noProof/>
          <w:sz w:val="20"/>
          <w:szCs w:val="20"/>
          <w:lang w:val="pt-BR"/>
        </w:rPr>
      </w:pPr>
    </w:p>
    <w:p w:rsidR="00C03305" w:rsidRPr="00C03305" w:rsidRDefault="00C03305" w:rsidP="00C03305">
      <w:pPr>
        <w:spacing w:after="0" w:line="240" w:lineRule="auto"/>
        <w:jc w:val="both"/>
        <w:rPr>
          <w:rFonts w:ascii="Verdana" w:eastAsia="Times" w:hAnsi="Verdana" w:cs="Courier New"/>
          <w:noProof/>
          <w:sz w:val="20"/>
          <w:szCs w:val="20"/>
          <w:lang w:val="pt-BR"/>
        </w:rPr>
      </w:pPr>
    </w:p>
    <w:p w:rsidR="00C03305" w:rsidRDefault="00C03305" w:rsidP="00C03305">
      <w:pPr>
        <w:spacing w:after="0" w:line="240" w:lineRule="auto"/>
        <w:jc w:val="both"/>
        <w:rPr>
          <w:rFonts w:ascii="Verdana" w:eastAsia="Times" w:hAnsi="Verdana" w:cs="Courier New"/>
          <w:noProof/>
          <w:sz w:val="20"/>
          <w:szCs w:val="20"/>
          <w:lang w:val="pt-BR"/>
        </w:rPr>
      </w:pPr>
      <w:r w:rsidRPr="00C03305">
        <w:rPr>
          <w:rFonts w:ascii="Verdana" w:eastAsia="Times" w:hAnsi="Verdana" w:cs="Courier New"/>
          <w:noProof/>
          <w:sz w:val="20"/>
          <w:szCs w:val="20"/>
          <w:lang w:val="pt-BR"/>
        </w:rPr>
        <w:t xml:space="preserve">Humberto Antonio Sierra Porto </w:t>
      </w:r>
      <w:r w:rsidRPr="00C03305">
        <w:rPr>
          <w:rFonts w:ascii="Verdana" w:eastAsia="Times" w:hAnsi="Verdana" w:cs="Courier New"/>
          <w:noProof/>
          <w:sz w:val="20"/>
          <w:szCs w:val="20"/>
          <w:lang w:val="pt-BR"/>
        </w:rPr>
        <w:tab/>
      </w:r>
      <w:r w:rsidRPr="00C03305">
        <w:rPr>
          <w:rFonts w:ascii="Verdana" w:eastAsia="Times" w:hAnsi="Verdana" w:cs="Courier New"/>
          <w:noProof/>
          <w:sz w:val="20"/>
          <w:szCs w:val="20"/>
          <w:lang w:val="pt-BR"/>
        </w:rPr>
        <w:tab/>
      </w:r>
      <w:r w:rsidRPr="00C03305">
        <w:rPr>
          <w:rFonts w:ascii="Verdana" w:eastAsia="Times" w:hAnsi="Verdana" w:cs="Courier New"/>
          <w:noProof/>
          <w:sz w:val="20"/>
          <w:szCs w:val="20"/>
          <w:lang w:val="pt-BR"/>
        </w:rPr>
        <w:tab/>
      </w:r>
      <w:r w:rsidRPr="00C03305">
        <w:rPr>
          <w:rFonts w:ascii="Verdana" w:eastAsia="Times" w:hAnsi="Verdana" w:cs="Courier New"/>
          <w:noProof/>
          <w:sz w:val="20"/>
          <w:szCs w:val="20"/>
          <w:lang w:val="pt-BR"/>
        </w:rPr>
        <w:tab/>
      </w:r>
      <w:r w:rsidRPr="00C03305">
        <w:rPr>
          <w:rFonts w:ascii="Verdana" w:eastAsia="Times" w:hAnsi="Verdana" w:cs="Courier New"/>
          <w:noProof/>
          <w:sz w:val="20"/>
          <w:szCs w:val="20"/>
          <w:lang w:val="pt-BR"/>
        </w:rPr>
        <w:tab/>
      </w:r>
      <w:r>
        <w:rPr>
          <w:rFonts w:ascii="Verdana" w:eastAsia="Times" w:hAnsi="Verdana" w:cs="Courier New"/>
          <w:noProof/>
          <w:sz w:val="20"/>
          <w:szCs w:val="20"/>
          <w:lang w:val="pt-BR"/>
        </w:rPr>
        <w:t xml:space="preserve">    </w:t>
      </w:r>
      <w:r w:rsidRPr="00C03305">
        <w:rPr>
          <w:rFonts w:ascii="Verdana" w:eastAsia="Times" w:hAnsi="Verdana" w:cs="Courier New"/>
          <w:noProof/>
          <w:sz w:val="20"/>
          <w:szCs w:val="20"/>
          <w:lang w:val="pt-BR"/>
        </w:rPr>
        <w:t>Elizabeth Odio Benito</w:t>
      </w:r>
    </w:p>
    <w:p w:rsidR="00C03305" w:rsidRPr="00C03305" w:rsidRDefault="00C03305" w:rsidP="00C03305">
      <w:pPr>
        <w:spacing w:after="0" w:line="240" w:lineRule="auto"/>
        <w:jc w:val="both"/>
        <w:rPr>
          <w:rFonts w:ascii="Verdana" w:eastAsia="Times" w:hAnsi="Verdana" w:cs="Courier New"/>
          <w:noProof/>
          <w:sz w:val="20"/>
          <w:szCs w:val="20"/>
          <w:lang w:val="pt-BR"/>
        </w:rPr>
      </w:pPr>
    </w:p>
    <w:p w:rsidR="00C03305" w:rsidRPr="00C03305" w:rsidRDefault="00C03305" w:rsidP="00C03305">
      <w:pPr>
        <w:spacing w:after="0" w:line="240" w:lineRule="auto"/>
        <w:jc w:val="both"/>
        <w:rPr>
          <w:rFonts w:ascii="Verdana" w:eastAsia="Times" w:hAnsi="Verdana" w:cs="Courier New"/>
          <w:noProof/>
          <w:sz w:val="20"/>
          <w:szCs w:val="20"/>
          <w:lang w:val="pt-BR"/>
        </w:rPr>
      </w:pPr>
    </w:p>
    <w:p w:rsidR="00C03305" w:rsidRPr="00C03305" w:rsidRDefault="00C03305" w:rsidP="00C03305">
      <w:pPr>
        <w:spacing w:after="0" w:line="240" w:lineRule="auto"/>
        <w:jc w:val="both"/>
        <w:rPr>
          <w:rFonts w:ascii="Verdana" w:eastAsia="Times" w:hAnsi="Verdana" w:cs="Courier New"/>
          <w:noProof/>
          <w:sz w:val="20"/>
          <w:szCs w:val="20"/>
          <w:lang w:val="pt-BR"/>
        </w:rPr>
      </w:pPr>
    </w:p>
    <w:p w:rsidR="00C03305" w:rsidRPr="00C03305" w:rsidRDefault="00C03305" w:rsidP="00C03305">
      <w:pPr>
        <w:spacing w:after="0" w:line="240" w:lineRule="auto"/>
        <w:jc w:val="both"/>
        <w:rPr>
          <w:rFonts w:ascii="Verdana" w:eastAsia="Times" w:hAnsi="Verdana" w:cs="Courier New"/>
          <w:noProof/>
          <w:sz w:val="20"/>
          <w:szCs w:val="20"/>
          <w:lang w:val="pt-BR"/>
        </w:rPr>
      </w:pPr>
    </w:p>
    <w:p w:rsidR="00C03305" w:rsidRPr="00C03305" w:rsidRDefault="00C03305" w:rsidP="00C03305">
      <w:pPr>
        <w:spacing w:after="0" w:line="240" w:lineRule="auto"/>
        <w:jc w:val="both"/>
        <w:rPr>
          <w:rFonts w:ascii="Verdana" w:eastAsia="Times" w:hAnsi="Verdana" w:cs="Courier New"/>
          <w:noProof/>
          <w:sz w:val="20"/>
          <w:szCs w:val="20"/>
          <w:lang w:val="pt-BR"/>
        </w:rPr>
      </w:pPr>
      <w:r w:rsidRPr="00C03305">
        <w:rPr>
          <w:rFonts w:ascii="Verdana" w:eastAsia="Times" w:hAnsi="Verdana" w:cs="Courier New"/>
          <w:noProof/>
          <w:sz w:val="20"/>
          <w:szCs w:val="20"/>
          <w:lang w:val="pt-BR"/>
        </w:rPr>
        <w:tab/>
      </w:r>
      <w:r w:rsidRPr="00C03305">
        <w:rPr>
          <w:rFonts w:ascii="Verdana" w:eastAsia="Times" w:hAnsi="Verdana" w:cs="Courier New"/>
          <w:noProof/>
          <w:sz w:val="20"/>
          <w:szCs w:val="20"/>
          <w:lang w:val="pt-BR"/>
        </w:rPr>
        <w:tab/>
      </w:r>
      <w:r w:rsidRPr="00C03305">
        <w:rPr>
          <w:rFonts w:ascii="Verdana" w:eastAsia="Times" w:hAnsi="Verdana" w:cs="Courier New"/>
          <w:noProof/>
          <w:sz w:val="20"/>
          <w:szCs w:val="20"/>
          <w:lang w:val="pt-BR"/>
        </w:rPr>
        <w:tab/>
      </w:r>
    </w:p>
    <w:p w:rsidR="00C03305" w:rsidRPr="00C03305" w:rsidRDefault="00C03305" w:rsidP="00C03305">
      <w:pPr>
        <w:spacing w:after="0" w:line="240" w:lineRule="auto"/>
        <w:jc w:val="both"/>
        <w:rPr>
          <w:rFonts w:ascii="Verdana" w:eastAsia="Times" w:hAnsi="Verdana" w:cs="Courier New"/>
          <w:noProof/>
          <w:sz w:val="20"/>
          <w:szCs w:val="20"/>
          <w:lang w:val="pt-BR"/>
        </w:rPr>
      </w:pPr>
      <w:r w:rsidRPr="00C03305">
        <w:rPr>
          <w:rFonts w:ascii="Verdana" w:eastAsia="Times" w:hAnsi="Verdana" w:cs="Courier New"/>
          <w:noProof/>
          <w:sz w:val="20"/>
          <w:szCs w:val="20"/>
          <w:lang w:val="pt-BR"/>
        </w:rPr>
        <w:t xml:space="preserve">Eugenio Raúl Zaffaroni </w:t>
      </w:r>
      <w:r w:rsidRPr="00C03305">
        <w:rPr>
          <w:rFonts w:ascii="Verdana" w:eastAsia="Times" w:hAnsi="Verdana" w:cs="Courier New"/>
          <w:noProof/>
          <w:sz w:val="20"/>
          <w:szCs w:val="20"/>
          <w:lang w:val="pt-BR"/>
        </w:rPr>
        <w:tab/>
      </w:r>
      <w:r w:rsidRPr="00C03305">
        <w:rPr>
          <w:rFonts w:ascii="Verdana" w:eastAsia="Times" w:hAnsi="Verdana" w:cs="Courier New"/>
          <w:noProof/>
          <w:sz w:val="20"/>
          <w:szCs w:val="20"/>
          <w:lang w:val="pt-BR"/>
        </w:rPr>
        <w:tab/>
      </w:r>
      <w:r w:rsidRPr="00C03305">
        <w:rPr>
          <w:rFonts w:ascii="Verdana" w:eastAsia="Times" w:hAnsi="Verdana" w:cs="Courier New"/>
          <w:noProof/>
          <w:sz w:val="20"/>
          <w:szCs w:val="20"/>
          <w:lang w:val="pt-BR"/>
        </w:rPr>
        <w:tab/>
      </w:r>
      <w:r w:rsidRPr="00C03305">
        <w:rPr>
          <w:rFonts w:ascii="Verdana" w:eastAsia="Times" w:hAnsi="Verdana" w:cs="Courier New"/>
          <w:noProof/>
          <w:sz w:val="20"/>
          <w:szCs w:val="20"/>
          <w:lang w:val="pt-BR"/>
        </w:rPr>
        <w:tab/>
      </w:r>
      <w:r w:rsidRPr="00C03305">
        <w:rPr>
          <w:rFonts w:ascii="Verdana" w:eastAsia="Times" w:hAnsi="Verdana" w:cs="Courier New"/>
          <w:noProof/>
          <w:sz w:val="20"/>
          <w:szCs w:val="20"/>
          <w:lang w:val="pt-BR"/>
        </w:rPr>
        <w:tab/>
      </w:r>
      <w:r>
        <w:rPr>
          <w:rFonts w:ascii="Verdana" w:eastAsia="Times" w:hAnsi="Verdana" w:cs="Courier New"/>
          <w:noProof/>
          <w:sz w:val="20"/>
          <w:szCs w:val="20"/>
          <w:lang w:val="pt-BR"/>
        </w:rPr>
        <w:t xml:space="preserve">      </w:t>
      </w:r>
      <w:r w:rsidRPr="00C03305">
        <w:rPr>
          <w:rFonts w:ascii="Verdana" w:eastAsia="Times" w:hAnsi="Verdana" w:cs="Courier New"/>
          <w:noProof/>
          <w:sz w:val="20"/>
          <w:szCs w:val="20"/>
          <w:lang w:val="pt-BR"/>
        </w:rPr>
        <w:t xml:space="preserve">  L. Patricio Pazmiño Freire</w:t>
      </w:r>
    </w:p>
    <w:p w:rsidR="00C03305" w:rsidRPr="00C03305" w:rsidRDefault="00C03305" w:rsidP="00C03305">
      <w:pPr>
        <w:spacing w:after="0" w:line="240" w:lineRule="auto"/>
        <w:jc w:val="both"/>
        <w:rPr>
          <w:rFonts w:ascii="Verdana" w:eastAsia="Times" w:hAnsi="Verdana" w:cs="Courier New"/>
          <w:noProof/>
          <w:sz w:val="20"/>
          <w:szCs w:val="20"/>
          <w:lang w:val="pt-BR"/>
        </w:rPr>
      </w:pPr>
    </w:p>
    <w:p w:rsidR="00C03305" w:rsidRPr="00C03305" w:rsidRDefault="00C03305" w:rsidP="00C03305">
      <w:pPr>
        <w:spacing w:after="0" w:line="240" w:lineRule="auto"/>
        <w:jc w:val="both"/>
        <w:rPr>
          <w:rFonts w:ascii="Verdana" w:eastAsia="Times" w:hAnsi="Verdana" w:cs="Courier New"/>
          <w:noProof/>
          <w:sz w:val="20"/>
          <w:szCs w:val="20"/>
          <w:lang w:val="pt-BR"/>
        </w:rPr>
      </w:pPr>
    </w:p>
    <w:p w:rsidR="00C03305" w:rsidRPr="00C03305" w:rsidRDefault="00C03305" w:rsidP="00C03305">
      <w:pPr>
        <w:spacing w:after="0" w:line="240" w:lineRule="auto"/>
        <w:jc w:val="both"/>
        <w:rPr>
          <w:rFonts w:ascii="Verdana" w:eastAsia="Times" w:hAnsi="Verdana" w:cs="Courier New"/>
          <w:noProof/>
          <w:sz w:val="20"/>
          <w:szCs w:val="20"/>
          <w:lang w:val="pt-BR"/>
        </w:rPr>
      </w:pPr>
    </w:p>
    <w:p w:rsidR="00C03305" w:rsidRPr="00C03305" w:rsidRDefault="00C03305" w:rsidP="00C03305">
      <w:pPr>
        <w:spacing w:after="0" w:line="240" w:lineRule="auto"/>
        <w:jc w:val="both"/>
        <w:rPr>
          <w:rFonts w:ascii="Verdana" w:eastAsia="Times" w:hAnsi="Verdana" w:cs="Courier New"/>
          <w:noProof/>
          <w:sz w:val="20"/>
          <w:szCs w:val="20"/>
          <w:lang w:val="pt-BR"/>
        </w:rPr>
      </w:pPr>
    </w:p>
    <w:p w:rsidR="00C03305" w:rsidRPr="00C03305" w:rsidRDefault="00C03305" w:rsidP="00C03305">
      <w:pPr>
        <w:spacing w:after="0" w:line="240" w:lineRule="auto"/>
        <w:jc w:val="both"/>
        <w:rPr>
          <w:rFonts w:ascii="Verdana" w:eastAsia="Times" w:hAnsi="Verdana" w:cs="Courier New"/>
          <w:noProof/>
          <w:sz w:val="20"/>
          <w:szCs w:val="20"/>
          <w:lang w:val="pt-BR"/>
        </w:rPr>
      </w:pPr>
    </w:p>
    <w:p w:rsidR="00C03305" w:rsidRPr="00C03305" w:rsidRDefault="00C03305" w:rsidP="00C03305">
      <w:pPr>
        <w:spacing w:after="0" w:line="240" w:lineRule="auto"/>
        <w:jc w:val="both"/>
        <w:rPr>
          <w:rFonts w:ascii="Verdana" w:eastAsia="Times" w:hAnsi="Verdana" w:cs="Courier New"/>
          <w:noProof/>
          <w:sz w:val="20"/>
          <w:szCs w:val="20"/>
          <w:lang w:val="pt-BR"/>
        </w:rPr>
      </w:pPr>
    </w:p>
    <w:p w:rsidR="00C03305" w:rsidRPr="00C03305" w:rsidRDefault="00C03305" w:rsidP="00C03305">
      <w:pPr>
        <w:spacing w:after="0" w:line="240" w:lineRule="auto"/>
        <w:jc w:val="both"/>
        <w:rPr>
          <w:rFonts w:ascii="Verdana" w:eastAsia="Times" w:hAnsi="Verdana" w:cs="Courier New"/>
          <w:noProof/>
          <w:sz w:val="20"/>
          <w:szCs w:val="20"/>
          <w:lang w:val="pt-BR"/>
        </w:rPr>
      </w:pPr>
    </w:p>
    <w:p w:rsidR="00C03305" w:rsidRPr="00C03305" w:rsidRDefault="00C03305" w:rsidP="00C03305">
      <w:pPr>
        <w:spacing w:after="0" w:line="240" w:lineRule="auto"/>
        <w:jc w:val="center"/>
        <w:rPr>
          <w:rFonts w:ascii="Verdana" w:eastAsia="Times" w:hAnsi="Verdana" w:cs="Times New Roman"/>
          <w:sz w:val="20"/>
          <w:szCs w:val="20"/>
          <w:lang w:val="pt-BR"/>
        </w:rPr>
      </w:pPr>
      <w:r w:rsidRPr="00C03305">
        <w:rPr>
          <w:rFonts w:ascii="Verdana" w:eastAsia="Times" w:hAnsi="Verdana" w:cs="Times New Roman"/>
          <w:sz w:val="20"/>
          <w:szCs w:val="20"/>
          <w:lang w:val="pt-BR"/>
        </w:rPr>
        <w:t>Pablo Saavedra Alessandri</w:t>
      </w:r>
    </w:p>
    <w:p w:rsidR="00C03305" w:rsidRPr="00C03305" w:rsidRDefault="00C03305" w:rsidP="00C03305">
      <w:pPr>
        <w:spacing w:after="0" w:line="240" w:lineRule="auto"/>
        <w:jc w:val="center"/>
        <w:rPr>
          <w:rFonts w:ascii="Verdana" w:eastAsia="Times" w:hAnsi="Verdana" w:cs="Times New Roman"/>
          <w:sz w:val="20"/>
          <w:szCs w:val="20"/>
          <w:lang w:val="pt-BR"/>
        </w:rPr>
      </w:pPr>
      <w:r w:rsidRPr="00C03305">
        <w:rPr>
          <w:rFonts w:ascii="Verdana" w:eastAsia="Times" w:hAnsi="Verdana" w:cs="Times New Roman"/>
          <w:sz w:val="20"/>
          <w:szCs w:val="20"/>
          <w:lang w:val="pt-BR"/>
        </w:rPr>
        <w:t>Secretario</w:t>
      </w:r>
    </w:p>
    <w:p w:rsidR="00C03305" w:rsidRPr="00C03305" w:rsidRDefault="00C03305" w:rsidP="00C03305">
      <w:pPr>
        <w:spacing w:after="0" w:line="240" w:lineRule="auto"/>
        <w:jc w:val="both"/>
        <w:rPr>
          <w:rFonts w:ascii="Verdana" w:eastAsia="Times" w:hAnsi="Verdana" w:cs="Courier New"/>
          <w:noProof/>
          <w:sz w:val="20"/>
          <w:szCs w:val="20"/>
          <w:lang w:val="pt-BR"/>
        </w:rPr>
      </w:pPr>
    </w:p>
    <w:p w:rsidR="00C03305" w:rsidRPr="00C03305" w:rsidRDefault="00C03305" w:rsidP="00C03305">
      <w:pPr>
        <w:spacing w:after="0" w:line="240" w:lineRule="auto"/>
        <w:jc w:val="both"/>
        <w:rPr>
          <w:rFonts w:ascii="Verdana" w:eastAsia="Times" w:hAnsi="Verdana" w:cs="Courier New"/>
          <w:noProof/>
          <w:sz w:val="20"/>
          <w:szCs w:val="20"/>
          <w:lang w:val="pt-BR"/>
        </w:rPr>
      </w:pPr>
    </w:p>
    <w:p w:rsidR="00C03305" w:rsidRPr="00C03305" w:rsidRDefault="00C03305" w:rsidP="00C03305">
      <w:pPr>
        <w:spacing w:after="0" w:line="240" w:lineRule="auto"/>
        <w:jc w:val="both"/>
        <w:rPr>
          <w:rFonts w:ascii="Verdana" w:eastAsia="Times" w:hAnsi="Verdana" w:cs="Courier New"/>
          <w:noProof/>
          <w:sz w:val="20"/>
          <w:szCs w:val="20"/>
          <w:lang w:val="pt-BR"/>
        </w:rPr>
      </w:pPr>
      <w:r w:rsidRPr="00C03305">
        <w:rPr>
          <w:rFonts w:ascii="Verdana" w:eastAsia="Times" w:hAnsi="Verdana" w:cs="Courier New"/>
          <w:noProof/>
          <w:sz w:val="20"/>
          <w:szCs w:val="20"/>
          <w:lang w:val="pt-BR"/>
        </w:rPr>
        <w:t>Comuníquese y ejecútese,</w:t>
      </w:r>
    </w:p>
    <w:p w:rsidR="00C03305" w:rsidRPr="00C03305" w:rsidRDefault="00C03305" w:rsidP="00C03305">
      <w:pPr>
        <w:spacing w:after="0" w:line="240" w:lineRule="auto"/>
        <w:jc w:val="both"/>
        <w:rPr>
          <w:rFonts w:ascii="Verdana" w:eastAsia="Times" w:hAnsi="Verdana" w:cs="Courier New"/>
          <w:noProof/>
          <w:sz w:val="20"/>
          <w:szCs w:val="20"/>
          <w:lang w:val="pt-BR"/>
        </w:rPr>
      </w:pPr>
    </w:p>
    <w:p w:rsidR="00C03305" w:rsidRPr="00C03305" w:rsidRDefault="00C03305" w:rsidP="00C03305">
      <w:pPr>
        <w:spacing w:after="0" w:line="240" w:lineRule="auto"/>
        <w:jc w:val="both"/>
        <w:rPr>
          <w:rFonts w:ascii="Verdana" w:eastAsia="Times" w:hAnsi="Verdana" w:cs="Courier New"/>
          <w:noProof/>
          <w:sz w:val="20"/>
          <w:szCs w:val="20"/>
          <w:lang w:val="pt-BR"/>
        </w:rPr>
      </w:pPr>
    </w:p>
    <w:p w:rsidR="00C03305" w:rsidRPr="00C03305" w:rsidRDefault="00C03305" w:rsidP="00C03305">
      <w:pPr>
        <w:spacing w:after="0" w:line="240" w:lineRule="auto"/>
        <w:jc w:val="both"/>
        <w:rPr>
          <w:rFonts w:ascii="Verdana" w:eastAsia="Times" w:hAnsi="Verdana" w:cs="Courier New"/>
          <w:noProof/>
          <w:sz w:val="20"/>
          <w:szCs w:val="20"/>
          <w:lang w:val="pt-BR"/>
        </w:rPr>
      </w:pPr>
    </w:p>
    <w:p w:rsidR="00C03305" w:rsidRPr="00C03305" w:rsidRDefault="00C03305" w:rsidP="00C03305">
      <w:pPr>
        <w:spacing w:after="0" w:line="240" w:lineRule="auto"/>
        <w:jc w:val="both"/>
        <w:rPr>
          <w:rFonts w:ascii="Verdana" w:eastAsia="Times" w:hAnsi="Verdana" w:cs="Courier New"/>
          <w:noProof/>
          <w:sz w:val="20"/>
          <w:szCs w:val="20"/>
          <w:lang w:val="pt-BR"/>
        </w:rPr>
      </w:pPr>
    </w:p>
    <w:p w:rsidR="00C03305" w:rsidRPr="00C03305" w:rsidRDefault="00C03305" w:rsidP="00C03305">
      <w:pPr>
        <w:spacing w:after="0" w:line="240" w:lineRule="auto"/>
        <w:jc w:val="both"/>
        <w:rPr>
          <w:rFonts w:ascii="Verdana" w:eastAsia="Times" w:hAnsi="Verdana" w:cs="Courier New"/>
          <w:noProof/>
          <w:sz w:val="20"/>
          <w:szCs w:val="20"/>
          <w:lang w:val="pt-BR"/>
        </w:rPr>
      </w:pPr>
    </w:p>
    <w:p w:rsidR="00C03305" w:rsidRPr="00C03305" w:rsidRDefault="00C03305" w:rsidP="00C03305">
      <w:pPr>
        <w:spacing w:after="0" w:line="240" w:lineRule="auto"/>
        <w:ind w:left="4956" w:firstLine="708"/>
        <w:jc w:val="center"/>
        <w:rPr>
          <w:rFonts w:ascii="Verdana" w:eastAsia="Times" w:hAnsi="Verdana" w:cs="Courier New"/>
          <w:noProof/>
          <w:sz w:val="20"/>
          <w:szCs w:val="20"/>
          <w:lang w:val="pt-BR"/>
        </w:rPr>
      </w:pPr>
      <w:r w:rsidRPr="00C03305">
        <w:rPr>
          <w:rFonts w:ascii="Verdana" w:eastAsia="Times" w:hAnsi="Verdana" w:cs="Times New Roman"/>
          <w:sz w:val="20"/>
          <w:szCs w:val="20"/>
          <w:lang w:val="pt-BR"/>
        </w:rPr>
        <w:t>Eduardo</w:t>
      </w:r>
      <w:r w:rsidRPr="00C03305">
        <w:rPr>
          <w:rFonts w:ascii="Verdana" w:eastAsia="Times" w:hAnsi="Verdana" w:cs="Courier New"/>
          <w:noProof/>
          <w:sz w:val="20"/>
          <w:szCs w:val="20"/>
          <w:lang w:val="pt-BR"/>
        </w:rPr>
        <w:t xml:space="preserve"> Vio Grossi</w:t>
      </w:r>
    </w:p>
    <w:p w:rsidR="00C03305" w:rsidRPr="00C03305" w:rsidRDefault="00C03305" w:rsidP="00C03305">
      <w:pPr>
        <w:spacing w:after="0" w:line="240" w:lineRule="auto"/>
        <w:ind w:left="4956" w:firstLine="708"/>
        <w:jc w:val="center"/>
        <w:rPr>
          <w:rFonts w:ascii="Verdana" w:eastAsia="Times" w:hAnsi="Verdana" w:cs="Courier New"/>
          <w:noProof/>
          <w:sz w:val="20"/>
          <w:szCs w:val="20"/>
          <w:lang w:val="pt-BR"/>
        </w:rPr>
      </w:pPr>
      <w:r>
        <w:rPr>
          <w:rFonts w:ascii="Verdana" w:eastAsia="Times" w:hAnsi="Verdana" w:cs="Times New Roman"/>
          <w:sz w:val="20"/>
          <w:szCs w:val="20"/>
          <w:lang w:val="pt-BR"/>
        </w:rPr>
        <w:t>P</w:t>
      </w:r>
      <w:r w:rsidRPr="00C03305">
        <w:rPr>
          <w:rFonts w:ascii="Verdana" w:eastAsia="Times" w:hAnsi="Verdana" w:cs="Times New Roman"/>
          <w:sz w:val="20"/>
          <w:szCs w:val="20"/>
          <w:lang w:val="pt-BR"/>
        </w:rPr>
        <w:t>residente</w:t>
      </w:r>
      <w:r w:rsidRPr="00C03305">
        <w:rPr>
          <w:rFonts w:ascii="Verdana" w:eastAsia="Times" w:hAnsi="Verdana" w:cs="Courier New"/>
          <w:noProof/>
          <w:sz w:val="20"/>
          <w:szCs w:val="20"/>
          <w:lang w:val="pt-BR"/>
        </w:rPr>
        <w:t xml:space="preserve"> en ejercicio</w:t>
      </w:r>
    </w:p>
    <w:p w:rsidR="00C03305" w:rsidRPr="00C03305" w:rsidRDefault="00C03305" w:rsidP="00C03305">
      <w:pPr>
        <w:spacing w:after="0" w:line="240" w:lineRule="auto"/>
        <w:jc w:val="both"/>
        <w:rPr>
          <w:rFonts w:ascii="Verdana" w:eastAsia="Times" w:hAnsi="Verdana" w:cs="Courier New"/>
          <w:noProof/>
          <w:sz w:val="20"/>
          <w:szCs w:val="20"/>
          <w:lang w:val="pt-BR"/>
        </w:rPr>
      </w:pPr>
    </w:p>
    <w:p w:rsidR="00C03305" w:rsidRPr="00C03305" w:rsidRDefault="00C03305" w:rsidP="00C03305">
      <w:pPr>
        <w:spacing w:after="0" w:line="240" w:lineRule="auto"/>
        <w:jc w:val="both"/>
        <w:rPr>
          <w:rFonts w:ascii="Verdana" w:eastAsia="Times" w:hAnsi="Verdana" w:cs="Courier New"/>
          <w:noProof/>
          <w:sz w:val="20"/>
          <w:szCs w:val="20"/>
          <w:lang w:val="pt-BR"/>
        </w:rPr>
      </w:pPr>
    </w:p>
    <w:p w:rsidR="00C03305" w:rsidRPr="00C03305" w:rsidRDefault="00C03305" w:rsidP="00C03305">
      <w:pPr>
        <w:spacing w:after="0" w:line="240" w:lineRule="auto"/>
        <w:jc w:val="both"/>
        <w:rPr>
          <w:rFonts w:ascii="Verdana" w:eastAsia="Times" w:hAnsi="Verdana" w:cs="Courier New"/>
          <w:noProof/>
          <w:sz w:val="20"/>
          <w:szCs w:val="20"/>
          <w:lang w:val="pt-BR"/>
        </w:rPr>
      </w:pPr>
    </w:p>
    <w:p w:rsidR="00C03305" w:rsidRPr="00C03305" w:rsidRDefault="00C03305" w:rsidP="00C03305">
      <w:pPr>
        <w:spacing w:after="0" w:line="240" w:lineRule="auto"/>
        <w:jc w:val="both"/>
        <w:rPr>
          <w:rFonts w:ascii="Verdana" w:eastAsia="Times" w:hAnsi="Verdana" w:cs="Courier New"/>
          <w:noProof/>
          <w:sz w:val="20"/>
          <w:szCs w:val="20"/>
          <w:lang w:val="pt-BR"/>
        </w:rPr>
      </w:pPr>
      <w:r w:rsidRPr="00C03305">
        <w:rPr>
          <w:rFonts w:ascii="Verdana" w:eastAsia="Times" w:hAnsi="Verdana" w:cs="Courier New"/>
          <w:noProof/>
          <w:sz w:val="20"/>
          <w:szCs w:val="20"/>
          <w:lang w:val="pt-BR"/>
        </w:rPr>
        <w:t>Pablo Saavedra Alessandri</w:t>
      </w:r>
    </w:p>
    <w:p w:rsidR="00C03305" w:rsidRPr="00C03305" w:rsidRDefault="00C03305" w:rsidP="00C03305">
      <w:pPr>
        <w:spacing w:after="0" w:line="240" w:lineRule="auto"/>
        <w:jc w:val="both"/>
        <w:rPr>
          <w:rFonts w:ascii="Verdana" w:eastAsia="Times" w:hAnsi="Verdana" w:cs="Courier New"/>
          <w:noProof/>
          <w:sz w:val="20"/>
          <w:szCs w:val="20"/>
          <w:lang w:val="pt-BR"/>
        </w:rPr>
      </w:pPr>
      <w:r w:rsidRPr="00C03305">
        <w:rPr>
          <w:rFonts w:ascii="Verdana" w:eastAsia="Times" w:hAnsi="Verdana" w:cs="Courier New"/>
          <w:noProof/>
          <w:sz w:val="20"/>
          <w:szCs w:val="20"/>
          <w:lang w:val="pt-BR"/>
        </w:rPr>
        <w:tab/>
        <w:t>Secretario</w:t>
      </w:r>
    </w:p>
    <w:p w:rsidR="00C72A1E" w:rsidRPr="00C03305" w:rsidRDefault="00C72A1E" w:rsidP="00C03305">
      <w:pPr>
        <w:spacing w:after="0" w:line="240" w:lineRule="auto"/>
        <w:jc w:val="both"/>
        <w:rPr>
          <w:rFonts w:ascii="Verdana" w:eastAsia="Times" w:hAnsi="Verdana" w:cs="Courier New"/>
          <w:noProof/>
          <w:sz w:val="20"/>
          <w:szCs w:val="20"/>
          <w:lang w:val="pt-BR"/>
        </w:rPr>
      </w:pPr>
    </w:p>
    <w:sectPr w:rsidR="00C72A1E" w:rsidRPr="00C03305" w:rsidSect="00A634C9">
      <w:footerReference w:type="default" r:id="rId12"/>
      <w:headerReference w:type="first" r:id="rId13"/>
      <w:footerReference w:type="firs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298" w:rsidRDefault="006D1298" w:rsidP="00C72A1E">
      <w:pPr>
        <w:spacing w:after="0" w:line="240" w:lineRule="auto"/>
      </w:pPr>
      <w:r>
        <w:separator/>
      </w:r>
    </w:p>
  </w:endnote>
  <w:endnote w:type="continuationSeparator" w:id="0">
    <w:p w:rsidR="006D1298" w:rsidRDefault="006D1298" w:rsidP="00C72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6472950"/>
      <w:docPartObj>
        <w:docPartGallery w:val="Page Numbers (Bottom of Page)"/>
        <w:docPartUnique/>
      </w:docPartObj>
    </w:sdtPr>
    <w:sdtEndPr/>
    <w:sdtContent>
      <w:p w:rsidR="00A634C9" w:rsidRDefault="00A634C9">
        <w:pPr>
          <w:pStyle w:val="Piedepgina"/>
          <w:jc w:val="center"/>
        </w:pPr>
        <w:r>
          <w:fldChar w:fldCharType="begin"/>
        </w:r>
        <w:r>
          <w:instrText>PAGE   \* MERGEFORMAT</w:instrText>
        </w:r>
        <w:r>
          <w:fldChar w:fldCharType="separate"/>
        </w:r>
        <w:r w:rsidR="00D64926" w:rsidRPr="00D64926">
          <w:rPr>
            <w:noProof/>
            <w:lang w:val="es-ES"/>
          </w:rPr>
          <w:t>2</w:t>
        </w:r>
        <w:r>
          <w:fldChar w:fldCharType="end"/>
        </w:r>
      </w:p>
    </w:sdtContent>
  </w:sdt>
  <w:p w:rsidR="00A634C9" w:rsidRDefault="00A634C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943045"/>
      <w:docPartObj>
        <w:docPartGallery w:val="Page Numbers (Bottom of Page)"/>
        <w:docPartUnique/>
      </w:docPartObj>
    </w:sdtPr>
    <w:sdtEndPr/>
    <w:sdtContent>
      <w:p w:rsidR="00A634C9" w:rsidRDefault="00A634C9">
        <w:pPr>
          <w:pStyle w:val="Piedepgina"/>
          <w:jc w:val="center"/>
        </w:pPr>
        <w:r>
          <w:fldChar w:fldCharType="begin"/>
        </w:r>
        <w:r>
          <w:instrText>PAGE   \* MERGEFORMAT</w:instrText>
        </w:r>
        <w:r>
          <w:fldChar w:fldCharType="separate"/>
        </w:r>
        <w:r w:rsidRPr="00A634C9">
          <w:rPr>
            <w:noProof/>
            <w:lang w:val="es-ES"/>
          </w:rPr>
          <w:t>1</w:t>
        </w:r>
        <w:r>
          <w:fldChar w:fldCharType="end"/>
        </w:r>
      </w:p>
    </w:sdtContent>
  </w:sdt>
  <w:p w:rsidR="00A634C9" w:rsidRDefault="00A634C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298" w:rsidRDefault="006D1298" w:rsidP="00C72A1E">
      <w:pPr>
        <w:spacing w:after="0" w:line="240" w:lineRule="auto"/>
      </w:pPr>
      <w:r>
        <w:separator/>
      </w:r>
    </w:p>
  </w:footnote>
  <w:footnote w:type="continuationSeparator" w:id="0">
    <w:p w:rsidR="006D1298" w:rsidRDefault="006D1298" w:rsidP="00C72A1E">
      <w:pPr>
        <w:spacing w:after="0" w:line="240" w:lineRule="auto"/>
      </w:pPr>
      <w:r>
        <w:continuationSeparator/>
      </w:r>
    </w:p>
  </w:footnote>
  <w:footnote w:id="1">
    <w:p w:rsidR="00C72A1E" w:rsidRPr="00C72A1E" w:rsidRDefault="00C72A1E" w:rsidP="00C72A1E">
      <w:pPr>
        <w:pStyle w:val="Textonotapie"/>
        <w:jc w:val="both"/>
        <w:rPr>
          <w:rFonts w:ascii="Verdana" w:eastAsia="Batang" w:hAnsi="Verdana"/>
          <w:sz w:val="16"/>
          <w:szCs w:val="16"/>
          <w:lang w:val="es-ES_tradnl"/>
        </w:rPr>
      </w:pPr>
      <w:r w:rsidRPr="00C72A1E">
        <w:rPr>
          <w:rStyle w:val="Refdenotaalpie"/>
          <w:rFonts w:ascii="Verdana" w:hAnsi="Verdana"/>
          <w:sz w:val="16"/>
          <w:szCs w:val="16"/>
        </w:rPr>
        <w:footnoteRef/>
      </w:r>
      <w:r w:rsidRPr="00C72A1E">
        <w:rPr>
          <w:rFonts w:ascii="Verdana" w:hAnsi="Verdana"/>
          <w:sz w:val="16"/>
          <w:szCs w:val="16"/>
        </w:rPr>
        <w:t xml:space="preserve"> </w:t>
      </w:r>
      <w:r w:rsidRPr="00C72A1E">
        <w:rPr>
          <w:rFonts w:ascii="Verdana" w:hAnsi="Verdana"/>
          <w:sz w:val="16"/>
          <w:szCs w:val="16"/>
        </w:rPr>
        <w:tab/>
      </w:r>
      <w:r w:rsidRPr="00C72A1E">
        <w:rPr>
          <w:rFonts w:ascii="Verdana" w:hAnsi="Verdana" w:cs="Arial"/>
          <w:spacing w:val="-4"/>
          <w:sz w:val="16"/>
          <w:szCs w:val="16"/>
        </w:rPr>
        <w:t>El Juez</w:t>
      </w:r>
      <w:r w:rsidRPr="00C72A1E">
        <w:rPr>
          <w:rFonts w:ascii="Verdana" w:hAnsi="Verdana"/>
          <w:spacing w:val="-4"/>
          <w:sz w:val="16"/>
          <w:szCs w:val="16"/>
        </w:rPr>
        <w:t xml:space="preserve"> Eduardo Ferrer Mac-Gregor Poisot</w:t>
      </w:r>
      <w:r w:rsidRPr="00C72A1E">
        <w:rPr>
          <w:rFonts w:ascii="Verdana" w:hAnsi="Verdana" w:cs="Arial"/>
          <w:spacing w:val="-4"/>
          <w:sz w:val="16"/>
          <w:szCs w:val="16"/>
        </w:rPr>
        <w:t>, de nacionalidad mexicana, no participó en la deliberación de la presente Sentencia, de conformidad con lo dispuesto en los artículos 19.2 del Estatuto y 19.1 del Reglamento de la Corte.</w:t>
      </w:r>
      <w:r w:rsidR="00CB1042">
        <w:rPr>
          <w:rFonts w:ascii="Verdana" w:hAnsi="Verdana" w:cs="Arial"/>
          <w:spacing w:val="-4"/>
          <w:sz w:val="16"/>
          <w:szCs w:val="16"/>
        </w:rPr>
        <w:t xml:space="preserve"> </w:t>
      </w:r>
    </w:p>
  </w:footnote>
  <w:footnote w:id="2">
    <w:p w:rsidR="00C72A1E" w:rsidRPr="00C72A1E" w:rsidRDefault="00C72A1E" w:rsidP="00C72A1E">
      <w:pPr>
        <w:pStyle w:val="Textonotapie"/>
        <w:jc w:val="both"/>
        <w:rPr>
          <w:rFonts w:ascii="Verdana" w:hAnsi="Verdana"/>
          <w:sz w:val="16"/>
          <w:szCs w:val="16"/>
        </w:rPr>
      </w:pPr>
      <w:r w:rsidRPr="00C72A1E">
        <w:rPr>
          <w:rStyle w:val="Refdenotaalpie"/>
          <w:rFonts w:ascii="Verdana" w:hAnsi="Verdana"/>
          <w:sz w:val="16"/>
          <w:szCs w:val="16"/>
        </w:rPr>
        <w:footnoteRef/>
      </w:r>
      <w:r w:rsidRPr="00C72A1E">
        <w:rPr>
          <w:rFonts w:ascii="Verdana" w:hAnsi="Verdana"/>
          <w:sz w:val="16"/>
          <w:szCs w:val="16"/>
        </w:rPr>
        <w:t xml:space="preserve"> </w:t>
      </w:r>
      <w:r w:rsidRPr="00C72A1E">
        <w:rPr>
          <w:rFonts w:ascii="Verdana" w:hAnsi="Verdana"/>
          <w:sz w:val="16"/>
          <w:szCs w:val="16"/>
        </w:rPr>
        <w:tab/>
        <w:t>Los representantes de las víctimas son Patricia Reyes Rueda (en representación de su hija Rocío Irene Alvarado Reyes), María de Jesús Alvarado Espinoza (en representación de su hermana Nitza Paola Alvarado Espinoza), Rosa Olivia Alvarado Herrera (en representación de su hermano José Ángel Alvarado Herrera), el Centro de Derechos Humanos de las Mujeres A. C. (CEDEHM), el Centro de Derechos Humanos Paso del Norte, A.C. (CDHPN), la Comisión de Solidaridad y Defensa de los Derechos Humanos, A.C. (COSYDDHAC) y Mexicanos/as en el Exilio (MexenEx).</w:t>
      </w:r>
    </w:p>
  </w:footnote>
  <w:footnote w:id="3">
    <w:p w:rsidR="0063629C" w:rsidRPr="00A20632" w:rsidRDefault="0063629C" w:rsidP="0063629C">
      <w:pPr>
        <w:pStyle w:val="Textonotapie"/>
        <w:jc w:val="both"/>
        <w:rPr>
          <w:rFonts w:ascii="Verdana" w:hAnsi="Verdana"/>
          <w:sz w:val="16"/>
          <w:szCs w:val="16"/>
        </w:rPr>
      </w:pPr>
      <w:r w:rsidRPr="00A10D21">
        <w:rPr>
          <w:rStyle w:val="Refdenotaalpie"/>
          <w:rFonts w:ascii="Verdana" w:hAnsi="Verdana"/>
          <w:sz w:val="16"/>
          <w:szCs w:val="16"/>
        </w:rPr>
        <w:footnoteRef/>
      </w:r>
      <w:r w:rsidRPr="00A10D21">
        <w:rPr>
          <w:rFonts w:ascii="Verdana" w:hAnsi="Verdana"/>
          <w:sz w:val="16"/>
          <w:szCs w:val="16"/>
        </w:rPr>
        <w:t xml:space="preserve">  </w:t>
      </w:r>
      <w:r w:rsidRPr="00A91429">
        <w:rPr>
          <w:rFonts w:ascii="Verdana" w:hAnsi="Verdana"/>
          <w:sz w:val="16"/>
          <w:szCs w:val="16"/>
        </w:rPr>
        <w:tab/>
      </w:r>
      <w:r w:rsidRPr="00A91429">
        <w:rPr>
          <w:rFonts w:ascii="Verdana" w:hAnsi="Verdana"/>
          <w:i/>
          <w:sz w:val="16"/>
          <w:szCs w:val="16"/>
          <w:lang w:val="es-CO"/>
        </w:rPr>
        <w:t xml:space="preserve">Cfr. </w:t>
      </w:r>
      <w:r w:rsidRPr="00A91429">
        <w:rPr>
          <w:rFonts w:ascii="Verdana" w:hAnsi="Verdana"/>
          <w:i/>
          <w:sz w:val="16"/>
          <w:szCs w:val="16"/>
          <w:lang w:val="es-MX"/>
        </w:rPr>
        <w:t xml:space="preserve">Caso Loayza Tamayo Vs. Perú. Interpretación de la Sentencia de Fondo. </w:t>
      </w:r>
      <w:r w:rsidRPr="00A91429">
        <w:rPr>
          <w:rFonts w:ascii="Verdana" w:hAnsi="Verdana"/>
          <w:sz w:val="16"/>
          <w:szCs w:val="16"/>
          <w:lang w:val="es-MX"/>
        </w:rPr>
        <w:t>Resolución de la Corte de 8 de marzo de 1998. Serie C No. 47</w:t>
      </w:r>
      <w:r w:rsidRPr="00A91429">
        <w:rPr>
          <w:rFonts w:ascii="Verdana" w:hAnsi="Verdana"/>
          <w:sz w:val="16"/>
          <w:szCs w:val="16"/>
          <w:lang w:val="es-CO"/>
        </w:rPr>
        <w:t xml:space="preserve">, párr. 16, y </w:t>
      </w:r>
      <w:r w:rsidR="00A20632">
        <w:rPr>
          <w:rFonts w:ascii="Verdana" w:hAnsi="Verdana"/>
          <w:i/>
          <w:sz w:val="16"/>
          <w:szCs w:val="16"/>
          <w:lang w:val="es-CO"/>
        </w:rPr>
        <w:t xml:space="preserve">Caso Omeara Carrascal y otros Vs. Colombia. </w:t>
      </w:r>
      <w:r w:rsidR="00A20632" w:rsidRPr="0079365E">
        <w:rPr>
          <w:rFonts w:ascii="Verdana" w:hAnsi="Verdana"/>
          <w:i/>
          <w:sz w:val="16"/>
          <w:szCs w:val="16"/>
          <w:lang w:val="es-CO"/>
        </w:rPr>
        <w:t>Interpretación de la Sentencia de Fondo, Reparaciones y Costas.</w:t>
      </w:r>
      <w:r w:rsidR="00A20632">
        <w:rPr>
          <w:rFonts w:ascii="Verdana" w:hAnsi="Verdana"/>
          <w:sz w:val="16"/>
          <w:szCs w:val="16"/>
          <w:lang w:val="es-CO"/>
        </w:rPr>
        <w:t xml:space="preserve"> Sentencia de 14 de octubre de 2019. Serie C No. 389, párr. 10.</w:t>
      </w:r>
    </w:p>
  </w:footnote>
  <w:footnote w:id="4">
    <w:p w:rsidR="0063629C" w:rsidRPr="00A20632" w:rsidRDefault="0063629C" w:rsidP="0063629C">
      <w:pPr>
        <w:pStyle w:val="Textonotapie"/>
        <w:jc w:val="both"/>
        <w:rPr>
          <w:rFonts w:ascii="Verdana" w:hAnsi="Verdana"/>
          <w:sz w:val="16"/>
          <w:szCs w:val="16"/>
        </w:rPr>
      </w:pPr>
      <w:r w:rsidRPr="00A91429">
        <w:rPr>
          <w:rStyle w:val="Refdenotaalpie"/>
          <w:rFonts w:ascii="Verdana" w:hAnsi="Verdana"/>
          <w:sz w:val="16"/>
          <w:szCs w:val="16"/>
        </w:rPr>
        <w:footnoteRef/>
      </w:r>
      <w:r w:rsidRPr="00A91429">
        <w:rPr>
          <w:rFonts w:ascii="Verdana" w:hAnsi="Verdana"/>
          <w:sz w:val="16"/>
          <w:szCs w:val="16"/>
        </w:rPr>
        <w:t xml:space="preserve">  </w:t>
      </w:r>
      <w:r w:rsidRPr="00A91429">
        <w:rPr>
          <w:rFonts w:ascii="Verdana" w:hAnsi="Verdana"/>
          <w:sz w:val="16"/>
          <w:szCs w:val="16"/>
        </w:rPr>
        <w:tab/>
      </w:r>
      <w:r w:rsidRPr="00A91429">
        <w:rPr>
          <w:rFonts w:ascii="Verdana" w:hAnsi="Verdana"/>
          <w:i/>
          <w:sz w:val="16"/>
          <w:szCs w:val="16"/>
          <w:lang w:val="es-CO"/>
        </w:rPr>
        <w:t>Cfr. Caso Loayza Tamayo Vs. Perú</w:t>
      </w:r>
      <w:r>
        <w:rPr>
          <w:rFonts w:ascii="Verdana" w:hAnsi="Verdana"/>
          <w:i/>
          <w:sz w:val="16"/>
          <w:szCs w:val="16"/>
          <w:lang w:val="es-CO"/>
        </w:rPr>
        <w:t>, supra,</w:t>
      </w:r>
      <w:r w:rsidRPr="00A91429">
        <w:rPr>
          <w:rFonts w:ascii="Verdana" w:hAnsi="Verdana"/>
          <w:i/>
          <w:sz w:val="16"/>
          <w:szCs w:val="16"/>
          <w:lang w:val="es-MX"/>
        </w:rPr>
        <w:t xml:space="preserve"> </w:t>
      </w:r>
      <w:r w:rsidRPr="00A91429">
        <w:rPr>
          <w:rFonts w:ascii="Verdana" w:hAnsi="Verdana"/>
          <w:sz w:val="16"/>
          <w:szCs w:val="16"/>
          <w:lang w:val="es-CO"/>
        </w:rPr>
        <w:t>párr. 1</w:t>
      </w:r>
      <w:r>
        <w:rPr>
          <w:rFonts w:ascii="Verdana" w:hAnsi="Verdana"/>
          <w:sz w:val="16"/>
          <w:szCs w:val="16"/>
          <w:lang w:val="es-CO"/>
        </w:rPr>
        <w:t>6</w:t>
      </w:r>
      <w:r w:rsidRPr="00A91429">
        <w:rPr>
          <w:rFonts w:ascii="Verdana" w:hAnsi="Verdana"/>
          <w:sz w:val="16"/>
          <w:szCs w:val="16"/>
          <w:lang w:val="es-CO"/>
        </w:rPr>
        <w:t xml:space="preserve">, y </w:t>
      </w:r>
      <w:r w:rsidR="00A20632">
        <w:rPr>
          <w:rFonts w:ascii="Verdana" w:hAnsi="Verdana"/>
          <w:bCs/>
          <w:i/>
          <w:sz w:val="16"/>
          <w:szCs w:val="16"/>
          <w:lang w:val="es-MX"/>
        </w:rPr>
        <w:t xml:space="preserve">Caso Omeara Carrascal y otros Vs. Colombia, supra, </w:t>
      </w:r>
      <w:r w:rsidR="00A20632">
        <w:rPr>
          <w:rFonts w:ascii="Verdana" w:hAnsi="Verdana"/>
          <w:bCs/>
          <w:sz w:val="16"/>
          <w:szCs w:val="16"/>
          <w:lang w:val="es-MX"/>
        </w:rPr>
        <w:t>párr. 10.</w:t>
      </w:r>
    </w:p>
  </w:footnote>
  <w:footnote w:id="5">
    <w:p w:rsidR="00C72A1E" w:rsidRPr="00C72A1E" w:rsidRDefault="00C72A1E" w:rsidP="0063629C">
      <w:pPr>
        <w:spacing w:after="0" w:line="240" w:lineRule="auto"/>
        <w:ind w:hanging="11"/>
        <w:jc w:val="both"/>
        <w:rPr>
          <w:rFonts w:ascii="Verdana" w:hAnsi="Verdana"/>
          <w:sz w:val="16"/>
          <w:szCs w:val="16"/>
        </w:rPr>
      </w:pPr>
      <w:r w:rsidRPr="00C72A1E">
        <w:rPr>
          <w:rStyle w:val="Refdenotaalpie"/>
          <w:rFonts w:ascii="Verdana" w:hAnsi="Verdana"/>
          <w:sz w:val="16"/>
          <w:szCs w:val="16"/>
        </w:rPr>
        <w:footnoteRef/>
      </w:r>
      <w:r w:rsidRPr="00C72A1E">
        <w:rPr>
          <w:rFonts w:ascii="Verdana" w:hAnsi="Verdana"/>
          <w:sz w:val="16"/>
          <w:szCs w:val="16"/>
        </w:rPr>
        <w:t xml:space="preserve"> </w:t>
      </w:r>
      <w:r>
        <w:rPr>
          <w:rFonts w:ascii="Verdana" w:hAnsi="Verdana"/>
          <w:sz w:val="16"/>
          <w:szCs w:val="16"/>
        </w:rPr>
        <w:tab/>
      </w:r>
      <w:r w:rsidRPr="00C72A1E">
        <w:rPr>
          <w:rFonts w:ascii="Verdana" w:hAnsi="Verdana"/>
          <w:sz w:val="16"/>
          <w:szCs w:val="16"/>
        </w:rPr>
        <w:t>Punto resolutivo 10: El Estado debe realizar, a la mayor brevedad, una búsqueda rigurosa, sistemática y con los recursos humanos, técnicos y económicos adecuados, en la cual realice todos los esfuerzos para determinar el paradero de Nitza Paola Alvarado Espinoza, Rocío Irene Alvarado Reyes y José Ángel Alvarado Herrera, en los términos de los párrafos 247 y 300 de esta Sentencia.</w:t>
      </w:r>
    </w:p>
  </w:footnote>
  <w:footnote w:id="6">
    <w:p w:rsidR="00C72A1E" w:rsidRPr="00C72A1E" w:rsidRDefault="00C72A1E" w:rsidP="00C72A1E">
      <w:pPr>
        <w:spacing w:after="0" w:line="240" w:lineRule="auto"/>
        <w:jc w:val="both"/>
        <w:rPr>
          <w:rFonts w:ascii="Verdana" w:hAnsi="Verdana"/>
          <w:sz w:val="16"/>
          <w:szCs w:val="16"/>
        </w:rPr>
      </w:pPr>
      <w:r w:rsidRPr="00C72A1E">
        <w:rPr>
          <w:rStyle w:val="Refdenotaalpie"/>
          <w:rFonts w:ascii="Verdana" w:hAnsi="Verdana"/>
          <w:sz w:val="16"/>
          <w:szCs w:val="16"/>
        </w:rPr>
        <w:footnoteRef/>
      </w:r>
      <w:r w:rsidRPr="00C72A1E">
        <w:rPr>
          <w:rFonts w:ascii="Verdana" w:hAnsi="Verdana"/>
          <w:sz w:val="16"/>
          <w:szCs w:val="16"/>
        </w:rPr>
        <w:t xml:space="preserve"> </w:t>
      </w:r>
      <w:r w:rsidRPr="00C72A1E">
        <w:rPr>
          <w:rFonts w:ascii="Verdana" w:hAnsi="Verdana"/>
          <w:sz w:val="16"/>
          <w:szCs w:val="16"/>
        </w:rPr>
        <w:tab/>
        <w:t xml:space="preserve">Párrafo </w:t>
      </w:r>
      <w:r w:rsidRPr="00C72A1E">
        <w:rPr>
          <w:rFonts w:ascii="Verdana" w:hAnsi="Verdana"/>
          <w:color w:val="000000"/>
          <w:sz w:val="16"/>
          <w:szCs w:val="16"/>
        </w:rPr>
        <w:t xml:space="preserve">247: En suma, las relatadas deficiencias en la investigación constituyen una violación al deber del Estado de realizar una investigación seria, imparcial y efectiva, además de exhaustiva, y que ha abonado a que en la actualidad no hayan sido localizadas las víctimas, ni se haya determinado la responsabilidad de los perpetradores de la desaparición forzada. Lo anterior, en contravención </w:t>
      </w:r>
      <w:r w:rsidRPr="00C72A1E">
        <w:rPr>
          <w:rFonts w:ascii="Verdana" w:hAnsi="Verdana"/>
          <w:sz w:val="16"/>
          <w:szCs w:val="16"/>
        </w:rPr>
        <w:t>con los artículos 8 y 25 de la Convención Americana, así como el artículo I.b de la Convención Interamericana sobre Desaparición Forzada, en perjuicio de Nitza Paola, Rocío Irene y José Ángel Alvarado y de sus familiares directos (</w:t>
      </w:r>
      <w:r w:rsidRPr="00C72A1E">
        <w:rPr>
          <w:rFonts w:ascii="Verdana" w:hAnsi="Verdana"/>
          <w:i/>
          <w:sz w:val="16"/>
          <w:szCs w:val="16"/>
        </w:rPr>
        <w:t xml:space="preserve">infra </w:t>
      </w:r>
      <w:r w:rsidRPr="00C72A1E">
        <w:rPr>
          <w:rFonts w:ascii="Verdana" w:hAnsi="Verdana"/>
          <w:sz w:val="16"/>
          <w:szCs w:val="16"/>
        </w:rPr>
        <w:t>párr. 265).</w:t>
      </w:r>
    </w:p>
  </w:footnote>
  <w:footnote w:id="7">
    <w:p w:rsidR="00C72A1E" w:rsidRPr="00C72A1E" w:rsidRDefault="00C72A1E" w:rsidP="00C72A1E">
      <w:pPr>
        <w:pStyle w:val="Textonotapie"/>
        <w:jc w:val="both"/>
        <w:rPr>
          <w:rFonts w:ascii="Verdana" w:hAnsi="Verdana"/>
          <w:sz w:val="16"/>
          <w:szCs w:val="16"/>
        </w:rPr>
      </w:pPr>
      <w:r w:rsidRPr="00C72A1E">
        <w:rPr>
          <w:rStyle w:val="Refdenotaalpie"/>
          <w:rFonts w:ascii="Verdana" w:hAnsi="Verdana"/>
          <w:sz w:val="16"/>
          <w:szCs w:val="16"/>
        </w:rPr>
        <w:footnoteRef/>
      </w:r>
      <w:r w:rsidRPr="00C72A1E">
        <w:rPr>
          <w:rFonts w:ascii="Verdana" w:hAnsi="Verdana"/>
          <w:sz w:val="16"/>
          <w:szCs w:val="16"/>
        </w:rPr>
        <w:t xml:space="preserve"> </w:t>
      </w:r>
      <w:r w:rsidRPr="00C72A1E">
        <w:rPr>
          <w:rFonts w:ascii="Verdana" w:hAnsi="Verdana"/>
          <w:sz w:val="16"/>
          <w:szCs w:val="16"/>
        </w:rPr>
        <w:tab/>
        <w:t>Párrafo 300: En el eventual caso, que las víctimas hayan fallecido, los restos mortales deben ser entregados a sus familiares, previa comprobación genética de filiación, a la mayor brevedad posible y sin costo alguno. Además, el Estado deberá cubrir los gastos fúnebres, de común acuerdo con sus familiares.</w:t>
      </w:r>
    </w:p>
  </w:footnote>
  <w:footnote w:id="8">
    <w:p w:rsidR="00C72A1E" w:rsidRPr="00C72A1E" w:rsidRDefault="00C72A1E" w:rsidP="00C72A1E">
      <w:pPr>
        <w:pStyle w:val="Textonotapie"/>
        <w:jc w:val="both"/>
        <w:rPr>
          <w:rFonts w:ascii="Verdana" w:hAnsi="Verdana"/>
          <w:sz w:val="16"/>
          <w:szCs w:val="16"/>
        </w:rPr>
      </w:pPr>
      <w:r w:rsidRPr="00C72A1E">
        <w:rPr>
          <w:rStyle w:val="Refdenotaalpie"/>
          <w:rFonts w:ascii="Verdana" w:hAnsi="Verdana"/>
          <w:sz w:val="16"/>
          <w:szCs w:val="16"/>
        </w:rPr>
        <w:footnoteRef/>
      </w:r>
      <w:r w:rsidRPr="00C72A1E">
        <w:rPr>
          <w:rFonts w:ascii="Verdana" w:hAnsi="Verdana"/>
          <w:sz w:val="16"/>
          <w:szCs w:val="16"/>
        </w:rPr>
        <w:t xml:space="preserve"> </w:t>
      </w:r>
      <w:r w:rsidRPr="00C72A1E">
        <w:rPr>
          <w:rFonts w:ascii="Verdana" w:hAnsi="Verdana"/>
          <w:sz w:val="16"/>
          <w:szCs w:val="16"/>
        </w:rPr>
        <w:tab/>
        <w:t>Párrafo 299: En consecuencia, es necesario que el Estado extreme los esfuerzos de búsqueda exhaustiva por la vía judicial y/o administrativa adecuada, para determinar el paradero de los desaparecidos a la mayor brevedad, la cual deberá realizarse de manera sistemática y rigurosa, contar con los recursos humanos, técnicos y científicos adecuados e idóneos. Las referidas diligencias deberán ser informadas a sus familiares. En este sentido, el Estado deberá realizar un cronograma de búsqueda, y en su próximo informe anual reportar al Tribunal sobre el resultado de las acciones realizadas.</w:t>
      </w:r>
    </w:p>
  </w:footnote>
  <w:footnote w:id="9">
    <w:p w:rsidR="00C72A1E" w:rsidRPr="00C72A1E" w:rsidRDefault="00C72A1E" w:rsidP="00C72A1E">
      <w:pPr>
        <w:pStyle w:val="Textonotapie"/>
        <w:jc w:val="both"/>
        <w:rPr>
          <w:rFonts w:ascii="Verdana" w:hAnsi="Verdana"/>
          <w:sz w:val="16"/>
          <w:szCs w:val="16"/>
        </w:rPr>
      </w:pPr>
      <w:r w:rsidRPr="00C72A1E">
        <w:rPr>
          <w:rStyle w:val="Refdenotaalpie"/>
          <w:rFonts w:ascii="Verdana" w:hAnsi="Verdana"/>
          <w:sz w:val="16"/>
          <w:szCs w:val="16"/>
        </w:rPr>
        <w:footnoteRef/>
      </w:r>
      <w:r w:rsidRPr="00C72A1E">
        <w:rPr>
          <w:rFonts w:ascii="Verdana" w:hAnsi="Verdana"/>
          <w:sz w:val="16"/>
          <w:szCs w:val="16"/>
        </w:rPr>
        <w:t xml:space="preserve"> </w:t>
      </w:r>
      <w:r w:rsidRPr="00C72A1E">
        <w:rPr>
          <w:rFonts w:ascii="Verdana" w:hAnsi="Verdana"/>
          <w:sz w:val="16"/>
          <w:szCs w:val="16"/>
        </w:rPr>
        <w:tab/>
      </w:r>
      <w:r w:rsidRPr="00C72A1E">
        <w:rPr>
          <w:rFonts w:ascii="Verdana" w:hAnsi="Verdana"/>
          <w:i/>
          <w:sz w:val="16"/>
          <w:szCs w:val="16"/>
        </w:rPr>
        <w:t>Supra</w:t>
      </w:r>
      <w:r w:rsidRPr="00C72A1E">
        <w:rPr>
          <w:rFonts w:ascii="Verdana" w:hAnsi="Verdana"/>
          <w:sz w:val="16"/>
          <w:szCs w:val="16"/>
        </w:rPr>
        <w:t>, nota 11.</w:t>
      </w:r>
    </w:p>
  </w:footnote>
  <w:footnote w:id="10">
    <w:p w:rsidR="00D143EB" w:rsidRDefault="00D143EB" w:rsidP="00D143EB">
      <w:pPr>
        <w:pStyle w:val="Textonotapie"/>
        <w:jc w:val="both"/>
      </w:pPr>
      <w:r>
        <w:rPr>
          <w:rStyle w:val="Refdenotaalpie"/>
        </w:rPr>
        <w:footnoteRef/>
      </w:r>
      <w:r>
        <w:t xml:space="preserve"> </w:t>
      </w:r>
      <w:r>
        <w:tab/>
      </w:r>
      <w:r w:rsidR="00A20632">
        <w:rPr>
          <w:rStyle w:val="Textoennegrita"/>
          <w:rFonts w:ascii="Verdana" w:hAnsi="Verdana"/>
          <w:b w:val="0"/>
          <w:i/>
          <w:color w:val="000000"/>
          <w:sz w:val="16"/>
          <w:shd w:val="clear" w:color="auto" w:fill="FFFFFF"/>
        </w:rPr>
        <w:t xml:space="preserve">Caso Pollo Rivera y otros Vs. Perú. Solicitud de Interpretación de la Sentencia de Fondo, Reparaciones y Costas. </w:t>
      </w:r>
      <w:r w:rsidR="00A20632">
        <w:rPr>
          <w:rStyle w:val="Textoennegrita"/>
          <w:rFonts w:ascii="Verdana" w:hAnsi="Verdana"/>
          <w:b w:val="0"/>
          <w:color w:val="000000"/>
          <w:sz w:val="16"/>
          <w:shd w:val="clear" w:color="auto" w:fill="FFFFFF"/>
        </w:rPr>
        <w:t>Sentencia de 25 de mayo de 2017. Serie C No. 335, párr. 26.</w:t>
      </w:r>
      <w:r>
        <w:rPr>
          <w:rStyle w:val="Textoennegrita"/>
          <w:rFonts w:ascii="Verdana" w:hAnsi="Verdana"/>
          <w:b w:val="0"/>
          <w:color w:val="000000"/>
          <w:sz w:val="16"/>
          <w:shd w:val="clear" w:color="auto" w:fill="FFFFFF"/>
        </w:rPr>
        <w:t xml:space="preserve"> </w:t>
      </w:r>
    </w:p>
  </w:footnote>
  <w:footnote w:id="11">
    <w:p w:rsidR="00DA0047" w:rsidRPr="00C72A1E" w:rsidRDefault="00DA0047" w:rsidP="00DA0047">
      <w:pPr>
        <w:autoSpaceDE w:val="0"/>
        <w:autoSpaceDN w:val="0"/>
        <w:adjustRightInd w:val="0"/>
        <w:spacing w:after="0" w:line="240" w:lineRule="auto"/>
        <w:jc w:val="both"/>
        <w:rPr>
          <w:rFonts w:ascii="Verdana" w:hAnsi="Verdana" w:cs="Arial"/>
          <w:sz w:val="16"/>
          <w:szCs w:val="16"/>
        </w:rPr>
      </w:pPr>
      <w:r w:rsidRPr="00C72A1E">
        <w:rPr>
          <w:rStyle w:val="Refdenotaalpie"/>
          <w:rFonts w:ascii="Verdana" w:hAnsi="Verdana"/>
          <w:sz w:val="16"/>
          <w:szCs w:val="16"/>
        </w:rPr>
        <w:footnoteRef/>
      </w:r>
      <w:r w:rsidRPr="00C72A1E">
        <w:rPr>
          <w:rFonts w:ascii="Verdana" w:hAnsi="Verdana"/>
          <w:sz w:val="16"/>
          <w:szCs w:val="16"/>
        </w:rPr>
        <w:t xml:space="preserve"> </w:t>
      </w:r>
      <w:r w:rsidRPr="00C72A1E">
        <w:rPr>
          <w:rFonts w:ascii="Verdana" w:hAnsi="Verdana"/>
          <w:sz w:val="16"/>
          <w:szCs w:val="16"/>
        </w:rPr>
        <w:tab/>
        <w:t xml:space="preserve">Párrafo 325: </w:t>
      </w:r>
      <w:r w:rsidRPr="00C72A1E">
        <w:rPr>
          <w:rFonts w:ascii="Verdana" w:hAnsi="Verdana" w:cs="Arial"/>
          <w:sz w:val="16"/>
          <w:szCs w:val="16"/>
        </w:rPr>
        <w:t xml:space="preserve">Si bien las representantes no fueron claras en su alegato respecto de esta medida de no repetición, la </w:t>
      </w:r>
      <w:r w:rsidRPr="00C72A1E">
        <w:rPr>
          <w:rFonts w:ascii="Verdana" w:hAnsi="Verdana" w:cs="Arial"/>
          <w:b/>
          <w:bCs/>
          <w:i/>
          <w:iCs/>
          <w:sz w:val="16"/>
          <w:szCs w:val="16"/>
        </w:rPr>
        <w:t xml:space="preserve">Corte </w:t>
      </w:r>
      <w:r w:rsidRPr="00C72A1E">
        <w:rPr>
          <w:rFonts w:ascii="Verdana" w:hAnsi="Verdana" w:cs="ArialMT"/>
          <w:sz w:val="16"/>
          <w:szCs w:val="16"/>
        </w:rPr>
        <w:t>recomienda […] al Estado, que dentro del marco normativo existente,</w:t>
      </w:r>
      <w:r w:rsidRPr="00C72A1E">
        <w:rPr>
          <w:rFonts w:ascii="Verdana" w:hAnsi="Verdana" w:cs="Arial"/>
          <w:sz w:val="16"/>
          <w:szCs w:val="16"/>
        </w:rPr>
        <w:t xml:space="preserve"> analice las medidas adecuadas para la creación de un registro único y actualizado de personas desaparecidas que permita la generación de datos estadísticos, desagregados por sexo, edad, lugar y autoridades presuntamente involucradas, que permita determinar </w:t>
      </w:r>
      <w:r w:rsidRPr="00C72A1E">
        <w:rPr>
          <w:rFonts w:ascii="Verdana" w:hAnsi="Verdana" w:cs="ArialMT"/>
          <w:sz w:val="16"/>
          <w:szCs w:val="16"/>
        </w:rPr>
        <w:t>claramente en qué casos se trata de “desapariciones forzadas”, con miras a desarrollar</w:t>
      </w:r>
      <w:r w:rsidRPr="00C72A1E">
        <w:rPr>
          <w:rFonts w:ascii="Verdana" w:hAnsi="Verdana" w:cs="Arial"/>
          <w:sz w:val="16"/>
          <w:szCs w:val="16"/>
        </w:rPr>
        <w:t xml:space="preserve"> políticas integrales y coordinadas encaminadas a prevenir, investigar, sancionar y erradicar esta práctica. Para ello, en su informe anual, el Estado deberá reportar a la Corte sobre la adopción de tales medidas. </w:t>
      </w:r>
    </w:p>
  </w:footnote>
  <w:footnote w:id="12">
    <w:p w:rsidR="00DA0047" w:rsidRPr="00C72A1E" w:rsidRDefault="00DA0047" w:rsidP="00DA0047">
      <w:pPr>
        <w:spacing w:after="0" w:line="240" w:lineRule="auto"/>
        <w:jc w:val="both"/>
        <w:rPr>
          <w:rFonts w:ascii="Verdana" w:hAnsi="Verdana"/>
          <w:sz w:val="16"/>
          <w:szCs w:val="16"/>
        </w:rPr>
      </w:pPr>
      <w:r w:rsidRPr="00C72A1E">
        <w:rPr>
          <w:rStyle w:val="Refdenotaalpie"/>
          <w:rFonts w:ascii="Verdana" w:hAnsi="Verdana"/>
          <w:sz w:val="16"/>
          <w:szCs w:val="16"/>
        </w:rPr>
        <w:footnoteRef/>
      </w:r>
      <w:r w:rsidRPr="00C72A1E">
        <w:rPr>
          <w:rFonts w:ascii="Verdana" w:hAnsi="Verdana"/>
          <w:sz w:val="16"/>
          <w:szCs w:val="16"/>
        </w:rPr>
        <w:t xml:space="preserve"> </w:t>
      </w:r>
      <w:r w:rsidRPr="00C72A1E">
        <w:rPr>
          <w:rFonts w:ascii="Verdana" w:hAnsi="Verdana"/>
          <w:sz w:val="16"/>
          <w:szCs w:val="16"/>
        </w:rPr>
        <w:tab/>
        <w:t>Punto resolutivo 16 de la Sentencia: El Estado debe analizar las medidas adecuadas para la creación de un registro único y actualizado de personas desaparecidas que genere datos estadísticos que permitan determinar claramente en qué casos se trata de “desapariciones forzadas”, en los términos del párrafo 325 de esta Sentencia.</w:t>
      </w:r>
    </w:p>
  </w:footnote>
  <w:footnote w:id="13">
    <w:p w:rsidR="00C32D34" w:rsidRPr="00C32D34" w:rsidRDefault="00C32D34" w:rsidP="00C32D34">
      <w:pPr>
        <w:spacing w:before="120" w:after="120"/>
        <w:jc w:val="both"/>
        <w:rPr>
          <w:b/>
          <w:sz w:val="10"/>
          <w:szCs w:val="16"/>
        </w:rPr>
      </w:pPr>
      <w:r w:rsidRPr="00C605A3">
        <w:rPr>
          <w:rStyle w:val="Refdenotaalpie"/>
          <w:sz w:val="16"/>
          <w:szCs w:val="16"/>
        </w:rPr>
        <w:footnoteRef/>
      </w:r>
      <w:r w:rsidRPr="00C605A3">
        <w:rPr>
          <w:sz w:val="16"/>
          <w:szCs w:val="16"/>
        </w:rPr>
        <w:t xml:space="preserve"> </w:t>
      </w:r>
      <w:r>
        <w:rPr>
          <w:sz w:val="16"/>
          <w:szCs w:val="16"/>
        </w:rPr>
        <w:tab/>
      </w:r>
      <w:r w:rsidRPr="00C32D34">
        <w:rPr>
          <w:rFonts w:ascii="Verdana" w:hAnsi="Verdana"/>
          <w:i/>
          <w:sz w:val="16"/>
          <w:szCs w:val="16"/>
        </w:rPr>
        <w:t>Cfr</w:t>
      </w:r>
      <w:r w:rsidRPr="00C32D34">
        <w:rPr>
          <w:rFonts w:ascii="Verdana" w:hAnsi="Verdana"/>
          <w:sz w:val="16"/>
          <w:szCs w:val="16"/>
        </w:rPr>
        <w:t xml:space="preserve">. </w:t>
      </w:r>
      <w:r w:rsidRPr="00C32D34">
        <w:rPr>
          <w:rFonts w:ascii="Verdana" w:hAnsi="Verdana"/>
          <w:i/>
          <w:sz w:val="16"/>
          <w:szCs w:val="16"/>
        </w:rPr>
        <w:t>Caso Escher y otros Vs. Brasil. Interpretación de la Sentencia de Excepciones Preliminares, Fondo, Reparaciones y Costas</w:t>
      </w:r>
      <w:r w:rsidRPr="00C32D34">
        <w:rPr>
          <w:rFonts w:ascii="Verdana" w:hAnsi="Verdana"/>
          <w:sz w:val="16"/>
          <w:szCs w:val="16"/>
        </w:rPr>
        <w:t>. Sentencia de 20 de noviembre de 2009. Serie C No. 208, párr. 11,</w:t>
      </w:r>
      <w:r w:rsidRPr="00C32D34">
        <w:rPr>
          <w:rFonts w:ascii="Verdana" w:hAnsi="Verdana"/>
          <w:i/>
          <w:sz w:val="16"/>
          <w:szCs w:val="16"/>
        </w:rPr>
        <w:t xml:space="preserve"> y</w:t>
      </w:r>
      <w:r w:rsidRPr="00C32D34">
        <w:rPr>
          <w:rFonts w:ascii="Verdana" w:hAnsi="Verdana" w:cs="Arial"/>
          <w:sz w:val="16"/>
          <w:szCs w:val="16"/>
        </w:rPr>
        <w:t xml:space="preserve"> </w:t>
      </w:r>
      <w:r w:rsidRPr="00C32D34">
        <w:rPr>
          <w:rStyle w:val="Textoennegrita"/>
          <w:rFonts w:ascii="Verdana" w:hAnsi="Verdana"/>
          <w:b w:val="0"/>
          <w:i/>
          <w:color w:val="000000"/>
          <w:sz w:val="16"/>
          <w:shd w:val="clear" w:color="auto" w:fill="FFFFFF"/>
        </w:rPr>
        <w:t>Caso Carvajal Carvajal y otros Vs. Colombia. Interpretación de la Sentencia de Fondo, Reparaciones y Costas.</w:t>
      </w:r>
      <w:r w:rsidRPr="00C32D34">
        <w:rPr>
          <w:rStyle w:val="Textoennegrita"/>
          <w:rFonts w:ascii="Verdana" w:hAnsi="Verdana"/>
          <w:b w:val="0"/>
          <w:color w:val="000000"/>
          <w:sz w:val="16"/>
          <w:shd w:val="clear" w:color="auto" w:fill="FFFFFF"/>
        </w:rPr>
        <w:t xml:space="preserve"> Sentencia de 21 de nov</w:t>
      </w:r>
      <w:r>
        <w:rPr>
          <w:rStyle w:val="Textoennegrita"/>
          <w:rFonts w:ascii="Verdana" w:hAnsi="Verdana"/>
          <w:b w:val="0"/>
          <w:color w:val="000000"/>
          <w:sz w:val="16"/>
          <w:shd w:val="clear" w:color="auto" w:fill="FFFFFF"/>
        </w:rPr>
        <w:t xml:space="preserve">iembre de 2018. Serie C No. 365, párr. 17.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A1E" w:rsidRPr="00C72A1E" w:rsidRDefault="00C72A1E" w:rsidP="0017288A">
    <w:pPr>
      <w:pStyle w:val="Encabezado"/>
      <w:tabs>
        <w:tab w:val="center" w:pos="8931"/>
        <w:tab w:val="left" w:pos="9498"/>
        <w:tab w:val="left" w:pos="9639"/>
        <w:tab w:val="right" w:pos="10065"/>
      </w:tabs>
      <w:rPr>
        <w:rFonts w:ascii="Verdana" w:hAnsi="Verdana"/>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01251"/>
    <w:multiLevelType w:val="hybridMultilevel"/>
    <w:tmpl w:val="C0BA2F4E"/>
    <w:lvl w:ilvl="0" w:tplc="B50ACB34">
      <w:start w:val="1"/>
      <w:numFmt w:val="decimal"/>
      <w:lvlText w:val="%1."/>
      <w:lvlJc w:val="left"/>
      <w:pPr>
        <w:ind w:left="720" w:hanging="360"/>
      </w:pPr>
      <w:rPr>
        <w:rFonts w:ascii="Verdana" w:hAnsi="Verdana" w:hint="default"/>
        <w:i w:val="0"/>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2EFF2BBA"/>
    <w:multiLevelType w:val="multilevel"/>
    <w:tmpl w:val="E6644120"/>
    <w:lvl w:ilvl="0">
      <w:start w:val="1"/>
      <w:numFmt w:val="upperLetter"/>
      <w:lvlText w:val="%1.1."/>
      <w:lvlJc w:val="left"/>
      <w:pPr>
        <w:ind w:left="1776" w:hanging="360"/>
      </w:pPr>
      <w:rPr>
        <w:rFonts w:hint="default"/>
      </w:rPr>
    </w:lvl>
    <w:lvl w:ilvl="1">
      <w:start w:val="1"/>
      <w:numFmt w:val="lowerLetter"/>
      <w:lvlText w:val="%2)"/>
      <w:lvlJc w:val="left"/>
      <w:pPr>
        <w:ind w:left="2136" w:hanging="360"/>
      </w:pPr>
      <w:rPr>
        <w:rFonts w:hint="default"/>
      </w:rPr>
    </w:lvl>
    <w:lvl w:ilvl="2">
      <w:start w:val="1"/>
      <w:numFmt w:val="lowerRoman"/>
      <w:lvlText w:val="%3)"/>
      <w:lvlJc w:val="left"/>
      <w:pPr>
        <w:ind w:left="2496" w:hanging="360"/>
      </w:pPr>
      <w:rPr>
        <w:rFonts w:hint="default"/>
      </w:rPr>
    </w:lvl>
    <w:lvl w:ilvl="3">
      <w:start w:val="1"/>
      <w:numFmt w:val="decimal"/>
      <w:lvlText w:val="(%4)"/>
      <w:lvlJc w:val="left"/>
      <w:pPr>
        <w:ind w:left="2856" w:hanging="360"/>
      </w:pPr>
      <w:rPr>
        <w:rFonts w:hint="default"/>
      </w:rPr>
    </w:lvl>
    <w:lvl w:ilvl="4">
      <w:start w:val="1"/>
      <w:numFmt w:val="lowerLetter"/>
      <w:lvlText w:val="(%5)"/>
      <w:lvlJc w:val="left"/>
      <w:pPr>
        <w:ind w:left="3216" w:hanging="360"/>
      </w:pPr>
      <w:rPr>
        <w:rFonts w:hint="default"/>
      </w:rPr>
    </w:lvl>
    <w:lvl w:ilvl="5">
      <w:start w:val="1"/>
      <w:numFmt w:val="lowerRoman"/>
      <w:lvlText w:val="(%6)"/>
      <w:lvlJc w:val="left"/>
      <w:pPr>
        <w:ind w:left="3576" w:hanging="360"/>
      </w:pPr>
      <w:rPr>
        <w:rFonts w:hint="default"/>
      </w:rPr>
    </w:lvl>
    <w:lvl w:ilvl="6">
      <w:start w:val="1"/>
      <w:numFmt w:val="decimal"/>
      <w:lvlText w:val="%7."/>
      <w:lvlJc w:val="left"/>
      <w:pPr>
        <w:ind w:left="3936" w:hanging="360"/>
      </w:pPr>
      <w:rPr>
        <w:rFonts w:hint="default"/>
      </w:rPr>
    </w:lvl>
    <w:lvl w:ilvl="7">
      <w:start w:val="1"/>
      <w:numFmt w:val="lowerLetter"/>
      <w:lvlText w:val="%8."/>
      <w:lvlJc w:val="left"/>
      <w:pPr>
        <w:ind w:left="4296" w:hanging="360"/>
      </w:pPr>
      <w:rPr>
        <w:rFonts w:hint="default"/>
      </w:rPr>
    </w:lvl>
    <w:lvl w:ilvl="8">
      <w:start w:val="1"/>
      <w:numFmt w:val="lowerRoman"/>
      <w:lvlText w:val="%9."/>
      <w:lvlJc w:val="left"/>
      <w:pPr>
        <w:ind w:left="4656" w:hanging="360"/>
      </w:pPr>
      <w:rPr>
        <w:rFonts w:hint="default"/>
      </w:rPr>
    </w:lvl>
  </w:abstractNum>
  <w:abstractNum w:abstractNumId="2">
    <w:nsid w:val="39E377F0"/>
    <w:multiLevelType w:val="multilevel"/>
    <w:tmpl w:val="1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A6C7CDC"/>
    <w:multiLevelType w:val="hybridMultilevel"/>
    <w:tmpl w:val="8B78ED9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nsid w:val="483C5ECD"/>
    <w:multiLevelType w:val="multilevel"/>
    <w:tmpl w:val="E6644120"/>
    <w:styleLink w:val="Estilo1"/>
    <w:lvl w:ilvl="0">
      <w:start w:val="1"/>
      <w:numFmt w:val="upperLetter"/>
      <w:lvlText w:val="%1"/>
      <w:lvlJc w:val="left"/>
      <w:pPr>
        <w:ind w:left="360" w:hanging="360"/>
      </w:pPr>
      <w:rPr>
        <w:rFonts w:ascii="Times New Roman" w:hAnsi="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4A10143E"/>
    <w:multiLevelType w:val="multilevel"/>
    <w:tmpl w:val="8B78ED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5B5772ED"/>
    <w:multiLevelType w:val="multilevel"/>
    <w:tmpl w:val="E6644120"/>
    <w:lvl w:ilvl="0">
      <w:start w:val="1"/>
      <w:numFmt w:val="upperLetter"/>
      <w:lvlText w:val="%1.1."/>
      <w:lvlJc w:val="left"/>
      <w:pPr>
        <w:ind w:left="1776" w:hanging="360"/>
      </w:pPr>
      <w:rPr>
        <w:rFonts w:hint="default"/>
      </w:rPr>
    </w:lvl>
    <w:lvl w:ilvl="1">
      <w:start w:val="1"/>
      <w:numFmt w:val="lowerLetter"/>
      <w:lvlText w:val="%2)"/>
      <w:lvlJc w:val="left"/>
      <w:pPr>
        <w:ind w:left="2136" w:hanging="360"/>
      </w:pPr>
      <w:rPr>
        <w:rFonts w:hint="default"/>
      </w:rPr>
    </w:lvl>
    <w:lvl w:ilvl="2">
      <w:start w:val="1"/>
      <w:numFmt w:val="lowerRoman"/>
      <w:lvlText w:val="%3)"/>
      <w:lvlJc w:val="left"/>
      <w:pPr>
        <w:ind w:left="2496" w:hanging="360"/>
      </w:pPr>
      <w:rPr>
        <w:rFonts w:hint="default"/>
      </w:rPr>
    </w:lvl>
    <w:lvl w:ilvl="3">
      <w:start w:val="1"/>
      <w:numFmt w:val="decimal"/>
      <w:lvlText w:val="(%4)"/>
      <w:lvlJc w:val="left"/>
      <w:pPr>
        <w:ind w:left="2856" w:hanging="360"/>
      </w:pPr>
      <w:rPr>
        <w:rFonts w:hint="default"/>
      </w:rPr>
    </w:lvl>
    <w:lvl w:ilvl="4">
      <w:start w:val="1"/>
      <w:numFmt w:val="lowerLetter"/>
      <w:lvlText w:val="(%5)"/>
      <w:lvlJc w:val="left"/>
      <w:pPr>
        <w:ind w:left="3216" w:hanging="360"/>
      </w:pPr>
      <w:rPr>
        <w:rFonts w:hint="default"/>
      </w:rPr>
    </w:lvl>
    <w:lvl w:ilvl="5">
      <w:start w:val="1"/>
      <w:numFmt w:val="lowerRoman"/>
      <w:lvlText w:val="(%6)"/>
      <w:lvlJc w:val="left"/>
      <w:pPr>
        <w:ind w:left="3576" w:hanging="360"/>
      </w:pPr>
      <w:rPr>
        <w:rFonts w:hint="default"/>
      </w:rPr>
    </w:lvl>
    <w:lvl w:ilvl="6">
      <w:start w:val="1"/>
      <w:numFmt w:val="decimal"/>
      <w:lvlText w:val="%7."/>
      <w:lvlJc w:val="left"/>
      <w:pPr>
        <w:ind w:left="3936" w:hanging="360"/>
      </w:pPr>
      <w:rPr>
        <w:rFonts w:hint="default"/>
      </w:rPr>
    </w:lvl>
    <w:lvl w:ilvl="7">
      <w:start w:val="1"/>
      <w:numFmt w:val="lowerLetter"/>
      <w:lvlText w:val="%8."/>
      <w:lvlJc w:val="left"/>
      <w:pPr>
        <w:ind w:left="4296" w:hanging="360"/>
      </w:pPr>
      <w:rPr>
        <w:rFonts w:hint="default"/>
      </w:rPr>
    </w:lvl>
    <w:lvl w:ilvl="8">
      <w:start w:val="1"/>
      <w:numFmt w:val="lowerRoman"/>
      <w:lvlText w:val="%9."/>
      <w:lvlJc w:val="left"/>
      <w:pPr>
        <w:ind w:left="4656" w:hanging="360"/>
      </w:pPr>
      <w:rPr>
        <w:rFonts w:hint="default"/>
      </w:rPr>
    </w:lvl>
  </w:abstractNum>
  <w:abstractNum w:abstractNumId="7">
    <w:nsid w:val="5C5E56E6"/>
    <w:multiLevelType w:val="multilevel"/>
    <w:tmpl w:val="F418FF24"/>
    <w:lvl w:ilvl="0">
      <w:start w:val="1"/>
      <w:numFmt w:val="upperLetter"/>
      <w:lvlText w:val="%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5D9F792C"/>
    <w:multiLevelType w:val="hybridMultilevel"/>
    <w:tmpl w:val="6DF83638"/>
    <w:lvl w:ilvl="0" w:tplc="7D8CD804">
      <w:start w:val="1"/>
      <w:numFmt w:val="upperLetter"/>
      <w:lvlText w:val="%1."/>
      <w:lvlJc w:val="left"/>
      <w:pPr>
        <w:ind w:left="720" w:hanging="360"/>
      </w:pPr>
      <w:rPr>
        <w:rFonts w:ascii="Verdana" w:hAnsi="Verdana" w:hint="default"/>
        <w:b/>
        <w:i/>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62B165DA"/>
    <w:multiLevelType w:val="multilevel"/>
    <w:tmpl w:val="E6644120"/>
    <w:numStyleLink w:val="Estilo1"/>
  </w:abstractNum>
  <w:abstractNum w:abstractNumId="10">
    <w:nsid w:val="72A91E9F"/>
    <w:multiLevelType w:val="multilevel"/>
    <w:tmpl w:val="E6644120"/>
    <w:numStyleLink w:val="Estilo1"/>
  </w:abstractNum>
  <w:abstractNum w:abstractNumId="11">
    <w:nsid w:val="75981C09"/>
    <w:multiLevelType w:val="hybridMultilevel"/>
    <w:tmpl w:val="FC7CAAD6"/>
    <w:lvl w:ilvl="0" w:tplc="45CAE4EA">
      <w:start w:val="1"/>
      <w:numFmt w:val="decimal"/>
      <w:pStyle w:val="Ttulo3"/>
      <w:lvlText w:val="%1."/>
      <w:lvlJc w:val="left"/>
      <w:pPr>
        <w:ind w:left="360" w:hanging="360"/>
      </w:pPr>
      <w:rPr>
        <w:rFonts w:ascii="Verdana" w:eastAsia="Batang" w:hAnsi="Verdana" w:cs="Verdana" w:hint="default"/>
        <w:b w:val="0"/>
        <w:i w:val="0"/>
        <w:color w:val="auto"/>
        <w:sz w:val="20"/>
        <w:szCs w:val="2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nsid w:val="79F61D4C"/>
    <w:multiLevelType w:val="hybridMultilevel"/>
    <w:tmpl w:val="5A643BEA"/>
    <w:lvl w:ilvl="0" w:tplc="DD78C042">
      <w:start w:val="1"/>
      <w:numFmt w:val="decimal"/>
      <w:lvlText w:val="%1."/>
      <w:lvlJc w:val="left"/>
      <w:pPr>
        <w:ind w:left="360" w:hanging="360"/>
      </w:pPr>
      <w:rPr>
        <w:rFonts w:ascii="Verdana" w:hAnsi="Verdana" w:hint="default"/>
        <w:b w:val="0"/>
        <w:i w:val="0"/>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CE64D32"/>
    <w:multiLevelType w:val="hybridMultilevel"/>
    <w:tmpl w:val="1EC616AC"/>
    <w:lvl w:ilvl="0" w:tplc="1270C540">
      <w:start w:val="1"/>
      <w:numFmt w:val="decimal"/>
      <w:lvlText w:val="%1."/>
      <w:lvlJc w:val="left"/>
      <w:pPr>
        <w:tabs>
          <w:tab w:val="num" w:pos="1427"/>
        </w:tabs>
        <w:ind w:left="180" w:firstLine="0"/>
      </w:pPr>
      <w:rPr>
        <w:rFonts w:ascii="Verdana" w:eastAsia="Times" w:hAnsi="Verdana" w:cs="Times New Roman"/>
        <w:b w:val="0"/>
        <w:i w:val="0"/>
        <w:strike w:val="0"/>
        <w:color w:val="auto"/>
        <w:sz w:val="20"/>
        <w:lang w:val="es-CR"/>
      </w:rPr>
    </w:lvl>
    <w:lvl w:ilvl="1" w:tplc="91ECB87E">
      <w:start w:val="1"/>
      <w:numFmt w:val="lowerLetter"/>
      <w:lvlText w:val="%2)"/>
      <w:lvlJc w:val="left"/>
      <w:pPr>
        <w:tabs>
          <w:tab w:val="num" w:pos="1080"/>
        </w:tabs>
        <w:ind w:left="1080" w:hanging="360"/>
      </w:pPr>
      <w:rPr>
        <w:rFonts w:hint="default"/>
        <w:b w:val="0"/>
        <w:i w:val="0"/>
        <w:sz w:val="20"/>
      </w:rPr>
    </w:lvl>
    <w:lvl w:ilvl="2" w:tplc="001B0409">
      <w:start w:val="1"/>
      <w:numFmt w:val="lowerRoman"/>
      <w:lvlText w:val="%3."/>
      <w:lvlJc w:val="right"/>
      <w:pPr>
        <w:tabs>
          <w:tab w:val="num" w:pos="2160"/>
        </w:tabs>
        <w:ind w:left="2160" w:hanging="180"/>
      </w:pPr>
    </w:lvl>
    <w:lvl w:ilvl="3" w:tplc="547EED0C">
      <w:start w:val="1"/>
      <w:numFmt w:val="upperLetter"/>
      <w:lvlText w:val="%4."/>
      <w:lvlJc w:val="left"/>
      <w:pPr>
        <w:ind w:left="2880" w:hanging="360"/>
      </w:pPr>
      <w:rPr>
        <w:rFonts w:hint="default"/>
      </w:r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0"/>
  </w:num>
  <w:num w:numId="4">
    <w:abstractNumId w:val="3"/>
  </w:num>
  <w:num w:numId="5">
    <w:abstractNumId w:val="5"/>
  </w:num>
  <w:num w:numId="6">
    <w:abstractNumId w:val="4"/>
  </w:num>
  <w:num w:numId="7">
    <w:abstractNumId w:val="10"/>
  </w:num>
  <w:num w:numId="8">
    <w:abstractNumId w:val="9"/>
    <w:lvlOverride w:ilvl="0">
      <w:lvl w:ilvl="0">
        <w:start w:val="1"/>
        <w:numFmt w:val="upperLetter"/>
        <w:lvlText w:val="%1.1."/>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9">
    <w:abstractNumId w:val="7"/>
  </w:num>
  <w:num w:numId="10">
    <w:abstractNumId w:val="1"/>
  </w:num>
  <w:num w:numId="11">
    <w:abstractNumId w:val="6"/>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A1E"/>
    <w:rsid w:val="00087F46"/>
    <w:rsid w:val="000A22ED"/>
    <w:rsid w:val="000B6EC3"/>
    <w:rsid w:val="000D391C"/>
    <w:rsid w:val="000E1177"/>
    <w:rsid w:val="0012717C"/>
    <w:rsid w:val="0017288A"/>
    <w:rsid w:val="00172AE1"/>
    <w:rsid w:val="001A1651"/>
    <w:rsid w:val="001B3EE9"/>
    <w:rsid w:val="001F3282"/>
    <w:rsid w:val="0033723F"/>
    <w:rsid w:val="00410CFD"/>
    <w:rsid w:val="00475CAF"/>
    <w:rsid w:val="005E526B"/>
    <w:rsid w:val="0063629C"/>
    <w:rsid w:val="00660A12"/>
    <w:rsid w:val="006D1298"/>
    <w:rsid w:val="00724C83"/>
    <w:rsid w:val="0079365E"/>
    <w:rsid w:val="00880775"/>
    <w:rsid w:val="009B7DFC"/>
    <w:rsid w:val="00A20632"/>
    <w:rsid w:val="00A634C9"/>
    <w:rsid w:val="00A7485D"/>
    <w:rsid w:val="00A9217D"/>
    <w:rsid w:val="00AB51CE"/>
    <w:rsid w:val="00AC2631"/>
    <w:rsid w:val="00B45E8D"/>
    <w:rsid w:val="00B809D2"/>
    <w:rsid w:val="00BF08D7"/>
    <w:rsid w:val="00C03305"/>
    <w:rsid w:val="00C2574A"/>
    <w:rsid w:val="00C32D34"/>
    <w:rsid w:val="00C72A1E"/>
    <w:rsid w:val="00CA129A"/>
    <w:rsid w:val="00CB1042"/>
    <w:rsid w:val="00CB4872"/>
    <w:rsid w:val="00D143EB"/>
    <w:rsid w:val="00D21847"/>
    <w:rsid w:val="00D366A8"/>
    <w:rsid w:val="00D64926"/>
    <w:rsid w:val="00D80540"/>
    <w:rsid w:val="00DA0047"/>
    <w:rsid w:val="00E54637"/>
    <w:rsid w:val="00F262C1"/>
    <w:rsid w:val="00F32C53"/>
    <w:rsid w:val="00F33048"/>
    <w:rsid w:val="00F5194D"/>
    <w:rsid w:val="00F65F32"/>
    <w:rsid w:val="00F81FDD"/>
    <w:rsid w:val="00F86B8B"/>
    <w:rsid w:val="00FE632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Prrafodelista"/>
    <w:next w:val="Normal"/>
    <w:link w:val="Ttulo3Car"/>
    <w:uiPriority w:val="9"/>
    <w:unhideWhenUsed/>
    <w:qFormat/>
    <w:rsid w:val="00F81FDD"/>
    <w:pPr>
      <w:numPr>
        <w:numId w:val="1"/>
      </w:numPr>
      <w:tabs>
        <w:tab w:val="left" w:pos="1276"/>
      </w:tabs>
      <w:spacing w:line="240" w:lineRule="auto"/>
      <w:outlineLvl w:val="2"/>
    </w:pPr>
    <w:rPr>
      <w:rFonts w:ascii="Verdana" w:eastAsia="Batang" w:hAnsi="Verdana" w:cstheme="minorBidi"/>
      <w:b/>
      <w:i/>
      <w:sz w:val="2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A Fußnotentext,FA Fu§notentext,FA Fu?notentext,?notentext,Footnote Text Char Char Char,§notentext,FA,Footnote Text Char Char,?notent,ft,C,5"/>
    <w:basedOn w:val="Normal"/>
    <w:link w:val="TextonotapieCar"/>
    <w:unhideWhenUsed/>
    <w:qFormat/>
    <w:rsid w:val="00C72A1E"/>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A Fußnotentext Car,FA Fu§notentext Car,FA Fu?notentext Car,?notentext Car,Footnote Text Char Char Char Car,FA Car,C Car"/>
    <w:basedOn w:val="Fuentedeprrafopredeter"/>
    <w:link w:val="Textonotapie"/>
    <w:qFormat/>
    <w:rsid w:val="00C72A1E"/>
    <w:rPr>
      <w:sz w:val="20"/>
      <w:szCs w:val="20"/>
    </w:rPr>
  </w:style>
  <w:style w:type="character" w:styleId="Refdenotaalpie">
    <w:name w:val="footnote reference"/>
    <w:aliases w:val="Texto de nota al pie,Appel note de bas de page,Footnotes refss,Footnote number,referencia nota al pie,BVI fnr,f,4_G,16 Point,Superscript 6 Point,Texto nota al pie,Footnote Reference Char3,Footnote Reference Char1 Char,Ref. de nota al"/>
    <w:basedOn w:val="Fuentedeprrafopredeter"/>
    <w:link w:val="4GChar"/>
    <w:uiPriority w:val="99"/>
    <w:unhideWhenUsed/>
    <w:qFormat/>
    <w:rsid w:val="00C72A1E"/>
    <w:rPr>
      <w:vertAlign w:val="superscript"/>
    </w:rPr>
  </w:style>
  <w:style w:type="paragraph" w:styleId="Sinespaciado">
    <w:name w:val="No Spacing"/>
    <w:uiPriority w:val="1"/>
    <w:qFormat/>
    <w:rsid w:val="00C72A1E"/>
    <w:pPr>
      <w:spacing w:after="0" w:line="240" w:lineRule="auto"/>
      <w:ind w:firstLine="720"/>
      <w:jc w:val="both"/>
    </w:pPr>
    <w:rPr>
      <w:rFonts w:ascii="Times New Roman" w:eastAsia="Times New Roman" w:hAnsi="Times New Roman" w:cs="Times New Roman"/>
      <w:sz w:val="24"/>
      <w:szCs w:val="24"/>
      <w:lang w:val="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C72A1E"/>
    <w:pPr>
      <w:spacing w:after="0" w:line="240" w:lineRule="auto"/>
      <w:jc w:val="both"/>
    </w:pPr>
    <w:rPr>
      <w:vertAlign w:val="superscript"/>
    </w:rPr>
  </w:style>
  <w:style w:type="character" w:styleId="Textoennegrita">
    <w:name w:val="Strong"/>
    <w:basedOn w:val="Fuentedeprrafopredeter"/>
    <w:uiPriority w:val="22"/>
    <w:qFormat/>
    <w:rsid w:val="00C72A1E"/>
    <w:rPr>
      <w:b/>
      <w:bCs/>
    </w:rPr>
  </w:style>
  <w:style w:type="paragraph" w:styleId="Prrafodelista">
    <w:name w:val="List Paragraph"/>
    <w:basedOn w:val="Normal"/>
    <w:uiPriority w:val="34"/>
    <w:qFormat/>
    <w:rsid w:val="00C72A1E"/>
    <w:pPr>
      <w:spacing w:after="0" w:line="360" w:lineRule="auto"/>
      <w:ind w:left="720" w:firstLine="720"/>
      <w:contextualSpacing/>
      <w:jc w:val="both"/>
    </w:pPr>
    <w:rPr>
      <w:rFonts w:ascii="Times New Roman" w:eastAsia="Times New Roman" w:hAnsi="Times New Roman" w:cs="Times New Roman"/>
      <w:sz w:val="24"/>
      <w:szCs w:val="24"/>
      <w:lang w:val="en-US"/>
    </w:rPr>
  </w:style>
  <w:style w:type="paragraph" w:styleId="Encabezado">
    <w:name w:val="header"/>
    <w:basedOn w:val="Normal"/>
    <w:link w:val="EncabezadoCar"/>
    <w:uiPriority w:val="99"/>
    <w:unhideWhenUsed/>
    <w:rsid w:val="00C72A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72A1E"/>
  </w:style>
  <w:style w:type="paragraph" w:styleId="Piedepgina">
    <w:name w:val="footer"/>
    <w:basedOn w:val="Normal"/>
    <w:link w:val="PiedepginaCar"/>
    <w:uiPriority w:val="99"/>
    <w:unhideWhenUsed/>
    <w:rsid w:val="00C72A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72A1E"/>
  </w:style>
  <w:style w:type="numbering" w:customStyle="1" w:styleId="Estilo1">
    <w:name w:val="Estilo1"/>
    <w:uiPriority w:val="99"/>
    <w:rsid w:val="00CA129A"/>
    <w:pPr>
      <w:numPr>
        <w:numId w:val="6"/>
      </w:numPr>
    </w:pPr>
  </w:style>
  <w:style w:type="character" w:customStyle="1" w:styleId="Ttulo3Car">
    <w:name w:val="Título 3 Car"/>
    <w:basedOn w:val="Fuentedeprrafopredeter"/>
    <w:link w:val="Ttulo3"/>
    <w:uiPriority w:val="9"/>
    <w:rsid w:val="00F81FDD"/>
    <w:rPr>
      <w:rFonts w:ascii="Verdana" w:eastAsia="Batang" w:hAnsi="Verdana"/>
      <w:b/>
      <w:i/>
      <w:sz w:val="20"/>
      <w:szCs w:val="20"/>
      <w:lang w:val="es-MX"/>
    </w:rPr>
  </w:style>
  <w:style w:type="character" w:styleId="Nmerodelnea">
    <w:name w:val="line number"/>
    <w:basedOn w:val="Fuentedeprrafopredeter"/>
    <w:uiPriority w:val="99"/>
    <w:semiHidden/>
    <w:unhideWhenUsed/>
    <w:rsid w:val="00F81FDD"/>
  </w:style>
  <w:style w:type="character" w:customStyle="1" w:styleId="TextonotapieCar2">
    <w:name w:val="Texto nota pie Car2"/>
    <w:aliases w:val="Texto nota pie Car1 Car,Footnote Text Char Char Char Char Char Car Car,Footnote Text Char Char Char Char Car Car,Footnote reference Car Car,FA Fu Car Car,Footnote Text Char Char Char Car Car,Footnote Text Cha Car Car,Ca Car Car"/>
    <w:basedOn w:val="Fuentedeprrafopredeter"/>
    <w:rsid w:val="00C32D34"/>
    <w:rPr>
      <w:rFonts w:ascii="Verdana" w:eastAsia="Times" w:hAnsi="Verdana" w:cs="Times New Roman"/>
      <w:sz w:val="16"/>
      <w:szCs w:val="20"/>
      <w:lang w:val="es-ES_tradnl"/>
    </w:rPr>
  </w:style>
  <w:style w:type="paragraph" w:styleId="Textodeglobo">
    <w:name w:val="Balloon Text"/>
    <w:basedOn w:val="Normal"/>
    <w:link w:val="TextodegloboCar"/>
    <w:uiPriority w:val="99"/>
    <w:semiHidden/>
    <w:unhideWhenUsed/>
    <w:rsid w:val="0017288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288A"/>
    <w:rPr>
      <w:rFonts w:ascii="Segoe UI" w:hAnsi="Segoe UI" w:cs="Segoe UI"/>
      <w:sz w:val="18"/>
      <w:szCs w:val="18"/>
    </w:rPr>
  </w:style>
  <w:style w:type="paragraph" w:styleId="Revisin">
    <w:name w:val="Revision"/>
    <w:hidden/>
    <w:uiPriority w:val="99"/>
    <w:semiHidden/>
    <w:rsid w:val="0079365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Prrafodelista"/>
    <w:next w:val="Normal"/>
    <w:link w:val="Ttulo3Car"/>
    <w:uiPriority w:val="9"/>
    <w:unhideWhenUsed/>
    <w:qFormat/>
    <w:rsid w:val="00F81FDD"/>
    <w:pPr>
      <w:numPr>
        <w:numId w:val="1"/>
      </w:numPr>
      <w:tabs>
        <w:tab w:val="left" w:pos="1276"/>
      </w:tabs>
      <w:spacing w:line="240" w:lineRule="auto"/>
      <w:outlineLvl w:val="2"/>
    </w:pPr>
    <w:rPr>
      <w:rFonts w:ascii="Verdana" w:eastAsia="Batang" w:hAnsi="Verdana" w:cstheme="minorBidi"/>
      <w:b/>
      <w:i/>
      <w:sz w:val="2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A Fußnotentext,FA Fu§notentext,FA Fu?notentext,?notentext,Footnote Text Char Char Char,§notentext,FA,Footnote Text Char Char,?notent,ft,C,5"/>
    <w:basedOn w:val="Normal"/>
    <w:link w:val="TextonotapieCar"/>
    <w:unhideWhenUsed/>
    <w:qFormat/>
    <w:rsid w:val="00C72A1E"/>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A Fußnotentext Car,FA Fu§notentext Car,FA Fu?notentext Car,?notentext Car,Footnote Text Char Char Char Car,FA Car,C Car"/>
    <w:basedOn w:val="Fuentedeprrafopredeter"/>
    <w:link w:val="Textonotapie"/>
    <w:qFormat/>
    <w:rsid w:val="00C72A1E"/>
    <w:rPr>
      <w:sz w:val="20"/>
      <w:szCs w:val="20"/>
    </w:rPr>
  </w:style>
  <w:style w:type="character" w:styleId="Refdenotaalpie">
    <w:name w:val="footnote reference"/>
    <w:aliases w:val="Texto de nota al pie,Appel note de bas de page,Footnotes refss,Footnote number,referencia nota al pie,BVI fnr,f,4_G,16 Point,Superscript 6 Point,Texto nota al pie,Footnote Reference Char3,Footnote Reference Char1 Char,Ref. de nota al"/>
    <w:basedOn w:val="Fuentedeprrafopredeter"/>
    <w:link w:val="4GChar"/>
    <w:uiPriority w:val="99"/>
    <w:unhideWhenUsed/>
    <w:qFormat/>
    <w:rsid w:val="00C72A1E"/>
    <w:rPr>
      <w:vertAlign w:val="superscript"/>
    </w:rPr>
  </w:style>
  <w:style w:type="paragraph" w:styleId="Sinespaciado">
    <w:name w:val="No Spacing"/>
    <w:uiPriority w:val="1"/>
    <w:qFormat/>
    <w:rsid w:val="00C72A1E"/>
    <w:pPr>
      <w:spacing w:after="0" w:line="240" w:lineRule="auto"/>
      <w:ind w:firstLine="720"/>
      <w:jc w:val="both"/>
    </w:pPr>
    <w:rPr>
      <w:rFonts w:ascii="Times New Roman" w:eastAsia="Times New Roman" w:hAnsi="Times New Roman" w:cs="Times New Roman"/>
      <w:sz w:val="24"/>
      <w:szCs w:val="24"/>
      <w:lang w:val="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C72A1E"/>
    <w:pPr>
      <w:spacing w:after="0" w:line="240" w:lineRule="auto"/>
      <w:jc w:val="both"/>
    </w:pPr>
    <w:rPr>
      <w:vertAlign w:val="superscript"/>
    </w:rPr>
  </w:style>
  <w:style w:type="character" w:styleId="Textoennegrita">
    <w:name w:val="Strong"/>
    <w:basedOn w:val="Fuentedeprrafopredeter"/>
    <w:uiPriority w:val="22"/>
    <w:qFormat/>
    <w:rsid w:val="00C72A1E"/>
    <w:rPr>
      <w:b/>
      <w:bCs/>
    </w:rPr>
  </w:style>
  <w:style w:type="paragraph" w:styleId="Prrafodelista">
    <w:name w:val="List Paragraph"/>
    <w:basedOn w:val="Normal"/>
    <w:uiPriority w:val="34"/>
    <w:qFormat/>
    <w:rsid w:val="00C72A1E"/>
    <w:pPr>
      <w:spacing w:after="0" w:line="360" w:lineRule="auto"/>
      <w:ind w:left="720" w:firstLine="720"/>
      <w:contextualSpacing/>
      <w:jc w:val="both"/>
    </w:pPr>
    <w:rPr>
      <w:rFonts w:ascii="Times New Roman" w:eastAsia="Times New Roman" w:hAnsi="Times New Roman" w:cs="Times New Roman"/>
      <w:sz w:val="24"/>
      <w:szCs w:val="24"/>
      <w:lang w:val="en-US"/>
    </w:rPr>
  </w:style>
  <w:style w:type="paragraph" w:styleId="Encabezado">
    <w:name w:val="header"/>
    <w:basedOn w:val="Normal"/>
    <w:link w:val="EncabezadoCar"/>
    <w:uiPriority w:val="99"/>
    <w:unhideWhenUsed/>
    <w:rsid w:val="00C72A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72A1E"/>
  </w:style>
  <w:style w:type="paragraph" w:styleId="Piedepgina">
    <w:name w:val="footer"/>
    <w:basedOn w:val="Normal"/>
    <w:link w:val="PiedepginaCar"/>
    <w:uiPriority w:val="99"/>
    <w:unhideWhenUsed/>
    <w:rsid w:val="00C72A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72A1E"/>
  </w:style>
  <w:style w:type="numbering" w:customStyle="1" w:styleId="Estilo1">
    <w:name w:val="Estilo1"/>
    <w:uiPriority w:val="99"/>
    <w:rsid w:val="00CA129A"/>
    <w:pPr>
      <w:numPr>
        <w:numId w:val="6"/>
      </w:numPr>
    </w:pPr>
  </w:style>
  <w:style w:type="character" w:customStyle="1" w:styleId="Ttulo3Car">
    <w:name w:val="Título 3 Car"/>
    <w:basedOn w:val="Fuentedeprrafopredeter"/>
    <w:link w:val="Ttulo3"/>
    <w:uiPriority w:val="9"/>
    <w:rsid w:val="00F81FDD"/>
    <w:rPr>
      <w:rFonts w:ascii="Verdana" w:eastAsia="Batang" w:hAnsi="Verdana"/>
      <w:b/>
      <w:i/>
      <w:sz w:val="20"/>
      <w:szCs w:val="20"/>
      <w:lang w:val="es-MX"/>
    </w:rPr>
  </w:style>
  <w:style w:type="character" w:styleId="Nmerodelnea">
    <w:name w:val="line number"/>
    <w:basedOn w:val="Fuentedeprrafopredeter"/>
    <w:uiPriority w:val="99"/>
    <w:semiHidden/>
    <w:unhideWhenUsed/>
    <w:rsid w:val="00F81FDD"/>
  </w:style>
  <w:style w:type="character" w:customStyle="1" w:styleId="TextonotapieCar2">
    <w:name w:val="Texto nota pie Car2"/>
    <w:aliases w:val="Texto nota pie Car1 Car,Footnote Text Char Char Char Char Char Car Car,Footnote Text Char Char Char Char Car Car,Footnote reference Car Car,FA Fu Car Car,Footnote Text Char Char Char Car Car,Footnote Text Cha Car Car,Ca Car Car"/>
    <w:basedOn w:val="Fuentedeprrafopredeter"/>
    <w:rsid w:val="00C32D34"/>
    <w:rPr>
      <w:rFonts w:ascii="Verdana" w:eastAsia="Times" w:hAnsi="Verdana" w:cs="Times New Roman"/>
      <w:sz w:val="16"/>
      <w:szCs w:val="20"/>
      <w:lang w:val="es-ES_tradnl"/>
    </w:rPr>
  </w:style>
  <w:style w:type="paragraph" w:styleId="Textodeglobo">
    <w:name w:val="Balloon Text"/>
    <w:basedOn w:val="Normal"/>
    <w:link w:val="TextodegloboCar"/>
    <w:uiPriority w:val="99"/>
    <w:semiHidden/>
    <w:unhideWhenUsed/>
    <w:rsid w:val="0017288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288A"/>
    <w:rPr>
      <w:rFonts w:ascii="Segoe UI" w:hAnsi="Segoe UI" w:cs="Segoe UI"/>
      <w:sz w:val="18"/>
      <w:szCs w:val="18"/>
    </w:rPr>
  </w:style>
  <w:style w:type="paragraph" w:styleId="Revisin">
    <w:name w:val="Revision"/>
    <w:hidden/>
    <w:uiPriority w:val="99"/>
    <w:semiHidden/>
    <w:rsid w:val="007936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15BEBE2BF87F40A76A9C926EBECC0C" ma:contentTypeVersion="0" ma:contentTypeDescription="Create a new document." ma:contentTypeScope="" ma:versionID="ad8069bb81a7b5dc5c766ad6aa2648b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C493E-0060-496F-89B7-EB5FCC578F06}">
  <ds:schemaRefs>
    <ds:schemaRef ds:uri="http://schemas.microsoft.com/sharepoint/v3/contenttype/forms"/>
  </ds:schemaRefs>
</ds:datastoreItem>
</file>

<file path=customXml/itemProps2.xml><?xml version="1.0" encoding="utf-8"?>
<ds:datastoreItem xmlns:ds="http://schemas.openxmlformats.org/officeDocument/2006/customXml" ds:itemID="{41BF4FB1-2ADB-4D0F-A4BC-C115BB9D9DB6}">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10C21FD-0AA2-45F7-8869-66448601A2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EBD0604-4841-4413-9987-0C6634366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2532</Words>
  <Characters>13170</Characters>
  <Application>Microsoft Office Word</Application>
  <DocSecurity>4</DocSecurity>
  <Lines>299</Lines>
  <Paragraphs>100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15602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Esteban Montanaro</cp:lastModifiedBy>
  <cp:lastPrinted>2019-12-24T17:58:00Z</cp:lastPrinted>
  <dcterms:created xsi:type="dcterms:W3CDTF">2019-12-24T19:03:00Z</dcterms:created>
  <dcterms:modified xsi:type="dcterms:W3CDTF">2019-12-24T19:03:00Z</dcterms:modified>
</cp:coreProperties>
</file>