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021C" w14:textId="77777777" w:rsidR="001C05D8" w:rsidRPr="00F559E6" w:rsidRDefault="001C05D8" w:rsidP="00C962FE">
      <w:pPr>
        <w:pStyle w:val="2Footnotes"/>
      </w:pPr>
      <w:bookmarkStart w:id="0" w:name="_GoBack"/>
      <w:bookmarkEnd w:id="0"/>
    </w:p>
    <w:p w14:paraId="1AADE422" w14:textId="77777777" w:rsidR="001C05D8" w:rsidRPr="00F559E6" w:rsidRDefault="001C05D8" w:rsidP="00C962FE">
      <w:pPr>
        <w:widowControl w:val="0"/>
        <w:adjustRightInd w:val="0"/>
        <w:spacing w:after="0" w:line="240" w:lineRule="auto"/>
        <w:jc w:val="center"/>
        <w:textAlignment w:val="baseline"/>
        <w:rPr>
          <w:rFonts w:ascii="Verdana" w:eastAsia="Calibri" w:hAnsi="Verdana" w:cs="Calibri"/>
          <w:b/>
          <w:sz w:val="20"/>
          <w:szCs w:val="20"/>
          <w:lang w:val="es-CR" w:eastAsia="es-CR"/>
        </w:rPr>
      </w:pPr>
    </w:p>
    <w:p w14:paraId="1C15BEC6" w14:textId="77777777" w:rsidR="001C05D8" w:rsidRPr="00F559E6" w:rsidRDefault="001C05D8" w:rsidP="00C962FE">
      <w:pPr>
        <w:widowControl w:val="0"/>
        <w:adjustRightInd w:val="0"/>
        <w:spacing w:after="0" w:line="240" w:lineRule="auto"/>
        <w:jc w:val="center"/>
        <w:textAlignment w:val="baseline"/>
        <w:rPr>
          <w:rFonts w:ascii="Verdana" w:eastAsia="Calibri" w:hAnsi="Verdana" w:cs="Calibri"/>
          <w:b/>
          <w:sz w:val="20"/>
          <w:szCs w:val="20"/>
          <w:lang w:val="es-ES" w:eastAsia="es-CR"/>
        </w:rPr>
      </w:pPr>
      <w:r w:rsidRPr="00F559E6">
        <w:rPr>
          <w:rFonts w:ascii="Verdana" w:eastAsia="Calibri" w:hAnsi="Verdana" w:cs="Calibri"/>
          <w:b/>
          <w:sz w:val="20"/>
          <w:szCs w:val="20"/>
          <w:lang w:val="es-ES" w:eastAsia="es-CR"/>
        </w:rPr>
        <w:t>CORTE INTERAMERICANA DE DERECHOS HUMANOS</w:t>
      </w:r>
    </w:p>
    <w:p w14:paraId="09448448" w14:textId="77777777" w:rsidR="001C05D8" w:rsidRPr="00F559E6" w:rsidRDefault="001C05D8" w:rsidP="00C962FE">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2493632C" w14:textId="77777777" w:rsidR="001C05D8" w:rsidRPr="00F559E6" w:rsidRDefault="001C05D8" w:rsidP="00C962FE">
      <w:pPr>
        <w:spacing w:after="0" w:line="240" w:lineRule="auto"/>
        <w:jc w:val="center"/>
        <w:rPr>
          <w:rFonts w:ascii="Verdana" w:eastAsia="Calibri" w:hAnsi="Verdana" w:cs="Calibri"/>
          <w:b/>
          <w:sz w:val="20"/>
          <w:szCs w:val="20"/>
          <w:lang w:val="es-CR" w:eastAsia="es-CR"/>
        </w:rPr>
      </w:pPr>
      <w:r w:rsidRPr="00F559E6">
        <w:rPr>
          <w:rFonts w:ascii="Verdana" w:eastAsia="Calibri" w:hAnsi="Verdana" w:cs="Calibri"/>
          <w:b/>
          <w:sz w:val="20"/>
          <w:szCs w:val="20"/>
          <w:lang w:val="es-CR" w:eastAsia="es-CR"/>
        </w:rPr>
        <w:t xml:space="preserve">CASO </w:t>
      </w:r>
      <w:r w:rsidR="00977ACB" w:rsidRPr="00F559E6">
        <w:rPr>
          <w:rFonts w:ascii="Verdana" w:eastAsia="Calibri" w:hAnsi="Verdana" w:cs="Calibri"/>
          <w:b/>
          <w:sz w:val="20"/>
          <w:szCs w:val="20"/>
          <w:lang w:val="es-CR" w:eastAsia="es-CR"/>
        </w:rPr>
        <w:t>GORIGOITÍA</w:t>
      </w:r>
      <w:r w:rsidRPr="00F559E6">
        <w:rPr>
          <w:rFonts w:ascii="Verdana" w:eastAsia="Calibri" w:hAnsi="Verdana" w:cs="Calibri"/>
          <w:b/>
          <w:sz w:val="20"/>
          <w:szCs w:val="20"/>
          <w:lang w:val="es-CR" w:eastAsia="es-CR"/>
        </w:rPr>
        <w:t xml:space="preserve"> </w:t>
      </w:r>
      <w:r w:rsidRPr="00F559E6">
        <w:rPr>
          <w:rFonts w:ascii="Verdana" w:eastAsia="Calibri" w:hAnsi="Verdana" w:cs="Calibri"/>
          <w:b/>
          <w:i/>
          <w:sz w:val="20"/>
          <w:szCs w:val="20"/>
          <w:lang w:val="es-CR" w:eastAsia="es-CR"/>
        </w:rPr>
        <w:t>VS.</w:t>
      </w:r>
      <w:r w:rsidRPr="00F559E6">
        <w:rPr>
          <w:rFonts w:ascii="Verdana" w:eastAsia="Calibri" w:hAnsi="Verdana" w:cs="Calibri"/>
          <w:b/>
          <w:sz w:val="20"/>
          <w:szCs w:val="20"/>
          <w:lang w:val="es-CR" w:eastAsia="es-CR"/>
        </w:rPr>
        <w:t xml:space="preserve"> ARGENTINA</w:t>
      </w:r>
    </w:p>
    <w:p w14:paraId="45505E7C" w14:textId="77777777" w:rsidR="001C05D8" w:rsidRPr="00F559E6" w:rsidRDefault="001C05D8" w:rsidP="00C962FE">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37458A2C" w14:textId="501813EE" w:rsidR="001C05D8" w:rsidRPr="00F559E6" w:rsidRDefault="001C05D8" w:rsidP="00C962FE">
      <w:pPr>
        <w:widowControl w:val="0"/>
        <w:tabs>
          <w:tab w:val="left" w:pos="720"/>
        </w:tabs>
        <w:adjustRightInd w:val="0"/>
        <w:spacing w:after="0" w:line="240" w:lineRule="auto"/>
        <w:jc w:val="center"/>
        <w:textAlignment w:val="baseline"/>
        <w:rPr>
          <w:rFonts w:ascii="Verdana" w:eastAsia="Calibri" w:hAnsi="Verdana" w:cs="Verdana"/>
          <w:b/>
          <w:bCs/>
          <w:snapToGrid w:val="0"/>
          <w:sz w:val="20"/>
          <w:szCs w:val="20"/>
          <w:lang w:val="es-ES" w:eastAsia="es-ES"/>
        </w:rPr>
      </w:pPr>
      <w:r w:rsidRPr="00F559E6">
        <w:rPr>
          <w:rFonts w:ascii="Verdana" w:eastAsia="Calibri" w:hAnsi="Verdana" w:cs="Verdana"/>
          <w:b/>
          <w:bCs/>
          <w:snapToGrid w:val="0"/>
          <w:sz w:val="20"/>
          <w:szCs w:val="20"/>
          <w:lang w:val="es-ES" w:eastAsia="es-ES"/>
        </w:rPr>
        <w:t xml:space="preserve">SENTENCIA </w:t>
      </w:r>
      <w:r w:rsidRPr="00DB5ABD">
        <w:rPr>
          <w:rFonts w:ascii="Verdana" w:eastAsia="Calibri" w:hAnsi="Verdana" w:cs="Verdana"/>
          <w:b/>
          <w:bCs/>
          <w:snapToGrid w:val="0"/>
          <w:sz w:val="20"/>
          <w:szCs w:val="20"/>
          <w:lang w:val="es-ES" w:eastAsia="es-ES"/>
        </w:rPr>
        <w:t xml:space="preserve">DE </w:t>
      </w:r>
      <w:r w:rsidR="00DB5ABD" w:rsidRPr="00DB5ABD">
        <w:rPr>
          <w:rFonts w:ascii="Verdana" w:eastAsia="Calibri" w:hAnsi="Verdana" w:cs="Verdana"/>
          <w:b/>
          <w:bCs/>
          <w:snapToGrid w:val="0"/>
          <w:sz w:val="20"/>
          <w:szCs w:val="20"/>
          <w:lang w:val="es-ES" w:eastAsia="es-ES"/>
        </w:rPr>
        <w:t>2</w:t>
      </w:r>
      <w:r w:rsidRPr="00DB5ABD">
        <w:rPr>
          <w:rFonts w:ascii="Verdana" w:eastAsia="Calibri" w:hAnsi="Verdana" w:cs="Verdana"/>
          <w:b/>
          <w:bCs/>
          <w:snapToGrid w:val="0"/>
          <w:sz w:val="20"/>
          <w:szCs w:val="20"/>
          <w:lang w:val="es-ES" w:eastAsia="es-ES"/>
        </w:rPr>
        <w:t xml:space="preserve"> DE</w:t>
      </w:r>
      <w:r w:rsidRPr="00F559E6">
        <w:rPr>
          <w:rFonts w:ascii="Verdana" w:eastAsia="Calibri" w:hAnsi="Verdana" w:cs="Verdana"/>
          <w:b/>
          <w:bCs/>
          <w:snapToGrid w:val="0"/>
          <w:sz w:val="20"/>
          <w:szCs w:val="20"/>
          <w:lang w:val="es-ES" w:eastAsia="es-ES"/>
        </w:rPr>
        <w:t xml:space="preserve"> </w:t>
      </w:r>
      <w:r w:rsidR="00DB5ABD">
        <w:rPr>
          <w:rFonts w:ascii="Verdana" w:eastAsia="Calibri" w:hAnsi="Verdana" w:cs="Verdana"/>
          <w:b/>
          <w:bCs/>
          <w:snapToGrid w:val="0"/>
          <w:sz w:val="20"/>
          <w:szCs w:val="20"/>
          <w:lang w:val="es-ES" w:eastAsia="es-ES"/>
        </w:rPr>
        <w:t>SEPTIEMBRE</w:t>
      </w:r>
      <w:r w:rsidRPr="00F559E6">
        <w:rPr>
          <w:rFonts w:ascii="Verdana" w:eastAsia="Calibri" w:hAnsi="Verdana" w:cs="Verdana"/>
          <w:b/>
          <w:bCs/>
          <w:snapToGrid w:val="0"/>
          <w:sz w:val="20"/>
          <w:szCs w:val="20"/>
          <w:lang w:val="es-ES" w:eastAsia="es-ES"/>
        </w:rPr>
        <w:t xml:space="preserve"> DE 2019</w:t>
      </w:r>
    </w:p>
    <w:p w14:paraId="01D28CA2" w14:textId="77777777" w:rsidR="001C05D8" w:rsidRPr="00F559E6" w:rsidRDefault="001C05D8" w:rsidP="00C962FE">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0569E3BE" w14:textId="77777777" w:rsidR="001C05D8" w:rsidRPr="00F559E6" w:rsidRDefault="001C05D8" w:rsidP="00C962FE">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r w:rsidRPr="00F559E6">
        <w:rPr>
          <w:rFonts w:ascii="Verdana" w:eastAsia="Calibri" w:hAnsi="Verdana" w:cs="Verdana"/>
          <w:b/>
          <w:bCs/>
          <w:i/>
          <w:iCs/>
          <w:snapToGrid w:val="0"/>
          <w:sz w:val="20"/>
          <w:szCs w:val="20"/>
          <w:lang w:val="es-ES" w:eastAsia="es-ES"/>
        </w:rPr>
        <w:t>(</w:t>
      </w:r>
      <w:r w:rsidR="00977ACB" w:rsidRPr="00F559E6">
        <w:rPr>
          <w:rFonts w:ascii="Verdana" w:eastAsia="Calibri" w:hAnsi="Verdana" w:cs="Verdana"/>
          <w:b/>
          <w:bCs/>
          <w:i/>
          <w:iCs/>
          <w:snapToGrid w:val="0"/>
          <w:sz w:val="20"/>
          <w:szCs w:val="20"/>
          <w:lang w:val="es-ES" w:eastAsia="es-ES"/>
        </w:rPr>
        <w:t>Excepción Preliminar, Fondo, Reparaciones y Costas</w:t>
      </w:r>
      <w:r w:rsidRPr="00F559E6">
        <w:rPr>
          <w:rFonts w:ascii="Verdana" w:eastAsia="Calibri" w:hAnsi="Verdana" w:cs="Verdana"/>
          <w:b/>
          <w:bCs/>
          <w:i/>
          <w:iCs/>
          <w:snapToGrid w:val="0"/>
          <w:sz w:val="20"/>
          <w:szCs w:val="20"/>
          <w:lang w:val="es-ES" w:eastAsia="es-ES"/>
        </w:rPr>
        <w:t>)</w:t>
      </w:r>
    </w:p>
    <w:p w14:paraId="4A52AF0A" w14:textId="77777777" w:rsidR="001C05D8" w:rsidRPr="00F559E6" w:rsidRDefault="001C05D8" w:rsidP="00C962FE">
      <w:pPr>
        <w:widowControl w:val="0"/>
        <w:tabs>
          <w:tab w:val="left" w:pos="720"/>
        </w:tabs>
        <w:adjustRightInd w:val="0"/>
        <w:spacing w:before="120" w:after="120" w:line="240" w:lineRule="auto"/>
        <w:jc w:val="both"/>
        <w:textAlignment w:val="baseline"/>
        <w:rPr>
          <w:rFonts w:ascii="Verdana" w:eastAsia="Calibri" w:hAnsi="Verdana" w:cs="Verdana"/>
          <w:b/>
          <w:bCs/>
          <w:caps/>
          <w:snapToGrid w:val="0"/>
          <w:sz w:val="20"/>
          <w:szCs w:val="20"/>
          <w:lang w:val="es-ES" w:eastAsia="es-ES"/>
        </w:rPr>
      </w:pPr>
    </w:p>
    <w:p w14:paraId="6111FA3F" w14:textId="77777777" w:rsidR="001C05D8" w:rsidRPr="00F559E6" w:rsidRDefault="001C05D8" w:rsidP="00C962FE">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09BA3BD3" w14:textId="2C648308" w:rsidR="001C05D8" w:rsidRPr="00F559E6" w:rsidRDefault="001C05D8" w:rsidP="00C962FE">
      <w:pPr>
        <w:widowControl w:val="0"/>
        <w:tabs>
          <w:tab w:val="left" w:pos="720"/>
        </w:tabs>
        <w:adjustRightInd w:val="0"/>
        <w:spacing w:after="0" w:line="240" w:lineRule="auto"/>
        <w:jc w:val="both"/>
        <w:textAlignment w:val="baseline"/>
        <w:rPr>
          <w:rFonts w:ascii="Verdana" w:eastAsia="Verdana" w:hAnsi="Verdana" w:cs="Verdana"/>
          <w:sz w:val="20"/>
          <w:szCs w:val="20"/>
          <w:lang w:val="es-ES" w:eastAsia="es-CR"/>
        </w:rPr>
      </w:pPr>
      <w:r w:rsidRPr="00F559E6">
        <w:rPr>
          <w:rFonts w:ascii="Verdana" w:eastAsia="Verdana" w:hAnsi="Verdana" w:cs="Verdana"/>
          <w:sz w:val="20"/>
          <w:szCs w:val="20"/>
          <w:lang w:val="es-ES" w:eastAsia="es-CR"/>
        </w:rPr>
        <w:t xml:space="preserve">En el caso </w:t>
      </w:r>
      <w:r w:rsidR="00977ACB" w:rsidRPr="00F559E6">
        <w:rPr>
          <w:rFonts w:ascii="Verdana" w:eastAsia="Verdana" w:hAnsi="Verdana" w:cs="Verdana"/>
          <w:i/>
          <w:sz w:val="20"/>
          <w:szCs w:val="20"/>
          <w:lang w:val="es-ES" w:eastAsia="es-CR"/>
        </w:rPr>
        <w:t>Gorigoitía</w:t>
      </w:r>
      <w:r w:rsidR="000965F4">
        <w:rPr>
          <w:rFonts w:ascii="Verdana" w:eastAsia="Verdana" w:hAnsi="Verdana" w:cs="Verdana"/>
          <w:i/>
          <w:sz w:val="20"/>
          <w:szCs w:val="20"/>
          <w:lang w:val="es-ES" w:eastAsia="es-CR"/>
        </w:rPr>
        <w:t xml:space="preserve"> Vs. Argentina</w:t>
      </w:r>
      <w:r w:rsidRPr="00F559E6">
        <w:rPr>
          <w:rFonts w:ascii="Verdana" w:eastAsia="Verdana" w:hAnsi="Verdana" w:cs="Verdana"/>
          <w:sz w:val="20"/>
          <w:szCs w:val="20"/>
          <w:lang w:val="es-ES" w:eastAsia="es-CR"/>
        </w:rPr>
        <w:t>,</w:t>
      </w:r>
    </w:p>
    <w:p w14:paraId="4895C792" w14:textId="77777777" w:rsidR="001C05D8" w:rsidRPr="00F559E6" w:rsidRDefault="001C05D8" w:rsidP="00C962FE">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3516158A" w14:textId="77777777" w:rsidR="001C05D8" w:rsidRPr="00F559E6" w:rsidRDefault="001C05D8" w:rsidP="00C962FE">
      <w:pPr>
        <w:widowControl w:val="0"/>
        <w:adjustRightInd w:val="0"/>
        <w:spacing w:after="0" w:line="240" w:lineRule="auto"/>
        <w:jc w:val="both"/>
        <w:textAlignment w:val="baseline"/>
        <w:rPr>
          <w:rFonts w:ascii="Verdana" w:eastAsiaTheme="minorHAnsi" w:hAnsi="Verdana" w:cs="Times New Roman"/>
          <w:sz w:val="20"/>
          <w:szCs w:val="20"/>
          <w:lang w:val="es-CR" w:eastAsia="es-CR"/>
        </w:rPr>
      </w:pPr>
      <w:r w:rsidRPr="00F559E6">
        <w:rPr>
          <w:rFonts w:ascii="Verdana" w:eastAsia="Calibri" w:hAnsi="Verdana" w:cs="Verdana"/>
          <w:sz w:val="20"/>
          <w:szCs w:val="20"/>
          <w:lang w:val="es-ES" w:eastAsia="es-CR"/>
        </w:rPr>
        <w:t>la Corte Interamericana de Derechos Humanos (en adelante “la Corte Interamericana”, “la Corte” o “este Tribunal”), integrada por los siguientes jueces</w:t>
      </w:r>
      <w:r w:rsidRPr="00F559E6">
        <w:rPr>
          <w:rFonts w:ascii="Verdana" w:eastAsia="Times New Roman" w:hAnsi="Verdana" w:cs="Times New Roman"/>
          <w:sz w:val="20"/>
          <w:szCs w:val="20"/>
          <w:lang w:val="es-CR" w:eastAsia="es-CR"/>
        </w:rPr>
        <w:footnoteReference w:customMarkFollows="1" w:id="2"/>
        <w:t>*</w:t>
      </w:r>
      <w:r w:rsidRPr="00F559E6">
        <w:rPr>
          <w:rFonts w:ascii="Verdana" w:eastAsia="Calibri" w:hAnsi="Verdana" w:cs="Verdana"/>
          <w:sz w:val="20"/>
          <w:szCs w:val="20"/>
          <w:lang w:val="es-ES" w:eastAsia="es-CR"/>
        </w:rPr>
        <w:t>:</w:t>
      </w:r>
    </w:p>
    <w:p w14:paraId="2B451F62" w14:textId="77777777" w:rsidR="001C05D8" w:rsidRPr="00F559E6" w:rsidRDefault="001C05D8" w:rsidP="00C962FE">
      <w:pPr>
        <w:widowControl w:val="0"/>
        <w:adjustRightInd w:val="0"/>
        <w:spacing w:after="0" w:line="240" w:lineRule="auto"/>
        <w:jc w:val="both"/>
        <w:textAlignment w:val="baseline"/>
        <w:rPr>
          <w:rFonts w:ascii="Verdana" w:eastAsia="Calibri" w:hAnsi="Verdana" w:cs="Verdana"/>
          <w:sz w:val="20"/>
          <w:szCs w:val="20"/>
          <w:lang w:val="es-ES" w:eastAsia="es-CR"/>
        </w:rPr>
      </w:pPr>
    </w:p>
    <w:p w14:paraId="15D1BAAF"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CR" w:eastAsia="es-CR"/>
        </w:rPr>
      </w:pPr>
      <w:r w:rsidRPr="00F559E6">
        <w:rPr>
          <w:rFonts w:ascii="Verdana" w:eastAsia="Calibri" w:hAnsi="Verdana" w:cs="Verdana"/>
          <w:sz w:val="20"/>
          <w:szCs w:val="20"/>
          <w:lang w:val="es-CR" w:eastAsia="es-CR"/>
        </w:rPr>
        <w:t>Eduardo Ferrer Mac-Gregor Poisot, Presidente;</w:t>
      </w:r>
    </w:p>
    <w:p w14:paraId="29F39B60"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CR" w:eastAsia="es-CR"/>
        </w:rPr>
      </w:pPr>
      <w:r w:rsidRPr="00F559E6">
        <w:rPr>
          <w:rFonts w:ascii="Verdana" w:eastAsia="Calibri" w:hAnsi="Verdana" w:cs="Verdana"/>
          <w:sz w:val="20"/>
          <w:szCs w:val="20"/>
          <w:lang w:val="es-CR" w:eastAsia="es-CR"/>
        </w:rPr>
        <w:t>Eduardo Vio Grossi, Vice Presidente;</w:t>
      </w:r>
    </w:p>
    <w:p w14:paraId="019C7683" w14:textId="64356F70"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Humberto Antonio Sierra Porto</w:t>
      </w:r>
      <w:r w:rsidR="00067313">
        <w:rPr>
          <w:rFonts w:ascii="Verdana" w:eastAsia="Calibri" w:hAnsi="Verdana" w:cs="Verdana"/>
          <w:sz w:val="20"/>
          <w:szCs w:val="20"/>
          <w:lang w:val="es-ES" w:eastAsia="es-CR"/>
        </w:rPr>
        <w:t>, Juez</w:t>
      </w:r>
      <w:r w:rsidRPr="00F559E6">
        <w:rPr>
          <w:rFonts w:ascii="Verdana" w:eastAsia="Calibri" w:hAnsi="Verdana" w:cs="Verdana"/>
          <w:sz w:val="20"/>
          <w:szCs w:val="20"/>
          <w:lang w:val="es-ES" w:eastAsia="es-CR"/>
        </w:rPr>
        <w:t>;</w:t>
      </w:r>
    </w:p>
    <w:p w14:paraId="6A7B41C0"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Elizabeth Odio Benito, Jueza;</w:t>
      </w:r>
    </w:p>
    <w:p w14:paraId="15964B81"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L. Patricio Pazmiño Freire, Juez, y</w:t>
      </w:r>
    </w:p>
    <w:p w14:paraId="41DB5041" w14:textId="10E8013F" w:rsidR="001C05D8" w:rsidRPr="00F559E6" w:rsidRDefault="00067313"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Pr>
          <w:rFonts w:ascii="Verdana" w:eastAsia="Calibri" w:hAnsi="Verdana" w:cs="Verdana"/>
          <w:sz w:val="20"/>
          <w:szCs w:val="20"/>
          <w:lang w:val="es-ES" w:eastAsia="es-CR"/>
        </w:rPr>
        <w:t>Ricardo Pérez Manrique, Juez</w:t>
      </w:r>
      <w:r w:rsidR="001C05D8" w:rsidRPr="00F559E6">
        <w:rPr>
          <w:rFonts w:ascii="Verdana" w:eastAsia="Calibri" w:hAnsi="Verdana" w:cs="Verdana"/>
          <w:sz w:val="20"/>
          <w:szCs w:val="20"/>
          <w:lang w:val="es-ES" w:eastAsia="es-CR"/>
        </w:rPr>
        <w:t xml:space="preserve"> </w:t>
      </w:r>
    </w:p>
    <w:p w14:paraId="15A2B6E4"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1E4F042C" w14:textId="77777777" w:rsidR="001C05D8" w:rsidRPr="00F559E6" w:rsidRDefault="0006055E"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presente</w:t>
      </w:r>
      <w:r w:rsidR="001C05D8" w:rsidRPr="00F559E6">
        <w:rPr>
          <w:rFonts w:ascii="Verdana" w:eastAsia="Calibri" w:hAnsi="Verdana" w:cs="Verdana"/>
          <w:sz w:val="20"/>
          <w:szCs w:val="20"/>
          <w:lang w:val="es-ES" w:eastAsia="es-CR"/>
        </w:rPr>
        <w:t xml:space="preserve"> además,</w:t>
      </w:r>
    </w:p>
    <w:p w14:paraId="585FE06D"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7131AAA2" w14:textId="77777777" w:rsidR="001C05D8" w:rsidRPr="00F559E6" w:rsidRDefault="001C05D8" w:rsidP="00C962FE">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 xml:space="preserve">Pablo </w:t>
      </w:r>
      <w:r w:rsidR="0006055E" w:rsidRPr="00F559E6">
        <w:rPr>
          <w:rFonts w:ascii="Verdana" w:eastAsia="Calibri" w:hAnsi="Verdana" w:cs="Verdana"/>
          <w:sz w:val="20"/>
          <w:szCs w:val="20"/>
          <w:lang w:val="es-ES" w:eastAsia="es-CR"/>
        </w:rPr>
        <w:t>Saavedra Alessandri, Secretario,</w:t>
      </w:r>
    </w:p>
    <w:p w14:paraId="196BFE6B" w14:textId="77777777" w:rsidR="008379B6" w:rsidRPr="00F559E6" w:rsidRDefault="008379B6" w:rsidP="00C962FE">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p>
    <w:p w14:paraId="5F0C0232" w14:textId="77777777" w:rsidR="001C05D8" w:rsidRPr="00F559E6" w:rsidRDefault="0006055E" w:rsidP="00C962FE">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r w:rsidRPr="00F559E6">
        <w:rPr>
          <w:rFonts w:ascii="Verdana" w:eastAsia="Calibri" w:hAnsi="Verdana" w:cs="Verdana"/>
          <w:sz w:val="20"/>
          <w:szCs w:val="20"/>
          <w:lang w:val="es-ES" w:eastAsia="es-CR"/>
        </w:rPr>
        <w:t>De</w:t>
      </w:r>
      <w:r w:rsidR="001C05D8" w:rsidRPr="00F559E6">
        <w:rPr>
          <w:rFonts w:ascii="Verdana" w:eastAsia="Calibri" w:hAnsi="Verdana" w:cs="Verdana"/>
          <w:sz w:val="20"/>
          <w:szCs w:val="20"/>
          <w:lang w:val="es-ES" w:eastAsia="es-CR"/>
        </w:rPr>
        <w:t xml:space="preserve"> conformidad con los artículos 62.3 y 63.1 de la Convención Americana sobre Derechos Humanos (en adelante “la Convención Americana” o “la Convención”) y con los artículos 31, 32,</w:t>
      </w:r>
      <w:r w:rsidR="00713E16" w:rsidRPr="00F559E6">
        <w:rPr>
          <w:rFonts w:ascii="Verdana" w:eastAsia="Calibri" w:hAnsi="Verdana" w:cs="Verdana"/>
          <w:sz w:val="20"/>
          <w:szCs w:val="20"/>
          <w:lang w:val="es-ES" w:eastAsia="es-CR"/>
        </w:rPr>
        <w:t xml:space="preserve"> 42,</w:t>
      </w:r>
      <w:r w:rsidR="001C05D8" w:rsidRPr="00F559E6">
        <w:rPr>
          <w:rFonts w:ascii="Verdana" w:eastAsia="Calibri" w:hAnsi="Verdana" w:cs="Verdana"/>
          <w:sz w:val="20"/>
          <w:szCs w:val="20"/>
          <w:lang w:val="es-ES" w:eastAsia="es-CR"/>
        </w:rPr>
        <w:t xml:space="preserve"> 65 y 67 del Reglamento de la Corte (en adelante “el Reglamento” o “Reglamento de la Corte”), dicta la presente Sentencia, que se estructura en el siguiente orden:</w:t>
      </w:r>
    </w:p>
    <w:p w14:paraId="6ABD2243" w14:textId="77777777" w:rsidR="001C05D8" w:rsidRPr="00F559E6" w:rsidRDefault="001C05D8" w:rsidP="00C962FE">
      <w:pPr>
        <w:widowControl w:val="0"/>
        <w:adjustRightInd w:val="0"/>
        <w:spacing w:before="120" w:after="120" w:line="240" w:lineRule="auto"/>
        <w:ind w:left="100" w:right="-1085"/>
        <w:jc w:val="both"/>
        <w:textAlignment w:val="baseline"/>
        <w:rPr>
          <w:rFonts w:ascii="Verdana" w:eastAsia="Verdana" w:hAnsi="Verdana" w:cs="Verdana"/>
          <w:position w:val="-1"/>
          <w:sz w:val="20"/>
          <w:szCs w:val="20"/>
          <w:lang w:val="es-ES" w:eastAsia="es-CR"/>
        </w:rPr>
      </w:pPr>
    </w:p>
    <w:p w14:paraId="74D845F8" w14:textId="77777777" w:rsidR="001C05D8" w:rsidRPr="00F559E6" w:rsidRDefault="001C05D8" w:rsidP="00C962FE">
      <w:pPr>
        <w:widowControl w:val="0"/>
        <w:adjustRightInd w:val="0"/>
        <w:spacing w:before="120" w:after="120" w:line="240" w:lineRule="auto"/>
        <w:jc w:val="both"/>
        <w:textAlignment w:val="baseline"/>
        <w:rPr>
          <w:rFonts w:ascii="Verdana" w:eastAsia="Verdana" w:hAnsi="Verdana" w:cs="Verdana"/>
          <w:position w:val="-1"/>
          <w:sz w:val="20"/>
          <w:szCs w:val="20"/>
          <w:lang w:val="es-ES" w:eastAsia="es-CR"/>
        </w:rPr>
      </w:pPr>
      <w:r w:rsidRPr="00F559E6">
        <w:rPr>
          <w:rFonts w:ascii="Verdana" w:eastAsia="Verdana" w:hAnsi="Verdana" w:cs="Verdana"/>
          <w:position w:val="-1"/>
          <w:sz w:val="20"/>
          <w:szCs w:val="20"/>
          <w:lang w:val="es-ES" w:eastAsia="es-CR"/>
        </w:rPr>
        <w:br w:type="page"/>
      </w:r>
    </w:p>
    <w:p w14:paraId="28012EEF" w14:textId="77777777" w:rsidR="001C05D8" w:rsidRPr="00F559E6" w:rsidRDefault="001C05D8" w:rsidP="00C962FE">
      <w:pPr>
        <w:widowControl w:val="0"/>
        <w:adjustRightInd w:val="0"/>
        <w:spacing w:before="120" w:after="120" w:line="240" w:lineRule="auto"/>
        <w:jc w:val="both"/>
        <w:textAlignment w:val="baseline"/>
        <w:rPr>
          <w:rFonts w:ascii="Verdana" w:eastAsia="Verdana" w:hAnsi="Verdana" w:cs="Verdana"/>
          <w:position w:val="-1"/>
          <w:sz w:val="20"/>
          <w:szCs w:val="20"/>
          <w:lang w:val="es-ES" w:eastAsia="es-CR"/>
        </w:rPr>
      </w:pPr>
    </w:p>
    <w:p w14:paraId="507259C5" w14:textId="77777777" w:rsidR="001C05D8" w:rsidRPr="00F559E6" w:rsidRDefault="001C05D8" w:rsidP="00C962FE">
      <w:pPr>
        <w:tabs>
          <w:tab w:val="left" w:pos="1683"/>
          <w:tab w:val="center" w:pos="4816"/>
        </w:tabs>
        <w:spacing w:after="0" w:line="240" w:lineRule="auto"/>
        <w:jc w:val="both"/>
        <w:rPr>
          <w:rFonts w:ascii="Verdana" w:eastAsia="Calibri" w:hAnsi="Verdana" w:cs="Times New Roman"/>
          <w:b/>
          <w:sz w:val="20"/>
          <w:szCs w:val="20"/>
          <w:lang w:val="es-ES_tradnl"/>
        </w:rPr>
      </w:pPr>
      <w:r w:rsidRPr="00F559E6">
        <w:rPr>
          <w:rFonts w:ascii="Verdana" w:eastAsia="Calibri" w:hAnsi="Verdana" w:cs="Times New Roman"/>
          <w:b/>
          <w:sz w:val="20"/>
          <w:szCs w:val="20"/>
          <w:lang w:val="es-ES_tradnl"/>
        </w:rPr>
        <w:tab/>
      </w:r>
      <w:r w:rsidRPr="00F559E6">
        <w:rPr>
          <w:rFonts w:ascii="Verdana" w:eastAsia="Calibri" w:hAnsi="Verdana" w:cs="Times New Roman"/>
          <w:b/>
          <w:sz w:val="20"/>
          <w:szCs w:val="20"/>
          <w:lang w:val="es-ES_tradnl"/>
        </w:rPr>
        <w:tab/>
        <w:t>TABLA DE CONTENIDO</w:t>
      </w:r>
    </w:p>
    <w:p w14:paraId="4DEAB754" w14:textId="77777777" w:rsidR="001C05D8" w:rsidRPr="00F559E6" w:rsidRDefault="001C05D8" w:rsidP="00C962FE">
      <w:pPr>
        <w:tabs>
          <w:tab w:val="left" w:pos="1683"/>
          <w:tab w:val="center" w:pos="4816"/>
        </w:tabs>
        <w:spacing w:after="0" w:line="240" w:lineRule="auto"/>
        <w:jc w:val="both"/>
        <w:rPr>
          <w:rFonts w:ascii="Verdana" w:eastAsia="Calibri" w:hAnsi="Verdana" w:cs="Times New Roman"/>
          <w:b/>
          <w:sz w:val="20"/>
          <w:szCs w:val="20"/>
          <w:lang w:val="es-ES_tradnl"/>
        </w:rPr>
      </w:pPr>
    </w:p>
    <w:bookmarkStart w:id="1" w:name="_Toc390328152"/>
    <w:p w14:paraId="0AFB4246" w14:textId="4B85B849" w:rsidR="00721329" w:rsidRPr="00721329" w:rsidRDefault="002F20D8">
      <w:pPr>
        <w:pStyle w:val="TOC1"/>
        <w:rPr>
          <w:rFonts w:ascii="Verdana" w:eastAsiaTheme="minorEastAsia" w:hAnsi="Verdana"/>
          <w:b w:val="0"/>
          <w:bCs w:val="0"/>
          <w:caps w:val="0"/>
          <w:noProof/>
          <w:sz w:val="18"/>
          <w:szCs w:val="18"/>
          <w:lang w:val="es-CR" w:eastAsia="es-CR"/>
        </w:rPr>
      </w:pPr>
      <w:r w:rsidRPr="00721329">
        <w:rPr>
          <w:rFonts w:ascii="Verdana" w:eastAsia="Calibri" w:hAnsi="Verdana"/>
          <w:noProof/>
          <w:snapToGrid w:val="0"/>
          <w:sz w:val="18"/>
          <w:szCs w:val="18"/>
          <w:lang w:val="es-ES_tradnl"/>
        </w:rPr>
        <w:fldChar w:fldCharType="begin"/>
      </w:r>
      <w:r w:rsidR="001C05D8" w:rsidRPr="00721329">
        <w:rPr>
          <w:rFonts w:ascii="Verdana" w:eastAsia="Calibri" w:hAnsi="Verdana"/>
          <w:noProof/>
          <w:snapToGrid w:val="0"/>
          <w:sz w:val="18"/>
          <w:szCs w:val="18"/>
          <w:lang w:val="es-ES_tradnl"/>
        </w:rPr>
        <w:instrText xml:space="preserve"> TOC \o "1-5" \h \z \u </w:instrText>
      </w:r>
      <w:r w:rsidRPr="00721329">
        <w:rPr>
          <w:rFonts w:ascii="Verdana" w:eastAsia="Calibri" w:hAnsi="Verdana"/>
          <w:noProof/>
          <w:snapToGrid w:val="0"/>
          <w:sz w:val="18"/>
          <w:szCs w:val="18"/>
          <w:lang w:val="es-ES_tradnl"/>
        </w:rPr>
        <w:fldChar w:fldCharType="separate"/>
      </w:r>
      <w:hyperlink w:anchor="_Toc19533011" w:history="1">
        <w:r w:rsidR="00721329" w:rsidRPr="00721329">
          <w:rPr>
            <w:rStyle w:val="Hyperlink"/>
            <w:rFonts w:ascii="Verdana" w:eastAsia="Times New Roman" w:hAnsi="Verdana" w:cs="Verdana"/>
            <w:noProof/>
            <w:snapToGrid w:val="0"/>
            <w:sz w:val="18"/>
            <w:szCs w:val="18"/>
            <w:lang w:val="es-ES_tradnl"/>
          </w:rPr>
          <w:t>I INTRODUCCIÓN DE LA CAUSA Y OBJETO DE LA CONTROVERSIA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_Toc19533011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3</w:t>
        </w:r>
        <w:r w:rsidR="00721329" w:rsidRPr="00721329">
          <w:rPr>
            <w:rFonts w:ascii="Verdana" w:hAnsi="Verdana"/>
            <w:noProof/>
            <w:webHidden/>
            <w:sz w:val="18"/>
            <w:szCs w:val="18"/>
          </w:rPr>
          <w:fldChar w:fldCharType="end"/>
        </w:r>
      </w:hyperlink>
    </w:p>
    <w:p w14:paraId="642A2EE0" w14:textId="50C40EC6" w:rsidR="00721329" w:rsidRPr="00721329" w:rsidRDefault="0070530A">
      <w:pPr>
        <w:pStyle w:val="TOC1"/>
        <w:rPr>
          <w:rFonts w:ascii="Verdana" w:eastAsiaTheme="minorEastAsia" w:hAnsi="Verdana"/>
          <w:b w:val="0"/>
          <w:bCs w:val="0"/>
          <w:caps w:val="0"/>
          <w:noProof/>
          <w:sz w:val="18"/>
          <w:szCs w:val="18"/>
          <w:lang w:val="es-CR" w:eastAsia="es-CR"/>
        </w:rPr>
      </w:pPr>
      <w:hyperlink w:anchor="_Toc19533012" w:history="1">
        <w:r w:rsidR="00721329" w:rsidRPr="00721329">
          <w:rPr>
            <w:rStyle w:val="Hyperlink"/>
            <w:rFonts w:ascii="Verdana" w:eastAsia="Times New Roman" w:hAnsi="Verdana" w:cs="Verdana"/>
            <w:noProof/>
            <w:snapToGrid w:val="0"/>
            <w:sz w:val="18"/>
            <w:szCs w:val="18"/>
            <w:lang w:val="es-ES_tradnl"/>
          </w:rPr>
          <w:t>II PROCEDIMIENTO ANTE LA CORTE</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_Toc19533012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4</w:t>
        </w:r>
        <w:r w:rsidR="00721329" w:rsidRPr="00721329">
          <w:rPr>
            <w:rFonts w:ascii="Verdana" w:hAnsi="Verdana"/>
            <w:noProof/>
            <w:webHidden/>
            <w:sz w:val="18"/>
            <w:szCs w:val="18"/>
          </w:rPr>
          <w:fldChar w:fldCharType="end"/>
        </w:r>
      </w:hyperlink>
    </w:p>
    <w:p w14:paraId="41553119" w14:textId="6348B22B" w:rsidR="00721329" w:rsidRPr="00721329" w:rsidRDefault="0070530A">
      <w:pPr>
        <w:pStyle w:val="TOC1"/>
        <w:rPr>
          <w:rFonts w:ascii="Verdana" w:eastAsiaTheme="minorEastAsia" w:hAnsi="Verdana"/>
          <w:b w:val="0"/>
          <w:bCs w:val="0"/>
          <w:caps w:val="0"/>
          <w:noProof/>
          <w:sz w:val="18"/>
          <w:szCs w:val="18"/>
          <w:lang w:val="es-CR" w:eastAsia="es-CR"/>
        </w:rPr>
      </w:pPr>
      <w:hyperlink w:anchor="_Toc19533013" w:history="1">
        <w:r w:rsidR="00721329" w:rsidRPr="00721329">
          <w:rPr>
            <w:rStyle w:val="Hyperlink"/>
            <w:rFonts w:ascii="Verdana" w:eastAsia="Times New Roman" w:hAnsi="Verdana" w:cs="Verdana"/>
            <w:noProof/>
            <w:snapToGrid w:val="0"/>
            <w:sz w:val="18"/>
            <w:szCs w:val="18"/>
            <w:lang w:val="es-ES_tradnl"/>
          </w:rPr>
          <w:t>III COMPETENCIA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_Toc19533013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5</w:t>
        </w:r>
        <w:r w:rsidR="00721329" w:rsidRPr="00721329">
          <w:rPr>
            <w:rFonts w:ascii="Verdana" w:hAnsi="Verdana"/>
            <w:noProof/>
            <w:webHidden/>
            <w:sz w:val="18"/>
            <w:szCs w:val="18"/>
          </w:rPr>
          <w:fldChar w:fldCharType="end"/>
        </w:r>
      </w:hyperlink>
    </w:p>
    <w:p w14:paraId="7C49713B" w14:textId="3D614ECA" w:rsidR="00721329" w:rsidRPr="00721329" w:rsidRDefault="0070530A">
      <w:pPr>
        <w:pStyle w:val="TOC1"/>
        <w:rPr>
          <w:rFonts w:ascii="Verdana" w:eastAsiaTheme="minorEastAsia" w:hAnsi="Verdana"/>
          <w:b w:val="0"/>
          <w:bCs w:val="0"/>
          <w:caps w:val="0"/>
          <w:noProof/>
          <w:sz w:val="18"/>
          <w:szCs w:val="18"/>
          <w:lang w:val="es-CR" w:eastAsia="es-CR"/>
        </w:rPr>
      </w:pPr>
      <w:hyperlink w:anchor="_Toc19533014" w:history="1">
        <w:r w:rsidR="00721329" w:rsidRPr="00721329">
          <w:rPr>
            <w:rStyle w:val="Hyperlink"/>
            <w:rFonts w:ascii="Verdana" w:eastAsia="Times New Roman" w:hAnsi="Verdana" w:cs="Verdana"/>
            <w:noProof/>
            <w:snapToGrid w:val="0"/>
            <w:sz w:val="18"/>
            <w:szCs w:val="18"/>
            <w:lang w:val="es-ES_tradnl"/>
          </w:rPr>
          <w:t xml:space="preserve">IV </w:t>
        </w:r>
        <w:r w:rsidR="00721329" w:rsidRPr="00721329">
          <w:rPr>
            <w:rStyle w:val="Hyperlink"/>
            <w:rFonts w:ascii="Verdana" w:eastAsia="Times New Roman" w:hAnsi="Verdana" w:cs="Times New Roman"/>
            <w:noProof/>
            <w:snapToGrid w:val="0"/>
            <w:sz w:val="18"/>
            <w:szCs w:val="18"/>
            <w:lang w:val="es-ES_tradnl"/>
          </w:rPr>
          <w:t>EXCEPCIón PRELIMINAR</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_Toc19533014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5</w:t>
        </w:r>
        <w:r w:rsidR="00721329" w:rsidRPr="00721329">
          <w:rPr>
            <w:rFonts w:ascii="Verdana" w:hAnsi="Verdana"/>
            <w:noProof/>
            <w:webHidden/>
            <w:sz w:val="18"/>
            <w:szCs w:val="18"/>
          </w:rPr>
          <w:fldChar w:fldCharType="end"/>
        </w:r>
      </w:hyperlink>
    </w:p>
    <w:p w14:paraId="2889ECE1" w14:textId="16F7842E" w:rsidR="00721329" w:rsidRPr="00721329" w:rsidRDefault="0070530A" w:rsidP="0006475E">
      <w:pPr>
        <w:pStyle w:val="TOC2"/>
        <w:rPr>
          <w:rFonts w:eastAsiaTheme="minorEastAsia" w:cstheme="minorBidi"/>
        </w:rPr>
      </w:pPr>
      <w:hyperlink w:anchor="_Toc19533015" w:history="1">
        <w:r w:rsidR="00721329" w:rsidRPr="00721329">
          <w:rPr>
            <w:rStyle w:val="Hyperlink"/>
          </w:rPr>
          <w:t>A.</w:t>
        </w:r>
        <w:r w:rsidR="00721329" w:rsidRPr="00721329">
          <w:rPr>
            <w:rFonts w:eastAsiaTheme="minorEastAsia" w:cstheme="minorBidi"/>
          </w:rPr>
          <w:tab/>
        </w:r>
        <w:r w:rsidR="00721329" w:rsidRPr="00721329">
          <w:rPr>
            <w:rStyle w:val="Hyperlink"/>
          </w:rPr>
          <w:t>Incompetencia de la Corte Interamericana para practicar un “control de convencionalidad” relativo a la ley provincial No. 6730 y sus reformas</w:t>
        </w:r>
        <w:r w:rsidR="00721329" w:rsidRPr="00721329">
          <w:rPr>
            <w:webHidden/>
          </w:rPr>
          <w:tab/>
        </w:r>
        <w:r w:rsidR="00721329" w:rsidRPr="00721329">
          <w:rPr>
            <w:webHidden/>
          </w:rPr>
          <w:fldChar w:fldCharType="begin"/>
        </w:r>
        <w:r w:rsidR="00721329" w:rsidRPr="00721329">
          <w:rPr>
            <w:webHidden/>
          </w:rPr>
          <w:instrText xml:space="preserve"> PAGEREF _Toc19533015 \h </w:instrText>
        </w:r>
        <w:r w:rsidR="00721329" w:rsidRPr="00721329">
          <w:rPr>
            <w:webHidden/>
          </w:rPr>
        </w:r>
        <w:r w:rsidR="00721329" w:rsidRPr="00721329">
          <w:rPr>
            <w:webHidden/>
          </w:rPr>
          <w:fldChar w:fldCharType="separate"/>
        </w:r>
        <w:r w:rsidR="00664463">
          <w:rPr>
            <w:webHidden/>
          </w:rPr>
          <w:t>6</w:t>
        </w:r>
        <w:r w:rsidR="00721329" w:rsidRPr="00721329">
          <w:rPr>
            <w:webHidden/>
          </w:rPr>
          <w:fldChar w:fldCharType="end"/>
        </w:r>
      </w:hyperlink>
    </w:p>
    <w:p w14:paraId="4E5144BC" w14:textId="1BC910E3"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16" w:history="1">
        <w:r w:rsidR="00721329" w:rsidRPr="00721329">
          <w:rPr>
            <w:rStyle w:val="Hyperlink"/>
            <w:rFonts w:ascii="Verdana" w:hAnsi="Verdana"/>
            <w:noProof/>
            <w:sz w:val="18"/>
            <w:szCs w:val="18"/>
          </w:rPr>
          <w:t>A.1</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rPr>
          <w:t>Alegatos de las partes y observaciones de la Comisión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_Toc19533016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6</w:t>
        </w:r>
        <w:r w:rsidR="00721329" w:rsidRPr="00721329">
          <w:rPr>
            <w:rFonts w:ascii="Verdana" w:hAnsi="Verdana"/>
            <w:noProof/>
            <w:webHidden/>
            <w:sz w:val="18"/>
            <w:szCs w:val="18"/>
          </w:rPr>
          <w:fldChar w:fldCharType="end"/>
        </w:r>
      </w:hyperlink>
    </w:p>
    <w:p w14:paraId="1EC6C7B3" w14:textId="1CFDEED8"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17" w:history="1">
        <w:r w:rsidR="00721329" w:rsidRPr="00721329">
          <w:rPr>
            <w:rStyle w:val="Hyperlink"/>
            <w:rFonts w:ascii="Verdana" w:hAnsi="Verdana"/>
            <w:noProof/>
            <w:sz w:val="18"/>
            <w:szCs w:val="18"/>
          </w:rPr>
          <w:t>A.2</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rPr>
          <w:t>Consideraciones de la Corte</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_Toc19533017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6</w:t>
        </w:r>
        <w:r w:rsidR="00721329" w:rsidRPr="00721329">
          <w:rPr>
            <w:rFonts w:ascii="Verdana" w:hAnsi="Verdana"/>
            <w:noProof/>
            <w:webHidden/>
            <w:sz w:val="18"/>
            <w:szCs w:val="18"/>
          </w:rPr>
          <w:fldChar w:fldCharType="end"/>
        </w:r>
      </w:hyperlink>
    </w:p>
    <w:p w14:paraId="4AE7EAFA" w14:textId="7C3FBD26" w:rsidR="00721329" w:rsidRPr="00721329" w:rsidRDefault="0070530A">
      <w:pPr>
        <w:pStyle w:val="TOC1"/>
        <w:rPr>
          <w:rFonts w:ascii="Verdana" w:eastAsiaTheme="minorEastAsia" w:hAnsi="Verdana"/>
          <w:b w:val="0"/>
          <w:bCs w:val="0"/>
          <w:caps w:val="0"/>
          <w:noProof/>
          <w:sz w:val="18"/>
          <w:szCs w:val="18"/>
          <w:lang w:val="es-CR" w:eastAsia="es-CR"/>
        </w:rPr>
      </w:pPr>
      <w:hyperlink w:anchor="_Toc19533018" w:history="1">
        <w:r w:rsidR="00721329" w:rsidRPr="00721329">
          <w:rPr>
            <w:rStyle w:val="Hyperlink"/>
            <w:rFonts w:ascii="Verdana" w:eastAsia="Times New Roman" w:hAnsi="Verdana" w:cs="Verdana"/>
            <w:noProof/>
            <w:snapToGrid w:val="0"/>
            <w:sz w:val="18"/>
            <w:szCs w:val="18"/>
            <w:lang w:val="es-ES_tradnl"/>
          </w:rPr>
          <w:t xml:space="preserve">V </w:t>
        </w:r>
        <w:r w:rsidR="00721329" w:rsidRPr="00721329">
          <w:rPr>
            <w:rStyle w:val="Hyperlink"/>
            <w:rFonts w:ascii="Verdana" w:eastAsia="Times New Roman" w:hAnsi="Verdana" w:cs="Times New Roman"/>
            <w:noProof/>
            <w:snapToGrid w:val="0"/>
            <w:sz w:val="18"/>
            <w:szCs w:val="18"/>
            <w:lang w:val="es-ES_tradnl"/>
          </w:rPr>
          <w:t>CONSIDERACIÓN PREVIA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_Toc19533018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7</w:t>
        </w:r>
        <w:r w:rsidR="00721329" w:rsidRPr="00721329">
          <w:rPr>
            <w:rFonts w:ascii="Verdana" w:hAnsi="Verdana"/>
            <w:noProof/>
            <w:webHidden/>
            <w:sz w:val="18"/>
            <w:szCs w:val="18"/>
          </w:rPr>
          <w:fldChar w:fldCharType="end"/>
        </w:r>
      </w:hyperlink>
    </w:p>
    <w:p w14:paraId="3E2E6791" w14:textId="5448CAF5" w:rsidR="00721329" w:rsidRPr="00721329" w:rsidRDefault="0070530A" w:rsidP="0006475E">
      <w:pPr>
        <w:pStyle w:val="TOC2"/>
        <w:rPr>
          <w:rFonts w:eastAsiaTheme="minorEastAsia" w:cstheme="minorBidi"/>
        </w:rPr>
      </w:pPr>
      <w:hyperlink w:anchor="_Toc19533019" w:history="1">
        <w:r w:rsidR="00721329" w:rsidRPr="00721329">
          <w:rPr>
            <w:rStyle w:val="Hyperlink"/>
          </w:rPr>
          <w:t>A.</w:t>
        </w:r>
        <w:r w:rsidR="00721329" w:rsidRPr="00721329">
          <w:rPr>
            <w:rFonts w:eastAsiaTheme="minorEastAsia" w:cstheme="minorBidi"/>
          </w:rPr>
          <w:tab/>
        </w:r>
        <w:r w:rsidR="00721329" w:rsidRPr="00721329">
          <w:rPr>
            <w:rStyle w:val="Hyperlink"/>
          </w:rPr>
          <w:t>Determinación de las presuntas víctimas</w:t>
        </w:r>
        <w:r w:rsidR="00721329" w:rsidRPr="00721329">
          <w:rPr>
            <w:webHidden/>
          </w:rPr>
          <w:tab/>
        </w:r>
        <w:r w:rsidR="00721329" w:rsidRPr="00721329">
          <w:rPr>
            <w:webHidden/>
          </w:rPr>
          <w:fldChar w:fldCharType="begin"/>
        </w:r>
        <w:r w:rsidR="00721329" w:rsidRPr="00721329">
          <w:rPr>
            <w:webHidden/>
          </w:rPr>
          <w:instrText xml:space="preserve"> PAGEREF _Toc19533019 \h </w:instrText>
        </w:r>
        <w:r w:rsidR="00721329" w:rsidRPr="00721329">
          <w:rPr>
            <w:webHidden/>
          </w:rPr>
        </w:r>
        <w:r w:rsidR="00721329" w:rsidRPr="00721329">
          <w:rPr>
            <w:webHidden/>
          </w:rPr>
          <w:fldChar w:fldCharType="separate"/>
        </w:r>
        <w:r w:rsidR="00664463">
          <w:rPr>
            <w:webHidden/>
          </w:rPr>
          <w:t>7</w:t>
        </w:r>
        <w:r w:rsidR="00721329" w:rsidRPr="00721329">
          <w:rPr>
            <w:webHidden/>
          </w:rPr>
          <w:fldChar w:fldCharType="end"/>
        </w:r>
      </w:hyperlink>
    </w:p>
    <w:p w14:paraId="1547EAFD" w14:textId="7BA58E4C"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20" w:history="1">
        <w:r w:rsidR="00721329" w:rsidRPr="00721329">
          <w:rPr>
            <w:rStyle w:val="Hyperlink"/>
            <w:rFonts w:ascii="Verdana" w:hAnsi="Verdana"/>
            <w:noProof/>
            <w:sz w:val="18"/>
            <w:szCs w:val="18"/>
          </w:rPr>
          <w:t>A.1</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rPr>
          <w:t>Alegatos de las partes y observaciones de la Comisión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_Toc19533020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7</w:t>
        </w:r>
        <w:r w:rsidR="00721329" w:rsidRPr="00721329">
          <w:rPr>
            <w:rFonts w:ascii="Verdana" w:hAnsi="Verdana"/>
            <w:noProof/>
            <w:webHidden/>
            <w:sz w:val="18"/>
            <w:szCs w:val="18"/>
          </w:rPr>
          <w:fldChar w:fldCharType="end"/>
        </w:r>
      </w:hyperlink>
    </w:p>
    <w:p w14:paraId="030EA010" w14:textId="5016EE8E"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21" w:history="1">
        <w:r w:rsidR="00721329" w:rsidRPr="00721329">
          <w:rPr>
            <w:rStyle w:val="Hyperlink"/>
            <w:rFonts w:ascii="Verdana" w:hAnsi="Verdana"/>
            <w:noProof/>
            <w:sz w:val="18"/>
            <w:szCs w:val="18"/>
          </w:rPr>
          <w:t>A.2</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rPr>
          <w:t>Consideraciones de la Corte</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_Toc19533021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8</w:t>
        </w:r>
        <w:r w:rsidR="00721329" w:rsidRPr="00721329">
          <w:rPr>
            <w:rFonts w:ascii="Verdana" w:hAnsi="Verdana"/>
            <w:noProof/>
            <w:webHidden/>
            <w:sz w:val="18"/>
            <w:szCs w:val="18"/>
          </w:rPr>
          <w:fldChar w:fldCharType="end"/>
        </w:r>
      </w:hyperlink>
    </w:p>
    <w:p w14:paraId="631F4979" w14:textId="6C140041" w:rsidR="00721329" w:rsidRPr="00721329" w:rsidRDefault="0070530A">
      <w:pPr>
        <w:pStyle w:val="TOC1"/>
        <w:rPr>
          <w:rFonts w:ascii="Verdana" w:eastAsiaTheme="minorEastAsia" w:hAnsi="Verdana"/>
          <w:b w:val="0"/>
          <w:bCs w:val="0"/>
          <w:caps w:val="0"/>
          <w:noProof/>
          <w:sz w:val="18"/>
          <w:szCs w:val="18"/>
          <w:lang w:val="es-CR" w:eastAsia="es-CR"/>
        </w:rPr>
      </w:pPr>
      <w:hyperlink w:anchor="_Toc19533022" w:history="1">
        <w:r w:rsidR="00721329" w:rsidRPr="00721329">
          <w:rPr>
            <w:rStyle w:val="Hyperlink"/>
            <w:rFonts w:ascii="Verdana" w:eastAsia="Times New Roman" w:hAnsi="Verdana" w:cs="Verdana"/>
            <w:noProof/>
            <w:snapToGrid w:val="0"/>
            <w:sz w:val="18"/>
            <w:szCs w:val="18"/>
            <w:lang w:val="es-ES_tradnl"/>
          </w:rPr>
          <w:t>VI PRUEBA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_Toc19533022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8</w:t>
        </w:r>
        <w:r w:rsidR="00721329" w:rsidRPr="00721329">
          <w:rPr>
            <w:rFonts w:ascii="Verdana" w:hAnsi="Verdana"/>
            <w:noProof/>
            <w:webHidden/>
            <w:sz w:val="18"/>
            <w:szCs w:val="18"/>
          </w:rPr>
          <w:fldChar w:fldCharType="end"/>
        </w:r>
      </w:hyperlink>
    </w:p>
    <w:p w14:paraId="4252819F" w14:textId="70ACBE0E" w:rsidR="00721329" w:rsidRPr="00721329" w:rsidRDefault="0070530A" w:rsidP="0006475E">
      <w:pPr>
        <w:pStyle w:val="TOC2"/>
        <w:rPr>
          <w:rFonts w:eastAsiaTheme="minorEastAsia" w:cstheme="minorBidi"/>
        </w:rPr>
      </w:pPr>
      <w:hyperlink w:anchor="_Toc19533023" w:history="1">
        <w:r w:rsidR="00721329" w:rsidRPr="00721329">
          <w:rPr>
            <w:rStyle w:val="Hyperlink"/>
          </w:rPr>
          <w:t>A.</w:t>
        </w:r>
        <w:r w:rsidR="00721329" w:rsidRPr="00721329">
          <w:rPr>
            <w:rFonts w:eastAsiaTheme="minorEastAsia" w:cstheme="minorBidi"/>
          </w:rPr>
          <w:tab/>
        </w:r>
        <w:r w:rsidR="00721329" w:rsidRPr="00721329">
          <w:rPr>
            <w:rStyle w:val="Hyperlink"/>
          </w:rPr>
          <w:t>Admisibilidad de la prueba documental</w:t>
        </w:r>
        <w:r w:rsidR="00721329" w:rsidRPr="00721329">
          <w:rPr>
            <w:webHidden/>
          </w:rPr>
          <w:tab/>
        </w:r>
        <w:r w:rsidR="00721329" w:rsidRPr="00721329">
          <w:rPr>
            <w:webHidden/>
          </w:rPr>
          <w:fldChar w:fldCharType="begin"/>
        </w:r>
        <w:r w:rsidR="00721329" w:rsidRPr="00721329">
          <w:rPr>
            <w:webHidden/>
          </w:rPr>
          <w:instrText xml:space="preserve"> PAGEREF _Toc19533023 \h </w:instrText>
        </w:r>
        <w:r w:rsidR="00721329" w:rsidRPr="00721329">
          <w:rPr>
            <w:webHidden/>
          </w:rPr>
        </w:r>
        <w:r w:rsidR="00721329" w:rsidRPr="00721329">
          <w:rPr>
            <w:webHidden/>
          </w:rPr>
          <w:fldChar w:fldCharType="separate"/>
        </w:r>
        <w:r w:rsidR="00664463">
          <w:rPr>
            <w:webHidden/>
          </w:rPr>
          <w:t>8</w:t>
        </w:r>
        <w:r w:rsidR="00721329" w:rsidRPr="00721329">
          <w:rPr>
            <w:webHidden/>
          </w:rPr>
          <w:fldChar w:fldCharType="end"/>
        </w:r>
      </w:hyperlink>
    </w:p>
    <w:p w14:paraId="7243995C" w14:textId="6C42ED75" w:rsidR="00721329" w:rsidRPr="00721329" w:rsidRDefault="0070530A" w:rsidP="0006475E">
      <w:pPr>
        <w:pStyle w:val="TOC2"/>
        <w:rPr>
          <w:rFonts w:eastAsiaTheme="minorEastAsia" w:cstheme="minorBidi"/>
        </w:rPr>
      </w:pPr>
      <w:hyperlink w:anchor="_Toc19533024" w:history="1">
        <w:r w:rsidR="00721329" w:rsidRPr="00721329">
          <w:rPr>
            <w:rStyle w:val="Hyperlink"/>
          </w:rPr>
          <w:t>B.</w:t>
        </w:r>
        <w:r w:rsidR="00721329" w:rsidRPr="00721329">
          <w:rPr>
            <w:rFonts w:eastAsiaTheme="minorEastAsia" w:cstheme="minorBidi"/>
          </w:rPr>
          <w:tab/>
        </w:r>
        <w:r w:rsidR="00721329" w:rsidRPr="00721329">
          <w:rPr>
            <w:rStyle w:val="Hyperlink"/>
          </w:rPr>
          <w:t>Admisibilidad de la prueba testimonial y pericial</w:t>
        </w:r>
        <w:r w:rsidR="00721329" w:rsidRPr="00721329">
          <w:rPr>
            <w:webHidden/>
          </w:rPr>
          <w:tab/>
        </w:r>
        <w:r w:rsidR="00721329" w:rsidRPr="00721329">
          <w:rPr>
            <w:webHidden/>
          </w:rPr>
          <w:fldChar w:fldCharType="begin"/>
        </w:r>
        <w:r w:rsidR="00721329" w:rsidRPr="00721329">
          <w:rPr>
            <w:webHidden/>
          </w:rPr>
          <w:instrText xml:space="preserve"> PAGEREF _Toc19533024 \h </w:instrText>
        </w:r>
        <w:r w:rsidR="00721329" w:rsidRPr="00721329">
          <w:rPr>
            <w:webHidden/>
          </w:rPr>
        </w:r>
        <w:r w:rsidR="00721329" w:rsidRPr="00721329">
          <w:rPr>
            <w:webHidden/>
          </w:rPr>
          <w:fldChar w:fldCharType="separate"/>
        </w:r>
        <w:r w:rsidR="00664463">
          <w:rPr>
            <w:webHidden/>
          </w:rPr>
          <w:t>9</w:t>
        </w:r>
        <w:r w:rsidR="00721329" w:rsidRPr="00721329">
          <w:rPr>
            <w:webHidden/>
          </w:rPr>
          <w:fldChar w:fldCharType="end"/>
        </w:r>
      </w:hyperlink>
    </w:p>
    <w:p w14:paraId="265F4E24" w14:textId="3670B70E" w:rsidR="00721329" w:rsidRPr="00721329" w:rsidRDefault="0070530A">
      <w:pPr>
        <w:pStyle w:val="TOC1"/>
        <w:rPr>
          <w:rFonts w:ascii="Verdana" w:eastAsiaTheme="minorEastAsia" w:hAnsi="Verdana"/>
          <w:b w:val="0"/>
          <w:bCs w:val="0"/>
          <w:caps w:val="0"/>
          <w:noProof/>
          <w:sz w:val="18"/>
          <w:szCs w:val="18"/>
          <w:lang w:val="es-CR" w:eastAsia="es-CR"/>
        </w:rPr>
      </w:pPr>
      <w:hyperlink w:anchor="_Toc19533025" w:history="1">
        <w:r w:rsidR="00721329" w:rsidRPr="00721329">
          <w:rPr>
            <w:rStyle w:val="Hyperlink"/>
            <w:rFonts w:ascii="Verdana" w:eastAsia="Times New Roman" w:hAnsi="Verdana" w:cs="Verdana"/>
            <w:noProof/>
            <w:snapToGrid w:val="0"/>
            <w:sz w:val="18"/>
            <w:szCs w:val="18"/>
            <w:lang w:val="es-ES_tradnl"/>
          </w:rPr>
          <w:t>VIi hechos</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_Toc19533025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9</w:t>
        </w:r>
        <w:r w:rsidR="00721329" w:rsidRPr="00721329">
          <w:rPr>
            <w:rFonts w:ascii="Verdana" w:hAnsi="Verdana"/>
            <w:noProof/>
            <w:webHidden/>
            <w:sz w:val="18"/>
            <w:szCs w:val="18"/>
          </w:rPr>
          <w:fldChar w:fldCharType="end"/>
        </w:r>
      </w:hyperlink>
    </w:p>
    <w:p w14:paraId="31458E53" w14:textId="25FF9074" w:rsidR="00721329" w:rsidRPr="0006475E" w:rsidRDefault="0070530A" w:rsidP="0006475E">
      <w:pPr>
        <w:pStyle w:val="TOC2"/>
        <w:rPr>
          <w:rFonts w:eastAsiaTheme="minorEastAsia" w:cstheme="minorBidi"/>
        </w:rPr>
      </w:pPr>
      <w:hyperlink w:anchor="_Toc19533026" w:history="1">
        <w:r w:rsidR="00721329" w:rsidRPr="0006475E">
          <w:rPr>
            <w:rStyle w:val="Hyperlink"/>
          </w:rPr>
          <w:t>A.</w:t>
        </w:r>
        <w:r w:rsidR="00721329" w:rsidRPr="0006475E">
          <w:rPr>
            <w:rFonts w:eastAsiaTheme="minorEastAsia" w:cstheme="minorBidi"/>
          </w:rPr>
          <w:tab/>
        </w:r>
        <w:r w:rsidR="00721329" w:rsidRPr="0006475E">
          <w:rPr>
            <w:rStyle w:val="Hyperlink"/>
          </w:rPr>
          <w:t>El proceso penal de Oscar Raúl Gorigoitía</w:t>
        </w:r>
        <w:r w:rsidR="00721329" w:rsidRPr="0006475E">
          <w:rPr>
            <w:webHidden/>
          </w:rPr>
          <w:tab/>
        </w:r>
        <w:r w:rsidR="00721329" w:rsidRPr="0006475E">
          <w:rPr>
            <w:webHidden/>
          </w:rPr>
          <w:fldChar w:fldCharType="begin"/>
        </w:r>
        <w:r w:rsidR="00721329" w:rsidRPr="0006475E">
          <w:rPr>
            <w:webHidden/>
          </w:rPr>
          <w:instrText xml:space="preserve"> PAGEREF _Toc19533026 \h </w:instrText>
        </w:r>
        <w:r w:rsidR="00721329" w:rsidRPr="0006475E">
          <w:rPr>
            <w:webHidden/>
          </w:rPr>
        </w:r>
        <w:r w:rsidR="00721329" w:rsidRPr="0006475E">
          <w:rPr>
            <w:webHidden/>
          </w:rPr>
          <w:fldChar w:fldCharType="separate"/>
        </w:r>
        <w:r w:rsidR="00664463">
          <w:rPr>
            <w:webHidden/>
          </w:rPr>
          <w:t>9</w:t>
        </w:r>
        <w:r w:rsidR="00721329" w:rsidRPr="0006475E">
          <w:rPr>
            <w:webHidden/>
          </w:rPr>
          <w:fldChar w:fldCharType="end"/>
        </w:r>
      </w:hyperlink>
    </w:p>
    <w:p w14:paraId="5471D86C" w14:textId="615E7697"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27" w:history="1">
        <w:r w:rsidR="00721329" w:rsidRPr="00721329">
          <w:rPr>
            <w:rStyle w:val="Hyperlink"/>
            <w:rFonts w:ascii="Verdana" w:hAnsi="Verdana"/>
            <w:noProof/>
            <w:sz w:val="18"/>
            <w:szCs w:val="18"/>
            <w:lang w:val="es-ES"/>
          </w:rPr>
          <w:t>A.1</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Detención y prisión preventiva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_Toc19533027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9</w:t>
        </w:r>
        <w:r w:rsidR="00721329" w:rsidRPr="00721329">
          <w:rPr>
            <w:rFonts w:ascii="Verdana" w:hAnsi="Verdana"/>
            <w:noProof/>
            <w:webHidden/>
            <w:sz w:val="18"/>
            <w:szCs w:val="18"/>
          </w:rPr>
          <w:fldChar w:fldCharType="end"/>
        </w:r>
      </w:hyperlink>
    </w:p>
    <w:p w14:paraId="2E889202" w14:textId="7A2F5FA1"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28" w:history="1">
        <w:r w:rsidR="00721329" w:rsidRPr="00721329">
          <w:rPr>
            <w:rStyle w:val="Hyperlink"/>
            <w:rFonts w:ascii="Verdana" w:hAnsi="Verdana"/>
            <w:noProof/>
            <w:sz w:val="18"/>
            <w:szCs w:val="18"/>
            <w:lang w:val="es-ES"/>
          </w:rPr>
          <w:t>A.2</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Condena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_Toc19533028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10</w:t>
        </w:r>
        <w:r w:rsidR="00721329" w:rsidRPr="00721329">
          <w:rPr>
            <w:rFonts w:ascii="Verdana" w:hAnsi="Verdana"/>
            <w:noProof/>
            <w:webHidden/>
            <w:sz w:val="18"/>
            <w:szCs w:val="18"/>
          </w:rPr>
          <w:fldChar w:fldCharType="end"/>
        </w:r>
      </w:hyperlink>
    </w:p>
    <w:p w14:paraId="48562A59" w14:textId="41236CCB"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29" w:history="1">
        <w:r w:rsidR="00721329" w:rsidRPr="00721329">
          <w:rPr>
            <w:rStyle w:val="Hyperlink"/>
            <w:rFonts w:ascii="Verdana" w:hAnsi="Verdana"/>
            <w:noProof/>
            <w:sz w:val="18"/>
            <w:szCs w:val="18"/>
            <w:lang w:val="es-ES"/>
          </w:rPr>
          <w:t>A.3</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Recurso de Casación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_Toc19533029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11</w:t>
        </w:r>
        <w:r w:rsidR="00721329" w:rsidRPr="00721329">
          <w:rPr>
            <w:rFonts w:ascii="Verdana" w:hAnsi="Verdana"/>
            <w:noProof/>
            <w:webHidden/>
            <w:sz w:val="18"/>
            <w:szCs w:val="18"/>
          </w:rPr>
          <w:fldChar w:fldCharType="end"/>
        </w:r>
      </w:hyperlink>
    </w:p>
    <w:p w14:paraId="2CA36715" w14:textId="44F01150"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30" w:history="1">
        <w:r w:rsidR="00721329" w:rsidRPr="00721329">
          <w:rPr>
            <w:rStyle w:val="Hyperlink"/>
            <w:rFonts w:ascii="Verdana" w:hAnsi="Verdana"/>
            <w:noProof/>
            <w:sz w:val="18"/>
            <w:szCs w:val="18"/>
            <w:lang w:val="es-ES"/>
          </w:rPr>
          <w:t>A.4</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Recurso Extraordinario Federal</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_Toc19533030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12</w:t>
        </w:r>
        <w:r w:rsidR="00721329" w:rsidRPr="00721329">
          <w:rPr>
            <w:rFonts w:ascii="Verdana" w:hAnsi="Verdana"/>
            <w:noProof/>
            <w:webHidden/>
            <w:sz w:val="18"/>
            <w:szCs w:val="18"/>
          </w:rPr>
          <w:fldChar w:fldCharType="end"/>
        </w:r>
      </w:hyperlink>
    </w:p>
    <w:p w14:paraId="13B666CD" w14:textId="2D9C36C2"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31" w:history="1">
        <w:r w:rsidR="00721329" w:rsidRPr="00721329">
          <w:rPr>
            <w:rStyle w:val="Hyperlink"/>
            <w:rFonts w:ascii="Verdana" w:hAnsi="Verdana"/>
            <w:noProof/>
            <w:sz w:val="18"/>
            <w:szCs w:val="18"/>
            <w:lang w:val="es-ES"/>
          </w:rPr>
          <w:t>A.5</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Recurso de Queja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_Toc19533031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13</w:t>
        </w:r>
        <w:r w:rsidR="00721329" w:rsidRPr="00721329">
          <w:rPr>
            <w:rFonts w:ascii="Verdana" w:hAnsi="Verdana"/>
            <w:noProof/>
            <w:webHidden/>
            <w:sz w:val="18"/>
            <w:szCs w:val="18"/>
          </w:rPr>
          <w:fldChar w:fldCharType="end"/>
        </w:r>
      </w:hyperlink>
    </w:p>
    <w:p w14:paraId="5792759A" w14:textId="1C849DC5" w:rsidR="00721329" w:rsidRPr="00721329" w:rsidRDefault="0070530A">
      <w:pPr>
        <w:pStyle w:val="TOC3"/>
        <w:tabs>
          <w:tab w:val="left" w:pos="1100"/>
          <w:tab w:val="right" w:leader="dot" w:pos="9792"/>
        </w:tabs>
        <w:rPr>
          <w:rFonts w:ascii="Verdana" w:eastAsiaTheme="minorEastAsia" w:hAnsi="Verdana"/>
          <w:i w:val="0"/>
          <w:iCs w:val="0"/>
          <w:noProof/>
          <w:sz w:val="18"/>
          <w:szCs w:val="18"/>
          <w:lang w:val="es-CR" w:eastAsia="es-CR"/>
        </w:rPr>
      </w:pPr>
      <w:hyperlink w:anchor="_Toc19533032" w:history="1">
        <w:r w:rsidR="00721329" w:rsidRPr="00721329">
          <w:rPr>
            <w:rStyle w:val="Hyperlink"/>
            <w:rFonts w:ascii="Verdana" w:hAnsi="Verdana"/>
            <w:noProof/>
            <w:sz w:val="18"/>
            <w:szCs w:val="18"/>
            <w:lang w:val="es-ES"/>
          </w:rPr>
          <w:t>A.6</w:t>
        </w:r>
        <w:r w:rsidR="00721329" w:rsidRPr="00721329">
          <w:rPr>
            <w:rFonts w:ascii="Verdana" w:eastAsiaTheme="minorEastAsia" w:hAnsi="Verdana"/>
            <w:i w:val="0"/>
            <w:iCs w:val="0"/>
            <w:noProof/>
            <w:sz w:val="18"/>
            <w:szCs w:val="18"/>
            <w:lang w:val="es-CR" w:eastAsia="es-CR"/>
          </w:rPr>
          <w:tab/>
        </w:r>
        <w:r w:rsidR="00721329" w:rsidRPr="00721329">
          <w:rPr>
            <w:rStyle w:val="Hyperlink"/>
            <w:rFonts w:ascii="Verdana" w:hAnsi="Verdana"/>
            <w:noProof/>
            <w:sz w:val="18"/>
            <w:szCs w:val="18"/>
            <w:lang w:val="es-ES"/>
          </w:rPr>
          <w:t>Cumplimiento de la condena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_Toc19533032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13</w:t>
        </w:r>
        <w:r w:rsidR="00721329" w:rsidRPr="00721329">
          <w:rPr>
            <w:rFonts w:ascii="Verdana" w:hAnsi="Verdana"/>
            <w:noProof/>
            <w:webHidden/>
            <w:sz w:val="18"/>
            <w:szCs w:val="18"/>
          </w:rPr>
          <w:fldChar w:fldCharType="end"/>
        </w:r>
      </w:hyperlink>
    </w:p>
    <w:p w14:paraId="28B67874" w14:textId="2D818A8E" w:rsidR="00721329" w:rsidRPr="00721329" w:rsidRDefault="0070530A" w:rsidP="0006475E">
      <w:pPr>
        <w:pStyle w:val="TOC2"/>
        <w:rPr>
          <w:rFonts w:eastAsiaTheme="minorEastAsia" w:cstheme="minorBidi"/>
        </w:rPr>
      </w:pPr>
      <w:hyperlink w:anchor="_Toc19533033" w:history="1">
        <w:r w:rsidR="00721329" w:rsidRPr="00721329">
          <w:rPr>
            <w:rStyle w:val="Hyperlink"/>
            <w:b/>
            <w:lang w:val="es-ES"/>
          </w:rPr>
          <w:t>B.</w:t>
        </w:r>
        <w:r w:rsidR="00721329" w:rsidRPr="00721329">
          <w:rPr>
            <w:rFonts w:eastAsiaTheme="minorEastAsia" w:cstheme="minorBidi"/>
          </w:rPr>
          <w:tab/>
        </w:r>
        <w:r w:rsidR="00721329" w:rsidRPr="00721329">
          <w:rPr>
            <w:rStyle w:val="Hyperlink"/>
            <w:b/>
            <w:lang w:val="es-ES"/>
          </w:rPr>
          <w:t>El marco jurídico procesal penal relevante y el “fallo Casal”</w:t>
        </w:r>
        <w:r w:rsidR="00721329" w:rsidRPr="00721329">
          <w:rPr>
            <w:webHidden/>
          </w:rPr>
          <w:tab/>
        </w:r>
        <w:r w:rsidR="00721329" w:rsidRPr="00721329">
          <w:rPr>
            <w:webHidden/>
          </w:rPr>
          <w:fldChar w:fldCharType="begin"/>
        </w:r>
        <w:r w:rsidR="00721329" w:rsidRPr="00721329">
          <w:rPr>
            <w:webHidden/>
          </w:rPr>
          <w:instrText xml:space="preserve"> PAGEREF _Toc19533033 \h </w:instrText>
        </w:r>
        <w:r w:rsidR="00721329" w:rsidRPr="00721329">
          <w:rPr>
            <w:webHidden/>
          </w:rPr>
        </w:r>
        <w:r w:rsidR="00721329" w:rsidRPr="00721329">
          <w:rPr>
            <w:webHidden/>
          </w:rPr>
          <w:fldChar w:fldCharType="separate"/>
        </w:r>
        <w:r w:rsidR="00664463">
          <w:rPr>
            <w:webHidden/>
          </w:rPr>
          <w:t>14</w:t>
        </w:r>
        <w:r w:rsidR="00721329" w:rsidRPr="00721329">
          <w:rPr>
            <w:webHidden/>
          </w:rPr>
          <w:fldChar w:fldCharType="end"/>
        </w:r>
      </w:hyperlink>
    </w:p>
    <w:p w14:paraId="7B37B601" w14:textId="5B7658F7" w:rsidR="00721329" w:rsidRPr="00721329" w:rsidRDefault="0070530A">
      <w:pPr>
        <w:pStyle w:val="TOC1"/>
        <w:rPr>
          <w:rFonts w:ascii="Verdana" w:eastAsiaTheme="minorEastAsia" w:hAnsi="Verdana"/>
          <w:b w:val="0"/>
          <w:bCs w:val="0"/>
          <w:caps w:val="0"/>
          <w:noProof/>
          <w:sz w:val="18"/>
          <w:szCs w:val="18"/>
          <w:lang w:val="es-CR" w:eastAsia="es-CR"/>
        </w:rPr>
      </w:pPr>
      <w:hyperlink w:anchor="_Toc19533034" w:history="1">
        <w:r w:rsidR="00721329" w:rsidRPr="00721329">
          <w:rPr>
            <w:rStyle w:val="Hyperlink"/>
            <w:rFonts w:ascii="Verdana" w:eastAsia="Times New Roman" w:hAnsi="Verdana" w:cs="Verdana"/>
            <w:noProof/>
            <w:snapToGrid w:val="0"/>
            <w:sz w:val="18"/>
            <w:szCs w:val="18"/>
            <w:lang w:val="es-ES_tradnl"/>
          </w:rPr>
          <w:t>VIII Fondo</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_Toc19533034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14</w:t>
        </w:r>
        <w:r w:rsidR="00721329" w:rsidRPr="00721329">
          <w:rPr>
            <w:rFonts w:ascii="Verdana" w:hAnsi="Verdana"/>
            <w:noProof/>
            <w:webHidden/>
            <w:sz w:val="18"/>
            <w:szCs w:val="18"/>
          </w:rPr>
          <w:fldChar w:fldCharType="end"/>
        </w:r>
      </w:hyperlink>
    </w:p>
    <w:p w14:paraId="234E4996" w14:textId="3D4C8D0B" w:rsidR="00721329" w:rsidRPr="00721329" w:rsidRDefault="0070530A">
      <w:pPr>
        <w:pStyle w:val="TOC1"/>
        <w:rPr>
          <w:rFonts w:ascii="Verdana" w:eastAsiaTheme="minorEastAsia" w:hAnsi="Verdana"/>
          <w:b w:val="0"/>
          <w:bCs w:val="0"/>
          <w:caps w:val="0"/>
          <w:noProof/>
          <w:sz w:val="18"/>
          <w:szCs w:val="18"/>
          <w:lang w:val="es-CR" w:eastAsia="es-CR"/>
        </w:rPr>
      </w:pPr>
      <w:hyperlink w:anchor="_Toc19533035" w:history="1">
        <w:r w:rsidR="00721329" w:rsidRPr="00721329">
          <w:rPr>
            <w:rStyle w:val="Hyperlink"/>
            <w:rFonts w:ascii="Verdana" w:hAnsi="Verdana"/>
            <w:noProof/>
            <w:sz w:val="18"/>
            <w:szCs w:val="18"/>
          </w:rPr>
          <w:t>DERECHO A RECURRIR EL FALLO ANTE JUEZ O TRIBUNAL SUPERIOR Y DERECHO A LA PROTECCIÓN JUDICIAL EN RELACIÓN CON LA OBLIGACIÓN DE RESPETAR Y GARANTIZAR LOS DERECHOS, EL DEBER DE ADOPTAR DISPOSICIONES DE DERECHO INTERNO Y LA CLAÚSULA FEDERAL</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_Toc19533035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14</w:t>
        </w:r>
        <w:r w:rsidR="00721329" w:rsidRPr="00721329">
          <w:rPr>
            <w:rFonts w:ascii="Verdana" w:hAnsi="Verdana"/>
            <w:noProof/>
            <w:webHidden/>
            <w:sz w:val="18"/>
            <w:szCs w:val="18"/>
          </w:rPr>
          <w:fldChar w:fldCharType="end"/>
        </w:r>
      </w:hyperlink>
    </w:p>
    <w:p w14:paraId="0D69D7D6" w14:textId="6DBE2414" w:rsidR="00721329" w:rsidRPr="0006475E" w:rsidRDefault="0070530A" w:rsidP="0006475E">
      <w:pPr>
        <w:pStyle w:val="TOC2"/>
        <w:rPr>
          <w:rFonts w:eastAsiaTheme="minorEastAsia" w:cstheme="minorBidi"/>
        </w:rPr>
      </w:pPr>
      <w:hyperlink w:anchor="_Toc19533036" w:history="1">
        <w:r w:rsidR="00721329" w:rsidRPr="0006475E">
          <w:rPr>
            <w:rStyle w:val="Hyperlink"/>
            <w:lang w:eastAsia="es-MX"/>
          </w:rPr>
          <w:t>A.</w:t>
        </w:r>
        <w:r w:rsidR="00721329" w:rsidRPr="0006475E">
          <w:rPr>
            <w:rFonts w:eastAsiaTheme="minorEastAsia" w:cstheme="minorBidi"/>
          </w:rPr>
          <w:tab/>
        </w:r>
        <w:r w:rsidR="00721329" w:rsidRPr="0006475E">
          <w:rPr>
            <w:rStyle w:val="Hyperlink"/>
            <w:lang w:eastAsia="es-MX"/>
          </w:rPr>
          <w:t>Alegatos de las partes y observaciones de la Comisión</w:t>
        </w:r>
        <w:r w:rsidR="00721329" w:rsidRPr="0006475E">
          <w:rPr>
            <w:webHidden/>
          </w:rPr>
          <w:tab/>
        </w:r>
        <w:r w:rsidR="00721329" w:rsidRPr="0006475E">
          <w:rPr>
            <w:webHidden/>
          </w:rPr>
          <w:fldChar w:fldCharType="begin"/>
        </w:r>
        <w:r w:rsidR="00721329" w:rsidRPr="0006475E">
          <w:rPr>
            <w:webHidden/>
          </w:rPr>
          <w:instrText xml:space="preserve"> PAGEREF _Toc19533036 \h </w:instrText>
        </w:r>
        <w:r w:rsidR="00721329" w:rsidRPr="0006475E">
          <w:rPr>
            <w:webHidden/>
          </w:rPr>
        </w:r>
        <w:r w:rsidR="00721329" w:rsidRPr="0006475E">
          <w:rPr>
            <w:webHidden/>
          </w:rPr>
          <w:fldChar w:fldCharType="separate"/>
        </w:r>
        <w:r w:rsidR="00664463">
          <w:rPr>
            <w:webHidden/>
          </w:rPr>
          <w:t>14</w:t>
        </w:r>
        <w:r w:rsidR="00721329" w:rsidRPr="0006475E">
          <w:rPr>
            <w:webHidden/>
          </w:rPr>
          <w:fldChar w:fldCharType="end"/>
        </w:r>
      </w:hyperlink>
    </w:p>
    <w:p w14:paraId="3089E623" w14:textId="31F80A58" w:rsidR="00721329" w:rsidRPr="0006475E" w:rsidRDefault="0070530A" w:rsidP="0006475E">
      <w:pPr>
        <w:pStyle w:val="TOC2"/>
        <w:rPr>
          <w:rFonts w:eastAsiaTheme="minorEastAsia" w:cstheme="minorBidi"/>
        </w:rPr>
      </w:pPr>
      <w:hyperlink w:anchor="_Toc19533037" w:history="1">
        <w:r w:rsidR="00721329" w:rsidRPr="0006475E">
          <w:rPr>
            <w:rStyle w:val="Hyperlink"/>
            <w:lang w:eastAsia="es-MX"/>
          </w:rPr>
          <w:t>B.</w:t>
        </w:r>
        <w:r w:rsidR="00721329" w:rsidRPr="0006475E">
          <w:rPr>
            <w:rFonts w:eastAsiaTheme="minorEastAsia" w:cstheme="minorBidi"/>
          </w:rPr>
          <w:tab/>
        </w:r>
        <w:r w:rsidR="00721329" w:rsidRPr="0006475E">
          <w:rPr>
            <w:rStyle w:val="Hyperlink"/>
            <w:lang w:eastAsia="es-MX"/>
          </w:rPr>
          <w:t>Consideraciones de la Corte</w:t>
        </w:r>
        <w:r w:rsidR="00721329" w:rsidRPr="0006475E">
          <w:rPr>
            <w:webHidden/>
          </w:rPr>
          <w:tab/>
        </w:r>
        <w:r w:rsidR="00721329" w:rsidRPr="0006475E">
          <w:rPr>
            <w:webHidden/>
          </w:rPr>
          <w:fldChar w:fldCharType="begin"/>
        </w:r>
        <w:r w:rsidR="00721329" w:rsidRPr="0006475E">
          <w:rPr>
            <w:webHidden/>
          </w:rPr>
          <w:instrText xml:space="preserve"> PAGEREF _Toc19533037 \h </w:instrText>
        </w:r>
        <w:r w:rsidR="00721329" w:rsidRPr="0006475E">
          <w:rPr>
            <w:webHidden/>
          </w:rPr>
        </w:r>
        <w:r w:rsidR="00721329" w:rsidRPr="0006475E">
          <w:rPr>
            <w:webHidden/>
          </w:rPr>
          <w:fldChar w:fldCharType="separate"/>
        </w:r>
        <w:r w:rsidR="00664463">
          <w:rPr>
            <w:webHidden/>
          </w:rPr>
          <w:t>15</w:t>
        </w:r>
        <w:r w:rsidR="00721329" w:rsidRPr="0006475E">
          <w:rPr>
            <w:webHidden/>
          </w:rPr>
          <w:fldChar w:fldCharType="end"/>
        </w:r>
      </w:hyperlink>
    </w:p>
    <w:p w14:paraId="354EABCD" w14:textId="22F08C2C"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38" w:history="1">
        <w:r w:rsidR="00721329" w:rsidRPr="00721329">
          <w:rPr>
            <w:rStyle w:val="Hyperlink"/>
            <w:rFonts w:ascii="Verdana" w:hAnsi="Verdana"/>
            <w:noProof/>
            <w:sz w:val="18"/>
            <w:szCs w:val="18"/>
          </w:rPr>
          <w:t>B.1 El derecho a recurrir la sentencia condenatoria y el derecho a la protección judicial del señor Gorigoitía</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_Toc19533038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16</w:t>
        </w:r>
        <w:r w:rsidR="00721329" w:rsidRPr="00721329">
          <w:rPr>
            <w:rFonts w:ascii="Verdana" w:hAnsi="Verdana"/>
            <w:noProof/>
            <w:webHidden/>
            <w:sz w:val="18"/>
            <w:szCs w:val="18"/>
          </w:rPr>
          <w:fldChar w:fldCharType="end"/>
        </w:r>
      </w:hyperlink>
    </w:p>
    <w:p w14:paraId="26219E35" w14:textId="4DD7CDDA"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39" w:history="1">
        <w:r w:rsidR="00721329" w:rsidRPr="00721329">
          <w:rPr>
            <w:rStyle w:val="Hyperlink"/>
            <w:rFonts w:ascii="Verdana" w:hAnsi="Verdana"/>
            <w:noProof/>
            <w:sz w:val="18"/>
            <w:szCs w:val="18"/>
          </w:rPr>
          <w:t>B.2 Deber de adoptar disposiciones de derecho interno y cláusula federal</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_Toc19533039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18</w:t>
        </w:r>
        <w:r w:rsidR="00721329" w:rsidRPr="00721329">
          <w:rPr>
            <w:rFonts w:ascii="Verdana" w:hAnsi="Verdana"/>
            <w:noProof/>
            <w:webHidden/>
            <w:sz w:val="18"/>
            <w:szCs w:val="18"/>
          </w:rPr>
          <w:fldChar w:fldCharType="end"/>
        </w:r>
      </w:hyperlink>
    </w:p>
    <w:p w14:paraId="72BF1CB6" w14:textId="1EABAD17"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40" w:history="1">
        <w:r w:rsidR="00721329" w:rsidRPr="00721329">
          <w:rPr>
            <w:rStyle w:val="Hyperlink"/>
            <w:rFonts w:ascii="Verdana" w:hAnsi="Verdana"/>
            <w:noProof/>
            <w:sz w:val="18"/>
            <w:szCs w:val="18"/>
          </w:rPr>
          <w:t>B.3 Conclusión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_Toc19533040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19</w:t>
        </w:r>
        <w:r w:rsidR="00721329" w:rsidRPr="00721329">
          <w:rPr>
            <w:rFonts w:ascii="Verdana" w:hAnsi="Verdana"/>
            <w:noProof/>
            <w:webHidden/>
            <w:sz w:val="18"/>
            <w:szCs w:val="18"/>
          </w:rPr>
          <w:fldChar w:fldCharType="end"/>
        </w:r>
      </w:hyperlink>
    </w:p>
    <w:p w14:paraId="28BD5A92" w14:textId="3FBAD8A2" w:rsidR="00721329" w:rsidRPr="00721329" w:rsidRDefault="0070530A">
      <w:pPr>
        <w:pStyle w:val="TOC1"/>
        <w:rPr>
          <w:rFonts w:ascii="Verdana" w:eastAsiaTheme="minorEastAsia" w:hAnsi="Verdana"/>
          <w:b w:val="0"/>
          <w:bCs w:val="0"/>
          <w:caps w:val="0"/>
          <w:noProof/>
          <w:sz w:val="18"/>
          <w:szCs w:val="18"/>
          <w:lang w:val="es-CR" w:eastAsia="es-CR"/>
        </w:rPr>
      </w:pPr>
      <w:hyperlink w:anchor="_Toc19533041" w:history="1">
        <w:r w:rsidR="00721329" w:rsidRPr="00721329">
          <w:rPr>
            <w:rStyle w:val="Hyperlink"/>
            <w:rFonts w:ascii="Verdana" w:eastAsia="Times New Roman" w:hAnsi="Verdana" w:cs="Verdana"/>
            <w:noProof/>
            <w:snapToGrid w:val="0"/>
            <w:sz w:val="18"/>
            <w:szCs w:val="18"/>
            <w:lang w:val="es-ES_tradnl"/>
          </w:rPr>
          <w:t>IX reparaciones</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_Toc19533041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20</w:t>
        </w:r>
        <w:r w:rsidR="00721329" w:rsidRPr="00721329">
          <w:rPr>
            <w:rFonts w:ascii="Verdana" w:hAnsi="Verdana"/>
            <w:noProof/>
            <w:webHidden/>
            <w:sz w:val="18"/>
            <w:szCs w:val="18"/>
          </w:rPr>
          <w:fldChar w:fldCharType="end"/>
        </w:r>
      </w:hyperlink>
    </w:p>
    <w:p w14:paraId="03484E9C" w14:textId="1C256045" w:rsidR="00721329" w:rsidRPr="00721329" w:rsidRDefault="0070530A" w:rsidP="0006475E">
      <w:pPr>
        <w:pStyle w:val="TOC2"/>
        <w:rPr>
          <w:rFonts w:eastAsiaTheme="minorEastAsia" w:cstheme="minorBidi"/>
        </w:rPr>
      </w:pPr>
      <w:hyperlink w:anchor="_Toc19533042" w:history="1">
        <w:r w:rsidR="00721329" w:rsidRPr="00721329">
          <w:rPr>
            <w:rStyle w:val="Hyperlink"/>
          </w:rPr>
          <w:t>A.</w:t>
        </w:r>
        <w:r w:rsidR="00721329" w:rsidRPr="00721329">
          <w:rPr>
            <w:rFonts w:eastAsiaTheme="minorEastAsia" w:cstheme="minorBidi"/>
          </w:rPr>
          <w:tab/>
        </w:r>
        <w:r w:rsidR="00721329" w:rsidRPr="00721329">
          <w:rPr>
            <w:rStyle w:val="Hyperlink"/>
          </w:rPr>
          <w:t>Parte Lesionada</w:t>
        </w:r>
        <w:r w:rsidR="00721329" w:rsidRPr="00721329">
          <w:rPr>
            <w:webHidden/>
          </w:rPr>
          <w:tab/>
        </w:r>
        <w:r w:rsidR="00721329" w:rsidRPr="00721329">
          <w:rPr>
            <w:webHidden/>
          </w:rPr>
          <w:fldChar w:fldCharType="begin"/>
        </w:r>
        <w:r w:rsidR="00721329" w:rsidRPr="00721329">
          <w:rPr>
            <w:webHidden/>
          </w:rPr>
          <w:instrText xml:space="preserve"> PAGEREF _Toc19533042 \h </w:instrText>
        </w:r>
        <w:r w:rsidR="00721329" w:rsidRPr="00721329">
          <w:rPr>
            <w:webHidden/>
          </w:rPr>
        </w:r>
        <w:r w:rsidR="00721329" w:rsidRPr="00721329">
          <w:rPr>
            <w:webHidden/>
          </w:rPr>
          <w:fldChar w:fldCharType="separate"/>
        </w:r>
        <w:r w:rsidR="00664463">
          <w:rPr>
            <w:webHidden/>
          </w:rPr>
          <w:t>21</w:t>
        </w:r>
        <w:r w:rsidR="00721329" w:rsidRPr="00721329">
          <w:rPr>
            <w:webHidden/>
          </w:rPr>
          <w:fldChar w:fldCharType="end"/>
        </w:r>
      </w:hyperlink>
    </w:p>
    <w:p w14:paraId="07FC79A9" w14:textId="32370583" w:rsidR="00721329" w:rsidRPr="00721329" w:rsidRDefault="0070530A" w:rsidP="0006475E">
      <w:pPr>
        <w:pStyle w:val="TOC2"/>
        <w:rPr>
          <w:rFonts w:eastAsiaTheme="minorEastAsia" w:cstheme="minorBidi"/>
        </w:rPr>
      </w:pPr>
      <w:hyperlink w:anchor="_Toc19533043" w:history="1">
        <w:r w:rsidR="00721329" w:rsidRPr="00721329">
          <w:rPr>
            <w:rStyle w:val="Hyperlink"/>
            <w:rFonts w:cs="Arial"/>
          </w:rPr>
          <w:t>B.</w:t>
        </w:r>
        <w:r w:rsidR="00721329" w:rsidRPr="00721329">
          <w:rPr>
            <w:rFonts w:eastAsiaTheme="minorEastAsia" w:cstheme="minorBidi"/>
          </w:rPr>
          <w:tab/>
        </w:r>
        <w:r w:rsidR="00721329" w:rsidRPr="00721329">
          <w:rPr>
            <w:rStyle w:val="Hyperlink"/>
            <w:rFonts w:cs="Arial"/>
          </w:rPr>
          <w:t>Medidas de restitución, satisfacción y garantías de no repetición</w:t>
        </w:r>
        <w:r w:rsidR="00721329" w:rsidRPr="00721329">
          <w:rPr>
            <w:webHidden/>
          </w:rPr>
          <w:tab/>
        </w:r>
        <w:r w:rsidR="00721329" w:rsidRPr="00721329">
          <w:rPr>
            <w:webHidden/>
          </w:rPr>
          <w:fldChar w:fldCharType="begin"/>
        </w:r>
        <w:r w:rsidR="00721329" w:rsidRPr="00721329">
          <w:rPr>
            <w:webHidden/>
          </w:rPr>
          <w:instrText xml:space="preserve"> PAGEREF _Toc19533043 \h </w:instrText>
        </w:r>
        <w:r w:rsidR="00721329" w:rsidRPr="00721329">
          <w:rPr>
            <w:webHidden/>
          </w:rPr>
        </w:r>
        <w:r w:rsidR="00721329" w:rsidRPr="00721329">
          <w:rPr>
            <w:webHidden/>
          </w:rPr>
          <w:fldChar w:fldCharType="separate"/>
        </w:r>
        <w:r w:rsidR="00664463">
          <w:rPr>
            <w:webHidden/>
          </w:rPr>
          <w:t>21</w:t>
        </w:r>
        <w:r w:rsidR="00721329" w:rsidRPr="00721329">
          <w:rPr>
            <w:webHidden/>
          </w:rPr>
          <w:fldChar w:fldCharType="end"/>
        </w:r>
      </w:hyperlink>
    </w:p>
    <w:p w14:paraId="7BD40AB5" w14:textId="0A755EA9"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44" w:history="1">
        <w:r w:rsidR="00721329" w:rsidRPr="00721329">
          <w:rPr>
            <w:rStyle w:val="Hyperlink"/>
            <w:rFonts w:ascii="Verdana" w:hAnsi="Verdana" w:cs="Arial"/>
            <w:noProof/>
            <w:sz w:val="18"/>
            <w:szCs w:val="18"/>
            <w:lang w:val="es-CR"/>
          </w:rPr>
          <w:t>B.1 Medidas de restitución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_Toc19533044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21</w:t>
        </w:r>
        <w:r w:rsidR="00721329" w:rsidRPr="00721329">
          <w:rPr>
            <w:rFonts w:ascii="Verdana" w:hAnsi="Verdana"/>
            <w:noProof/>
            <w:webHidden/>
            <w:sz w:val="18"/>
            <w:szCs w:val="18"/>
          </w:rPr>
          <w:fldChar w:fldCharType="end"/>
        </w:r>
      </w:hyperlink>
    </w:p>
    <w:p w14:paraId="10ABA913" w14:textId="1B9D369E"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45" w:history="1">
        <w:r w:rsidR="00721329" w:rsidRPr="00721329">
          <w:rPr>
            <w:rStyle w:val="Hyperlink"/>
            <w:rFonts w:ascii="Verdana" w:hAnsi="Verdana" w:cs="Arial"/>
            <w:noProof/>
            <w:sz w:val="18"/>
            <w:szCs w:val="18"/>
            <w:lang w:val="es-CR"/>
          </w:rPr>
          <w:t>B.2 Medida de satisfacción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_Toc19533045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22</w:t>
        </w:r>
        <w:r w:rsidR="00721329" w:rsidRPr="00721329">
          <w:rPr>
            <w:rFonts w:ascii="Verdana" w:hAnsi="Verdana"/>
            <w:noProof/>
            <w:webHidden/>
            <w:sz w:val="18"/>
            <w:szCs w:val="18"/>
          </w:rPr>
          <w:fldChar w:fldCharType="end"/>
        </w:r>
      </w:hyperlink>
    </w:p>
    <w:p w14:paraId="2481F4AD" w14:textId="687F5733"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46" w:history="1">
        <w:r w:rsidR="00721329" w:rsidRPr="00721329">
          <w:rPr>
            <w:rStyle w:val="Hyperlink"/>
            <w:rFonts w:ascii="Verdana" w:hAnsi="Verdana" w:cs="Arial"/>
            <w:noProof/>
            <w:sz w:val="18"/>
            <w:szCs w:val="18"/>
            <w:lang w:val="es-CR"/>
          </w:rPr>
          <w:t>B.3 Garantías de no repetición</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_Toc19533046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22</w:t>
        </w:r>
        <w:r w:rsidR="00721329" w:rsidRPr="00721329">
          <w:rPr>
            <w:rFonts w:ascii="Verdana" w:hAnsi="Verdana"/>
            <w:noProof/>
            <w:webHidden/>
            <w:sz w:val="18"/>
            <w:szCs w:val="18"/>
          </w:rPr>
          <w:fldChar w:fldCharType="end"/>
        </w:r>
      </w:hyperlink>
    </w:p>
    <w:p w14:paraId="28946239" w14:textId="756871F4" w:rsidR="00721329" w:rsidRPr="00721329" w:rsidRDefault="0070530A" w:rsidP="0006475E">
      <w:pPr>
        <w:pStyle w:val="TOC2"/>
        <w:rPr>
          <w:rFonts w:eastAsiaTheme="minorEastAsia" w:cstheme="minorBidi"/>
        </w:rPr>
      </w:pPr>
      <w:hyperlink w:anchor="_Toc19533047" w:history="1">
        <w:r w:rsidR="00721329" w:rsidRPr="00721329">
          <w:rPr>
            <w:rStyle w:val="Hyperlink"/>
            <w:rFonts w:cs="Arial"/>
          </w:rPr>
          <w:t>C.</w:t>
        </w:r>
        <w:r w:rsidR="00721329" w:rsidRPr="00721329">
          <w:rPr>
            <w:rFonts w:eastAsiaTheme="minorEastAsia" w:cstheme="minorBidi"/>
          </w:rPr>
          <w:tab/>
        </w:r>
        <w:r w:rsidR="00721329" w:rsidRPr="00721329">
          <w:rPr>
            <w:rStyle w:val="Hyperlink"/>
            <w:rFonts w:cs="Arial"/>
          </w:rPr>
          <w:t>Otras medidas solicitadas</w:t>
        </w:r>
        <w:r w:rsidR="00721329" w:rsidRPr="00721329">
          <w:rPr>
            <w:webHidden/>
          </w:rPr>
          <w:tab/>
        </w:r>
        <w:r w:rsidR="00721329" w:rsidRPr="00721329">
          <w:rPr>
            <w:webHidden/>
          </w:rPr>
          <w:fldChar w:fldCharType="begin"/>
        </w:r>
        <w:r w:rsidR="00721329" w:rsidRPr="00721329">
          <w:rPr>
            <w:webHidden/>
          </w:rPr>
          <w:instrText xml:space="preserve"> PAGEREF _Toc19533047 \h </w:instrText>
        </w:r>
        <w:r w:rsidR="00721329" w:rsidRPr="00721329">
          <w:rPr>
            <w:webHidden/>
          </w:rPr>
        </w:r>
        <w:r w:rsidR="00721329" w:rsidRPr="00721329">
          <w:rPr>
            <w:webHidden/>
          </w:rPr>
          <w:fldChar w:fldCharType="separate"/>
        </w:r>
        <w:r w:rsidR="00664463">
          <w:rPr>
            <w:webHidden/>
          </w:rPr>
          <w:t>23</w:t>
        </w:r>
        <w:r w:rsidR="00721329" w:rsidRPr="00721329">
          <w:rPr>
            <w:webHidden/>
          </w:rPr>
          <w:fldChar w:fldCharType="end"/>
        </w:r>
      </w:hyperlink>
    </w:p>
    <w:p w14:paraId="5F88E239" w14:textId="70CE3B48" w:rsidR="00721329" w:rsidRPr="00721329" w:rsidRDefault="0070530A" w:rsidP="0006475E">
      <w:pPr>
        <w:pStyle w:val="TOC2"/>
        <w:rPr>
          <w:rFonts w:eastAsiaTheme="minorEastAsia" w:cstheme="minorBidi"/>
        </w:rPr>
      </w:pPr>
      <w:hyperlink w:anchor="_Toc19533048" w:history="1">
        <w:r w:rsidR="00721329" w:rsidRPr="00721329">
          <w:rPr>
            <w:rStyle w:val="Hyperlink"/>
            <w:rFonts w:cs="Arial"/>
          </w:rPr>
          <w:t>D.</w:t>
        </w:r>
        <w:r w:rsidR="00721329" w:rsidRPr="00721329">
          <w:rPr>
            <w:rFonts w:eastAsiaTheme="minorEastAsia" w:cstheme="minorBidi"/>
          </w:rPr>
          <w:tab/>
        </w:r>
        <w:r w:rsidR="00721329" w:rsidRPr="00721329">
          <w:rPr>
            <w:rStyle w:val="Hyperlink"/>
            <w:rFonts w:cs="Arial"/>
          </w:rPr>
          <w:t>Indemnizaciones compensatorias</w:t>
        </w:r>
        <w:r w:rsidR="00721329" w:rsidRPr="00721329">
          <w:rPr>
            <w:webHidden/>
          </w:rPr>
          <w:tab/>
        </w:r>
        <w:r w:rsidR="00721329" w:rsidRPr="00721329">
          <w:rPr>
            <w:webHidden/>
          </w:rPr>
          <w:fldChar w:fldCharType="begin"/>
        </w:r>
        <w:r w:rsidR="00721329" w:rsidRPr="00721329">
          <w:rPr>
            <w:webHidden/>
          </w:rPr>
          <w:instrText xml:space="preserve"> PAGEREF _Toc19533048 \h </w:instrText>
        </w:r>
        <w:r w:rsidR="00721329" w:rsidRPr="00721329">
          <w:rPr>
            <w:webHidden/>
          </w:rPr>
        </w:r>
        <w:r w:rsidR="00721329" w:rsidRPr="00721329">
          <w:rPr>
            <w:webHidden/>
          </w:rPr>
          <w:fldChar w:fldCharType="separate"/>
        </w:r>
        <w:r w:rsidR="00664463">
          <w:rPr>
            <w:webHidden/>
          </w:rPr>
          <w:t>24</w:t>
        </w:r>
        <w:r w:rsidR="00721329" w:rsidRPr="00721329">
          <w:rPr>
            <w:webHidden/>
          </w:rPr>
          <w:fldChar w:fldCharType="end"/>
        </w:r>
      </w:hyperlink>
    </w:p>
    <w:p w14:paraId="215B836B" w14:textId="5292779D"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49" w:history="1">
        <w:r w:rsidR="00721329" w:rsidRPr="00721329">
          <w:rPr>
            <w:rStyle w:val="Hyperlink"/>
            <w:rFonts w:ascii="Verdana" w:hAnsi="Verdana" w:cs="Arial"/>
            <w:noProof/>
            <w:sz w:val="18"/>
            <w:szCs w:val="18"/>
            <w:lang w:val="es-CR"/>
          </w:rPr>
          <w:t>D.1 Daño material</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_Toc19533049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24</w:t>
        </w:r>
        <w:r w:rsidR="00721329" w:rsidRPr="00721329">
          <w:rPr>
            <w:rFonts w:ascii="Verdana" w:hAnsi="Verdana"/>
            <w:noProof/>
            <w:webHidden/>
            <w:sz w:val="18"/>
            <w:szCs w:val="18"/>
          </w:rPr>
          <w:fldChar w:fldCharType="end"/>
        </w:r>
      </w:hyperlink>
    </w:p>
    <w:p w14:paraId="4ECD6A20" w14:textId="203A329F" w:rsidR="00721329" w:rsidRPr="00721329" w:rsidRDefault="0070530A">
      <w:pPr>
        <w:pStyle w:val="TOC3"/>
        <w:tabs>
          <w:tab w:val="right" w:leader="dot" w:pos="9792"/>
        </w:tabs>
        <w:rPr>
          <w:rFonts w:ascii="Verdana" w:eastAsiaTheme="minorEastAsia" w:hAnsi="Verdana"/>
          <w:i w:val="0"/>
          <w:iCs w:val="0"/>
          <w:noProof/>
          <w:sz w:val="18"/>
          <w:szCs w:val="18"/>
          <w:lang w:val="es-CR" w:eastAsia="es-CR"/>
        </w:rPr>
      </w:pPr>
      <w:hyperlink w:anchor="_Toc19533050" w:history="1">
        <w:r w:rsidR="00721329" w:rsidRPr="00721329">
          <w:rPr>
            <w:rStyle w:val="Hyperlink"/>
            <w:rFonts w:ascii="Verdana" w:hAnsi="Verdana" w:cs="Arial"/>
            <w:noProof/>
            <w:sz w:val="18"/>
            <w:szCs w:val="18"/>
            <w:lang w:val="es-CR"/>
          </w:rPr>
          <w:t>D.2 Daño inmaterial</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_Toc19533050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24</w:t>
        </w:r>
        <w:r w:rsidR="00721329" w:rsidRPr="00721329">
          <w:rPr>
            <w:rFonts w:ascii="Verdana" w:hAnsi="Verdana"/>
            <w:noProof/>
            <w:webHidden/>
            <w:sz w:val="18"/>
            <w:szCs w:val="18"/>
          </w:rPr>
          <w:fldChar w:fldCharType="end"/>
        </w:r>
      </w:hyperlink>
    </w:p>
    <w:p w14:paraId="396D27B1" w14:textId="7B16683E" w:rsidR="00721329" w:rsidRPr="00721329" w:rsidRDefault="0070530A" w:rsidP="0006475E">
      <w:pPr>
        <w:pStyle w:val="TOC2"/>
        <w:rPr>
          <w:rFonts w:eastAsiaTheme="minorEastAsia" w:cstheme="minorBidi"/>
        </w:rPr>
      </w:pPr>
      <w:hyperlink w:anchor="_Toc19533051" w:history="1">
        <w:r w:rsidR="00721329" w:rsidRPr="00721329">
          <w:rPr>
            <w:rStyle w:val="Hyperlink"/>
            <w:rFonts w:cs="Arial"/>
          </w:rPr>
          <w:t>E.</w:t>
        </w:r>
        <w:r w:rsidR="00721329" w:rsidRPr="00721329">
          <w:rPr>
            <w:rFonts w:eastAsiaTheme="minorEastAsia" w:cstheme="minorBidi"/>
          </w:rPr>
          <w:tab/>
        </w:r>
        <w:r w:rsidR="00721329" w:rsidRPr="00721329">
          <w:rPr>
            <w:rStyle w:val="Hyperlink"/>
            <w:rFonts w:cs="Arial"/>
          </w:rPr>
          <w:t>Costas y gastos</w:t>
        </w:r>
        <w:r w:rsidR="00721329" w:rsidRPr="00721329">
          <w:rPr>
            <w:webHidden/>
          </w:rPr>
          <w:tab/>
        </w:r>
        <w:r w:rsidR="00721329" w:rsidRPr="00721329">
          <w:rPr>
            <w:webHidden/>
          </w:rPr>
          <w:fldChar w:fldCharType="begin"/>
        </w:r>
        <w:r w:rsidR="00721329" w:rsidRPr="00721329">
          <w:rPr>
            <w:webHidden/>
          </w:rPr>
          <w:instrText xml:space="preserve"> PAGEREF _Toc19533051 \h </w:instrText>
        </w:r>
        <w:r w:rsidR="00721329" w:rsidRPr="00721329">
          <w:rPr>
            <w:webHidden/>
          </w:rPr>
        </w:r>
        <w:r w:rsidR="00721329" w:rsidRPr="00721329">
          <w:rPr>
            <w:webHidden/>
          </w:rPr>
          <w:fldChar w:fldCharType="separate"/>
        </w:r>
        <w:r w:rsidR="00664463">
          <w:rPr>
            <w:webHidden/>
          </w:rPr>
          <w:t>25</w:t>
        </w:r>
        <w:r w:rsidR="00721329" w:rsidRPr="00721329">
          <w:rPr>
            <w:webHidden/>
          </w:rPr>
          <w:fldChar w:fldCharType="end"/>
        </w:r>
      </w:hyperlink>
    </w:p>
    <w:p w14:paraId="2B987184" w14:textId="0A802598" w:rsidR="00721329" w:rsidRPr="00721329" w:rsidRDefault="0070530A" w:rsidP="0006475E">
      <w:pPr>
        <w:pStyle w:val="TOC2"/>
        <w:rPr>
          <w:rFonts w:eastAsiaTheme="minorEastAsia" w:cstheme="minorBidi"/>
        </w:rPr>
      </w:pPr>
      <w:hyperlink w:anchor="_Toc19533052" w:history="1">
        <w:r w:rsidR="00721329" w:rsidRPr="00721329">
          <w:rPr>
            <w:rStyle w:val="Hyperlink"/>
            <w:rFonts w:cs="Arial"/>
          </w:rPr>
          <w:t>F.</w:t>
        </w:r>
        <w:r w:rsidR="00721329" w:rsidRPr="00721329">
          <w:rPr>
            <w:rFonts w:eastAsiaTheme="minorEastAsia" w:cstheme="minorBidi"/>
          </w:rPr>
          <w:tab/>
        </w:r>
        <w:r w:rsidR="00721329" w:rsidRPr="00721329">
          <w:rPr>
            <w:rStyle w:val="Hyperlink"/>
            <w:rFonts w:cs="Arial"/>
          </w:rPr>
          <w:t>Reintegro al Fondo de Asistencia Legal de Víctimas</w:t>
        </w:r>
        <w:r w:rsidR="00721329" w:rsidRPr="00721329">
          <w:rPr>
            <w:webHidden/>
          </w:rPr>
          <w:tab/>
        </w:r>
        <w:r w:rsidR="00721329" w:rsidRPr="00721329">
          <w:rPr>
            <w:webHidden/>
          </w:rPr>
          <w:fldChar w:fldCharType="begin"/>
        </w:r>
        <w:r w:rsidR="00721329" w:rsidRPr="00721329">
          <w:rPr>
            <w:webHidden/>
          </w:rPr>
          <w:instrText xml:space="preserve"> PAGEREF _Toc19533052 \h </w:instrText>
        </w:r>
        <w:r w:rsidR="00721329" w:rsidRPr="00721329">
          <w:rPr>
            <w:webHidden/>
          </w:rPr>
        </w:r>
        <w:r w:rsidR="00721329" w:rsidRPr="00721329">
          <w:rPr>
            <w:webHidden/>
          </w:rPr>
          <w:fldChar w:fldCharType="separate"/>
        </w:r>
        <w:r w:rsidR="00664463">
          <w:rPr>
            <w:webHidden/>
          </w:rPr>
          <w:t>26</w:t>
        </w:r>
        <w:r w:rsidR="00721329" w:rsidRPr="00721329">
          <w:rPr>
            <w:webHidden/>
          </w:rPr>
          <w:fldChar w:fldCharType="end"/>
        </w:r>
      </w:hyperlink>
    </w:p>
    <w:p w14:paraId="1247A1FC" w14:textId="30C9F531" w:rsidR="00721329" w:rsidRPr="00721329" w:rsidRDefault="0070530A" w:rsidP="0006475E">
      <w:pPr>
        <w:pStyle w:val="TOC2"/>
        <w:rPr>
          <w:rFonts w:eastAsiaTheme="minorEastAsia" w:cstheme="minorBidi"/>
        </w:rPr>
      </w:pPr>
      <w:hyperlink w:anchor="_Toc19533053" w:history="1">
        <w:r w:rsidR="00721329" w:rsidRPr="00721329">
          <w:rPr>
            <w:rStyle w:val="Hyperlink"/>
            <w:rFonts w:cs="Arial"/>
          </w:rPr>
          <w:t>G.</w:t>
        </w:r>
        <w:r w:rsidR="00721329" w:rsidRPr="00721329">
          <w:rPr>
            <w:rFonts w:eastAsiaTheme="minorEastAsia" w:cstheme="minorBidi"/>
          </w:rPr>
          <w:tab/>
        </w:r>
        <w:r w:rsidR="00721329" w:rsidRPr="00721329">
          <w:rPr>
            <w:rStyle w:val="Hyperlink"/>
            <w:rFonts w:cs="Arial"/>
          </w:rPr>
          <w:t>Modalidad de cumplimiento de los pagos ordenados</w:t>
        </w:r>
        <w:r w:rsidR="00721329" w:rsidRPr="00721329">
          <w:rPr>
            <w:webHidden/>
          </w:rPr>
          <w:tab/>
        </w:r>
        <w:r w:rsidR="00721329" w:rsidRPr="00721329">
          <w:rPr>
            <w:webHidden/>
          </w:rPr>
          <w:fldChar w:fldCharType="begin"/>
        </w:r>
        <w:r w:rsidR="00721329" w:rsidRPr="00721329">
          <w:rPr>
            <w:webHidden/>
          </w:rPr>
          <w:instrText xml:space="preserve"> PAGEREF _Toc19533053 \h </w:instrText>
        </w:r>
        <w:r w:rsidR="00721329" w:rsidRPr="00721329">
          <w:rPr>
            <w:webHidden/>
          </w:rPr>
        </w:r>
        <w:r w:rsidR="00721329" w:rsidRPr="00721329">
          <w:rPr>
            <w:webHidden/>
          </w:rPr>
          <w:fldChar w:fldCharType="separate"/>
        </w:r>
        <w:r w:rsidR="00664463">
          <w:rPr>
            <w:webHidden/>
          </w:rPr>
          <w:t>27</w:t>
        </w:r>
        <w:r w:rsidR="00721329" w:rsidRPr="00721329">
          <w:rPr>
            <w:webHidden/>
          </w:rPr>
          <w:fldChar w:fldCharType="end"/>
        </w:r>
      </w:hyperlink>
    </w:p>
    <w:p w14:paraId="611DE988" w14:textId="1FBB82B9" w:rsidR="00721329" w:rsidRPr="00721329" w:rsidRDefault="0070530A">
      <w:pPr>
        <w:pStyle w:val="TOC1"/>
        <w:rPr>
          <w:rFonts w:ascii="Verdana" w:eastAsiaTheme="minorEastAsia" w:hAnsi="Verdana"/>
          <w:b w:val="0"/>
          <w:bCs w:val="0"/>
          <w:caps w:val="0"/>
          <w:noProof/>
          <w:sz w:val="18"/>
          <w:szCs w:val="18"/>
          <w:lang w:val="es-CR" w:eastAsia="es-CR"/>
        </w:rPr>
      </w:pPr>
      <w:hyperlink w:anchor="_Toc19533054" w:history="1">
        <w:r w:rsidR="00721329" w:rsidRPr="00721329">
          <w:rPr>
            <w:rStyle w:val="Hyperlink"/>
            <w:rFonts w:ascii="Verdana" w:hAnsi="Verdana"/>
            <w:noProof/>
            <w:sz w:val="18"/>
            <w:szCs w:val="18"/>
          </w:rPr>
          <w:t>X</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_Toc19533054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27</w:t>
        </w:r>
        <w:r w:rsidR="00721329" w:rsidRPr="00721329">
          <w:rPr>
            <w:rFonts w:ascii="Verdana" w:hAnsi="Verdana"/>
            <w:noProof/>
            <w:webHidden/>
            <w:sz w:val="18"/>
            <w:szCs w:val="18"/>
          </w:rPr>
          <w:fldChar w:fldCharType="end"/>
        </w:r>
      </w:hyperlink>
    </w:p>
    <w:p w14:paraId="48A843EC" w14:textId="5455A81A" w:rsidR="001C05D8" w:rsidRPr="00F559E6" w:rsidRDefault="0070530A" w:rsidP="00721329">
      <w:pPr>
        <w:pStyle w:val="TOC1"/>
        <w:rPr>
          <w:rFonts w:ascii="Verdana" w:eastAsia="Calibri" w:hAnsi="Verdana" w:cs="Verdana"/>
          <w:b w:val="0"/>
          <w:caps w:val="0"/>
          <w:noProof/>
          <w:snapToGrid w:val="0"/>
          <w:lang w:val="es-ES_tradnl"/>
        </w:rPr>
      </w:pPr>
      <w:hyperlink w:anchor="_Toc19533055" w:history="1">
        <w:r w:rsidR="00721329" w:rsidRPr="00721329">
          <w:rPr>
            <w:rStyle w:val="Hyperlink"/>
            <w:rFonts w:ascii="Verdana" w:hAnsi="Verdana"/>
            <w:noProof/>
            <w:sz w:val="18"/>
            <w:szCs w:val="18"/>
          </w:rPr>
          <w:t>PUNTOS RESOLUTIVOS</w:t>
        </w:r>
        <w:r w:rsidR="00721329" w:rsidRPr="00721329">
          <w:rPr>
            <w:rFonts w:ascii="Verdana" w:hAnsi="Verdana"/>
            <w:noProof/>
            <w:webHidden/>
            <w:sz w:val="18"/>
            <w:szCs w:val="18"/>
          </w:rPr>
          <w:tab/>
        </w:r>
        <w:r w:rsidR="00721329" w:rsidRPr="00721329">
          <w:rPr>
            <w:rFonts w:ascii="Verdana" w:hAnsi="Verdana"/>
            <w:noProof/>
            <w:webHidden/>
            <w:sz w:val="18"/>
            <w:szCs w:val="18"/>
          </w:rPr>
          <w:fldChar w:fldCharType="begin"/>
        </w:r>
        <w:r w:rsidR="00721329" w:rsidRPr="00721329">
          <w:rPr>
            <w:rFonts w:ascii="Verdana" w:hAnsi="Verdana"/>
            <w:noProof/>
            <w:webHidden/>
            <w:sz w:val="18"/>
            <w:szCs w:val="18"/>
          </w:rPr>
          <w:instrText xml:space="preserve"> PAGEREF _Toc19533055 \h </w:instrText>
        </w:r>
        <w:r w:rsidR="00721329" w:rsidRPr="00721329">
          <w:rPr>
            <w:rFonts w:ascii="Verdana" w:hAnsi="Verdana"/>
            <w:noProof/>
            <w:webHidden/>
            <w:sz w:val="18"/>
            <w:szCs w:val="18"/>
          </w:rPr>
        </w:r>
        <w:r w:rsidR="00721329" w:rsidRPr="00721329">
          <w:rPr>
            <w:rFonts w:ascii="Verdana" w:hAnsi="Verdana"/>
            <w:noProof/>
            <w:webHidden/>
            <w:sz w:val="18"/>
            <w:szCs w:val="18"/>
          </w:rPr>
          <w:fldChar w:fldCharType="separate"/>
        </w:r>
        <w:r w:rsidR="00664463">
          <w:rPr>
            <w:rFonts w:ascii="Verdana" w:hAnsi="Verdana"/>
            <w:noProof/>
            <w:webHidden/>
            <w:sz w:val="18"/>
            <w:szCs w:val="18"/>
          </w:rPr>
          <w:t>27</w:t>
        </w:r>
        <w:r w:rsidR="00721329" w:rsidRPr="00721329">
          <w:rPr>
            <w:rFonts w:ascii="Verdana" w:hAnsi="Verdana"/>
            <w:noProof/>
            <w:webHidden/>
            <w:sz w:val="18"/>
            <w:szCs w:val="18"/>
          </w:rPr>
          <w:fldChar w:fldCharType="end"/>
        </w:r>
      </w:hyperlink>
      <w:r w:rsidR="002F20D8" w:rsidRPr="00721329">
        <w:rPr>
          <w:rFonts w:ascii="Verdana" w:eastAsia="Calibri" w:hAnsi="Verdana" w:cs="Verdana"/>
          <w:b w:val="0"/>
          <w:caps w:val="0"/>
          <w:noProof/>
          <w:snapToGrid w:val="0"/>
          <w:sz w:val="18"/>
          <w:szCs w:val="18"/>
          <w:lang w:val="es-ES_tradnl"/>
        </w:rPr>
        <w:fldChar w:fldCharType="end"/>
      </w:r>
      <w:r w:rsidR="001C05D8" w:rsidRPr="00F559E6">
        <w:rPr>
          <w:rFonts w:ascii="Verdana" w:eastAsia="Calibri" w:hAnsi="Verdana" w:cs="Verdana"/>
          <w:noProof/>
          <w:snapToGrid w:val="0"/>
          <w:lang w:val="es-ES_tradnl"/>
        </w:rPr>
        <w:br w:type="page"/>
      </w:r>
    </w:p>
    <w:p w14:paraId="7A428CC6" w14:textId="77777777" w:rsidR="001C05D8" w:rsidRDefault="001C05D8" w:rsidP="003C0487">
      <w:pPr>
        <w:pStyle w:val="Heading1"/>
        <w:rPr>
          <w:rFonts w:eastAsia="Times New Roman" w:cs="Verdana"/>
          <w:bCs/>
          <w:caps/>
          <w:snapToGrid w:val="0"/>
          <w:lang w:val="es-ES_tradnl"/>
        </w:rPr>
      </w:pPr>
      <w:bookmarkStart w:id="2" w:name="_Toc494123963"/>
      <w:bookmarkStart w:id="3" w:name="_Toc19533011"/>
      <w:r w:rsidRPr="00F559E6">
        <w:rPr>
          <w:rFonts w:eastAsia="Times New Roman" w:cs="Verdana"/>
          <w:bCs/>
          <w:caps/>
          <w:snapToGrid w:val="0"/>
          <w:lang w:val="es-ES_tradnl"/>
        </w:rPr>
        <w:lastRenderedPageBreak/>
        <w:t>I</w:t>
      </w:r>
      <w:r w:rsidRPr="00F559E6">
        <w:rPr>
          <w:rFonts w:eastAsia="Times New Roman" w:cs="Verdana"/>
          <w:bCs/>
          <w:caps/>
          <w:snapToGrid w:val="0"/>
          <w:lang w:val="es-ES_tradnl"/>
        </w:rPr>
        <w:br/>
      </w:r>
      <w:bookmarkEnd w:id="1"/>
      <w:r w:rsidRPr="00F559E6">
        <w:rPr>
          <w:rFonts w:eastAsia="Times New Roman" w:cs="Verdana"/>
          <w:bCs/>
          <w:caps/>
          <w:snapToGrid w:val="0"/>
          <w:lang w:val="es-ES_tradnl"/>
        </w:rPr>
        <w:t>INTRODUCCIÓN DE LA CAUSA Y OBJETO DE LA CONTROVERSIA</w:t>
      </w:r>
      <w:bookmarkEnd w:id="2"/>
      <w:bookmarkEnd w:id="3"/>
    </w:p>
    <w:p w14:paraId="161AA85B" w14:textId="77777777" w:rsidR="008A351B" w:rsidRPr="008A351B" w:rsidRDefault="008A351B" w:rsidP="00C962FE">
      <w:pPr>
        <w:spacing w:after="0" w:line="240" w:lineRule="auto"/>
        <w:rPr>
          <w:lang w:val="es-ES_tradnl"/>
        </w:rPr>
      </w:pPr>
    </w:p>
    <w:p w14:paraId="661F722D" w14:textId="2B092E44" w:rsidR="009C600B"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olor w:val="151515"/>
          <w:sz w:val="20"/>
          <w:szCs w:val="20"/>
          <w:lang w:val="es-CR" w:eastAsia="es-CR"/>
        </w:rPr>
      </w:pPr>
      <w:r w:rsidRPr="00F559E6">
        <w:rPr>
          <w:rFonts w:ascii="Verdana" w:eastAsia="Verdana" w:hAnsi="Verdana" w:cs="Verdana"/>
          <w:i/>
          <w:sz w:val="20"/>
          <w:szCs w:val="20"/>
          <w:lang w:val="es-ES" w:eastAsia="es-CR"/>
        </w:rPr>
        <w:t xml:space="preserve">El caso sometido a la Corte. – </w:t>
      </w:r>
      <w:r w:rsidRPr="00F559E6">
        <w:rPr>
          <w:rFonts w:ascii="Verdana" w:eastAsia="Verdana" w:hAnsi="Verdana" w:cs="Verdana"/>
          <w:sz w:val="20"/>
          <w:szCs w:val="20"/>
          <w:lang w:val="es-ES" w:eastAsia="es-CR"/>
        </w:rPr>
        <w:t xml:space="preserve">El </w:t>
      </w:r>
      <w:r w:rsidR="009C600B" w:rsidRPr="00F559E6">
        <w:rPr>
          <w:rFonts w:ascii="Verdana" w:eastAsia="Verdana" w:hAnsi="Verdana" w:cs="Verdana"/>
          <w:sz w:val="20"/>
          <w:szCs w:val="20"/>
          <w:lang w:val="es-ES" w:eastAsia="es-CR"/>
        </w:rPr>
        <w:t>16 de marzo de 2018</w:t>
      </w:r>
      <w:r w:rsidRPr="00F559E6">
        <w:rPr>
          <w:rFonts w:ascii="Verdana" w:eastAsia="Verdana" w:hAnsi="Verdana" w:cs="Verdana"/>
          <w:sz w:val="20"/>
          <w:szCs w:val="20"/>
          <w:lang w:val="es-ES" w:eastAsia="es-CR"/>
        </w:rPr>
        <w:t xml:space="preserve"> la Comisión Interamericana de Derechos Humanos (en adelante “la Comisión Interamericana” o “la Comisión”) sometió a la jurisdicción de la Corte el caso </w:t>
      </w:r>
      <w:r w:rsidR="009C600B" w:rsidRPr="00F559E6">
        <w:rPr>
          <w:rFonts w:ascii="Verdana" w:eastAsia="Verdana" w:hAnsi="Verdana" w:cs="Verdana"/>
          <w:i/>
          <w:sz w:val="20"/>
          <w:szCs w:val="20"/>
          <w:lang w:val="es-ES" w:eastAsia="es-CR"/>
        </w:rPr>
        <w:t>Gorigoitía</w:t>
      </w:r>
      <w:r w:rsidRPr="00F559E6">
        <w:rPr>
          <w:rFonts w:ascii="Verdana" w:eastAsia="Verdana" w:hAnsi="Verdana" w:cs="Verdana"/>
          <w:sz w:val="20"/>
          <w:szCs w:val="20"/>
          <w:lang w:val="es-ES" w:eastAsia="es-CR"/>
        </w:rPr>
        <w:t xml:space="preserve"> contra la República de Argentina (en adelante “el Estado de Argentina”, “el Estado” o “Argentina”). De acuerdo con lo indicado por la Comisión, el caso </w:t>
      </w:r>
      <w:r w:rsidR="00130BEF" w:rsidRPr="00F559E6">
        <w:rPr>
          <w:rFonts w:ascii="Verdana" w:eastAsia="Verdana" w:hAnsi="Verdana" w:cs="Verdana"/>
          <w:sz w:val="20"/>
          <w:szCs w:val="20"/>
          <w:lang w:val="es-ES" w:eastAsia="es-CR"/>
        </w:rPr>
        <w:t xml:space="preserve">se </w:t>
      </w:r>
      <w:r w:rsidRPr="00F559E6">
        <w:rPr>
          <w:rFonts w:ascii="Verdana" w:hAnsi="Verdana"/>
          <w:sz w:val="20"/>
          <w:szCs w:val="20"/>
          <w:lang w:val="es-CR" w:eastAsia="es-CR"/>
        </w:rPr>
        <w:t xml:space="preserve">relaciona </w:t>
      </w:r>
      <w:r w:rsidRPr="00F559E6">
        <w:rPr>
          <w:rFonts w:ascii="Verdana" w:hAnsi="Verdana" w:cs="Arial"/>
          <w:color w:val="1A1A1A"/>
          <w:sz w:val="20"/>
          <w:szCs w:val="20"/>
          <w:lang w:val="es-CR" w:eastAsia="es-CR"/>
        </w:rPr>
        <w:t xml:space="preserve">con </w:t>
      </w:r>
      <w:r w:rsidR="009C600B" w:rsidRPr="00F559E6">
        <w:rPr>
          <w:rFonts w:ascii="Verdana" w:hAnsi="Verdana" w:cs="Arial"/>
          <w:color w:val="1A1A1A"/>
          <w:sz w:val="20"/>
          <w:szCs w:val="20"/>
          <w:lang w:val="es-CR" w:eastAsia="es-CR"/>
        </w:rPr>
        <w:t>la inexistencia de un recurso ordinario</w:t>
      </w:r>
      <w:r w:rsidR="00E448E6" w:rsidRPr="00F559E6">
        <w:rPr>
          <w:rFonts w:ascii="Verdana" w:hAnsi="Verdana" w:cs="Arial"/>
          <w:color w:val="1A1A1A"/>
          <w:sz w:val="20"/>
          <w:szCs w:val="20"/>
          <w:lang w:val="es-CR" w:eastAsia="es-CR"/>
        </w:rPr>
        <w:t xml:space="preserve"> que permita la revisión integral de la sentencia condenatoria impuesta a Oscar Raúl Gorigoitía por el delito de homicidio simple en el marco de un proceso penal en la Provincia de Mendoza, Argentina, en 1997. </w:t>
      </w:r>
      <w:r w:rsidR="001200AE" w:rsidRPr="00F559E6">
        <w:rPr>
          <w:rFonts w:ascii="Verdana" w:hAnsi="Verdana" w:cs="Arial"/>
          <w:color w:val="1A1A1A"/>
          <w:sz w:val="20"/>
          <w:szCs w:val="20"/>
          <w:lang w:val="es-CR" w:eastAsia="es-CR"/>
        </w:rPr>
        <w:t xml:space="preserve">La Comisión consideró que el señor Gorigoitía no contó con un recurso </w:t>
      </w:r>
      <w:r w:rsidR="00067313">
        <w:rPr>
          <w:rFonts w:ascii="Verdana" w:hAnsi="Verdana" w:cs="Arial"/>
          <w:color w:val="1A1A1A"/>
          <w:sz w:val="20"/>
          <w:szCs w:val="20"/>
          <w:lang w:val="es-CR" w:eastAsia="es-CR"/>
        </w:rPr>
        <w:t xml:space="preserve">ante autoridad superior </w:t>
      </w:r>
      <w:r w:rsidR="001200AE" w:rsidRPr="00F559E6">
        <w:rPr>
          <w:rFonts w:ascii="Verdana" w:hAnsi="Verdana" w:cs="Arial"/>
          <w:color w:val="1A1A1A"/>
          <w:sz w:val="20"/>
          <w:szCs w:val="20"/>
          <w:lang w:val="es-CR" w:eastAsia="es-CR"/>
        </w:rPr>
        <w:t xml:space="preserve">que efectuara una revisión integral de dicha sentencia, incluyendo las cuestiones de hecho y de valoración probatoria alegadas por la defensa mediante el recurso de casación. En ese sentido, la Comisión consideró que el Estado violó en su perjuicio el derecho a recurrir el fallo establecido en el artículo 8.2.h) de la Convención, en relación con las obligaciones establecidas en los artículos 1.1 y 2 del mismo instrumento. Asimismo, </w:t>
      </w:r>
      <w:r w:rsidR="00D247CE" w:rsidRPr="00F559E6">
        <w:rPr>
          <w:rFonts w:ascii="Verdana" w:hAnsi="Verdana" w:cs="Arial"/>
          <w:color w:val="1A1A1A"/>
          <w:sz w:val="20"/>
          <w:szCs w:val="20"/>
          <w:lang w:val="es-CR" w:eastAsia="es-CR"/>
        </w:rPr>
        <w:t>la Comisión concluyó que como consecuencia del carácter limitado del recurso de casación y, aún más limitado</w:t>
      </w:r>
      <w:r w:rsidR="00F755DE">
        <w:rPr>
          <w:rFonts w:ascii="Verdana" w:hAnsi="Verdana" w:cs="Arial"/>
          <w:color w:val="1A1A1A"/>
          <w:sz w:val="20"/>
          <w:szCs w:val="20"/>
          <w:lang w:val="es-CR" w:eastAsia="es-CR"/>
        </w:rPr>
        <w:t xml:space="preserve"> </w:t>
      </w:r>
      <w:r w:rsidR="00255266">
        <w:rPr>
          <w:rFonts w:ascii="Verdana" w:hAnsi="Verdana" w:cs="Arial"/>
          <w:color w:val="1A1A1A"/>
          <w:sz w:val="20"/>
          <w:szCs w:val="20"/>
          <w:lang w:val="es-CR" w:eastAsia="es-CR"/>
        </w:rPr>
        <w:t>d</w:t>
      </w:r>
      <w:r w:rsidR="00D247CE" w:rsidRPr="00F559E6">
        <w:rPr>
          <w:rFonts w:ascii="Verdana" w:hAnsi="Verdana" w:cs="Arial"/>
          <w:color w:val="1A1A1A"/>
          <w:sz w:val="20"/>
          <w:szCs w:val="20"/>
          <w:lang w:val="es-CR" w:eastAsia="es-CR"/>
        </w:rPr>
        <w:t>el recurso extraordinario, el señor Gorigoitía no contó con recursos judiciales sencillos y efectivos en el marco del proceso penal que culminó en su condena, en violación también del derecho establecido en el artículo 25.1 de la Convención, en relación con las obligaciones de los artículos 1.1 y 2 del mismo in</w:t>
      </w:r>
      <w:r w:rsidR="008A351B">
        <w:rPr>
          <w:rFonts w:ascii="Verdana" w:hAnsi="Verdana" w:cs="Arial"/>
          <w:color w:val="1A1A1A"/>
          <w:sz w:val="20"/>
          <w:szCs w:val="20"/>
          <w:lang w:val="es-CR" w:eastAsia="es-CR"/>
        </w:rPr>
        <w:t>strumento</w:t>
      </w:r>
      <w:r w:rsidR="00BF5893">
        <w:rPr>
          <w:rFonts w:ascii="Verdana" w:hAnsi="Verdana" w:cs="Arial"/>
          <w:color w:val="1A1A1A"/>
          <w:sz w:val="20"/>
          <w:szCs w:val="20"/>
          <w:lang w:val="es-CR" w:eastAsia="es-CR"/>
        </w:rPr>
        <w:t>.</w:t>
      </w:r>
    </w:p>
    <w:p w14:paraId="10ACB23D"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olor w:val="151515"/>
          <w:sz w:val="20"/>
          <w:szCs w:val="20"/>
          <w:lang w:val="es-CR" w:eastAsia="es-CR"/>
        </w:rPr>
      </w:pPr>
    </w:p>
    <w:p w14:paraId="5F6C1810" w14:textId="77777777"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Calibri" w:hAnsi="Verdana" w:cs="Arial"/>
          <w:sz w:val="20"/>
          <w:szCs w:val="20"/>
          <w:lang w:val="es-ES" w:eastAsia="es-CR"/>
        </w:rPr>
      </w:pPr>
      <w:r w:rsidRPr="00F559E6">
        <w:rPr>
          <w:rFonts w:ascii="Verdana" w:eastAsia="Verdana" w:hAnsi="Verdana" w:cs="Verdana"/>
          <w:i/>
          <w:sz w:val="20"/>
          <w:szCs w:val="20"/>
          <w:lang w:val="es-ES" w:eastAsia="es-CR"/>
        </w:rPr>
        <w:t xml:space="preserve">Trámite ante la Comisión. – </w:t>
      </w:r>
      <w:r w:rsidRPr="00F559E6">
        <w:rPr>
          <w:rFonts w:ascii="Verdana" w:eastAsia="Verdana" w:hAnsi="Verdana" w:cs="Verdana"/>
          <w:sz w:val="20"/>
          <w:szCs w:val="20"/>
          <w:lang w:val="es-ES" w:eastAsia="es-CR"/>
        </w:rPr>
        <w:t>El trámite ante la Comisión fue el siguiente:</w:t>
      </w:r>
    </w:p>
    <w:p w14:paraId="379E38EE"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Calibri" w:hAnsi="Verdana" w:cs="Arial"/>
          <w:sz w:val="20"/>
          <w:szCs w:val="20"/>
          <w:lang w:val="es-ES" w:eastAsia="es-CR"/>
        </w:rPr>
      </w:pPr>
    </w:p>
    <w:p w14:paraId="50E41758" w14:textId="77777777" w:rsidR="00C06400" w:rsidRDefault="001C05D8" w:rsidP="002767A8">
      <w:pPr>
        <w:widowControl w:val="0"/>
        <w:numPr>
          <w:ilvl w:val="0"/>
          <w:numId w:val="12"/>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Petición. – </w:t>
      </w:r>
      <w:r w:rsidR="00C06400" w:rsidRPr="00F559E6">
        <w:rPr>
          <w:rFonts w:ascii="Verdana" w:eastAsia="Verdana" w:hAnsi="Verdana" w:cs="Verdana"/>
          <w:sz w:val="20"/>
          <w:szCs w:val="20"/>
          <w:lang w:val="es-ES" w:eastAsia="es-CR"/>
        </w:rPr>
        <w:t>Mediante comunicación de 19 de enero de 1999, los representantes (en adelante “los peticionarios”) presentaron la petición inicial ante la Comisión.</w:t>
      </w:r>
    </w:p>
    <w:p w14:paraId="2334FF2A" w14:textId="77777777" w:rsidR="008A351B" w:rsidRPr="00F559E6" w:rsidRDefault="008A351B" w:rsidP="00C962FE">
      <w:pPr>
        <w:widowControl w:val="0"/>
        <w:adjustRightInd w:val="0"/>
        <w:spacing w:after="0" w:line="240" w:lineRule="auto"/>
        <w:ind w:left="816" w:right="142"/>
        <w:jc w:val="both"/>
        <w:textAlignment w:val="baseline"/>
        <w:rPr>
          <w:rFonts w:ascii="Verdana" w:eastAsia="Verdana" w:hAnsi="Verdana" w:cs="Verdana"/>
          <w:sz w:val="20"/>
          <w:szCs w:val="20"/>
          <w:lang w:val="es-ES" w:eastAsia="es-CR"/>
        </w:rPr>
      </w:pPr>
    </w:p>
    <w:p w14:paraId="59607CA2" w14:textId="77777777" w:rsidR="001C05D8" w:rsidRPr="008A351B" w:rsidRDefault="001C05D8" w:rsidP="002767A8">
      <w:pPr>
        <w:widowControl w:val="0"/>
        <w:numPr>
          <w:ilvl w:val="0"/>
          <w:numId w:val="12"/>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Informe de Admisibilidad. – </w:t>
      </w:r>
      <w:r w:rsidRPr="00F559E6">
        <w:rPr>
          <w:rFonts w:ascii="Verdana" w:eastAsia="Verdana" w:hAnsi="Verdana" w:cs="Verdana"/>
          <w:sz w:val="20"/>
          <w:szCs w:val="20"/>
          <w:lang w:val="es-ES" w:eastAsia="es-CR"/>
        </w:rPr>
        <w:t xml:space="preserve">El </w:t>
      </w:r>
      <w:r w:rsidR="00AA5948" w:rsidRPr="00F559E6">
        <w:rPr>
          <w:rFonts w:ascii="Verdana" w:eastAsia="Verdana" w:hAnsi="Verdana" w:cs="Verdana"/>
          <w:sz w:val="20"/>
          <w:szCs w:val="20"/>
          <w:lang w:val="es-ES" w:eastAsia="es-CR"/>
        </w:rPr>
        <w:t>11 de julio de 2013</w:t>
      </w:r>
      <w:r w:rsidR="00C27C71" w:rsidRPr="00F559E6">
        <w:rPr>
          <w:rFonts w:ascii="Verdana" w:eastAsia="Verdana" w:hAnsi="Verdana" w:cs="Verdana"/>
          <w:sz w:val="20"/>
          <w:szCs w:val="20"/>
          <w:lang w:val="es-ES" w:eastAsia="es-CR"/>
        </w:rPr>
        <w:t>,</w:t>
      </w:r>
      <w:r w:rsidRPr="00F559E6">
        <w:rPr>
          <w:rFonts w:ascii="Verdana" w:eastAsia="Verdana" w:hAnsi="Verdana" w:cs="Verdana"/>
          <w:sz w:val="20"/>
          <w:szCs w:val="20"/>
          <w:lang w:val="es-ES" w:eastAsia="es-CR"/>
        </w:rPr>
        <w:t xml:space="preserve"> la Comisión aprobó el Informe de </w:t>
      </w:r>
      <w:r w:rsidR="00AA5948" w:rsidRPr="00F559E6">
        <w:rPr>
          <w:rFonts w:ascii="Verdana" w:eastAsia="Verdana" w:hAnsi="Verdana" w:cs="Verdana"/>
          <w:position w:val="-1"/>
          <w:sz w:val="20"/>
          <w:szCs w:val="20"/>
          <w:lang w:val="es-ES" w:eastAsia="es-CR"/>
        </w:rPr>
        <w:t>Admisibilidad No. 35/13</w:t>
      </w:r>
      <w:r w:rsidRPr="00F559E6">
        <w:rPr>
          <w:rStyle w:val="FootnoteReference"/>
          <w:rFonts w:ascii="Verdana" w:eastAsia="Verdana" w:hAnsi="Verdana" w:cs="Verdana"/>
          <w:position w:val="-1"/>
          <w:sz w:val="20"/>
          <w:szCs w:val="20"/>
          <w:lang w:val="es-ES" w:eastAsia="es-CR"/>
        </w:rPr>
        <w:footnoteReference w:id="3"/>
      </w:r>
      <w:r w:rsidR="00AA5948" w:rsidRPr="00F559E6">
        <w:rPr>
          <w:rFonts w:ascii="Verdana" w:eastAsia="Verdana" w:hAnsi="Verdana" w:cs="Verdana"/>
          <w:position w:val="-1"/>
          <w:sz w:val="20"/>
          <w:szCs w:val="20"/>
          <w:lang w:val="es-ES" w:eastAsia="es-CR"/>
        </w:rPr>
        <w:t>.</w:t>
      </w:r>
    </w:p>
    <w:p w14:paraId="1E9CB7BA" w14:textId="77777777" w:rsidR="008A351B" w:rsidRPr="00F559E6"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659A41BE" w14:textId="29A13C07" w:rsidR="001C05D8" w:rsidRPr="008A351B" w:rsidRDefault="001C05D8" w:rsidP="002767A8">
      <w:pPr>
        <w:widowControl w:val="0"/>
        <w:numPr>
          <w:ilvl w:val="0"/>
          <w:numId w:val="12"/>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Informe de Fondo. – </w:t>
      </w:r>
      <w:r w:rsidRPr="00F559E6">
        <w:rPr>
          <w:rFonts w:ascii="Verdana" w:eastAsia="Verdana" w:hAnsi="Verdana" w:cs="Verdana"/>
          <w:sz w:val="20"/>
          <w:szCs w:val="20"/>
          <w:lang w:val="es-ES" w:eastAsia="es-CR"/>
        </w:rPr>
        <w:t xml:space="preserve">El </w:t>
      </w:r>
      <w:r w:rsidR="005D5ED8" w:rsidRPr="00F559E6">
        <w:rPr>
          <w:rFonts w:ascii="Verdana" w:eastAsia="Verdana" w:hAnsi="Verdana" w:cs="Verdana"/>
          <w:sz w:val="20"/>
          <w:szCs w:val="20"/>
          <w:lang w:val="es-ES" w:eastAsia="es-CR"/>
        </w:rPr>
        <w:t>5 de septiembre de 2017</w:t>
      </w:r>
      <w:r w:rsidRPr="00F559E6">
        <w:rPr>
          <w:rFonts w:ascii="Verdana" w:eastAsia="Verdana" w:hAnsi="Verdana" w:cs="Verdana"/>
          <w:sz w:val="20"/>
          <w:szCs w:val="20"/>
          <w:lang w:val="es-ES" w:eastAsia="es-CR"/>
        </w:rPr>
        <w:t xml:space="preserve"> la Comisión </w:t>
      </w:r>
      <w:r w:rsidR="005D5ED8" w:rsidRPr="00F559E6">
        <w:rPr>
          <w:rFonts w:ascii="Verdana" w:eastAsia="Verdana" w:hAnsi="Verdana" w:cs="Verdana"/>
          <w:sz w:val="20"/>
          <w:szCs w:val="20"/>
          <w:lang w:val="es-ES" w:eastAsia="es-CR"/>
        </w:rPr>
        <w:t>aprobó el Informe de Fondo No. 98</w:t>
      </w:r>
      <w:r w:rsidRPr="00F559E6">
        <w:rPr>
          <w:rFonts w:ascii="Verdana" w:eastAsia="Verdana" w:hAnsi="Verdana" w:cs="Verdana"/>
          <w:sz w:val="20"/>
          <w:szCs w:val="20"/>
          <w:lang w:val="es-ES" w:eastAsia="es-CR"/>
        </w:rPr>
        <w:t xml:space="preserve">/17, de conformidad con el artículo 50 de la Convención (en adelante también “el Informe de Fondo” o “el Informe No. </w:t>
      </w:r>
      <w:r w:rsidR="005D5ED8" w:rsidRPr="00F559E6">
        <w:rPr>
          <w:rFonts w:ascii="Verdana" w:eastAsia="Verdana" w:hAnsi="Verdana" w:cs="Verdana"/>
          <w:sz w:val="20"/>
          <w:szCs w:val="20"/>
          <w:lang w:val="es-ES" w:eastAsia="es-CR"/>
        </w:rPr>
        <w:t>98</w:t>
      </w:r>
      <w:r w:rsidRPr="00F559E6">
        <w:rPr>
          <w:rFonts w:ascii="Verdana" w:eastAsia="Verdana" w:hAnsi="Verdana" w:cs="Verdana"/>
          <w:sz w:val="20"/>
          <w:szCs w:val="20"/>
          <w:lang w:val="es-ES" w:eastAsia="es-CR"/>
        </w:rPr>
        <w:t>/1</w:t>
      </w:r>
      <w:r w:rsidR="00E05FB3" w:rsidRPr="00F559E6">
        <w:rPr>
          <w:rFonts w:ascii="Verdana" w:eastAsia="Verdana" w:hAnsi="Verdana" w:cs="Verdana"/>
          <w:sz w:val="20"/>
          <w:szCs w:val="20"/>
          <w:lang w:val="es-ES" w:eastAsia="es-CR"/>
        </w:rPr>
        <w:t>7</w:t>
      </w:r>
      <w:r w:rsidRPr="00F559E6">
        <w:rPr>
          <w:rFonts w:ascii="Verdana" w:eastAsia="Verdana" w:hAnsi="Verdana" w:cs="Verdana"/>
          <w:sz w:val="20"/>
          <w:szCs w:val="20"/>
          <w:lang w:val="es-ES" w:eastAsia="es-CR"/>
        </w:rPr>
        <w:t>”), en el cual llegó a una serie de conclusiones y formuló varias recomendaciones al Estado</w:t>
      </w:r>
      <w:r w:rsidRPr="00F559E6">
        <w:rPr>
          <w:rStyle w:val="FootnoteReference"/>
          <w:rFonts w:ascii="Verdana" w:eastAsia="Verdana" w:hAnsi="Verdana" w:cs="Verdana"/>
          <w:sz w:val="20"/>
          <w:szCs w:val="20"/>
          <w:lang w:val="es-ES" w:eastAsia="es-CR"/>
        </w:rPr>
        <w:footnoteReference w:id="4"/>
      </w:r>
      <w:r w:rsidR="00BF5893">
        <w:rPr>
          <w:rFonts w:ascii="Verdana" w:eastAsia="Verdana" w:hAnsi="Verdana" w:cs="Verdana"/>
          <w:sz w:val="20"/>
          <w:szCs w:val="20"/>
          <w:lang w:val="es-ES" w:eastAsia="es-CR"/>
        </w:rPr>
        <w:t>.</w:t>
      </w:r>
    </w:p>
    <w:p w14:paraId="6FFABE4A" w14:textId="77777777" w:rsidR="008A351B" w:rsidRPr="00F559E6"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69D90FA1" w14:textId="3060AA61" w:rsidR="001C05D8" w:rsidRPr="008A351B" w:rsidRDefault="001C05D8" w:rsidP="002767A8">
      <w:pPr>
        <w:widowControl w:val="0"/>
        <w:numPr>
          <w:ilvl w:val="0"/>
          <w:numId w:val="12"/>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Notificación al Estado. – </w:t>
      </w:r>
      <w:r w:rsidRPr="00F559E6">
        <w:rPr>
          <w:rFonts w:ascii="Verdana" w:eastAsia="Verdana" w:hAnsi="Verdana" w:cs="Verdana"/>
          <w:sz w:val="20"/>
          <w:szCs w:val="20"/>
          <w:lang w:val="es-ES" w:eastAsia="es-CR"/>
        </w:rPr>
        <w:t xml:space="preserve">El </w:t>
      </w:r>
      <w:r w:rsidR="00EE634C" w:rsidRPr="00F559E6">
        <w:rPr>
          <w:rFonts w:ascii="Verdana" w:eastAsia="Verdana" w:hAnsi="Verdana" w:cs="Verdana"/>
          <w:sz w:val="20"/>
          <w:szCs w:val="20"/>
          <w:lang w:val="es-ES" w:eastAsia="es-CR"/>
        </w:rPr>
        <w:t>18 de octubre</w:t>
      </w:r>
      <w:r w:rsidRPr="00F559E6">
        <w:rPr>
          <w:rFonts w:ascii="Verdana" w:eastAsia="Verdana" w:hAnsi="Verdana" w:cs="Verdana"/>
          <w:sz w:val="20"/>
          <w:szCs w:val="20"/>
          <w:lang w:val="es-ES" w:eastAsia="es-CR"/>
        </w:rPr>
        <w:t xml:space="preserve"> de 2017 fue notifi</w:t>
      </w:r>
      <w:r w:rsidR="00EE634C" w:rsidRPr="00F559E6">
        <w:rPr>
          <w:rFonts w:ascii="Verdana" w:eastAsia="Verdana" w:hAnsi="Verdana" w:cs="Verdana"/>
          <w:sz w:val="20"/>
          <w:szCs w:val="20"/>
          <w:lang w:val="es-ES" w:eastAsia="es-CR"/>
        </w:rPr>
        <w:t>cado al Estado el Informe No. 98</w:t>
      </w:r>
      <w:r w:rsidRPr="00F559E6">
        <w:rPr>
          <w:rFonts w:ascii="Verdana" w:eastAsia="Verdana" w:hAnsi="Verdana" w:cs="Verdana"/>
          <w:sz w:val="20"/>
          <w:szCs w:val="20"/>
          <w:lang w:val="es-ES" w:eastAsia="es-CR"/>
        </w:rPr>
        <w:t>/17, otorgándole un plazo de dos meses para informar sobre el cumpl</w:t>
      </w:r>
      <w:r w:rsidR="00BF5893">
        <w:rPr>
          <w:rFonts w:ascii="Verdana" w:eastAsia="Verdana" w:hAnsi="Verdana" w:cs="Verdana"/>
          <w:sz w:val="20"/>
          <w:szCs w:val="20"/>
          <w:lang w:val="es-ES" w:eastAsia="es-CR"/>
        </w:rPr>
        <w:t>imiento de las recomendaciones.</w:t>
      </w:r>
    </w:p>
    <w:p w14:paraId="7FCD368E" w14:textId="77777777" w:rsidR="008A351B" w:rsidRPr="00F559E6"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47398C1F" w14:textId="644EEB65" w:rsidR="001C05D8" w:rsidRPr="008A351B" w:rsidRDefault="001C05D8" w:rsidP="002767A8">
      <w:pPr>
        <w:widowControl w:val="0"/>
        <w:numPr>
          <w:ilvl w:val="0"/>
          <w:numId w:val="12"/>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Informes sobre las recomendaciones de la Comisión. – </w:t>
      </w:r>
      <w:r w:rsidRPr="00F559E6">
        <w:rPr>
          <w:rFonts w:ascii="Verdana" w:eastAsia="Verdana" w:hAnsi="Verdana" w:cs="Verdana"/>
          <w:sz w:val="20"/>
          <w:szCs w:val="20"/>
          <w:lang w:val="es-ES" w:eastAsia="es-CR"/>
        </w:rPr>
        <w:t>El Estado no dio respuesta alguna al I</w:t>
      </w:r>
      <w:r w:rsidR="00BF5893">
        <w:rPr>
          <w:rFonts w:ascii="Verdana" w:eastAsia="Verdana" w:hAnsi="Verdana" w:cs="Verdana"/>
          <w:sz w:val="20"/>
          <w:szCs w:val="20"/>
          <w:lang w:val="es-ES" w:eastAsia="es-CR"/>
        </w:rPr>
        <w:t>nforme de Fondo de la Comisión.</w:t>
      </w:r>
    </w:p>
    <w:p w14:paraId="6E238413" w14:textId="77777777" w:rsidR="008A351B" w:rsidRPr="00F559E6" w:rsidRDefault="008A351B" w:rsidP="00C962FE">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14E5FC6F" w14:textId="37C40362" w:rsidR="008A351B" w:rsidRDefault="001C05D8" w:rsidP="002767A8">
      <w:pPr>
        <w:widowControl w:val="0"/>
        <w:numPr>
          <w:ilvl w:val="0"/>
          <w:numId w:val="12"/>
        </w:numPr>
        <w:adjustRightInd w:val="0"/>
        <w:spacing w:after="0" w:line="240" w:lineRule="auto"/>
        <w:ind w:left="816" w:right="142" w:hanging="357"/>
        <w:jc w:val="both"/>
        <w:textAlignment w:val="baseline"/>
        <w:rPr>
          <w:rFonts w:ascii="Verdana" w:eastAsia="Times New Roman" w:hAnsi="Verdana" w:cs="Arial"/>
          <w:sz w:val="20"/>
          <w:szCs w:val="20"/>
          <w:lang w:val="es-ES" w:eastAsia="es-CR"/>
        </w:rPr>
      </w:pPr>
      <w:r w:rsidRPr="00F559E6">
        <w:rPr>
          <w:rFonts w:ascii="Verdana" w:eastAsia="Verdana" w:hAnsi="Verdana" w:cs="Verdana"/>
          <w:i/>
          <w:sz w:val="20"/>
          <w:szCs w:val="20"/>
          <w:lang w:val="es-ES" w:eastAsia="es-CR"/>
        </w:rPr>
        <w:t>Sometimiento a la Corte. –</w:t>
      </w:r>
      <w:r w:rsidRPr="00F559E6">
        <w:rPr>
          <w:rFonts w:ascii="Verdana" w:eastAsia="Verdana" w:hAnsi="Verdana" w:cs="Verdana"/>
          <w:sz w:val="20"/>
          <w:szCs w:val="20"/>
          <w:lang w:val="es-ES" w:eastAsia="es-CR"/>
        </w:rPr>
        <w:t xml:space="preserve"> El </w:t>
      </w:r>
      <w:r w:rsidR="00EE634C" w:rsidRPr="00F559E6">
        <w:rPr>
          <w:rFonts w:ascii="Verdana" w:eastAsia="Verdana" w:hAnsi="Verdana" w:cs="Verdana"/>
          <w:sz w:val="20"/>
          <w:szCs w:val="20"/>
          <w:lang w:val="es-ES" w:eastAsia="es-CR"/>
        </w:rPr>
        <w:t>16 de marzo de 2018</w:t>
      </w:r>
      <w:r w:rsidR="00C70633" w:rsidRPr="00F559E6">
        <w:rPr>
          <w:rFonts w:ascii="Verdana" w:eastAsia="Verdana" w:hAnsi="Verdana" w:cs="Verdana"/>
          <w:sz w:val="20"/>
          <w:szCs w:val="20"/>
          <w:lang w:val="es-ES" w:eastAsia="es-CR"/>
        </w:rPr>
        <w:t>,</w:t>
      </w:r>
      <w:r w:rsidRPr="00F559E6">
        <w:rPr>
          <w:rFonts w:ascii="Verdana" w:eastAsia="Verdana" w:hAnsi="Verdana" w:cs="Verdana"/>
          <w:sz w:val="20"/>
          <w:szCs w:val="20"/>
          <w:lang w:val="es-ES" w:eastAsia="es-CR"/>
        </w:rPr>
        <w:t xml:space="preserve"> la Comisión sometió a la jurisdicción de la Corte Interamericana la totalidad de los hechos y violaciones de </w:t>
      </w:r>
      <w:r w:rsidRPr="00F559E6">
        <w:rPr>
          <w:rFonts w:ascii="Verdana" w:eastAsia="Verdana" w:hAnsi="Verdana" w:cs="Verdana"/>
          <w:sz w:val="20"/>
          <w:szCs w:val="20"/>
          <w:lang w:val="es-ES" w:eastAsia="es-CR"/>
        </w:rPr>
        <w:lastRenderedPageBreak/>
        <w:t>derechos humanos descritos en el Informe de Fondo</w:t>
      </w:r>
      <w:r w:rsidRPr="00F559E6">
        <w:rPr>
          <w:rFonts w:ascii="Verdana" w:eastAsia="Verdana" w:hAnsi="Verdana" w:cs="Verdana"/>
          <w:sz w:val="20"/>
          <w:szCs w:val="20"/>
          <w:vertAlign w:val="superscript"/>
          <w:lang w:val="es-ES" w:eastAsia="es-CR"/>
        </w:rPr>
        <w:footnoteReference w:id="5"/>
      </w:r>
      <w:r w:rsidR="00BF5893">
        <w:rPr>
          <w:rFonts w:ascii="Verdana" w:eastAsia="Verdana" w:hAnsi="Verdana" w:cs="Verdana"/>
          <w:sz w:val="20"/>
          <w:szCs w:val="20"/>
          <w:lang w:val="es-ES" w:eastAsia="es-CR"/>
        </w:rPr>
        <w:t>.</w:t>
      </w:r>
    </w:p>
    <w:p w14:paraId="3839BBAD" w14:textId="77777777" w:rsidR="008A351B" w:rsidRPr="008A351B" w:rsidRDefault="008A351B" w:rsidP="00C962FE">
      <w:pPr>
        <w:widowControl w:val="0"/>
        <w:adjustRightInd w:val="0"/>
        <w:spacing w:after="0" w:line="240" w:lineRule="auto"/>
        <w:ind w:right="142"/>
        <w:jc w:val="both"/>
        <w:textAlignment w:val="baseline"/>
        <w:rPr>
          <w:rFonts w:ascii="Verdana" w:eastAsia="Times New Roman" w:hAnsi="Verdana" w:cs="Arial"/>
          <w:sz w:val="20"/>
          <w:szCs w:val="20"/>
          <w:lang w:val="es-ES" w:eastAsia="es-CR"/>
        </w:rPr>
      </w:pPr>
    </w:p>
    <w:p w14:paraId="685A68E3" w14:textId="77777777" w:rsidR="001C05D8"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Solicitudes de la Comisión Interamericana. –</w:t>
      </w:r>
      <w:r w:rsidR="00604B8A" w:rsidRPr="00F559E6">
        <w:rPr>
          <w:rFonts w:ascii="Verdana" w:eastAsia="Verdana" w:hAnsi="Verdana" w:cs="Verdana"/>
          <w:i/>
          <w:sz w:val="20"/>
          <w:szCs w:val="20"/>
          <w:lang w:val="es-ES" w:eastAsia="es-CR"/>
        </w:rPr>
        <w:t xml:space="preserve"> </w:t>
      </w:r>
      <w:r w:rsidR="00604B8A" w:rsidRPr="00F559E6">
        <w:rPr>
          <w:rFonts w:ascii="Verdana" w:eastAsia="Verdana" w:hAnsi="Verdana" w:cs="Verdana"/>
          <w:sz w:val="20"/>
          <w:szCs w:val="20"/>
          <w:lang w:val="es-ES" w:eastAsia="es-CR"/>
        </w:rPr>
        <w:t>L</w:t>
      </w:r>
      <w:r w:rsidRPr="00F559E6">
        <w:rPr>
          <w:rFonts w:ascii="Verdana" w:eastAsia="Verdana" w:hAnsi="Verdana" w:cs="Verdana"/>
          <w:sz w:val="20"/>
          <w:szCs w:val="20"/>
          <w:lang w:val="es-ES" w:eastAsia="es-CR"/>
        </w:rPr>
        <w:t xml:space="preserve">a Comisión solicitó a </w:t>
      </w:r>
      <w:r w:rsidR="00604B8A" w:rsidRPr="00F559E6">
        <w:rPr>
          <w:rFonts w:ascii="Verdana" w:eastAsia="Verdana" w:hAnsi="Verdana" w:cs="Verdana"/>
          <w:sz w:val="20"/>
          <w:szCs w:val="20"/>
          <w:lang w:val="es-ES" w:eastAsia="es-CR"/>
        </w:rPr>
        <w:t>este Tribunal</w:t>
      </w:r>
      <w:r w:rsidRPr="00F559E6">
        <w:rPr>
          <w:rFonts w:ascii="Verdana" w:eastAsia="Verdana" w:hAnsi="Verdana" w:cs="Verdana"/>
          <w:sz w:val="20"/>
          <w:szCs w:val="20"/>
          <w:lang w:val="es-ES" w:eastAsia="es-CR"/>
        </w:rPr>
        <w:t xml:space="preserve"> que </w:t>
      </w:r>
      <w:r w:rsidR="00604B8A" w:rsidRPr="00F559E6">
        <w:rPr>
          <w:rFonts w:ascii="Verdana" w:eastAsia="Verdana" w:hAnsi="Verdana" w:cs="Verdana"/>
          <w:sz w:val="20"/>
          <w:szCs w:val="20"/>
          <w:lang w:val="es-ES" w:eastAsia="es-CR"/>
        </w:rPr>
        <w:t xml:space="preserve">concluya y </w:t>
      </w:r>
      <w:r w:rsidRPr="00F559E6">
        <w:rPr>
          <w:rFonts w:ascii="Verdana" w:eastAsia="Verdana" w:hAnsi="Verdana" w:cs="Verdana"/>
          <w:sz w:val="20"/>
          <w:szCs w:val="20"/>
          <w:lang w:val="es-ES" w:eastAsia="es-CR"/>
        </w:rPr>
        <w:t>declar</w:t>
      </w:r>
      <w:r w:rsidR="00604B8A" w:rsidRPr="00F559E6">
        <w:rPr>
          <w:rFonts w:ascii="Verdana" w:eastAsia="Verdana" w:hAnsi="Verdana" w:cs="Verdana"/>
          <w:sz w:val="20"/>
          <w:szCs w:val="20"/>
          <w:lang w:val="es-ES" w:eastAsia="es-CR"/>
        </w:rPr>
        <w:t>e</w:t>
      </w:r>
      <w:r w:rsidRPr="00F559E6">
        <w:rPr>
          <w:rFonts w:ascii="Verdana" w:eastAsia="Verdana" w:hAnsi="Verdana" w:cs="Verdana"/>
          <w:sz w:val="20"/>
          <w:szCs w:val="20"/>
          <w:lang w:val="es-ES" w:eastAsia="es-CR"/>
        </w:rPr>
        <w:t xml:space="preserve"> la responsabilidad internacional del Estado por las violaciones </w:t>
      </w:r>
      <w:r w:rsidR="00604B8A" w:rsidRPr="00F559E6">
        <w:rPr>
          <w:rFonts w:ascii="Verdana" w:eastAsia="Verdana" w:hAnsi="Verdana" w:cs="Verdana"/>
          <w:sz w:val="20"/>
          <w:szCs w:val="20"/>
          <w:lang w:val="es-ES" w:eastAsia="es-CR"/>
        </w:rPr>
        <w:t>contenidas en el Informe de Fondo y que ordene a Argentina, como me</w:t>
      </w:r>
      <w:r w:rsidR="00A7367D" w:rsidRPr="00F559E6">
        <w:rPr>
          <w:rFonts w:ascii="Verdana" w:eastAsia="Verdana" w:hAnsi="Verdana" w:cs="Verdana"/>
          <w:sz w:val="20"/>
          <w:szCs w:val="20"/>
          <w:lang w:val="es-ES" w:eastAsia="es-CR"/>
        </w:rPr>
        <w:t>didas de reparación, las recomendaciones incluidas en el mismo (</w:t>
      </w:r>
      <w:r w:rsidR="00904755" w:rsidRPr="00F559E6">
        <w:rPr>
          <w:rFonts w:ascii="Verdana" w:eastAsia="Verdana" w:hAnsi="Verdana" w:cs="Verdana"/>
          <w:i/>
          <w:sz w:val="20"/>
          <w:szCs w:val="20"/>
          <w:lang w:val="es-ES" w:eastAsia="es-CR"/>
        </w:rPr>
        <w:t>supra</w:t>
      </w:r>
      <w:r w:rsidR="00A7367D" w:rsidRPr="00F559E6">
        <w:rPr>
          <w:rFonts w:ascii="Verdana" w:eastAsia="Verdana" w:hAnsi="Verdana" w:cs="Verdana"/>
          <w:i/>
          <w:sz w:val="20"/>
          <w:szCs w:val="20"/>
          <w:lang w:val="es-ES" w:eastAsia="es-CR"/>
        </w:rPr>
        <w:t xml:space="preserve"> </w:t>
      </w:r>
      <w:r w:rsidR="00397A38" w:rsidRPr="00F559E6">
        <w:rPr>
          <w:rFonts w:ascii="Verdana" w:eastAsia="Verdana" w:hAnsi="Verdana" w:cs="Verdana"/>
          <w:sz w:val="20"/>
          <w:szCs w:val="20"/>
          <w:lang w:val="es-ES" w:eastAsia="es-CR"/>
        </w:rPr>
        <w:t>párr. 2.c</w:t>
      </w:r>
      <w:r w:rsidR="00A7367D" w:rsidRPr="00F559E6">
        <w:rPr>
          <w:rFonts w:ascii="Verdana" w:eastAsia="Verdana" w:hAnsi="Verdana" w:cs="Verdana"/>
          <w:sz w:val="20"/>
          <w:szCs w:val="20"/>
          <w:lang w:val="es-ES" w:eastAsia="es-CR"/>
        </w:rPr>
        <w:t>)</w:t>
      </w:r>
      <w:r w:rsidR="00397A38" w:rsidRPr="00F559E6">
        <w:rPr>
          <w:rFonts w:ascii="Verdana" w:eastAsia="Verdana" w:hAnsi="Verdana" w:cs="Verdana"/>
          <w:sz w:val="20"/>
          <w:szCs w:val="20"/>
          <w:lang w:val="es-ES" w:eastAsia="es-CR"/>
        </w:rPr>
        <w:t>.</w:t>
      </w:r>
    </w:p>
    <w:p w14:paraId="3BB678E4"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6F76C193" w14:textId="77777777" w:rsidR="001C05D8" w:rsidRDefault="001C05D8" w:rsidP="003C0487">
      <w:pPr>
        <w:pStyle w:val="Heading1"/>
        <w:rPr>
          <w:rFonts w:eastAsia="Times New Roman" w:cs="Verdana"/>
          <w:b w:val="0"/>
          <w:bCs/>
          <w:caps/>
          <w:snapToGrid w:val="0"/>
          <w:lang w:val="es-ES_tradnl"/>
        </w:rPr>
      </w:pPr>
      <w:bookmarkStart w:id="4" w:name="_Toc494123964"/>
      <w:bookmarkStart w:id="5" w:name="_Toc19533012"/>
      <w:r w:rsidRPr="00F559E6">
        <w:rPr>
          <w:rFonts w:eastAsia="Times New Roman" w:cs="Verdana"/>
          <w:bCs/>
          <w:caps/>
          <w:snapToGrid w:val="0"/>
          <w:lang w:val="es-ES_tradnl"/>
        </w:rPr>
        <w:t>II</w:t>
      </w:r>
      <w:r w:rsidRPr="00F559E6">
        <w:rPr>
          <w:rFonts w:eastAsia="Times New Roman" w:cs="Verdana"/>
          <w:bCs/>
          <w:caps/>
          <w:snapToGrid w:val="0"/>
          <w:lang w:val="es-ES_tradnl"/>
        </w:rPr>
        <w:br/>
        <w:t>PROCEDIMIENTO ANTE LA CORTE</w:t>
      </w:r>
      <w:bookmarkEnd w:id="4"/>
      <w:bookmarkEnd w:id="5"/>
    </w:p>
    <w:p w14:paraId="0BABF6FA" w14:textId="77777777" w:rsidR="008A351B" w:rsidRPr="00F559E6" w:rsidRDefault="008A351B" w:rsidP="00C962F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39ED20EF" w14:textId="0CCF3BB1"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F559E6">
        <w:rPr>
          <w:rFonts w:ascii="Verdana" w:eastAsia="Verdana" w:hAnsi="Verdana" w:cs="Verdana"/>
          <w:i/>
          <w:sz w:val="20"/>
          <w:szCs w:val="20"/>
          <w:lang w:val="es-ES" w:eastAsia="es-CR"/>
        </w:rPr>
        <w:t xml:space="preserve">Notificación al representante y al Estado. – </w:t>
      </w:r>
      <w:r w:rsidRPr="00F559E6">
        <w:rPr>
          <w:rFonts w:ascii="Verdana" w:eastAsia="Verdana" w:hAnsi="Verdana" w:cs="Verdana"/>
          <w:sz w:val="20"/>
          <w:szCs w:val="20"/>
          <w:lang w:val="es-ES" w:eastAsia="es-CR"/>
        </w:rPr>
        <w:t>El sometimiento del caso por parte de la Comisión fue notificado por la Corte a</w:t>
      </w:r>
      <w:r w:rsidR="002B6281" w:rsidRPr="00F559E6">
        <w:rPr>
          <w:rFonts w:ascii="Verdana" w:eastAsia="Verdana" w:hAnsi="Verdana" w:cs="Verdana"/>
          <w:sz w:val="20"/>
          <w:szCs w:val="20"/>
          <w:lang w:val="es-ES" w:eastAsia="es-CR"/>
        </w:rPr>
        <w:t xml:space="preserve"> los</w:t>
      </w:r>
      <w:r w:rsidRPr="00F559E6">
        <w:rPr>
          <w:rFonts w:ascii="Verdana" w:eastAsia="Verdana" w:hAnsi="Verdana" w:cs="Verdana"/>
          <w:sz w:val="20"/>
          <w:szCs w:val="20"/>
          <w:lang w:val="es-ES" w:eastAsia="es-CR"/>
        </w:rPr>
        <w:t xml:space="preserve"> representante</w:t>
      </w:r>
      <w:r w:rsidR="002B6281" w:rsidRPr="00F559E6">
        <w:rPr>
          <w:rFonts w:ascii="Verdana" w:eastAsia="Verdana" w:hAnsi="Verdana" w:cs="Verdana"/>
          <w:sz w:val="20"/>
          <w:szCs w:val="20"/>
          <w:lang w:val="es-ES" w:eastAsia="es-CR"/>
        </w:rPr>
        <w:t>s de la</w:t>
      </w:r>
      <w:r w:rsidRPr="00F559E6">
        <w:rPr>
          <w:rFonts w:ascii="Verdana" w:eastAsia="Verdana" w:hAnsi="Verdana" w:cs="Verdana"/>
          <w:sz w:val="20"/>
          <w:szCs w:val="20"/>
          <w:lang w:val="es-ES" w:eastAsia="es-CR"/>
        </w:rPr>
        <w:t xml:space="preserve"> presuntas víctimas (en adelante “l</w:t>
      </w:r>
      <w:r w:rsidR="00C70633" w:rsidRPr="00F559E6">
        <w:rPr>
          <w:rFonts w:ascii="Verdana" w:eastAsia="Verdana" w:hAnsi="Verdana" w:cs="Verdana"/>
          <w:sz w:val="20"/>
          <w:szCs w:val="20"/>
          <w:lang w:val="es-ES" w:eastAsia="es-CR"/>
        </w:rPr>
        <w:t>o</w:t>
      </w:r>
      <w:r w:rsidRPr="00F559E6">
        <w:rPr>
          <w:rFonts w:ascii="Verdana" w:eastAsia="Verdana" w:hAnsi="Verdana" w:cs="Verdana"/>
          <w:sz w:val="20"/>
          <w:szCs w:val="20"/>
          <w:lang w:val="es-ES" w:eastAsia="es-CR"/>
        </w:rPr>
        <w:t xml:space="preserve">s representantes”) el </w:t>
      </w:r>
      <w:r w:rsidR="002B6281" w:rsidRPr="00F559E6">
        <w:rPr>
          <w:rFonts w:ascii="Verdana" w:eastAsia="Verdana" w:hAnsi="Verdana" w:cs="Verdana"/>
          <w:sz w:val="20"/>
          <w:szCs w:val="20"/>
          <w:lang w:val="es-ES" w:eastAsia="es-CR"/>
        </w:rPr>
        <w:t>5 de abril</w:t>
      </w:r>
      <w:r w:rsidRPr="00F559E6">
        <w:rPr>
          <w:rFonts w:ascii="Verdana" w:eastAsia="Verdana" w:hAnsi="Verdana" w:cs="Verdana"/>
          <w:sz w:val="20"/>
          <w:szCs w:val="20"/>
          <w:lang w:val="es-ES" w:eastAsia="es-CR"/>
        </w:rPr>
        <w:t xml:space="preserve"> de 2018 y al Estado el </w:t>
      </w:r>
      <w:r w:rsidR="002B6281" w:rsidRPr="00F559E6">
        <w:rPr>
          <w:rFonts w:ascii="Verdana" w:eastAsia="Verdana" w:hAnsi="Verdana" w:cs="Verdana"/>
          <w:sz w:val="20"/>
          <w:szCs w:val="20"/>
          <w:lang w:val="es-ES" w:eastAsia="es-CR"/>
        </w:rPr>
        <w:t>16 de abril</w:t>
      </w:r>
      <w:r w:rsidRPr="00F559E6">
        <w:rPr>
          <w:rFonts w:ascii="Verdana" w:eastAsia="Verdana" w:hAnsi="Verdana" w:cs="Verdana"/>
          <w:sz w:val="20"/>
          <w:szCs w:val="20"/>
          <w:lang w:val="es-ES" w:eastAsia="es-CR"/>
        </w:rPr>
        <w:t xml:space="preserve"> de 2018</w:t>
      </w:r>
      <w:r w:rsidRPr="00F559E6">
        <w:rPr>
          <w:rStyle w:val="FootnoteReference"/>
          <w:rFonts w:ascii="Verdana" w:eastAsia="Verdana" w:hAnsi="Verdana" w:cs="Verdana"/>
          <w:sz w:val="20"/>
          <w:szCs w:val="20"/>
          <w:lang w:val="es-ES" w:eastAsia="es-CR"/>
        </w:rPr>
        <w:footnoteReference w:id="6"/>
      </w:r>
      <w:r w:rsidR="00406957">
        <w:rPr>
          <w:rFonts w:ascii="Verdana" w:eastAsia="Verdana" w:hAnsi="Verdana" w:cs="Verdana"/>
          <w:sz w:val="20"/>
          <w:szCs w:val="20"/>
          <w:lang w:val="es-ES" w:eastAsia="es-CR"/>
        </w:rPr>
        <w:t>.</w:t>
      </w:r>
    </w:p>
    <w:p w14:paraId="2F6712C5"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59154677" w14:textId="3A211EB1"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u w:val="single"/>
          <w:lang w:val="es-ES" w:eastAsia="es-CR"/>
        </w:rPr>
      </w:pPr>
      <w:r w:rsidRPr="00F559E6">
        <w:rPr>
          <w:rFonts w:ascii="Verdana" w:eastAsia="Verdana" w:hAnsi="Verdana" w:cs="Verdana"/>
          <w:i/>
          <w:sz w:val="20"/>
          <w:szCs w:val="20"/>
          <w:lang w:val="es-ES" w:eastAsia="es-CR"/>
        </w:rPr>
        <w:t xml:space="preserve">Escrito de solicitudes, argumentos y pruebas. – </w:t>
      </w:r>
      <w:r w:rsidRPr="00F559E6">
        <w:rPr>
          <w:rFonts w:ascii="Verdana" w:eastAsia="Verdana" w:hAnsi="Verdana" w:cs="Verdana"/>
          <w:sz w:val="20"/>
          <w:szCs w:val="20"/>
          <w:lang w:val="es-ES" w:eastAsia="es-CR"/>
        </w:rPr>
        <w:t xml:space="preserve">El </w:t>
      </w:r>
      <w:r w:rsidR="00B075C4" w:rsidRPr="00F559E6">
        <w:rPr>
          <w:rFonts w:ascii="Verdana" w:eastAsia="Verdana" w:hAnsi="Verdana" w:cs="Verdana"/>
          <w:sz w:val="20"/>
          <w:szCs w:val="20"/>
          <w:lang w:val="es-ES" w:eastAsia="es-CR"/>
        </w:rPr>
        <w:t>12 de junio</w:t>
      </w:r>
      <w:r w:rsidRPr="00F559E6">
        <w:rPr>
          <w:rFonts w:ascii="Verdana" w:eastAsia="Verdana" w:hAnsi="Verdana" w:cs="Verdana"/>
          <w:sz w:val="20"/>
          <w:szCs w:val="20"/>
          <w:lang w:val="es-ES" w:eastAsia="es-CR"/>
        </w:rPr>
        <w:t xml:space="preserve"> de 2018 </w:t>
      </w:r>
      <w:r w:rsidR="00C27C71" w:rsidRPr="00F559E6">
        <w:rPr>
          <w:rFonts w:ascii="Verdana" w:eastAsia="Verdana" w:hAnsi="Verdana" w:cs="Verdana"/>
          <w:sz w:val="20"/>
          <w:szCs w:val="20"/>
          <w:lang w:val="es-ES" w:eastAsia="es-CR"/>
        </w:rPr>
        <w:t>los</w:t>
      </w:r>
      <w:r w:rsidRPr="00F559E6">
        <w:rPr>
          <w:rFonts w:ascii="Verdana" w:eastAsia="Verdana" w:hAnsi="Verdana" w:cs="Verdana"/>
          <w:sz w:val="20"/>
          <w:szCs w:val="20"/>
          <w:lang w:val="es-ES" w:eastAsia="es-CR"/>
        </w:rPr>
        <w:t xml:space="preserve"> </w:t>
      </w:r>
      <w:r w:rsidRPr="00F559E6">
        <w:rPr>
          <w:rFonts w:ascii="Verdana" w:eastAsia="Calibri" w:hAnsi="Verdana" w:cs="Arial"/>
          <w:sz w:val="20"/>
          <w:szCs w:val="20"/>
          <w:lang w:val="es-ES" w:eastAsia="es-CR"/>
        </w:rPr>
        <w:t>representantes</w:t>
      </w:r>
      <w:r w:rsidRPr="00F559E6">
        <w:rPr>
          <w:rFonts w:ascii="Verdana" w:eastAsia="Verdana" w:hAnsi="Verdana" w:cs="Verdana"/>
          <w:sz w:val="20"/>
          <w:szCs w:val="20"/>
          <w:lang w:val="es-ES" w:eastAsia="es-CR"/>
        </w:rPr>
        <w:t xml:space="preserve"> presentaron ante la Corte su escrito de solicitudes, argumentos y pruebas (en adelante “escrito de solicitudes y argumentos” o </w:t>
      </w:r>
      <w:r w:rsidR="00E05FB3" w:rsidRPr="00F559E6">
        <w:rPr>
          <w:rFonts w:ascii="Verdana" w:eastAsia="Verdana" w:hAnsi="Verdana" w:cs="Verdana"/>
          <w:sz w:val="20"/>
          <w:szCs w:val="20"/>
          <w:lang w:val="es-ES" w:eastAsia="es-CR"/>
        </w:rPr>
        <w:t>“</w:t>
      </w:r>
      <w:r w:rsidRPr="00F559E6">
        <w:rPr>
          <w:rFonts w:ascii="Verdana" w:eastAsia="Verdana" w:hAnsi="Verdana" w:cs="Verdana"/>
          <w:sz w:val="20"/>
          <w:szCs w:val="20"/>
          <w:lang w:val="es-ES" w:eastAsia="es-CR"/>
        </w:rPr>
        <w:t>ESAP</w:t>
      </w:r>
      <w:r w:rsidR="00E05FB3" w:rsidRPr="00F559E6">
        <w:rPr>
          <w:rFonts w:ascii="Verdana" w:eastAsia="Verdana" w:hAnsi="Verdana" w:cs="Verdana"/>
          <w:sz w:val="20"/>
          <w:szCs w:val="20"/>
          <w:lang w:val="es-ES" w:eastAsia="es-CR"/>
        </w:rPr>
        <w:t>”</w:t>
      </w:r>
      <w:r w:rsidRPr="00F559E6">
        <w:rPr>
          <w:rFonts w:ascii="Verdana" w:eastAsia="Verdana" w:hAnsi="Verdana" w:cs="Verdana"/>
          <w:sz w:val="20"/>
          <w:szCs w:val="20"/>
          <w:lang w:val="es-ES" w:eastAsia="es-CR"/>
        </w:rPr>
        <w:t>). Los representantes</w:t>
      </w:r>
      <w:r w:rsidR="00130BEF" w:rsidRPr="00F559E6">
        <w:rPr>
          <w:rFonts w:ascii="Verdana" w:eastAsia="Verdana" w:hAnsi="Verdana" w:cs="Verdana"/>
          <w:sz w:val="20"/>
          <w:szCs w:val="20"/>
          <w:lang w:val="es-ES" w:eastAsia="es-CR"/>
        </w:rPr>
        <w:t xml:space="preserve"> </w:t>
      </w:r>
      <w:r w:rsidRPr="00F559E6">
        <w:rPr>
          <w:rFonts w:ascii="Verdana" w:eastAsia="Verdana" w:hAnsi="Verdana" w:cs="Verdana"/>
          <w:sz w:val="20"/>
          <w:szCs w:val="20"/>
          <w:lang w:val="es-ES" w:eastAsia="es-CR"/>
        </w:rPr>
        <w:t xml:space="preserve">remitieron </w:t>
      </w:r>
      <w:r w:rsidR="00130BEF" w:rsidRPr="00F559E6">
        <w:rPr>
          <w:rFonts w:ascii="Verdana" w:eastAsia="Verdana" w:hAnsi="Verdana" w:cs="Verdana"/>
          <w:sz w:val="20"/>
          <w:szCs w:val="20"/>
          <w:lang w:val="es-ES" w:eastAsia="es-CR"/>
        </w:rPr>
        <w:t>y adhirieron</w:t>
      </w:r>
      <w:r w:rsidRPr="00F559E6">
        <w:rPr>
          <w:rFonts w:ascii="Verdana" w:eastAsia="Verdana" w:hAnsi="Verdana" w:cs="Verdana"/>
          <w:sz w:val="20"/>
          <w:szCs w:val="20"/>
          <w:lang w:val="es-ES" w:eastAsia="es-CR"/>
        </w:rPr>
        <w:t xml:space="preserve"> la descripción de hechos efectuada por la Comisión. De igual manera, se adhirieron a los alegatos de la Comisión en cuanto a la </w:t>
      </w:r>
      <w:r w:rsidR="00B075C4" w:rsidRPr="00F559E6">
        <w:rPr>
          <w:rFonts w:ascii="Verdana" w:eastAsia="Verdana" w:hAnsi="Verdana" w:cs="Verdana"/>
          <w:sz w:val="20"/>
          <w:szCs w:val="20"/>
          <w:lang w:val="es-ES" w:eastAsia="es-CR"/>
        </w:rPr>
        <w:t>excepción preliminar</w:t>
      </w:r>
      <w:r w:rsidRPr="00F559E6">
        <w:rPr>
          <w:rFonts w:ascii="Verdana" w:eastAsia="Verdana" w:hAnsi="Verdana" w:cs="Verdana"/>
          <w:sz w:val="20"/>
          <w:szCs w:val="20"/>
          <w:lang w:val="es-ES" w:eastAsia="es-CR"/>
        </w:rPr>
        <w:t xml:space="preserve"> y el fondo del asunto. Finalmente, solicitaron a la Corte que ordenara al Estado la adopción de diversas medidas de reparación y e</w:t>
      </w:r>
      <w:r w:rsidR="00406957">
        <w:rPr>
          <w:rFonts w:ascii="Verdana" w:eastAsia="Verdana" w:hAnsi="Verdana" w:cs="Verdana"/>
          <w:sz w:val="20"/>
          <w:szCs w:val="20"/>
          <w:lang w:val="es-ES" w:eastAsia="es-CR"/>
        </w:rPr>
        <w:t>l reintegro de costas y gastos.</w:t>
      </w:r>
    </w:p>
    <w:p w14:paraId="02EAF623"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u w:val="single"/>
          <w:lang w:val="es-ES" w:eastAsia="es-CR"/>
        </w:rPr>
      </w:pPr>
    </w:p>
    <w:p w14:paraId="203D34AD" w14:textId="10387098"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i/>
          <w:sz w:val="20"/>
          <w:szCs w:val="20"/>
          <w:lang w:val="es-ES" w:eastAsia="es-CR"/>
        </w:rPr>
      </w:pPr>
      <w:r w:rsidRPr="00F559E6">
        <w:rPr>
          <w:rFonts w:ascii="Verdana" w:eastAsia="Verdana" w:hAnsi="Verdana" w:cs="Verdana"/>
          <w:i/>
          <w:sz w:val="20"/>
          <w:szCs w:val="20"/>
          <w:lang w:val="es-ES" w:eastAsia="es-CR"/>
        </w:rPr>
        <w:t xml:space="preserve">Escrito de contestación. – </w:t>
      </w:r>
      <w:r w:rsidRPr="00F559E6">
        <w:rPr>
          <w:rFonts w:ascii="Verdana" w:eastAsia="Verdana" w:hAnsi="Verdana" w:cs="Verdana"/>
          <w:sz w:val="20"/>
          <w:szCs w:val="20"/>
          <w:lang w:val="es-ES" w:eastAsia="es-CR"/>
        </w:rPr>
        <w:t xml:space="preserve">El </w:t>
      </w:r>
      <w:r w:rsidR="006B0067" w:rsidRPr="00F559E6">
        <w:rPr>
          <w:rFonts w:ascii="Verdana" w:eastAsia="Verdana" w:hAnsi="Verdana" w:cs="Verdana"/>
          <w:sz w:val="20"/>
          <w:szCs w:val="20"/>
          <w:lang w:val="es-ES" w:eastAsia="es-CR"/>
        </w:rPr>
        <w:t>15 de agosto</w:t>
      </w:r>
      <w:r w:rsidRPr="00F559E6">
        <w:rPr>
          <w:rFonts w:ascii="Verdana" w:eastAsia="Verdana" w:hAnsi="Verdana" w:cs="Verdana"/>
          <w:sz w:val="20"/>
          <w:szCs w:val="20"/>
          <w:lang w:val="es-ES" w:eastAsia="es-CR"/>
        </w:rPr>
        <w:t xml:space="preserve"> de 2018 el Estado</w:t>
      </w:r>
      <w:r w:rsidRPr="00F559E6">
        <w:rPr>
          <w:rFonts w:ascii="Verdana" w:eastAsia="Verdana" w:hAnsi="Verdana" w:cs="Verdana"/>
          <w:sz w:val="20"/>
          <w:szCs w:val="20"/>
          <w:vertAlign w:val="superscript"/>
          <w:lang w:val="es-ES" w:eastAsia="es-CR"/>
        </w:rPr>
        <w:footnoteReference w:id="7"/>
      </w:r>
      <w:r w:rsidRPr="00F559E6">
        <w:rPr>
          <w:rFonts w:ascii="Verdana" w:eastAsia="Verdana" w:hAnsi="Verdana" w:cs="Verdana"/>
          <w:sz w:val="20"/>
          <w:szCs w:val="20"/>
          <w:lang w:val="es-ES" w:eastAsia="es-CR"/>
        </w:rPr>
        <w:t xml:space="preserve"> presentó ante la Corte su </w:t>
      </w:r>
      <w:r w:rsidRPr="00F559E6">
        <w:rPr>
          <w:rFonts w:ascii="Verdana" w:eastAsia="Calibri" w:hAnsi="Verdana" w:cs="Arial"/>
          <w:sz w:val="20"/>
          <w:szCs w:val="20"/>
          <w:lang w:val="es-ES" w:eastAsia="es-CR"/>
        </w:rPr>
        <w:t>escrito</w:t>
      </w:r>
      <w:r w:rsidRPr="00F559E6">
        <w:rPr>
          <w:rFonts w:ascii="Verdana" w:eastAsia="Verdana" w:hAnsi="Verdana" w:cs="Verdana"/>
          <w:sz w:val="20"/>
          <w:szCs w:val="20"/>
          <w:lang w:val="es-ES" w:eastAsia="es-CR"/>
        </w:rPr>
        <w:t xml:space="preserve"> de contestación (en adelante “escrito de contestación”) al sometimiento e Informe de Fondo de la Comisión y al escrito de solicitudes y argumentos. </w:t>
      </w:r>
      <w:r w:rsidRPr="00F559E6">
        <w:rPr>
          <w:rFonts w:ascii="Verdana" w:eastAsia="Verdana" w:hAnsi="Verdana" w:cs="Verdana"/>
          <w:sz w:val="20"/>
          <w:szCs w:val="20"/>
          <w:lang w:val="es-CR" w:eastAsia="es-CR"/>
        </w:rPr>
        <w:t xml:space="preserve">El Estado presentó </w:t>
      </w:r>
      <w:r w:rsidR="006B0067" w:rsidRPr="00F559E6">
        <w:rPr>
          <w:rFonts w:ascii="Verdana" w:eastAsia="Verdana" w:hAnsi="Verdana" w:cs="Verdana"/>
          <w:sz w:val="20"/>
          <w:szCs w:val="20"/>
          <w:lang w:val="es-CR" w:eastAsia="es-CR"/>
        </w:rPr>
        <w:t>una excepción preliminar</w:t>
      </w:r>
      <w:r w:rsidRPr="00F559E6">
        <w:rPr>
          <w:rFonts w:ascii="Verdana" w:eastAsia="Verdana" w:hAnsi="Verdana" w:cs="Verdana"/>
          <w:sz w:val="20"/>
          <w:szCs w:val="20"/>
          <w:lang w:val="es-CR" w:eastAsia="es-CR"/>
        </w:rPr>
        <w:t>. Dicho escrito fue notificado a la</w:t>
      </w:r>
      <w:r w:rsidR="00C70633" w:rsidRPr="00F559E6">
        <w:rPr>
          <w:rFonts w:ascii="Verdana" w:eastAsia="Verdana" w:hAnsi="Verdana" w:cs="Verdana"/>
          <w:sz w:val="20"/>
          <w:szCs w:val="20"/>
          <w:lang w:val="es-CR" w:eastAsia="es-CR"/>
        </w:rPr>
        <w:t>s</w:t>
      </w:r>
      <w:r w:rsidRPr="00F559E6">
        <w:rPr>
          <w:rFonts w:ascii="Verdana" w:eastAsia="Verdana" w:hAnsi="Verdana" w:cs="Verdana"/>
          <w:sz w:val="20"/>
          <w:szCs w:val="20"/>
          <w:lang w:val="es-CR" w:eastAsia="es-CR"/>
        </w:rPr>
        <w:t xml:space="preserve"> partes</w:t>
      </w:r>
      <w:r w:rsidR="00A7367D" w:rsidRPr="00F559E6">
        <w:rPr>
          <w:rFonts w:ascii="Verdana" w:eastAsia="Verdana" w:hAnsi="Verdana" w:cs="Verdana"/>
          <w:sz w:val="20"/>
          <w:szCs w:val="20"/>
          <w:lang w:val="es-CR" w:eastAsia="es-CR"/>
        </w:rPr>
        <w:t xml:space="preserve"> y a la Comisión</w:t>
      </w:r>
      <w:r w:rsidRPr="00F559E6">
        <w:rPr>
          <w:rFonts w:ascii="Verdana" w:eastAsia="Verdana" w:hAnsi="Verdana" w:cs="Verdana"/>
          <w:sz w:val="20"/>
          <w:szCs w:val="20"/>
          <w:lang w:val="es-CR" w:eastAsia="es-CR"/>
        </w:rPr>
        <w:t xml:space="preserve"> el </w:t>
      </w:r>
      <w:r w:rsidR="009109ED" w:rsidRPr="00F559E6">
        <w:rPr>
          <w:rFonts w:ascii="Verdana" w:eastAsia="Verdana" w:hAnsi="Verdana" w:cs="Verdana"/>
          <w:sz w:val="20"/>
          <w:szCs w:val="20"/>
          <w:lang w:val="es-CR" w:eastAsia="es-CR"/>
        </w:rPr>
        <w:t>12 de septiembre</w:t>
      </w:r>
      <w:r w:rsidR="00406957">
        <w:rPr>
          <w:rFonts w:ascii="Verdana" w:eastAsia="Verdana" w:hAnsi="Verdana" w:cs="Verdana"/>
          <w:sz w:val="20"/>
          <w:szCs w:val="20"/>
          <w:lang w:val="es-CR" w:eastAsia="es-CR"/>
        </w:rPr>
        <w:t xml:space="preserve"> de 2018.</w:t>
      </w:r>
    </w:p>
    <w:p w14:paraId="3DB2BC9D" w14:textId="77777777" w:rsidR="008A351B" w:rsidRPr="008A351B"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671A8479" w14:textId="7C064DA9"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i/>
          <w:sz w:val="20"/>
          <w:szCs w:val="20"/>
          <w:lang w:val="es-ES" w:eastAsia="es-CR"/>
        </w:rPr>
      </w:pPr>
      <w:r w:rsidRPr="00F559E6">
        <w:rPr>
          <w:rFonts w:ascii="Verdana" w:eastAsia="Verdana" w:hAnsi="Verdana" w:cs="Verdana"/>
          <w:i/>
          <w:sz w:val="20"/>
          <w:szCs w:val="20"/>
          <w:lang w:val="es-ES" w:eastAsia="es-CR"/>
        </w:rPr>
        <w:t>Observaciones a la</w:t>
      </w:r>
      <w:r w:rsidR="00E327EC">
        <w:rPr>
          <w:rFonts w:ascii="Verdana" w:eastAsia="Verdana" w:hAnsi="Verdana" w:cs="Verdana"/>
          <w:i/>
          <w:sz w:val="20"/>
          <w:szCs w:val="20"/>
          <w:lang w:val="es-ES" w:eastAsia="es-CR"/>
        </w:rPr>
        <w:t xml:space="preserve"> excepción preliminar</w:t>
      </w:r>
      <w:r w:rsidRPr="00F559E6">
        <w:rPr>
          <w:rFonts w:ascii="Verdana" w:eastAsia="Verdana" w:hAnsi="Verdana" w:cs="Verdana"/>
          <w:i/>
          <w:sz w:val="20"/>
          <w:szCs w:val="20"/>
          <w:lang w:val="es-ES" w:eastAsia="es-CR"/>
        </w:rPr>
        <w:t xml:space="preserve">. – </w:t>
      </w:r>
      <w:r w:rsidRPr="00F559E6">
        <w:rPr>
          <w:rFonts w:ascii="Verdana" w:eastAsia="Verdana" w:hAnsi="Verdana" w:cs="Verdana"/>
          <w:sz w:val="20"/>
          <w:szCs w:val="20"/>
          <w:lang w:val="es-ES" w:eastAsia="es-CR"/>
        </w:rPr>
        <w:t xml:space="preserve">El </w:t>
      </w:r>
      <w:r w:rsidR="00E33DF4" w:rsidRPr="00F559E6">
        <w:rPr>
          <w:rFonts w:ascii="Verdana" w:eastAsia="Verdana" w:hAnsi="Verdana" w:cs="Verdana"/>
          <w:sz w:val="20"/>
          <w:szCs w:val="20"/>
          <w:lang w:val="es-ES" w:eastAsia="es-CR"/>
        </w:rPr>
        <w:t>12 de octubre</w:t>
      </w:r>
      <w:r w:rsidRPr="00F559E6">
        <w:rPr>
          <w:rFonts w:ascii="Verdana" w:eastAsia="Verdana" w:hAnsi="Verdana" w:cs="Verdana"/>
          <w:sz w:val="20"/>
          <w:szCs w:val="20"/>
          <w:lang w:val="es-ES" w:eastAsia="es-CR"/>
        </w:rPr>
        <w:t xml:space="preserve"> de 2018 la Comisión y la representación de las</w:t>
      </w:r>
      <w:r w:rsidR="00C70633" w:rsidRPr="00F559E6">
        <w:rPr>
          <w:rFonts w:ascii="Verdana" w:eastAsia="Verdana" w:hAnsi="Verdana" w:cs="Verdana"/>
          <w:sz w:val="20"/>
          <w:szCs w:val="20"/>
          <w:lang w:val="es-ES" w:eastAsia="es-CR"/>
        </w:rPr>
        <w:t xml:space="preserve"> presuntas</w:t>
      </w:r>
      <w:r w:rsidR="00E33DF4" w:rsidRPr="00F559E6">
        <w:rPr>
          <w:rFonts w:ascii="Verdana" w:eastAsia="Verdana" w:hAnsi="Verdana" w:cs="Verdana"/>
          <w:sz w:val="20"/>
          <w:szCs w:val="20"/>
          <w:lang w:val="es-ES" w:eastAsia="es-CR"/>
        </w:rPr>
        <w:t xml:space="preserve"> víctimas</w:t>
      </w:r>
      <w:r w:rsidRPr="00F559E6">
        <w:rPr>
          <w:rFonts w:ascii="Verdana" w:eastAsia="Verdana" w:hAnsi="Verdana" w:cs="Verdana"/>
          <w:sz w:val="20"/>
          <w:szCs w:val="20"/>
          <w:lang w:val="es-ES" w:eastAsia="es-CR"/>
        </w:rPr>
        <w:t xml:space="preserve"> pre</w:t>
      </w:r>
      <w:r w:rsidR="00E33DF4" w:rsidRPr="00F559E6">
        <w:rPr>
          <w:rFonts w:ascii="Verdana" w:eastAsia="Verdana" w:hAnsi="Verdana" w:cs="Verdana"/>
          <w:sz w:val="20"/>
          <w:szCs w:val="20"/>
          <w:lang w:val="es-ES" w:eastAsia="es-CR"/>
        </w:rPr>
        <w:t>sentaron sus observaciones a la excepción preliminar</w:t>
      </w:r>
      <w:r w:rsidR="008A351B">
        <w:rPr>
          <w:rFonts w:ascii="Verdana" w:eastAsia="Verdana" w:hAnsi="Verdana" w:cs="Verdana"/>
          <w:sz w:val="20"/>
          <w:szCs w:val="20"/>
          <w:lang w:val="es-ES" w:eastAsia="es-CR"/>
        </w:rPr>
        <w:t xml:space="preserve"> interpuesta por el Estado.</w:t>
      </w:r>
    </w:p>
    <w:p w14:paraId="45F82EFB" w14:textId="77777777" w:rsidR="008A351B" w:rsidRPr="008A351B"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7F58F590" w14:textId="2075BAA1" w:rsidR="001C05D8"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F559E6">
        <w:rPr>
          <w:rFonts w:ascii="Verdana" w:eastAsia="Verdana" w:hAnsi="Verdana" w:cs="Verdana"/>
          <w:i/>
          <w:position w:val="-1"/>
          <w:sz w:val="20"/>
          <w:szCs w:val="20"/>
          <w:lang w:val="es-ES" w:eastAsia="es-CR"/>
        </w:rPr>
        <w:t>Audiencia Pública</w:t>
      </w:r>
      <w:r w:rsidR="00A533E5">
        <w:rPr>
          <w:rFonts w:ascii="Verdana" w:eastAsia="Verdana" w:hAnsi="Verdana" w:cs="Verdana"/>
          <w:i/>
          <w:position w:val="-1"/>
          <w:sz w:val="20"/>
          <w:szCs w:val="20"/>
          <w:lang w:val="es-ES" w:eastAsia="es-CR"/>
        </w:rPr>
        <w:t>.</w:t>
      </w:r>
      <w:r w:rsidRPr="00F559E6">
        <w:rPr>
          <w:rFonts w:ascii="Verdana" w:eastAsia="Verdana" w:hAnsi="Verdana" w:cs="Verdana"/>
          <w:i/>
          <w:position w:val="-1"/>
          <w:sz w:val="20"/>
          <w:szCs w:val="20"/>
          <w:lang w:val="es-ES" w:eastAsia="es-CR"/>
        </w:rPr>
        <w:t xml:space="preserve"> - </w:t>
      </w:r>
      <w:r w:rsidRPr="00F559E6">
        <w:rPr>
          <w:rFonts w:ascii="Verdana" w:eastAsia="Verdana" w:hAnsi="Verdana" w:cs="Verdana"/>
          <w:position w:val="-1"/>
          <w:sz w:val="20"/>
          <w:szCs w:val="20"/>
          <w:lang w:val="es-ES" w:eastAsia="es-CR"/>
        </w:rPr>
        <w:t xml:space="preserve">Mediante </w:t>
      </w:r>
      <w:r w:rsidR="00130BEF" w:rsidRPr="00F559E6">
        <w:rPr>
          <w:rFonts w:ascii="Verdana" w:eastAsia="Verdana" w:hAnsi="Verdana" w:cs="Verdana"/>
          <w:position w:val="-1"/>
          <w:sz w:val="20"/>
          <w:szCs w:val="20"/>
          <w:lang w:val="es-ES" w:eastAsia="es-CR"/>
        </w:rPr>
        <w:t>r</w:t>
      </w:r>
      <w:r w:rsidR="00E33DF4" w:rsidRPr="00F559E6">
        <w:rPr>
          <w:rFonts w:ascii="Verdana" w:eastAsia="Verdana" w:hAnsi="Verdana" w:cs="Verdana"/>
          <w:position w:val="-1"/>
          <w:sz w:val="20"/>
          <w:szCs w:val="20"/>
          <w:lang w:val="es-ES" w:eastAsia="es-CR"/>
        </w:rPr>
        <w:t>esolución</w:t>
      </w:r>
      <w:r w:rsidR="00E327EC">
        <w:rPr>
          <w:rFonts w:ascii="Verdana" w:eastAsia="Verdana" w:hAnsi="Verdana" w:cs="Verdana"/>
          <w:position w:val="-1"/>
          <w:sz w:val="20"/>
          <w:szCs w:val="20"/>
          <w:lang w:val="es-ES" w:eastAsia="es-CR"/>
        </w:rPr>
        <w:t xml:space="preserve"> del Presidente</w:t>
      </w:r>
      <w:r w:rsidRPr="00F559E6">
        <w:rPr>
          <w:rFonts w:ascii="Verdana" w:eastAsia="Verdana" w:hAnsi="Verdana" w:cs="Verdana"/>
          <w:position w:val="-1"/>
          <w:sz w:val="20"/>
          <w:szCs w:val="20"/>
          <w:lang w:val="es-ES" w:eastAsia="es-CR"/>
        </w:rPr>
        <w:t xml:space="preserve"> de </w:t>
      </w:r>
      <w:r w:rsidR="00E33DF4" w:rsidRPr="00F559E6">
        <w:rPr>
          <w:rFonts w:ascii="Verdana" w:eastAsia="Verdana" w:hAnsi="Verdana" w:cs="Verdana"/>
          <w:position w:val="-1"/>
          <w:sz w:val="20"/>
          <w:szCs w:val="20"/>
          <w:lang w:val="es-ES" w:eastAsia="es-CR"/>
        </w:rPr>
        <w:t>20 de marzo</w:t>
      </w:r>
      <w:r w:rsidR="00BB6280">
        <w:rPr>
          <w:rFonts w:ascii="Verdana" w:eastAsia="Verdana" w:hAnsi="Verdana" w:cs="Verdana"/>
          <w:position w:val="-1"/>
          <w:sz w:val="20"/>
          <w:szCs w:val="20"/>
          <w:lang w:val="es-ES" w:eastAsia="es-CR"/>
        </w:rPr>
        <w:t xml:space="preserve"> de 2019</w:t>
      </w:r>
      <w:r w:rsidRPr="00F559E6">
        <w:rPr>
          <w:rFonts w:ascii="Verdana" w:eastAsia="Verdana" w:hAnsi="Verdana" w:cs="Verdana"/>
          <w:position w:val="-1"/>
          <w:sz w:val="20"/>
          <w:szCs w:val="20"/>
          <w:vertAlign w:val="superscript"/>
          <w:lang w:val="es-ES" w:eastAsia="es-CR"/>
        </w:rPr>
        <w:footnoteReference w:id="8"/>
      </w:r>
      <w:r w:rsidRPr="00F559E6">
        <w:rPr>
          <w:rFonts w:ascii="Verdana" w:eastAsia="Verdana" w:hAnsi="Verdana" w:cs="Verdana"/>
          <w:position w:val="-1"/>
          <w:sz w:val="20"/>
          <w:szCs w:val="20"/>
          <w:lang w:val="es-ES" w:eastAsia="es-CR"/>
        </w:rPr>
        <w:t xml:space="preserve"> se convocó a las partes y a la Comisión Interamericana a una audiencia pública para recibir sus observaciones finales orales sobre</w:t>
      </w:r>
      <w:r w:rsidR="00E33DF4" w:rsidRPr="00F559E6">
        <w:rPr>
          <w:rFonts w:ascii="Verdana" w:eastAsia="Verdana" w:hAnsi="Verdana" w:cs="Verdana"/>
          <w:position w:val="-1"/>
          <w:sz w:val="20"/>
          <w:szCs w:val="20"/>
          <w:lang w:val="es-ES" w:eastAsia="es-CR"/>
        </w:rPr>
        <w:t xml:space="preserve"> la excepción preliminar</w:t>
      </w:r>
      <w:r w:rsidRPr="00F559E6">
        <w:rPr>
          <w:rFonts w:ascii="Verdana" w:eastAsia="Verdana" w:hAnsi="Verdana" w:cs="Verdana"/>
          <w:position w:val="-1"/>
          <w:sz w:val="20"/>
          <w:szCs w:val="20"/>
          <w:lang w:val="es-ES" w:eastAsia="es-CR"/>
        </w:rPr>
        <w:t xml:space="preserve">, el fondo y eventuales reparaciones y costas, así como para recibir la declaración </w:t>
      </w:r>
      <w:r w:rsidR="00E33DF4" w:rsidRPr="00F559E6">
        <w:rPr>
          <w:rFonts w:ascii="Verdana" w:eastAsia="Verdana" w:hAnsi="Verdana" w:cs="Verdana"/>
          <w:sz w:val="20"/>
          <w:szCs w:val="20"/>
          <w:lang w:val="es-ES" w:eastAsia="es-CR"/>
        </w:rPr>
        <w:t>del señor Gorigoitía</w:t>
      </w:r>
      <w:r w:rsidRPr="00F559E6">
        <w:rPr>
          <w:rFonts w:ascii="Verdana" w:eastAsia="Verdana" w:hAnsi="Verdana" w:cs="Verdana"/>
          <w:position w:val="-1"/>
          <w:sz w:val="20"/>
          <w:szCs w:val="20"/>
          <w:lang w:val="es-ES" w:eastAsia="es-CR"/>
        </w:rPr>
        <w:t xml:space="preserve">. </w:t>
      </w:r>
      <w:r w:rsidRPr="00F559E6">
        <w:rPr>
          <w:rFonts w:ascii="Verdana" w:eastAsia="Verdana" w:hAnsi="Verdana" w:cs="Verdana"/>
          <w:sz w:val="20"/>
          <w:szCs w:val="20"/>
          <w:lang w:val="es-ES" w:eastAsia="es-CR"/>
        </w:rPr>
        <w:t xml:space="preserve">La audiencia pública fue celebrada el </w:t>
      </w:r>
      <w:r w:rsidR="00DA6263" w:rsidRPr="00F559E6">
        <w:rPr>
          <w:rFonts w:ascii="Verdana" w:eastAsia="Verdana" w:hAnsi="Verdana" w:cs="Verdana"/>
          <w:sz w:val="20"/>
          <w:szCs w:val="20"/>
          <w:lang w:val="es-ES" w:eastAsia="es-CR"/>
        </w:rPr>
        <w:t>8 de mayo de 2019, durante el 60° Período Extrao</w:t>
      </w:r>
      <w:r w:rsidRPr="00F559E6">
        <w:rPr>
          <w:rFonts w:ascii="Verdana" w:eastAsia="Verdana" w:hAnsi="Verdana" w:cs="Verdana"/>
          <w:sz w:val="20"/>
          <w:szCs w:val="20"/>
          <w:lang w:val="es-ES" w:eastAsia="es-CR"/>
        </w:rPr>
        <w:t xml:space="preserve">rdinario de Sesiones de la Corte, llevado a cabo en </w:t>
      </w:r>
      <w:r w:rsidR="00DA6263" w:rsidRPr="00F559E6">
        <w:rPr>
          <w:rFonts w:ascii="Verdana" w:eastAsia="Verdana" w:hAnsi="Verdana" w:cs="Verdana"/>
          <w:sz w:val="20"/>
          <w:szCs w:val="20"/>
          <w:lang w:val="es-ES" w:eastAsia="es-CR"/>
        </w:rPr>
        <w:t>Montevideo, Uruguay</w:t>
      </w:r>
      <w:r w:rsidRPr="00F559E6">
        <w:rPr>
          <w:rFonts w:ascii="Verdana" w:eastAsia="Verdana" w:hAnsi="Verdana" w:cs="Verdana"/>
          <w:sz w:val="20"/>
          <w:szCs w:val="20"/>
          <w:vertAlign w:val="superscript"/>
          <w:lang w:val="es-ES" w:eastAsia="es-CR"/>
        </w:rPr>
        <w:footnoteReference w:id="9"/>
      </w:r>
      <w:r w:rsidR="008A351B">
        <w:rPr>
          <w:rFonts w:ascii="Verdana" w:eastAsia="Verdana" w:hAnsi="Verdana" w:cs="Verdana"/>
          <w:sz w:val="20"/>
          <w:szCs w:val="20"/>
          <w:lang w:val="es-ES" w:eastAsia="es-CR"/>
        </w:rPr>
        <w:t>.</w:t>
      </w:r>
    </w:p>
    <w:p w14:paraId="12E7B14A" w14:textId="77777777" w:rsidR="008A351B"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12D18CD4" w14:textId="12146066" w:rsidR="00A533E5" w:rsidRPr="00DE45AC" w:rsidRDefault="00A533E5" w:rsidP="0051368E">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DE45AC">
        <w:rPr>
          <w:rFonts w:ascii="Verdana" w:eastAsia="Verdana" w:hAnsi="Verdana" w:cs="Verdana"/>
          <w:i/>
          <w:position w:val="-1"/>
          <w:sz w:val="20"/>
          <w:szCs w:val="20"/>
          <w:lang w:val="es-ES" w:eastAsia="es-CR"/>
        </w:rPr>
        <w:t xml:space="preserve">Amicus curiae. – </w:t>
      </w:r>
      <w:r w:rsidR="00CE7982">
        <w:rPr>
          <w:rFonts w:ascii="Verdana" w:eastAsia="Verdana" w:hAnsi="Verdana" w:cs="Verdana"/>
          <w:position w:val="-1"/>
          <w:sz w:val="20"/>
          <w:szCs w:val="20"/>
          <w:lang w:val="es-ES" w:eastAsia="es-CR"/>
        </w:rPr>
        <w:t>El Tribunal recibió cinco</w:t>
      </w:r>
      <w:r w:rsidRPr="00DE45AC">
        <w:rPr>
          <w:rFonts w:ascii="Verdana" w:eastAsia="Verdana" w:hAnsi="Verdana" w:cs="Verdana"/>
          <w:position w:val="-1"/>
          <w:sz w:val="20"/>
          <w:szCs w:val="20"/>
          <w:lang w:val="es-ES" w:eastAsia="es-CR"/>
        </w:rPr>
        <w:t xml:space="preserve"> escritos en calidad de </w:t>
      </w:r>
      <w:r w:rsidRPr="00DE45AC">
        <w:rPr>
          <w:rFonts w:ascii="Verdana" w:eastAsia="Verdana" w:hAnsi="Verdana" w:cs="Verdana"/>
          <w:i/>
          <w:position w:val="-1"/>
          <w:sz w:val="20"/>
          <w:szCs w:val="20"/>
          <w:lang w:val="es-ES" w:eastAsia="es-CR"/>
        </w:rPr>
        <w:t>amicus curiae</w:t>
      </w:r>
      <w:r w:rsidRPr="00DE45AC">
        <w:rPr>
          <w:rFonts w:ascii="Verdana" w:eastAsia="Verdana" w:hAnsi="Verdana" w:cs="Verdana"/>
          <w:position w:val="-1"/>
          <w:sz w:val="20"/>
          <w:szCs w:val="20"/>
          <w:lang w:val="es-ES" w:eastAsia="es-CR"/>
        </w:rPr>
        <w:t xml:space="preserve"> presentados por: i)</w:t>
      </w:r>
      <w:r w:rsidR="00DE45AC" w:rsidRPr="00DE45AC">
        <w:rPr>
          <w:rFonts w:ascii="Verdana" w:eastAsia="Verdana" w:hAnsi="Verdana" w:cs="Verdana"/>
          <w:position w:val="-1"/>
          <w:sz w:val="20"/>
          <w:szCs w:val="20"/>
          <w:lang w:val="es-ES" w:eastAsia="es-CR"/>
        </w:rPr>
        <w:t xml:space="preserve"> la Fundación Centro Latinoamericano de Derechos Humanos</w:t>
      </w:r>
      <w:r w:rsidR="0051368E">
        <w:rPr>
          <w:rStyle w:val="FootnoteReference"/>
          <w:rFonts w:ascii="Verdana" w:eastAsia="Verdana" w:hAnsi="Verdana" w:cs="Verdana"/>
          <w:position w:val="-1"/>
          <w:sz w:val="20"/>
          <w:szCs w:val="20"/>
          <w:lang w:val="es-ES" w:eastAsia="es-CR"/>
        </w:rPr>
        <w:footnoteReference w:id="10"/>
      </w:r>
      <w:r w:rsidR="00DE45AC" w:rsidRPr="00DE45AC">
        <w:rPr>
          <w:rFonts w:ascii="Verdana" w:eastAsia="Verdana" w:hAnsi="Verdana" w:cs="Verdana"/>
          <w:position w:val="-1"/>
          <w:sz w:val="20"/>
          <w:szCs w:val="20"/>
          <w:lang w:val="es-ES" w:eastAsia="es-CR"/>
        </w:rPr>
        <w:t>, ii) la Universidad Austral de Buenos Aires</w:t>
      </w:r>
      <w:r w:rsidR="0051368E">
        <w:rPr>
          <w:rStyle w:val="FootnoteReference"/>
          <w:rFonts w:ascii="Verdana" w:eastAsia="Verdana" w:hAnsi="Verdana" w:cs="Verdana"/>
          <w:position w:val="-1"/>
          <w:sz w:val="20"/>
          <w:szCs w:val="20"/>
          <w:lang w:val="es-ES" w:eastAsia="es-CR"/>
        </w:rPr>
        <w:footnoteReference w:id="11"/>
      </w:r>
      <w:r w:rsidR="00DE45AC" w:rsidRPr="00DE45AC">
        <w:rPr>
          <w:rFonts w:ascii="Verdana" w:eastAsia="Verdana" w:hAnsi="Verdana" w:cs="Verdana"/>
          <w:position w:val="-1"/>
          <w:sz w:val="20"/>
          <w:szCs w:val="20"/>
          <w:lang w:val="es-ES" w:eastAsia="es-CR"/>
        </w:rPr>
        <w:t xml:space="preserve">; iii) </w:t>
      </w:r>
      <w:r w:rsidRPr="00DE45AC">
        <w:rPr>
          <w:rFonts w:ascii="Verdana" w:eastAsia="Verdana" w:hAnsi="Verdana" w:cs="Verdana"/>
          <w:position w:val="-1"/>
          <w:sz w:val="20"/>
          <w:szCs w:val="20"/>
          <w:lang w:val="es-ES" w:eastAsia="es-CR"/>
        </w:rPr>
        <w:t>el Círculo de Derechos Humanos de la Universidad Nacional Mayor de San Marcos</w:t>
      </w:r>
      <w:r w:rsidR="00B10023">
        <w:rPr>
          <w:rStyle w:val="FootnoteReference"/>
          <w:rFonts w:ascii="Verdana" w:eastAsia="Verdana" w:hAnsi="Verdana" w:cs="Verdana"/>
          <w:position w:val="-1"/>
          <w:sz w:val="20"/>
          <w:szCs w:val="20"/>
          <w:lang w:val="es-ES" w:eastAsia="es-CR"/>
        </w:rPr>
        <w:footnoteReference w:id="12"/>
      </w:r>
      <w:r w:rsidR="00DE45AC">
        <w:rPr>
          <w:rFonts w:ascii="Verdana" w:eastAsia="Verdana" w:hAnsi="Verdana" w:cs="Verdana"/>
          <w:position w:val="-1"/>
          <w:sz w:val="20"/>
          <w:szCs w:val="20"/>
          <w:lang w:val="es-ES" w:eastAsia="es-CR"/>
        </w:rPr>
        <w:t>; iv</w:t>
      </w:r>
      <w:r w:rsidRPr="00DE45AC">
        <w:rPr>
          <w:rFonts w:ascii="Verdana" w:eastAsia="Verdana" w:hAnsi="Verdana" w:cs="Verdana"/>
          <w:position w:val="-1"/>
          <w:sz w:val="20"/>
          <w:szCs w:val="20"/>
          <w:lang w:val="es-ES" w:eastAsia="es-CR"/>
        </w:rPr>
        <w:t>) la Asociación de Pensamiento Penal</w:t>
      </w:r>
      <w:r w:rsidR="00146232">
        <w:rPr>
          <w:rStyle w:val="FootnoteReference"/>
          <w:rFonts w:ascii="Verdana" w:eastAsia="Verdana" w:hAnsi="Verdana" w:cs="Verdana"/>
          <w:position w:val="-1"/>
          <w:sz w:val="20"/>
          <w:szCs w:val="20"/>
          <w:lang w:val="es-ES" w:eastAsia="es-CR"/>
        </w:rPr>
        <w:footnoteReference w:id="13"/>
      </w:r>
      <w:r w:rsidR="00DE45AC">
        <w:rPr>
          <w:rFonts w:ascii="Verdana" w:eastAsia="Verdana" w:hAnsi="Verdana" w:cs="Verdana"/>
          <w:position w:val="-1"/>
          <w:sz w:val="20"/>
          <w:szCs w:val="20"/>
          <w:lang w:val="es-ES" w:eastAsia="es-CR"/>
        </w:rPr>
        <w:t>, y v</w:t>
      </w:r>
      <w:r w:rsidRPr="00DE45AC">
        <w:rPr>
          <w:rFonts w:ascii="Verdana" w:eastAsia="Verdana" w:hAnsi="Verdana" w:cs="Verdana"/>
          <w:position w:val="-1"/>
          <w:sz w:val="20"/>
          <w:szCs w:val="20"/>
          <w:lang w:val="es-ES" w:eastAsia="es-CR"/>
        </w:rPr>
        <w:t>) el Centro por la Justicia y el Derecho Internacional (CEJIL) y la Defensoría de Casación Penal de la Provincia de Buenos Aires</w:t>
      </w:r>
      <w:r w:rsidR="00146232">
        <w:rPr>
          <w:rStyle w:val="FootnoteReference"/>
          <w:rFonts w:ascii="Verdana" w:eastAsia="Verdana" w:hAnsi="Verdana" w:cs="Verdana"/>
          <w:position w:val="-1"/>
          <w:sz w:val="20"/>
          <w:szCs w:val="20"/>
          <w:lang w:val="es-ES" w:eastAsia="es-CR"/>
        </w:rPr>
        <w:footnoteReference w:id="14"/>
      </w:r>
      <w:r w:rsidRPr="00DE45AC">
        <w:rPr>
          <w:rFonts w:ascii="Verdana" w:eastAsia="Verdana" w:hAnsi="Verdana" w:cs="Verdana"/>
          <w:position w:val="-1"/>
          <w:sz w:val="20"/>
          <w:szCs w:val="20"/>
          <w:lang w:val="es-ES" w:eastAsia="es-CR"/>
        </w:rPr>
        <w:t>.</w:t>
      </w:r>
    </w:p>
    <w:p w14:paraId="03241B61"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0C1449B5" w14:textId="77777777" w:rsidR="001C05D8" w:rsidRPr="008A351B"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bookmarkStart w:id="6" w:name="_Ref354147731"/>
      <w:r w:rsidRPr="00F559E6">
        <w:rPr>
          <w:rFonts w:ascii="Verdana" w:eastAsia="Times New Roman" w:hAnsi="Verdana" w:cs="Verdana"/>
          <w:i/>
          <w:sz w:val="20"/>
          <w:szCs w:val="20"/>
          <w:lang w:val="es-ES" w:eastAsia="es-CR"/>
        </w:rPr>
        <w:t xml:space="preserve">Alegatos y observaciones finales escritas. </w:t>
      </w:r>
      <w:bookmarkEnd w:id="6"/>
      <w:r w:rsidRPr="00F559E6">
        <w:rPr>
          <w:rFonts w:ascii="Verdana" w:eastAsia="Times New Roman" w:hAnsi="Verdana" w:cs="Verdana"/>
          <w:i/>
          <w:sz w:val="20"/>
          <w:szCs w:val="20"/>
          <w:lang w:val="es-ES" w:eastAsia="es-CR"/>
        </w:rPr>
        <w:t xml:space="preserve">– </w:t>
      </w:r>
      <w:r w:rsidR="004E0B3D" w:rsidRPr="00F559E6">
        <w:rPr>
          <w:rFonts w:ascii="Verdana" w:eastAsia="Times New Roman" w:hAnsi="Verdana" w:cs="Verdana"/>
          <w:sz w:val="20"/>
          <w:szCs w:val="20"/>
          <w:lang w:val="es-ES" w:eastAsia="es-CR"/>
        </w:rPr>
        <w:t>Los días</w:t>
      </w:r>
      <w:r w:rsidRPr="00F559E6">
        <w:rPr>
          <w:rFonts w:ascii="Verdana" w:eastAsia="Times New Roman" w:hAnsi="Verdana" w:cs="Verdana"/>
          <w:sz w:val="20"/>
          <w:szCs w:val="20"/>
          <w:lang w:val="es-ES" w:eastAsia="es-CR"/>
        </w:rPr>
        <w:t xml:space="preserve"> </w:t>
      </w:r>
      <w:r w:rsidR="005D1D0B" w:rsidRPr="00F559E6">
        <w:rPr>
          <w:rFonts w:ascii="Verdana" w:eastAsia="Times New Roman" w:hAnsi="Verdana" w:cs="Verdana"/>
          <w:sz w:val="20"/>
          <w:szCs w:val="20"/>
          <w:lang w:val="es-ES" w:eastAsia="es-CR"/>
        </w:rPr>
        <w:t>4 y 6 de junio</w:t>
      </w:r>
      <w:r w:rsidRPr="00F559E6">
        <w:rPr>
          <w:rFonts w:ascii="Verdana" w:eastAsia="Times New Roman" w:hAnsi="Verdana" w:cs="Verdana"/>
          <w:sz w:val="20"/>
          <w:szCs w:val="20"/>
          <w:lang w:val="es-ES" w:eastAsia="es-CR"/>
        </w:rPr>
        <w:t xml:space="preserve"> de 2019</w:t>
      </w:r>
      <w:r w:rsidR="00A7367D" w:rsidRPr="00F559E6">
        <w:rPr>
          <w:rFonts w:ascii="Verdana" w:eastAsia="Times New Roman" w:hAnsi="Verdana" w:cs="Verdana"/>
          <w:sz w:val="20"/>
          <w:szCs w:val="20"/>
          <w:lang w:val="es-ES" w:eastAsia="es-CR"/>
        </w:rPr>
        <w:t xml:space="preserve"> </w:t>
      </w:r>
      <w:r w:rsidR="004E0B3D" w:rsidRPr="00F559E6">
        <w:rPr>
          <w:rFonts w:ascii="Verdana" w:eastAsia="Times New Roman" w:hAnsi="Verdana" w:cs="Verdana"/>
          <w:sz w:val="20"/>
          <w:szCs w:val="20"/>
          <w:lang w:val="es-ES" w:eastAsia="es-CR"/>
        </w:rPr>
        <w:t>los representantes</w:t>
      </w:r>
      <w:r w:rsidR="005E5302" w:rsidRPr="00F559E6">
        <w:rPr>
          <w:rFonts w:ascii="Verdana" w:eastAsia="Times New Roman" w:hAnsi="Verdana" w:cs="Verdana"/>
          <w:sz w:val="20"/>
          <w:szCs w:val="20"/>
          <w:lang w:val="es-ES" w:eastAsia="es-CR"/>
        </w:rPr>
        <w:t xml:space="preserve"> y el Estado</w:t>
      </w:r>
      <w:r w:rsidR="00A7367D" w:rsidRPr="00F559E6">
        <w:rPr>
          <w:rFonts w:ascii="Verdana" w:eastAsia="Times New Roman" w:hAnsi="Verdana" w:cs="Verdana"/>
          <w:sz w:val="20"/>
          <w:szCs w:val="20"/>
          <w:lang w:val="es-ES" w:eastAsia="es-CR"/>
        </w:rPr>
        <w:t>, respectivamente,</w:t>
      </w:r>
      <w:r w:rsidRPr="00F559E6">
        <w:rPr>
          <w:rFonts w:ascii="Verdana" w:eastAsia="Times New Roman" w:hAnsi="Verdana" w:cs="Verdana"/>
          <w:sz w:val="20"/>
          <w:szCs w:val="20"/>
          <w:lang w:val="es-ES" w:eastAsia="es-CR"/>
        </w:rPr>
        <w:t xml:space="preserve"> remitieron alegatos finales escritos, junto con sus anexos. El </w:t>
      </w:r>
      <w:r w:rsidR="005E5302" w:rsidRPr="00F559E6">
        <w:rPr>
          <w:rFonts w:ascii="Verdana" w:eastAsia="Times New Roman" w:hAnsi="Verdana" w:cs="Verdana"/>
          <w:sz w:val="20"/>
          <w:szCs w:val="20"/>
          <w:lang w:val="es-ES" w:eastAsia="es-CR"/>
        </w:rPr>
        <w:t>6 de junio</w:t>
      </w:r>
      <w:r w:rsidRPr="00F559E6">
        <w:rPr>
          <w:rFonts w:ascii="Verdana" w:eastAsia="Times New Roman" w:hAnsi="Verdana" w:cs="Verdana"/>
          <w:sz w:val="20"/>
          <w:szCs w:val="20"/>
          <w:lang w:val="es-ES" w:eastAsia="es-CR"/>
        </w:rPr>
        <w:t xml:space="preserve"> de 2019 la Comisión presentó sus observaciones finales escritas.</w:t>
      </w:r>
    </w:p>
    <w:p w14:paraId="6C0EFD48" w14:textId="77777777" w:rsidR="008A351B" w:rsidRPr="00A533E5"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015C4A13" w14:textId="68CF2E86" w:rsidR="00A533E5" w:rsidRDefault="00A533E5"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Pr>
          <w:rFonts w:ascii="Verdana" w:eastAsia="Times New Roman" w:hAnsi="Verdana" w:cs="Verdana"/>
          <w:i/>
          <w:sz w:val="20"/>
          <w:szCs w:val="20"/>
          <w:lang w:val="es-ES" w:eastAsia="es-CR"/>
        </w:rPr>
        <w:t>Erogaciones en aplicación del Fondo de Asistencia.</w:t>
      </w:r>
      <w:r>
        <w:rPr>
          <w:rFonts w:ascii="Verdana" w:eastAsia="Times New Roman" w:hAnsi="Verdana" w:cs="Verdana"/>
          <w:snapToGrid w:val="0"/>
          <w:sz w:val="20"/>
          <w:szCs w:val="20"/>
          <w:lang w:val="es-ES" w:eastAsia="es-ES"/>
        </w:rPr>
        <w:t xml:space="preserve"> – El 10 de junio de 2019 se transmitió al Estado el Informe sobre las erogaciones realizadas con cargo al Fondo de Asistencia Legal de la Corte en el presente caso y sus anexos. El </w:t>
      </w:r>
      <w:r w:rsidR="00067313">
        <w:rPr>
          <w:rFonts w:ascii="Verdana" w:eastAsia="Times New Roman" w:hAnsi="Verdana" w:cs="Verdana"/>
          <w:snapToGrid w:val="0"/>
          <w:sz w:val="20"/>
          <w:szCs w:val="20"/>
          <w:lang w:val="es-ES" w:eastAsia="es-ES"/>
        </w:rPr>
        <w:t>Estado no presentó</w:t>
      </w:r>
      <w:r>
        <w:rPr>
          <w:rFonts w:ascii="Verdana" w:eastAsia="Times New Roman" w:hAnsi="Verdana" w:cs="Verdana"/>
          <w:snapToGrid w:val="0"/>
          <w:sz w:val="20"/>
          <w:szCs w:val="20"/>
          <w:lang w:val="es-ES" w:eastAsia="es-ES"/>
        </w:rPr>
        <w:t xml:space="preserve"> observaciones sobre el respectivo informe.</w:t>
      </w:r>
    </w:p>
    <w:p w14:paraId="6B2514B2"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4C92598C" w14:textId="079EE082" w:rsidR="001C05D8"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sidRPr="00F559E6">
        <w:rPr>
          <w:rFonts w:ascii="Verdana" w:eastAsia="Times New Roman" w:hAnsi="Verdana" w:cs="Verdana"/>
          <w:i/>
          <w:snapToGrid w:val="0"/>
          <w:sz w:val="20"/>
          <w:szCs w:val="20"/>
          <w:lang w:val="es-ES" w:eastAsia="es-ES"/>
        </w:rPr>
        <w:t>Observaciones de los anexos a los alegatos finales</w:t>
      </w:r>
      <w:r w:rsidRPr="00F559E6">
        <w:rPr>
          <w:rFonts w:ascii="Verdana" w:eastAsia="Times New Roman" w:hAnsi="Verdana" w:cs="Verdana"/>
          <w:snapToGrid w:val="0"/>
          <w:sz w:val="20"/>
          <w:szCs w:val="20"/>
          <w:lang w:val="es-ES" w:eastAsia="es-ES"/>
        </w:rPr>
        <w:t xml:space="preserve">- </w:t>
      </w:r>
      <w:r w:rsidR="004E0B3D" w:rsidRPr="00F559E6">
        <w:rPr>
          <w:rFonts w:ascii="Verdana" w:eastAsia="Times New Roman" w:hAnsi="Verdana" w:cs="Verdana"/>
          <w:snapToGrid w:val="0"/>
          <w:sz w:val="20"/>
          <w:szCs w:val="20"/>
          <w:lang w:val="es-ES" w:eastAsia="es-ES"/>
        </w:rPr>
        <w:t>Los días</w:t>
      </w:r>
      <w:r w:rsidRPr="00F559E6">
        <w:rPr>
          <w:rFonts w:ascii="Verdana" w:eastAsia="Times New Roman" w:hAnsi="Verdana" w:cs="Verdana"/>
          <w:snapToGrid w:val="0"/>
          <w:sz w:val="20"/>
          <w:szCs w:val="20"/>
          <w:lang w:val="es-ES" w:eastAsia="es-ES"/>
        </w:rPr>
        <w:t xml:space="preserve"> </w:t>
      </w:r>
      <w:r w:rsidR="003636FF">
        <w:rPr>
          <w:rFonts w:ascii="Verdana" w:eastAsia="Times New Roman" w:hAnsi="Verdana" w:cs="Verdana"/>
          <w:snapToGrid w:val="0"/>
          <w:sz w:val="20"/>
          <w:szCs w:val="20"/>
          <w:lang w:val="es-ES" w:eastAsia="es-ES"/>
        </w:rPr>
        <w:t>4</w:t>
      </w:r>
      <w:r w:rsidRPr="00F559E6">
        <w:rPr>
          <w:rFonts w:ascii="Verdana" w:eastAsia="Times New Roman" w:hAnsi="Verdana" w:cs="Verdana"/>
          <w:snapToGrid w:val="0"/>
          <w:sz w:val="20"/>
          <w:szCs w:val="20"/>
          <w:lang w:val="es-ES" w:eastAsia="es-ES"/>
        </w:rPr>
        <w:t xml:space="preserve"> y </w:t>
      </w:r>
      <w:r w:rsidR="003636FF">
        <w:rPr>
          <w:rFonts w:ascii="Verdana" w:eastAsia="Times New Roman" w:hAnsi="Verdana" w:cs="Verdana"/>
          <w:snapToGrid w:val="0"/>
          <w:sz w:val="20"/>
          <w:szCs w:val="20"/>
          <w:lang w:val="es-ES" w:eastAsia="es-ES"/>
        </w:rPr>
        <w:t xml:space="preserve">6 </w:t>
      </w:r>
      <w:r w:rsidRPr="00F559E6">
        <w:rPr>
          <w:rFonts w:ascii="Verdana" w:eastAsia="Times New Roman" w:hAnsi="Verdana" w:cs="Verdana"/>
          <w:snapToGrid w:val="0"/>
          <w:sz w:val="20"/>
          <w:szCs w:val="20"/>
          <w:lang w:val="es-ES" w:eastAsia="es-ES"/>
        </w:rPr>
        <w:t xml:space="preserve">de </w:t>
      </w:r>
      <w:r w:rsidR="005E5302" w:rsidRPr="00F559E6">
        <w:rPr>
          <w:rFonts w:ascii="Verdana" w:eastAsia="Times New Roman" w:hAnsi="Verdana" w:cs="Verdana"/>
          <w:snapToGrid w:val="0"/>
          <w:sz w:val="20"/>
          <w:szCs w:val="20"/>
          <w:lang w:val="es-ES" w:eastAsia="es-ES"/>
        </w:rPr>
        <w:t>junio</w:t>
      </w:r>
      <w:r w:rsidRPr="00F559E6">
        <w:rPr>
          <w:rFonts w:ascii="Verdana" w:eastAsia="Times New Roman" w:hAnsi="Verdana" w:cs="Verdana"/>
          <w:snapToGrid w:val="0"/>
          <w:sz w:val="20"/>
          <w:szCs w:val="20"/>
          <w:lang w:val="es-ES" w:eastAsia="es-ES"/>
        </w:rPr>
        <w:t xml:space="preserve"> de 2019, respectivamente, el Estado y </w:t>
      </w:r>
      <w:r w:rsidR="004E0B3D" w:rsidRPr="00F559E6">
        <w:rPr>
          <w:rFonts w:ascii="Verdana" w:eastAsia="Times New Roman" w:hAnsi="Verdana" w:cs="Verdana"/>
          <w:snapToGrid w:val="0"/>
          <w:sz w:val="20"/>
          <w:szCs w:val="20"/>
          <w:lang w:val="es-ES" w:eastAsia="es-ES"/>
        </w:rPr>
        <w:t xml:space="preserve">los representantes </w:t>
      </w:r>
      <w:r w:rsidRPr="00F559E6">
        <w:rPr>
          <w:rFonts w:ascii="Verdana" w:eastAsia="Times New Roman" w:hAnsi="Verdana" w:cs="Verdana"/>
          <w:snapToGrid w:val="0"/>
          <w:sz w:val="20"/>
          <w:szCs w:val="20"/>
          <w:lang w:val="es-ES" w:eastAsia="es-ES"/>
        </w:rPr>
        <w:t>remitieron sus observaciones a los anexos remitidos junto a los alegatos finales escritos.</w:t>
      </w:r>
      <w:r w:rsidR="00DD6C38" w:rsidRPr="00F559E6">
        <w:rPr>
          <w:rFonts w:ascii="Verdana" w:eastAsia="Times New Roman" w:hAnsi="Verdana" w:cs="Verdana"/>
          <w:snapToGrid w:val="0"/>
          <w:sz w:val="20"/>
          <w:szCs w:val="20"/>
          <w:lang w:val="es-ES" w:eastAsia="es-ES"/>
        </w:rPr>
        <w:t xml:space="preserve"> La Comisión remitió sus observaciones el </w:t>
      </w:r>
      <w:r w:rsidR="003636FF">
        <w:rPr>
          <w:rFonts w:ascii="Verdana" w:eastAsia="Times New Roman" w:hAnsi="Verdana" w:cs="Verdana"/>
          <w:snapToGrid w:val="0"/>
          <w:sz w:val="20"/>
          <w:szCs w:val="20"/>
          <w:lang w:val="es-ES" w:eastAsia="es-ES"/>
        </w:rPr>
        <w:t>6</w:t>
      </w:r>
      <w:r w:rsidR="00DD6C38" w:rsidRPr="00F559E6">
        <w:rPr>
          <w:rFonts w:ascii="Verdana" w:eastAsia="Times New Roman" w:hAnsi="Verdana" w:cs="Verdana"/>
          <w:snapToGrid w:val="0"/>
          <w:sz w:val="20"/>
          <w:szCs w:val="20"/>
          <w:lang w:val="es-ES" w:eastAsia="es-ES"/>
        </w:rPr>
        <w:t xml:space="preserve"> de </w:t>
      </w:r>
      <w:r w:rsidR="005E5302" w:rsidRPr="00F559E6">
        <w:rPr>
          <w:rFonts w:ascii="Verdana" w:eastAsia="Times New Roman" w:hAnsi="Verdana" w:cs="Verdana"/>
          <w:snapToGrid w:val="0"/>
          <w:sz w:val="20"/>
          <w:szCs w:val="20"/>
          <w:lang w:val="es-ES" w:eastAsia="es-ES"/>
        </w:rPr>
        <w:t>junio</w:t>
      </w:r>
      <w:r w:rsidR="008A351B">
        <w:rPr>
          <w:rFonts w:ascii="Verdana" w:eastAsia="Times New Roman" w:hAnsi="Verdana" w:cs="Verdana"/>
          <w:snapToGrid w:val="0"/>
          <w:sz w:val="20"/>
          <w:szCs w:val="20"/>
          <w:lang w:val="es-ES" w:eastAsia="es-ES"/>
        </w:rPr>
        <w:t xml:space="preserve"> de 2019.</w:t>
      </w:r>
    </w:p>
    <w:p w14:paraId="766EAFC1"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258234DE" w14:textId="4B7CE730" w:rsidR="001C05D8"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sidRPr="00F559E6">
        <w:rPr>
          <w:rFonts w:ascii="Verdana" w:eastAsia="Times New Roman" w:hAnsi="Verdana" w:cs="Verdana"/>
          <w:i/>
          <w:snapToGrid w:val="0"/>
          <w:sz w:val="20"/>
          <w:szCs w:val="20"/>
          <w:lang w:val="es-ES" w:eastAsia="es-ES"/>
        </w:rPr>
        <w:t>Deliberación</w:t>
      </w:r>
      <w:r w:rsidRPr="00F559E6">
        <w:rPr>
          <w:rFonts w:ascii="Verdana" w:eastAsia="Times New Roman" w:hAnsi="Verdana" w:cs="Verdana"/>
          <w:i/>
          <w:iCs/>
          <w:snapToGrid w:val="0"/>
          <w:sz w:val="20"/>
          <w:szCs w:val="20"/>
          <w:lang w:val="es-ES" w:eastAsia="es-ES"/>
        </w:rPr>
        <w:t xml:space="preserve"> del presente caso. - </w:t>
      </w:r>
      <w:r w:rsidRPr="00F559E6">
        <w:rPr>
          <w:rFonts w:ascii="Verdana" w:eastAsia="Times New Roman" w:hAnsi="Verdana" w:cs="Verdana"/>
          <w:snapToGrid w:val="0"/>
          <w:sz w:val="20"/>
          <w:szCs w:val="20"/>
          <w:lang w:val="es-ES" w:eastAsia="es-ES"/>
        </w:rPr>
        <w:t>La Corte inició la deliberación de la presente Sentencia el</w:t>
      </w:r>
      <w:r w:rsidR="00D64AF7" w:rsidRPr="00F559E6">
        <w:rPr>
          <w:rFonts w:ascii="Verdana" w:eastAsia="Times New Roman" w:hAnsi="Verdana" w:cs="Verdana"/>
          <w:snapToGrid w:val="0"/>
          <w:sz w:val="20"/>
          <w:szCs w:val="20"/>
          <w:lang w:val="es-ES" w:eastAsia="es-ES"/>
        </w:rPr>
        <w:t xml:space="preserve"> </w:t>
      </w:r>
      <w:r w:rsidR="00345E12" w:rsidRPr="00345E12">
        <w:rPr>
          <w:rFonts w:ascii="Verdana" w:eastAsia="Times New Roman" w:hAnsi="Verdana" w:cs="Verdana"/>
          <w:snapToGrid w:val="0"/>
          <w:sz w:val="20"/>
          <w:szCs w:val="20"/>
          <w:lang w:val="es-ES" w:eastAsia="es-ES"/>
        </w:rPr>
        <w:t>2</w:t>
      </w:r>
      <w:r w:rsidR="00DD6C38" w:rsidRPr="00F559E6">
        <w:rPr>
          <w:rFonts w:ascii="Verdana" w:eastAsia="Times New Roman" w:hAnsi="Verdana" w:cs="Verdana"/>
          <w:snapToGrid w:val="0"/>
          <w:sz w:val="20"/>
          <w:szCs w:val="20"/>
          <w:lang w:val="es-ES" w:eastAsia="es-ES"/>
        </w:rPr>
        <w:t xml:space="preserve"> </w:t>
      </w:r>
      <w:r w:rsidR="00D64AF7" w:rsidRPr="00F559E6">
        <w:rPr>
          <w:rFonts w:ascii="Verdana" w:eastAsia="Times New Roman" w:hAnsi="Verdana" w:cs="Verdana"/>
          <w:snapToGrid w:val="0"/>
          <w:sz w:val="20"/>
          <w:szCs w:val="20"/>
          <w:lang w:val="es-ES" w:eastAsia="es-ES"/>
        </w:rPr>
        <w:t xml:space="preserve">de </w:t>
      </w:r>
      <w:r w:rsidR="00345E12">
        <w:rPr>
          <w:rFonts w:ascii="Verdana" w:eastAsia="Times New Roman" w:hAnsi="Verdana" w:cs="Verdana"/>
          <w:snapToGrid w:val="0"/>
          <w:sz w:val="20"/>
          <w:szCs w:val="20"/>
          <w:lang w:val="es-ES" w:eastAsia="es-ES"/>
        </w:rPr>
        <w:t>septiembre</w:t>
      </w:r>
      <w:r w:rsidRPr="00F559E6">
        <w:rPr>
          <w:rFonts w:ascii="Verdana" w:eastAsia="Times New Roman" w:hAnsi="Verdana" w:cs="Verdana"/>
          <w:snapToGrid w:val="0"/>
          <w:sz w:val="20"/>
          <w:szCs w:val="20"/>
          <w:lang w:val="es-ES" w:eastAsia="es-ES"/>
        </w:rPr>
        <w:t xml:space="preserve"> de 2019.</w:t>
      </w:r>
    </w:p>
    <w:p w14:paraId="68F38D14"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0F32E1E6" w14:textId="77777777" w:rsidR="001C05D8" w:rsidRDefault="001C05D8" w:rsidP="003C0487">
      <w:pPr>
        <w:pStyle w:val="Heading1"/>
        <w:rPr>
          <w:rFonts w:eastAsia="Times New Roman" w:cs="Verdana"/>
          <w:b w:val="0"/>
          <w:bCs/>
          <w:caps/>
          <w:snapToGrid w:val="0"/>
          <w:lang w:val="es-ES_tradnl"/>
        </w:rPr>
      </w:pPr>
      <w:bookmarkStart w:id="7" w:name="_Toc437960385"/>
      <w:bookmarkStart w:id="8" w:name="_Toc494123965"/>
      <w:bookmarkStart w:id="9" w:name="_Toc19533013"/>
      <w:r w:rsidRPr="00F559E6">
        <w:rPr>
          <w:rFonts w:eastAsia="Times New Roman" w:cs="Verdana"/>
          <w:bCs/>
          <w:caps/>
          <w:snapToGrid w:val="0"/>
          <w:lang w:val="es-ES_tradnl"/>
        </w:rPr>
        <w:t>III</w:t>
      </w:r>
      <w:r w:rsidRPr="00F559E6">
        <w:rPr>
          <w:rFonts w:eastAsia="Times New Roman" w:cs="Verdana"/>
          <w:bCs/>
          <w:caps/>
          <w:snapToGrid w:val="0"/>
          <w:lang w:val="es-ES_tradnl"/>
        </w:rPr>
        <w:br/>
        <w:t>COMPETENCIA</w:t>
      </w:r>
      <w:bookmarkEnd w:id="7"/>
      <w:bookmarkEnd w:id="8"/>
      <w:bookmarkEnd w:id="9"/>
    </w:p>
    <w:p w14:paraId="39C32394" w14:textId="77777777" w:rsidR="008A351B" w:rsidRPr="00F559E6" w:rsidRDefault="008A351B" w:rsidP="00C962F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2E10DF57" w14:textId="3C645A73" w:rsidR="001C05D8" w:rsidRDefault="001C05D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Times New Roman"/>
          <w:sz w:val="20"/>
          <w:szCs w:val="20"/>
          <w:lang w:val="es-ES" w:eastAsia="es-CR"/>
        </w:rPr>
      </w:pPr>
      <w:r w:rsidRPr="00F559E6">
        <w:rPr>
          <w:rFonts w:ascii="Verdana" w:eastAsia="Times New Roman" w:hAnsi="Verdana" w:cs="Times New Roman"/>
          <w:sz w:val="20"/>
          <w:szCs w:val="20"/>
          <w:lang w:val="es-ES" w:eastAsia="es-CR"/>
        </w:rPr>
        <w:t>La Corte Interamericana es competente para conocer del presente caso, en los términos del artículo 62.3 de la Convención Americana, en razón de que Argentina es Estado Parte de la Convención desde el 5 de setiembre de 1984 y reconoció la competencia contenciosa de es</w:t>
      </w:r>
      <w:r w:rsidR="008A351B">
        <w:rPr>
          <w:rFonts w:ascii="Verdana" w:eastAsia="Times New Roman" w:hAnsi="Verdana" w:cs="Times New Roman"/>
          <w:sz w:val="20"/>
          <w:szCs w:val="20"/>
          <w:lang w:val="es-ES" w:eastAsia="es-CR"/>
        </w:rPr>
        <w:t>te Tribunal en esa misma fecha.</w:t>
      </w:r>
    </w:p>
    <w:p w14:paraId="11531BF6"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Times New Roman" w:hAnsi="Verdana" w:cs="Times New Roman"/>
          <w:sz w:val="20"/>
          <w:szCs w:val="20"/>
          <w:lang w:val="es-ES" w:eastAsia="es-CR"/>
        </w:rPr>
      </w:pPr>
    </w:p>
    <w:p w14:paraId="5854DB94" w14:textId="2D97107C" w:rsidR="001C05D8" w:rsidRPr="00F559E6" w:rsidRDefault="001C05D8" w:rsidP="003C0487">
      <w:pPr>
        <w:pStyle w:val="Heading1"/>
        <w:rPr>
          <w:rFonts w:eastAsia="Times New Roman" w:cs="Times New Roman"/>
          <w:b w:val="0"/>
          <w:bCs/>
          <w:caps/>
          <w:snapToGrid w:val="0"/>
          <w:lang w:val="es-ES_tradnl"/>
        </w:rPr>
      </w:pPr>
      <w:bookmarkStart w:id="10" w:name="_Toc437960386"/>
      <w:bookmarkStart w:id="11" w:name="_Toc494123966"/>
      <w:bookmarkStart w:id="12" w:name="_Toc19533014"/>
      <w:r w:rsidRPr="00F559E6">
        <w:rPr>
          <w:rFonts w:eastAsia="Times New Roman" w:cs="Verdana"/>
          <w:bCs/>
          <w:caps/>
          <w:snapToGrid w:val="0"/>
          <w:lang w:val="es-ES_tradnl"/>
        </w:rPr>
        <w:t>IV</w:t>
      </w:r>
      <w:r w:rsidRPr="00F559E6">
        <w:rPr>
          <w:rFonts w:eastAsia="Times New Roman" w:cs="Verdana"/>
          <w:bCs/>
          <w:caps/>
          <w:snapToGrid w:val="0"/>
          <w:lang w:val="es-ES_tradnl"/>
        </w:rPr>
        <w:br/>
      </w:r>
      <w:r w:rsidR="00D64AF7" w:rsidRPr="00F559E6">
        <w:rPr>
          <w:rFonts w:eastAsia="Times New Roman" w:cs="Times New Roman"/>
          <w:bCs/>
          <w:caps/>
          <w:snapToGrid w:val="0"/>
          <w:lang w:val="es-ES_tradnl"/>
        </w:rPr>
        <w:t>EXCEPCIón</w:t>
      </w:r>
      <w:r w:rsidRPr="00F559E6">
        <w:rPr>
          <w:rFonts w:eastAsia="Times New Roman" w:cs="Times New Roman"/>
          <w:bCs/>
          <w:caps/>
          <w:snapToGrid w:val="0"/>
          <w:lang w:val="es-ES_tradnl"/>
        </w:rPr>
        <w:t xml:space="preserve"> PRELIMINAR</w:t>
      </w:r>
      <w:bookmarkEnd w:id="10"/>
      <w:bookmarkEnd w:id="11"/>
      <w:bookmarkEnd w:id="12"/>
    </w:p>
    <w:p w14:paraId="4A78A7D6" w14:textId="77777777" w:rsidR="0066704A" w:rsidRDefault="0066704A" w:rsidP="00C962FE">
      <w:pPr>
        <w:spacing w:after="0" w:line="240" w:lineRule="auto"/>
        <w:rPr>
          <w:snapToGrid w:val="0"/>
          <w:lang w:val="es-ES_tradnl"/>
        </w:rPr>
      </w:pPr>
    </w:p>
    <w:p w14:paraId="26125EA0" w14:textId="19896F87" w:rsidR="003163CE" w:rsidRPr="003163CE" w:rsidRDefault="003163CE" w:rsidP="002767A8">
      <w:pPr>
        <w:pStyle w:val="ListParagraph"/>
        <w:numPr>
          <w:ilvl w:val="0"/>
          <w:numId w:val="11"/>
        </w:numPr>
        <w:spacing w:after="0" w:line="240" w:lineRule="auto"/>
        <w:ind w:left="0" w:firstLine="0"/>
        <w:jc w:val="both"/>
        <w:rPr>
          <w:rFonts w:ascii="Verdana" w:hAnsi="Verdana"/>
          <w:snapToGrid w:val="0"/>
          <w:sz w:val="20"/>
          <w:szCs w:val="20"/>
          <w:lang w:val="es-ES_tradnl"/>
        </w:rPr>
      </w:pPr>
      <w:r>
        <w:rPr>
          <w:rFonts w:ascii="Verdana" w:hAnsi="Verdana"/>
          <w:snapToGrid w:val="0"/>
          <w:sz w:val="20"/>
          <w:szCs w:val="20"/>
          <w:lang w:val="es-ES_tradnl"/>
        </w:rPr>
        <w:t>El Estado presentó una excepción preliminar cuestionando la competencia de la Corte para practicar un control de convencionalidad relativo a la ley provincial No. 6730 y sus reformas. La Corte analizará dicho cuestionamiento como una excepción preliminar e</w:t>
      </w:r>
      <w:r w:rsidR="003636FF">
        <w:rPr>
          <w:rFonts w:ascii="Verdana" w:hAnsi="Verdana"/>
          <w:snapToGrid w:val="0"/>
          <w:sz w:val="20"/>
          <w:szCs w:val="20"/>
          <w:lang w:val="es-ES_tradnl"/>
        </w:rPr>
        <w:t>n razón de la materia.</w:t>
      </w:r>
    </w:p>
    <w:p w14:paraId="6F55F5DC" w14:textId="77777777" w:rsidR="003163CE" w:rsidRPr="00F559E6" w:rsidRDefault="003163CE" w:rsidP="00C962FE">
      <w:pPr>
        <w:spacing w:after="0" w:line="240" w:lineRule="auto"/>
        <w:rPr>
          <w:snapToGrid w:val="0"/>
          <w:lang w:val="es-ES_tradnl"/>
        </w:rPr>
      </w:pPr>
    </w:p>
    <w:p w14:paraId="5C825343" w14:textId="01AF9995" w:rsidR="0066704A" w:rsidRPr="00E9510C" w:rsidRDefault="00745BB5" w:rsidP="000149E0">
      <w:pPr>
        <w:pStyle w:val="Heading2"/>
      </w:pPr>
      <w:bookmarkStart w:id="13" w:name="_Toc19533015"/>
      <w:r>
        <w:lastRenderedPageBreak/>
        <w:t>I</w:t>
      </w:r>
      <w:r w:rsidR="0066704A" w:rsidRPr="00F559E6">
        <w:t>ncompetencia de la Corte Interamericana para practicar un “control de convencionalidad” relativo a la ley provincial No. 6730 y sus reformas</w:t>
      </w:r>
      <w:bookmarkEnd w:id="13"/>
    </w:p>
    <w:p w14:paraId="0EC11F1D" w14:textId="77777777" w:rsidR="0066704A" w:rsidRPr="00F559E6" w:rsidRDefault="0066704A" w:rsidP="00C962FE">
      <w:pPr>
        <w:spacing w:after="0" w:line="240" w:lineRule="auto"/>
        <w:ind w:right="21"/>
        <w:jc w:val="both"/>
        <w:rPr>
          <w:rFonts w:ascii="Verdana" w:hAnsi="Verdana"/>
          <w:sz w:val="20"/>
          <w:szCs w:val="20"/>
        </w:rPr>
      </w:pPr>
    </w:p>
    <w:p w14:paraId="21D352FC" w14:textId="7745A39D" w:rsidR="0066704A" w:rsidRPr="00BF5DF9" w:rsidRDefault="00745BB5" w:rsidP="000E3906">
      <w:pPr>
        <w:pStyle w:val="Heading3"/>
        <w:rPr>
          <w:i w:val="0"/>
        </w:rPr>
      </w:pPr>
      <w:bookmarkStart w:id="14" w:name="_Toc19533016"/>
      <w:r w:rsidRPr="00BF5DF9">
        <w:rPr>
          <w:i w:val="0"/>
        </w:rPr>
        <w:t>A</w:t>
      </w:r>
      <w:r w:rsidR="0066704A" w:rsidRPr="00BF5DF9">
        <w:rPr>
          <w:i w:val="0"/>
        </w:rPr>
        <w:t xml:space="preserve">legatos </w:t>
      </w:r>
      <w:r w:rsidR="00667CEA" w:rsidRPr="00BF5DF9">
        <w:rPr>
          <w:i w:val="0"/>
        </w:rPr>
        <w:t>de las partes</w:t>
      </w:r>
      <w:r w:rsidR="00694879" w:rsidRPr="00BF5DF9">
        <w:rPr>
          <w:i w:val="0"/>
        </w:rPr>
        <w:t xml:space="preserve"> </w:t>
      </w:r>
      <w:r w:rsidRPr="00BF5DF9">
        <w:rPr>
          <w:i w:val="0"/>
        </w:rPr>
        <w:t>y observaciones de la Comisión</w:t>
      </w:r>
      <w:bookmarkEnd w:id="14"/>
    </w:p>
    <w:p w14:paraId="432350E8" w14:textId="77777777" w:rsidR="0066704A" w:rsidRPr="00F559E6" w:rsidRDefault="0066704A" w:rsidP="00C962FE">
      <w:pPr>
        <w:spacing w:after="0" w:line="240" w:lineRule="auto"/>
        <w:ind w:right="21"/>
        <w:jc w:val="both"/>
        <w:rPr>
          <w:rFonts w:ascii="Verdana" w:eastAsia="Calibri" w:hAnsi="Verdana"/>
          <w:sz w:val="20"/>
          <w:szCs w:val="20"/>
          <w:lang w:eastAsia="es-CR"/>
        </w:rPr>
      </w:pPr>
    </w:p>
    <w:p w14:paraId="3CE3B96F" w14:textId="5E552784" w:rsidR="00A675EC" w:rsidRDefault="0066704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olor w:val="050505"/>
          <w:sz w:val="20"/>
          <w:szCs w:val="20"/>
          <w:lang w:val="es-ES"/>
        </w:rPr>
      </w:pPr>
      <w:r w:rsidRPr="00F559E6">
        <w:rPr>
          <w:rFonts w:ascii="Verdana" w:hAnsi="Verdana"/>
          <w:sz w:val="20"/>
          <w:szCs w:val="20"/>
          <w:lang w:eastAsia="es-CR"/>
        </w:rPr>
        <w:t xml:space="preserve">El </w:t>
      </w:r>
      <w:r w:rsidRPr="00F559E6">
        <w:rPr>
          <w:rFonts w:ascii="Verdana" w:hAnsi="Verdana"/>
          <w:b/>
          <w:i/>
          <w:sz w:val="20"/>
          <w:szCs w:val="20"/>
          <w:lang w:eastAsia="es-CR"/>
        </w:rPr>
        <w:t>Estado</w:t>
      </w:r>
      <w:r w:rsidRPr="00F559E6">
        <w:rPr>
          <w:rFonts w:ascii="Verdana" w:hAnsi="Verdana"/>
          <w:sz w:val="20"/>
          <w:szCs w:val="20"/>
          <w:lang w:eastAsia="es-CR"/>
        </w:rPr>
        <w:t xml:space="preserve"> alegó que los representantes pretenden que la Corte Interamericana de Derechos Humanos se pronuncie en abstracto sobre la compatibilidad de normas de derecho interno con la Convención Americana</w:t>
      </w:r>
      <w:r w:rsidRPr="00F559E6">
        <w:rPr>
          <w:rFonts w:ascii="Verdana" w:hAnsi="Verdana"/>
          <w:color w:val="050505"/>
          <w:sz w:val="20"/>
          <w:szCs w:val="20"/>
          <w:lang w:val="es-ES"/>
        </w:rPr>
        <w:t>, las cuales están despojadas de toda relación causal con el caso en especie por no encontrarse vigentes al momento en que ocurrieron los hechos</w:t>
      </w:r>
      <w:r w:rsidR="00435AF6">
        <w:rPr>
          <w:rFonts w:ascii="Verdana" w:hAnsi="Verdana"/>
          <w:color w:val="050505"/>
          <w:sz w:val="20"/>
          <w:szCs w:val="20"/>
          <w:lang w:val="es-ES"/>
        </w:rPr>
        <w:t xml:space="preserve">. </w:t>
      </w:r>
      <w:r w:rsidRPr="00F559E6">
        <w:rPr>
          <w:rFonts w:ascii="Verdana" w:hAnsi="Verdana"/>
          <w:color w:val="050505"/>
          <w:sz w:val="20"/>
          <w:szCs w:val="20"/>
          <w:lang w:val="es-ES"/>
        </w:rPr>
        <w:t>Asimismo, el Estado entendió que el planteo de los representantes de la presunta víctima importa el sometimiento de hechos nuevos que no fueron abordados por la Comisión en su Informe de Fondo</w:t>
      </w:r>
      <w:r w:rsidR="00435AF6">
        <w:rPr>
          <w:rFonts w:ascii="Verdana" w:hAnsi="Verdana"/>
          <w:color w:val="050505"/>
          <w:sz w:val="20"/>
          <w:szCs w:val="20"/>
          <w:lang w:val="es-ES"/>
        </w:rPr>
        <w:t xml:space="preserve">. </w:t>
      </w:r>
      <w:r w:rsidRPr="00F559E6">
        <w:rPr>
          <w:rFonts w:ascii="Verdana" w:hAnsi="Verdana"/>
          <w:color w:val="050505"/>
          <w:sz w:val="20"/>
          <w:szCs w:val="20"/>
          <w:lang w:val="es-ES"/>
        </w:rPr>
        <w:t>En ese sentido, alegaron que la Corte sólo sería competente para evaluar argumentos relativos a la inconvencionalidad de leyes locales, siempre y cuando estos hubieran sido objeto de tratamiento por parte de los tribunales locales, y cuando además se hubiera agotado el procedimiento previsto por los artículos 48 a 50 de la Convención Americana</w:t>
      </w:r>
      <w:r w:rsidR="00435AF6">
        <w:rPr>
          <w:rFonts w:ascii="Verdana" w:hAnsi="Verdana"/>
          <w:color w:val="050505"/>
          <w:sz w:val="20"/>
          <w:szCs w:val="20"/>
          <w:lang w:val="es-ES"/>
        </w:rPr>
        <w:t>,</w:t>
      </w:r>
      <w:r w:rsidRPr="00F559E6">
        <w:rPr>
          <w:rFonts w:ascii="Verdana" w:hAnsi="Verdana"/>
          <w:color w:val="050505"/>
          <w:sz w:val="20"/>
          <w:szCs w:val="20"/>
          <w:lang w:val="es-ES"/>
        </w:rPr>
        <w:t xml:space="preserve"> situación</w:t>
      </w:r>
      <w:r w:rsidR="00435AF6">
        <w:rPr>
          <w:rFonts w:ascii="Verdana" w:hAnsi="Verdana"/>
          <w:color w:val="050505"/>
          <w:sz w:val="20"/>
          <w:szCs w:val="20"/>
          <w:lang w:val="es-ES"/>
        </w:rPr>
        <w:t xml:space="preserve"> que</w:t>
      </w:r>
      <w:r w:rsidRPr="00F559E6">
        <w:rPr>
          <w:rFonts w:ascii="Verdana" w:hAnsi="Verdana"/>
          <w:color w:val="050505"/>
          <w:sz w:val="20"/>
          <w:szCs w:val="20"/>
          <w:lang w:val="es-ES"/>
        </w:rPr>
        <w:t xml:space="preserve"> no habría ocurrido en el presente caso</w:t>
      </w:r>
      <w:r w:rsidR="00435AF6" w:rsidRPr="00435AF6">
        <w:rPr>
          <w:rFonts w:ascii="Verdana" w:hAnsi="Verdana"/>
          <w:color w:val="050505"/>
          <w:sz w:val="20"/>
          <w:szCs w:val="20"/>
          <w:lang w:val="es-ES"/>
        </w:rPr>
        <w:t>.</w:t>
      </w:r>
      <w:r w:rsidR="00435AF6">
        <w:rPr>
          <w:rFonts w:ascii="Verdana" w:hAnsi="Verdana"/>
          <w:b/>
          <w:color w:val="050505"/>
          <w:sz w:val="20"/>
          <w:szCs w:val="20"/>
          <w:lang w:val="es-ES"/>
        </w:rPr>
        <w:t xml:space="preserve"> </w:t>
      </w:r>
      <w:r w:rsidRPr="00F559E6">
        <w:rPr>
          <w:rFonts w:ascii="Verdana" w:hAnsi="Verdana"/>
          <w:color w:val="050505"/>
          <w:sz w:val="20"/>
          <w:szCs w:val="20"/>
          <w:lang w:val="es-ES"/>
        </w:rPr>
        <w:t>En consecuencia, el Estado solicitó que la Corte se abstenga de practicar el control de convencionalidad sobre la ley provincial No. 6730 modificada por la ley provincial No. 9040</w:t>
      </w:r>
      <w:r w:rsidR="00435AF6">
        <w:rPr>
          <w:rFonts w:ascii="Verdana" w:hAnsi="Verdana"/>
          <w:color w:val="050505"/>
          <w:sz w:val="20"/>
          <w:szCs w:val="20"/>
          <w:lang w:val="es-ES"/>
        </w:rPr>
        <w:t>.</w:t>
      </w:r>
    </w:p>
    <w:p w14:paraId="2A088DD6"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olor w:val="050505"/>
          <w:sz w:val="20"/>
          <w:szCs w:val="20"/>
          <w:lang w:val="es-ES"/>
        </w:rPr>
      </w:pPr>
    </w:p>
    <w:p w14:paraId="074DB969" w14:textId="5AFAC6AC" w:rsidR="00A675EC" w:rsidRPr="008A351B" w:rsidRDefault="0066704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olor w:val="050505"/>
          <w:sz w:val="20"/>
          <w:szCs w:val="20"/>
          <w:lang w:val="es-ES"/>
        </w:rPr>
      </w:pPr>
      <w:r w:rsidRPr="00F559E6">
        <w:rPr>
          <w:rFonts w:ascii="Verdana" w:hAnsi="Verdana"/>
          <w:sz w:val="20"/>
          <w:szCs w:val="20"/>
          <w:lang w:eastAsia="es-CR"/>
        </w:rPr>
        <w:t xml:space="preserve">La </w:t>
      </w:r>
      <w:r w:rsidRPr="00F559E6">
        <w:rPr>
          <w:rFonts w:ascii="Verdana" w:hAnsi="Verdana"/>
          <w:b/>
          <w:i/>
          <w:sz w:val="20"/>
          <w:szCs w:val="20"/>
          <w:lang w:eastAsia="es-CR"/>
        </w:rPr>
        <w:t>Comisión</w:t>
      </w:r>
      <w:r w:rsidRPr="00F559E6">
        <w:rPr>
          <w:rFonts w:ascii="Verdana" w:hAnsi="Verdana"/>
          <w:i/>
          <w:sz w:val="20"/>
          <w:szCs w:val="20"/>
          <w:lang w:eastAsia="es-CR"/>
        </w:rPr>
        <w:t xml:space="preserve"> </w:t>
      </w:r>
      <w:r w:rsidRPr="00F559E6">
        <w:rPr>
          <w:rFonts w:ascii="Verdana" w:hAnsi="Verdana"/>
          <w:sz w:val="20"/>
          <w:szCs w:val="20"/>
          <w:lang w:eastAsia="es-CR"/>
        </w:rPr>
        <w:t>consideró que el planteamiento del Estado no constituye una excepción preliminar</w:t>
      </w:r>
      <w:r w:rsidR="00916B58">
        <w:rPr>
          <w:rFonts w:ascii="Verdana" w:hAnsi="Verdana"/>
          <w:sz w:val="20"/>
          <w:szCs w:val="20"/>
          <w:lang w:eastAsia="es-CR"/>
        </w:rPr>
        <w:t>.</w:t>
      </w:r>
      <w:r w:rsidRPr="00F559E6">
        <w:rPr>
          <w:rFonts w:ascii="Verdana" w:hAnsi="Verdana"/>
          <w:sz w:val="20"/>
          <w:szCs w:val="20"/>
          <w:lang w:eastAsia="es-CR"/>
        </w:rPr>
        <w:t xml:space="preserve"> En concreto, señaló que dicho planteamiento no pretende impedir el conocimiento del caso por la Corte, puesto que sus alegatos se refieren a la presunta incompetencia para pronunciarse sobre la convencionalidad de normas de derecho interno. Este aspecto corresponde al fondo del asunto, particularmente al deber de adoptar d</w:t>
      </w:r>
      <w:r w:rsidR="005C4357">
        <w:rPr>
          <w:rFonts w:ascii="Verdana" w:hAnsi="Verdana"/>
          <w:sz w:val="20"/>
          <w:szCs w:val="20"/>
          <w:lang w:eastAsia="es-CR"/>
        </w:rPr>
        <w:t>isposiciones de derecho interno</w:t>
      </w:r>
      <w:r w:rsidRPr="00F559E6">
        <w:rPr>
          <w:rFonts w:ascii="Verdana" w:hAnsi="Verdana"/>
          <w:sz w:val="20"/>
          <w:szCs w:val="20"/>
          <w:lang w:eastAsia="es-CR"/>
        </w:rPr>
        <w:t>.</w:t>
      </w:r>
      <w:r w:rsidRPr="00F559E6">
        <w:rPr>
          <w:rFonts w:ascii="Verdana" w:hAnsi="Verdana"/>
          <w:b/>
          <w:sz w:val="20"/>
          <w:szCs w:val="20"/>
          <w:lang w:eastAsia="es-CR"/>
        </w:rPr>
        <w:t xml:space="preserve"> </w:t>
      </w:r>
      <w:r w:rsidRPr="00F559E6">
        <w:rPr>
          <w:rFonts w:ascii="Verdana" w:hAnsi="Verdana"/>
          <w:sz w:val="20"/>
          <w:szCs w:val="20"/>
          <w:lang w:eastAsia="es-CR"/>
        </w:rPr>
        <w:t>Sin perjuicio de ello, la Comisión, al realizar un análisis fáctico del caso, alegó que la legislación vigente en la época de los hechos resultó violat</w:t>
      </w:r>
      <w:r w:rsidR="005C4357">
        <w:rPr>
          <w:rFonts w:ascii="Verdana" w:hAnsi="Verdana"/>
          <w:sz w:val="20"/>
          <w:szCs w:val="20"/>
          <w:lang w:eastAsia="es-CR"/>
        </w:rPr>
        <w:t>oria de la Convención Americana</w:t>
      </w:r>
      <w:r w:rsidRPr="00F559E6">
        <w:rPr>
          <w:rFonts w:ascii="Verdana" w:hAnsi="Verdana"/>
          <w:sz w:val="20"/>
          <w:szCs w:val="20"/>
          <w:lang w:eastAsia="es-CR"/>
        </w:rPr>
        <w:t>. Por esa razón, explicó que una de las recomendaciones del caso se dirigió a “disponer las medidas legislativas necesarias para adecuar la legislación interna relativa al recurso de casación a los estándares establecidos en el presente informe sobre el derecho consagrado en el artículo 8.2.h) de la Convención Americana”. En consecuencia, solicitó que se deseche la excepción pre</w:t>
      </w:r>
      <w:r w:rsidR="005C4357">
        <w:rPr>
          <w:rFonts w:ascii="Verdana" w:hAnsi="Verdana"/>
          <w:sz w:val="20"/>
          <w:szCs w:val="20"/>
          <w:lang w:eastAsia="es-CR"/>
        </w:rPr>
        <w:t>liminar planteada por el Estado</w:t>
      </w:r>
      <w:r w:rsidRPr="00F559E6">
        <w:rPr>
          <w:rFonts w:ascii="Verdana" w:hAnsi="Verdana"/>
          <w:sz w:val="20"/>
          <w:szCs w:val="20"/>
          <w:lang w:eastAsia="es-CR"/>
        </w:rPr>
        <w:t>.</w:t>
      </w:r>
    </w:p>
    <w:p w14:paraId="416724CE"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olor w:val="050505"/>
          <w:sz w:val="20"/>
          <w:szCs w:val="20"/>
          <w:lang w:val="es-ES"/>
        </w:rPr>
      </w:pPr>
    </w:p>
    <w:p w14:paraId="4BCE9BB4" w14:textId="0DE35B07" w:rsidR="0066704A" w:rsidRPr="00F559E6" w:rsidRDefault="0066704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olor w:val="050505"/>
          <w:sz w:val="20"/>
          <w:szCs w:val="20"/>
          <w:lang w:val="es-ES"/>
        </w:rPr>
      </w:pPr>
      <w:r w:rsidRPr="00F559E6">
        <w:rPr>
          <w:rFonts w:ascii="Verdana" w:hAnsi="Verdana"/>
          <w:sz w:val="20"/>
          <w:szCs w:val="20"/>
          <w:lang w:eastAsia="es-CR"/>
        </w:rPr>
        <w:t xml:space="preserve">Los </w:t>
      </w:r>
      <w:r w:rsidRPr="00F559E6">
        <w:rPr>
          <w:rFonts w:ascii="Verdana" w:hAnsi="Verdana"/>
          <w:b/>
          <w:i/>
          <w:sz w:val="20"/>
          <w:szCs w:val="20"/>
          <w:lang w:eastAsia="es-CR"/>
        </w:rPr>
        <w:t xml:space="preserve">representantes </w:t>
      </w:r>
      <w:r w:rsidRPr="00F559E6">
        <w:rPr>
          <w:rFonts w:ascii="Verdana" w:hAnsi="Verdana"/>
          <w:sz w:val="20"/>
          <w:szCs w:val="20"/>
          <w:lang w:eastAsia="es-CR"/>
        </w:rPr>
        <w:t xml:space="preserve">alegaron la improcedencia formal de la excepción por presentar </w:t>
      </w:r>
      <w:r w:rsidR="00F61EEC">
        <w:rPr>
          <w:rFonts w:ascii="Verdana" w:hAnsi="Verdana"/>
          <w:sz w:val="20"/>
          <w:szCs w:val="20"/>
          <w:lang w:eastAsia="es-CR"/>
        </w:rPr>
        <w:t>errores de concepto y contenido</w:t>
      </w:r>
      <w:r w:rsidRPr="00F559E6">
        <w:rPr>
          <w:rFonts w:ascii="Verdana" w:hAnsi="Verdana"/>
          <w:sz w:val="20"/>
          <w:szCs w:val="20"/>
          <w:lang w:eastAsia="es-CR"/>
        </w:rPr>
        <w:t>, pues el pedido no se encuentra en condiciones de producir la extinción, paralización o d</w:t>
      </w:r>
      <w:r w:rsidR="00F61EEC">
        <w:rPr>
          <w:rFonts w:ascii="Verdana" w:hAnsi="Verdana"/>
          <w:sz w:val="20"/>
          <w:szCs w:val="20"/>
          <w:lang w:eastAsia="es-CR"/>
        </w:rPr>
        <w:t>esvío del contenido de la causa</w:t>
      </w:r>
      <w:r w:rsidRPr="00F559E6">
        <w:rPr>
          <w:rFonts w:ascii="Verdana" w:hAnsi="Verdana"/>
          <w:sz w:val="20"/>
          <w:szCs w:val="20"/>
          <w:lang w:eastAsia="es-CR"/>
        </w:rPr>
        <w:t>. Sostuvieron que la ley provincial de Mendoza No. 6730 y sus reformas no pueden ser excluidas del análisis del caso, ya que son las normas sucesorias de la normativa cu</w:t>
      </w:r>
      <w:r w:rsidR="00F61EEC">
        <w:rPr>
          <w:rFonts w:ascii="Verdana" w:hAnsi="Verdana"/>
          <w:sz w:val="20"/>
          <w:szCs w:val="20"/>
          <w:lang w:eastAsia="es-CR"/>
        </w:rPr>
        <w:t>estionada en el caso Gorigoitía</w:t>
      </w:r>
      <w:r w:rsidRPr="00F559E6">
        <w:rPr>
          <w:rFonts w:ascii="Verdana" w:hAnsi="Verdana"/>
          <w:sz w:val="20"/>
          <w:szCs w:val="20"/>
          <w:lang w:eastAsia="es-CR"/>
        </w:rPr>
        <w:t xml:space="preserve">. Agregaron que la admisión de la excepción preliminar impondría decidir sobre el fondo de la petición, puesto que las consecuencias de esa ley y sus reformas hacen </w:t>
      </w:r>
      <w:r w:rsidR="00F61EEC">
        <w:rPr>
          <w:rFonts w:ascii="Verdana" w:hAnsi="Verdana"/>
          <w:sz w:val="20"/>
          <w:szCs w:val="20"/>
          <w:lang w:eastAsia="es-CR"/>
        </w:rPr>
        <w:t>a la solución integral del caso</w:t>
      </w:r>
      <w:r w:rsidRPr="00F559E6">
        <w:rPr>
          <w:rFonts w:ascii="Verdana" w:hAnsi="Verdana"/>
          <w:sz w:val="20"/>
          <w:szCs w:val="20"/>
          <w:lang w:eastAsia="es-CR"/>
        </w:rPr>
        <w:t>. Alegaron que la ley No. 6730 no es un hecho que sobrevenga al presente caso, habiéndose encontrado vigente casi desde el sometimi</w:t>
      </w:r>
      <w:r w:rsidR="00F61EEC">
        <w:rPr>
          <w:rFonts w:ascii="Verdana" w:hAnsi="Verdana"/>
          <w:sz w:val="20"/>
          <w:szCs w:val="20"/>
          <w:lang w:eastAsia="es-CR"/>
        </w:rPr>
        <w:t>ento del caso ante la Comisión</w:t>
      </w:r>
      <w:r w:rsidRPr="00F559E6">
        <w:rPr>
          <w:rFonts w:ascii="Verdana" w:hAnsi="Verdana"/>
          <w:sz w:val="20"/>
          <w:szCs w:val="20"/>
          <w:lang w:eastAsia="es-CR"/>
        </w:rPr>
        <w:t>. Sostuvieron que las reformas de la ley no han modificado las causas de las violaciones,</w:t>
      </w:r>
      <w:r w:rsidRPr="00F559E6">
        <w:rPr>
          <w:rFonts w:ascii="Verdana" w:hAnsi="Verdana"/>
          <w:b/>
          <w:sz w:val="20"/>
          <w:szCs w:val="20"/>
          <w:lang w:eastAsia="es-CR"/>
        </w:rPr>
        <w:t xml:space="preserve"> </w:t>
      </w:r>
      <w:r w:rsidRPr="00F559E6">
        <w:rPr>
          <w:rFonts w:ascii="Verdana" w:hAnsi="Verdana"/>
          <w:sz w:val="20"/>
          <w:szCs w:val="20"/>
          <w:lang w:eastAsia="es-CR"/>
        </w:rPr>
        <w:t>pues la nueva normativa sigue adoleciendo de lo</w:t>
      </w:r>
      <w:r w:rsidR="00F61EEC">
        <w:rPr>
          <w:rFonts w:ascii="Verdana" w:hAnsi="Verdana"/>
          <w:sz w:val="20"/>
          <w:szCs w:val="20"/>
          <w:lang w:eastAsia="es-CR"/>
        </w:rPr>
        <w:t>s defectos de la norma anterior</w:t>
      </w:r>
      <w:r w:rsidRPr="00F559E6">
        <w:rPr>
          <w:rFonts w:ascii="Verdana" w:hAnsi="Verdana"/>
          <w:sz w:val="20"/>
          <w:szCs w:val="20"/>
          <w:lang w:eastAsia="es-CR"/>
        </w:rPr>
        <w:t xml:space="preserve">. Finalmente, alegaron que la aplicación de los principios </w:t>
      </w:r>
      <w:r w:rsidRPr="00F559E6">
        <w:rPr>
          <w:rFonts w:ascii="Verdana" w:hAnsi="Verdana"/>
          <w:i/>
          <w:sz w:val="20"/>
          <w:szCs w:val="20"/>
          <w:lang w:eastAsia="es-CR"/>
        </w:rPr>
        <w:t>pro homine</w:t>
      </w:r>
      <w:r w:rsidRPr="00F559E6">
        <w:rPr>
          <w:rFonts w:ascii="Verdana" w:hAnsi="Verdana"/>
          <w:sz w:val="20"/>
          <w:szCs w:val="20"/>
          <w:lang w:eastAsia="es-CR"/>
        </w:rPr>
        <w:t xml:space="preserve">, </w:t>
      </w:r>
      <w:r w:rsidRPr="00F559E6">
        <w:rPr>
          <w:rFonts w:ascii="Verdana" w:hAnsi="Verdana"/>
          <w:i/>
          <w:sz w:val="20"/>
          <w:szCs w:val="20"/>
          <w:lang w:eastAsia="es-CR"/>
        </w:rPr>
        <w:t>iura novit curia</w:t>
      </w:r>
      <w:r w:rsidRPr="00F559E6">
        <w:rPr>
          <w:rFonts w:ascii="Verdana" w:hAnsi="Verdana"/>
          <w:sz w:val="20"/>
          <w:szCs w:val="20"/>
          <w:lang w:eastAsia="es-CR"/>
        </w:rPr>
        <w:t xml:space="preserve"> y ley posterior anticonvencional requieren el rechazo de la excepción pre</w:t>
      </w:r>
      <w:r w:rsidR="00F61EEC">
        <w:rPr>
          <w:rFonts w:ascii="Verdana" w:hAnsi="Verdana"/>
          <w:sz w:val="20"/>
          <w:szCs w:val="20"/>
          <w:lang w:eastAsia="es-CR"/>
        </w:rPr>
        <w:t>liminar planteada por el Estado</w:t>
      </w:r>
      <w:r w:rsidRPr="00F559E6">
        <w:rPr>
          <w:rFonts w:ascii="Verdana" w:hAnsi="Verdana"/>
          <w:sz w:val="20"/>
          <w:szCs w:val="20"/>
          <w:lang w:eastAsia="es-CR"/>
        </w:rPr>
        <w:t>.</w:t>
      </w:r>
    </w:p>
    <w:p w14:paraId="503828D3" w14:textId="77777777" w:rsidR="00E23FAD" w:rsidRDefault="00E23FAD" w:rsidP="00C962FE">
      <w:pPr>
        <w:pStyle w:val="Heading3"/>
        <w:numPr>
          <w:ilvl w:val="0"/>
          <w:numId w:val="0"/>
        </w:numPr>
      </w:pPr>
    </w:p>
    <w:p w14:paraId="1582F7BA" w14:textId="77777777" w:rsidR="0066704A" w:rsidRPr="00312E94" w:rsidRDefault="0066704A" w:rsidP="009B7062">
      <w:pPr>
        <w:pStyle w:val="Heading3"/>
        <w:rPr>
          <w:i w:val="0"/>
        </w:rPr>
      </w:pPr>
      <w:bookmarkStart w:id="15" w:name="_Toc19533017"/>
      <w:r w:rsidRPr="00312E94">
        <w:rPr>
          <w:i w:val="0"/>
        </w:rPr>
        <w:t>Consideraciones de la Corte</w:t>
      </w:r>
      <w:bookmarkEnd w:id="15"/>
    </w:p>
    <w:p w14:paraId="5C666293" w14:textId="77777777" w:rsidR="0066704A" w:rsidRPr="00F559E6" w:rsidRDefault="0066704A" w:rsidP="00C962FE">
      <w:pPr>
        <w:spacing w:after="0" w:line="240" w:lineRule="auto"/>
        <w:ind w:right="21"/>
        <w:jc w:val="both"/>
        <w:rPr>
          <w:rFonts w:ascii="Verdana" w:hAnsi="Verdana"/>
          <w:sz w:val="20"/>
          <w:szCs w:val="20"/>
        </w:rPr>
      </w:pPr>
    </w:p>
    <w:p w14:paraId="7CB7F964" w14:textId="157C2C78" w:rsidR="00A675EC" w:rsidRPr="008A351B" w:rsidRDefault="0066704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trike/>
          <w:sz w:val="20"/>
          <w:szCs w:val="20"/>
        </w:rPr>
      </w:pPr>
      <w:r w:rsidRPr="00F559E6">
        <w:rPr>
          <w:rFonts w:ascii="Verdana" w:hAnsi="Verdana"/>
          <w:sz w:val="20"/>
          <w:szCs w:val="20"/>
        </w:rPr>
        <w:t>L</w:t>
      </w:r>
      <w:r w:rsidRPr="00F559E6">
        <w:rPr>
          <w:rFonts w:ascii="Verdana" w:hAnsi="Verdana"/>
          <w:sz w:val="20"/>
          <w:szCs w:val="20"/>
          <w:lang w:val="es-CR" w:eastAsia="es-ES"/>
        </w:rPr>
        <w:t xml:space="preserve">a Corte recuerda que, conforme a su jurisprudencia, únicamente considerará como excepciones preliminares aquellos argumentos que tienen o podrían tener exclusivamente tal naturaleza atendiendo a su contenido y finalidad, </w:t>
      </w:r>
      <w:r w:rsidRPr="00F559E6">
        <w:rPr>
          <w:rFonts w:ascii="Verdana" w:hAnsi="Verdana"/>
          <w:sz w:val="20"/>
          <w:szCs w:val="20"/>
        </w:rPr>
        <w:t xml:space="preserve">es decir, que de resolverse favorablemente </w:t>
      </w:r>
      <w:r w:rsidRPr="00F559E6">
        <w:rPr>
          <w:rFonts w:ascii="Verdana" w:hAnsi="Verdana"/>
          <w:sz w:val="20"/>
          <w:szCs w:val="20"/>
        </w:rPr>
        <w:lastRenderedPageBreak/>
        <w:t>impedirían la continuación del procedimiento o el pronunciamiento sobre el fondo</w:t>
      </w:r>
      <w:r w:rsidRPr="00F559E6">
        <w:rPr>
          <w:rStyle w:val="FootnoteReference"/>
          <w:rFonts w:ascii="Verdana" w:hAnsi="Verdana"/>
          <w:sz w:val="20"/>
          <w:szCs w:val="20"/>
        </w:rPr>
        <w:footnoteReference w:id="15"/>
      </w:r>
      <w:r w:rsidRPr="00F559E6">
        <w:rPr>
          <w:rFonts w:ascii="Verdana" w:hAnsi="Verdana"/>
          <w:sz w:val="20"/>
          <w:szCs w:val="20"/>
          <w:lang w:val="es-ES"/>
        </w:rPr>
        <w:t xml:space="preserve">. Ha sido criterio reiterado de la Corte que, por medio de una excepción preliminar, se presentan </w:t>
      </w:r>
      <w:r w:rsidRPr="00F559E6">
        <w:rPr>
          <w:rFonts w:ascii="Verdana" w:hAnsi="Verdana"/>
          <w:sz w:val="20"/>
          <w:szCs w:val="20"/>
        </w:rPr>
        <w:t>objeciones relacionadas con la admisibilidad de un caso o la competencia de la Corte para conocer de un determinado caso o de alguno de sus aspectos, ya sea en razón de la persona, materia, tiempo o lugar</w:t>
      </w:r>
      <w:r w:rsidRPr="00F559E6">
        <w:rPr>
          <w:rFonts w:ascii="Verdana" w:hAnsi="Verdana"/>
          <w:sz w:val="20"/>
          <w:szCs w:val="20"/>
          <w:vertAlign w:val="superscript"/>
        </w:rPr>
        <w:footnoteReference w:id="16"/>
      </w:r>
      <w:r w:rsidR="002B648D">
        <w:rPr>
          <w:rFonts w:ascii="Verdana" w:hAnsi="Verdana"/>
          <w:sz w:val="20"/>
          <w:szCs w:val="20"/>
        </w:rPr>
        <w:t>.</w:t>
      </w:r>
      <w:r w:rsidR="00491182">
        <w:rPr>
          <w:rFonts w:ascii="Verdana" w:hAnsi="Verdana"/>
          <w:sz w:val="20"/>
          <w:szCs w:val="20"/>
        </w:rPr>
        <w:t xml:space="preserve"> </w:t>
      </w:r>
      <w:r w:rsidR="00491182" w:rsidRPr="00D90394">
        <w:rPr>
          <w:rFonts w:ascii="Verdana" w:hAnsi="Verdana"/>
          <w:sz w:val="20"/>
          <w:szCs w:val="20"/>
          <w:lang w:val="es-ES"/>
        </w:rPr>
        <w:t xml:space="preserve">Por ello, independientemente de que el Estado defina un planteamiento como “excepción preliminar”, </w:t>
      </w:r>
      <w:r w:rsidR="00491182" w:rsidRPr="00D90394">
        <w:rPr>
          <w:rFonts w:ascii="Verdana" w:hAnsi="Verdana"/>
          <w:sz w:val="20"/>
          <w:szCs w:val="20"/>
        </w:rPr>
        <w:t>si al analizar tales planteamientos fuere necesario entrar a considerar previamente el fondo de un caso, los mismos perderían su carácter preliminar y no podrían ser analizados como tales</w:t>
      </w:r>
      <w:r w:rsidR="00491182" w:rsidRPr="00D90394">
        <w:rPr>
          <w:rFonts w:ascii="Verdana" w:hAnsi="Verdana"/>
          <w:sz w:val="20"/>
          <w:szCs w:val="20"/>
          <w:vertAlign w:val="superscript"/>
        </w:rPr>
        <w:footnoteReference w:id="17"/>
      </w:r>
      <w:r w:rsidR="00491182" w:rsidRPr="00D90394">
        <w:rPr>
          <w:rFonts w:ascii="Verdana" w:hAnsi="Verdana"/>
          <w:sz w:val="20"/>
          <w:szCs w:val="20"/>
        </w:rPr>
        <w:t>.</w:t>
      </w:r>
    </w:p>
    <w:p w14:paraId="4F28A60E" w14:textId="77777777" w:rsidR="008A351B" w:rsidRPr="002B648D" w:rsidRDefault="008A351B" w:rsidP="00C962FE">
      <w:pPr>
        <w:widowControl w:val="0"/>
        <w:tabs>
          <w:tab w:val="left" w:pos="567"/>
        </w:tabs>
        <w:adjustRightInd w:val="0"/>
        <w:spacing w:after="0" w:line="240" w:lineRule="auto"/>
        <w:jc w:val="both"/>
        <w:textAlignment w:val="baseline"/>
        <w:rPr>
          <w:rFonts w:ascii="Verdana" w:hAnsi="Verdana"/>
          <w:strike/>
          <w:sz w:val="20"/>
          <w:szCs w:val="20"/>
        </w:rPr>
      </w:pPr>
    </w:p>
    <w:p w14:paraId="5C66DA86" w14:textId="620074D8" w:rsidR="003636FF" w:rsidRDefault="0066704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El alegato de los representantes, por el que el Estado cuestionó la competencia de este Tribunal, se dirige a solicitarle a la Corte que evalúe la compatibilidad de leyes que fueron adoptadas con posterioridad a la época de los hechos y que no fueron aplicadas en el procedimiento llevado en contra del señor Gorigoitía. Al respecto, la Corte constata que la Sentencia mediante la cual se condenó al señor Gorigoitía fue adoptada el 12 de septiembre de 1997 por la Cámara Primera del Crimen de Mendoza</w:t>
      </w:r>
      <w:r w:rsidR="00576FE8">
        <w:rPr>
          <w:rFonts w:ascii="Verdana" w:hAnsi="Verdana"/>
          <w:sz w:val="20"/>
          <w:szCs w:val="20"/>
        </w:rPr>
        <w:t xml:space="preserve"> (en adelante, “la Cámara Primera”)</w:t>
      </w:r>
      <w:r w:rsidRPr="00F559E6">
        <w:rPr>
          <w:rFonts w:ascii="Verdana" w:hAnsi="Verdana"/>
          <w:sz w:val="20"/>
          <w:szCs w:val="20"/>
        </w:rPr>
        <w:t xml:space="preserve"> (</w:t>
      </w:r>
      <w:r w:rsidRPr="003F5991">
        <w:rPr>
          <w:rFonts w:ascii="Verdana" w:hAnsi="Verdana"/>
          <w:i/>
          <w:sz w:val="20"/>
          <w:szCs w:val="20"/>
        </w:rPr>
        <w:t>infra</w:t>
      </w:r>
      <w:r w:rsidR="003F5991">
        <w:rPr>
          <w:rFonts w:ascii="Verdana" w:hAnsi="Verdana"/>
          <w:sz w:val="20"/>
          <w:szCs w:val="20"/>
        </w:rPr>
        <w:t xml:space="preserve"> párr. 30</w:t>
      </w:r>
      <w:r w:rsidRPr="00F559E6">
        <w:rPr>
          <w:rFonts w:ascii="Verdana" w:hAnsi="Verdana"/>
          <w:sz w:val="20"/>
          <w:szCs w:val="20"/>
        </w:rPr>
        <w:t>), y que el recurso de casación interpuesto por su defensa fue resuelto el 19 de diciembre de 1997 (</w:t>
      </w:r>
      <w:r w:rsidRPr="003F5991">
        <w:rPr>
          <w:rFonts w:ascii="Verdana" w:hAnsi="Verdana"/>
          <w:i/>
          <w:sz w:val="20"/>
          <w:szCs w:val="20"/>
        </w:rPr>
        <w:t>infra</w:t>
      </w:r>
      <w:r w:rsidR="003F5991">
        <w:rPr>
          <w:rFonts w:ascii="Verdana" w:hAnsi="Verdana"/>
          <w:sz w:val="20"/>
          <w:szCs w:val="20"/>
        </w:rPr>
        <w:t xml:space="preserve"> párr. 35</w:t>
      </w:r>
      <w:r w:rsidRPr="00F559E6">
        <w:rPr>
          <w:rFonts w:ascii="Verdana" w:hAnsi="Verdana"/>
          <w:sz w:val="20"/>
          <w:szCs w:val="20"/>
        </w:rPr>
        <w:t>). Asimismo, que la legislación procesal penal vigente en la época de los hechos era el Código Procesal Penal de la Provincia de Mendoza, Ley</w:t>
      </w:r>
      <w:r w:rsidR="00576FE8">
        <w:rPr>
          <w:rFonts w:ascii="Verdana" w:hAnsi="Verdana"/>
          <w:sz w:val="20"/>
          <w:szCs w:val="20"/>
        </w:rPr>
        <w:t xml:space="preserve"> No.</w:t>
      </w:r>
      <w:r w:rsidRPr="00F559E6">
        <w:rPr>
          <w:rFonts w:ascii="Verdana" w:hAnsi="Verdana"/>
          <w:sz w:val="20"/>
          <w:szCs w:val="20"/>
        </w:rPr>
        <w:t xml:space="preserve"> 1908 del año 1950, y el Código Procesal Penal de la Nación, Ley</w:t>
      </w:r>
      <w:r w:rsidR="00576FE8">
        <w:rPr>
          <w:rFonts w:ascii="Verdana" w:hAnsi="Verdana"/>
          <w:sz w:val="20"/>
          <w:szCs w:val="20"/>
        </w:rPr>
        <w:t xml:space="preserve"> No.</w:t>
      </w:r>
      <w:r w:rsidRPr="00F559E6">
        <w:rPr>
          <w:rFonts w:ascii="Verdana" w:hAnsi="Verdana"/>
          <w:sz w:val="20"/>
          <w:szCs w:val="20"/>
        </w:rPr>
        <w:t xml:space="preserve"> 23.984 del año 1991. El Tribunal nota que el recurso de casación en la provincia de Mendoza se rige actualmente por el Código Procesal Penal de la Provincia de Mendoza, Ley</w:t>
      </w:r>
      <w:r w:rsidR="00141A6D">
        <w:rPr>
          <w:rFonts w:ascii="Verdana" w:hAnsi="Verdana"/>
          <w:sz w:val="20"/>
          <w:szCs w:val="20"/>
        </w:rPr>
        <w:t xml:space="preserve"> No.</w:t>
      </w:r>
      <w:r w:rsidRPr="00F559E6">
        <w:rPr>
          <w:rFonts w:ascii="Verdana" w:hAnsi="Verdana"/>
          <w:sz w:val="20"/>
          <w:szCs w:val="20"/>
        </w:rPr>
        <w:t xml:space="preserve"> 6730 del año 1999 modificada por la Ley</w:t>
      </w:r>
      <w:r w:rsidR="00576FE8">
        <w:rPr>
          <w:rFonts w:ascii="Verdana" w:hAnsi="Verdana"/>
          <w:sz w:val="20"/>
          <w:szCs w:val="20"/>
        </w:rPr>
        <w:t xml:space="preserve"> No.</w:t>
      </w:r>
      <w:r w:rsidRPr="00F559E6">
        <w:rPr>
          <w:rFonts w:ascii="Verdana" w:hAnsi="Verdana"/>
          <w:sz w:val="20"/>
          <w:szCs w:val="20"/>
        </w:rPr>
        <w:t xml:space="preserve"> 9040 de 2018</w:t>
      </w:r>
      <w:r w:rsidR="00141A6D">
        <w:rPr>
          <w:rFonts w:ascii="Verdana" w:hAnsi="Verdana"/>
          <w:sz w:val="20"/>
          <w:szCs w:val="20"/>
        </w:rPr>
        <w:t>, y a nivel n</w:t>
      </w:r>
      <w:r w:rsidRPr="00F559E6">
        <w:rPr>
          <w:rFonts w:ascii="Verdana" w:hAnsi="Verdana"/>
          <w:sz w:val="20"/>
          <w:szCs w:val="20"/>
        </w:rPr>
        <w:t>acional por el Código Procesal Penal de la Nación Arge</w:t>
      </w:r>
      <w:r w:rsidR="008A351B">
        <w:rPr>
          <w:rFonts w:ascii="Verdana" w:hAnsi="Verdana"/>
          <w:sz w:val="20"/>
          <w:szCs w:val="20"/>
        </w:rPr>
        <w:t>ntina, Ley</w:t>
      </w:r>
      <w:r w:rsidR="00576FE8">
        <w:rPr>
          <w:rFonts w:ascii="Verdana" w:hAnsi="Verdana"/>
          <w:sz w:val="20"/>
          <w:szCs w:val="20"/>
        </w:rPr>
        <w:t xml:space="preserve"> No.</w:t>
      </w:r>
      <w:r w:rsidR="008A351B">
        <w:rPr>
          <w:rFonts w:ascii="Verdana" w:hAnsi="Verdana"/>
          <w:sz w:val="20"/>
          <w:szCs w:val="20"/>
        </w:rPr>
        <w:t xml:space="preserve"> 27.063 del año 2014.</w:t>
      </w:r>
    </w:p>
    <w:p w14:paraId="18FC67F0" w14:textId="77777777" w:rsidR="003636FF" w:rsidRDefault="003636FF" w:rsidP="00C962FE">
      <w:pPr>
        <w:widowControl w:val="0"/>
        <w:tabs>
          <w:tab w:val="left" w:pos="567"/>
        </w:tabs>
        <w:adjustRightInd w:val="0"/>
        <w:spacing w:after="0" w:line="240" w:lineRule="auto"/>
        <w:jc w:val="both"/>
        <w:textAlignment w:val="baseline"/>
        <w:rPr>
          <w:rFonts w:ascii="Verdana" w:hAnsi="Verdana"/>
          <w:sz w:val="20"/>
          <w:szCs w:val="20"/>
        </w:rPr>
      </w:pPr>
    </w:p>
    <w:p w14:paraId="084521A6" w14:textId="39C507F5" w:rsidR="008A351B" w:rsidRPr="002A13E5" w:rsidRDefault="00F12172"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2A13E5">
        <w:rPr>
          <w:rFonts w:ascii="Verdana" w:hAnsi="Verdana"/>
          <w:sz w:val="20"/>
          <w:szCs w:val="20"/>
        </w:rPr>
        <w:t>En relación con lo anterior, e</w:t>
      </w:r>
      <w:r w:rsidR="003636FF" w:rsidRPr="002A13E5">
        <w:rPr>
          <w:rFonts w:ascii="Verdana" w:hAnsi="Verdana"/>
          <w:sz w:val="20"/>
          <w:szCs w:val="20"/>
        </w:rPr>
        <w:t>l Tribunal recuerda que la competencia contenciosa de la Corte no tiene por objeto la revisión de las legislaciones nacionales en abstracto, sino que es ejercida para resolver casos concretos en que se alegue que un acto atribuible al Estado es contrario a la Convención</w:t>
      </w:r>
      <w:r w:rsidR="003636FF" w:rsidRPr="002A13E5">
        <w:rPr>
          <w:rStyle w:val="FootnoteReference"/>
          <w:rFonts w:ascii="Verdana" w:hAnsi="Verdana"/>
          <w:sz w:val="20"/>
          <w:szCs w:val="20"/>
        </w:rPr>
        <w:footnoteReference w:id="18"/>
      </w:r>
      <w:r w:rsidR="003636FF" w:rsidRPr="002A13E5">
        <w:rPr>
          <w:rFonts w:ascii="Verdana" w:hAnsi="Verdana"/>
          <w:sz w:val="20"/>
          <w:szCs w:val="20"/>
        </w:rPr>
        <w:t>.</w:t>
      </w:r>
      <w:r w:rsidR="003636FF" w:rsidRPr="002A13E5">
        <w:rPr>
          <w:rFonts w:ascii="Verdana" w:hAnsi="Verdana"/>
          <w:sz w:val="20"/>
          <w:szCs w:val="20"/>
          <w:lang w:val="es-CR" w:eastAsia="es-CR"/>
        </w:rPr>
        <w:t xml:space="preserve"> </w:t>
      </w:r>
      <w:r w:rsidR="00491182" w:rsidRPr="002A13E5">
        <w:rPr>
          <w:rFonts w:ascii="Verdana" w:hAnsi="Verdana"/>
          <w:sz w:val="20"/>
          <w:szCs w:val="20"/>
        </w:rPr>
        <w:t>Sin embargo</w:t>
      </w:r>
      <w:r w:rsidR="0066704A" w:rsidRPr="002A13E5">
        <w:rPr>
          <w:rFonts w:ascii="Verdana" w:hAnsi="Verdana"/>
          <w:sz w:val="20"/>
          <w:szCs w:val="20"/>
        </w:rPr>
        <w:t>,</w:t>
      </w:r>
      <w:r w:rsidR="00906EE8" w:rsidRPr="002A13E5">
        <w:rPr>
          <w:rFonts w:ascii="Verdana" w:hAnsi="Verdana"/>
          <w:sz w:val="20"/>
          <w:szCs w:val="20"/>
        </w:rPr>
        <w:t xml:space="preserve"> </w:t>
      </w:r>
      <w:r w:rsidR="00491182" w:rsidRPr="002A13E5">
        <w:rPr>
          <w:rFonts w:ascii="Verdana" w:hAnsi="Verdana"/>
          <w:sz w:val="20"/>
          <w:szCs w:val="20"/>
        </w:rPr>
        <w:t xml:space="preserve">la Corte advierte que </w:t>
      </w:r>
      <w:r w:rsidR="00E114B0" w:rsidRPr="002A13E5">
        <w:rPr>
          <w:rFonts w:ascii="Verdana" w:hAnsi="Verdana"/>
          <w:sz w:val="20"/>
          <w:szCs w:val="20"/>
        </w:rPr>
        <w:t>uno de los aspectos de análisis en el</w:t>
      </w:r>
      <w:r w:rsidR="00491182" w:rsidRPr="002A13E5">
        <w:rPr>
          <w:rFonts w:ascii="Verdana" w:hAnsi="Verdana"/>
          <w:sz w:val="20"/>
          <w:szCs w:val="20"/>
        </w:rPr>
        <w:t xml:space="preserve"> presente caso consiste en determinar </w:t>
      </w:r>
      <w:r w:rsidR="00E114B0" w:rsidRPr="002A13E5">
        <w:rPr>
          <w:rFonts w:ascii="Verdana" w:hAnsi="Verdana"/>
          <w:sz w:val="20"/>
          <w:szCs w:val="20"/>
        </w:rPr>
        <w:t xml:space="preserve">la compatibilidad entre la regulación del recurso de casación en la Provincia de Mendoza en la época de los hechos, la cual fue aplicada al señor Gorigoitía, y </w:t>
      </w:r>
      <w:r w:rsidR="00E114B0" w:rsidRPr="002A13E5">
        <w:rPr>
          <w:rFonts w:ascii="Verdana" w:hAnsi="Verdana"/>
          <w:color w:val="050505"/>
          <w:sz w:val="20"/>
          <w:szCs w:val="20"/>
          <w:lang w:val="es-ES"/>
        </w:rPr>
        <w:t>la Convención Americana</w:t>
      </w:r>
      <w:r w:rsidR="00AC3BDC" w:rsidRPr="002A13E5">
        <w:rPr>
          <w:rFonts w:ascii="Verdana" w:hAnsi="Verdana"/>
          <w:color w:val="050505"/>
          <w:sz w:val="20"/>
          <w:szCs w:val="20"/>
          <w:lang w:val="es-ES"/>
        </w:rPr>
        <w:t>, así como las acciones posteriores dirigidas a asegurar la revisión integral en materia de casación</w:t>
      </w:r>
      <w:r w:rsidR="00E114B0" w:rsidRPr="002A13E5">
        <w:rPr>
          <w:rFonts w:ascii="Verdana" w:hAnsi="Verdana"/>
          <w:color w:val="050505"/>
          <w:sz w:val="20"/>
          <w:szCs w:val="20"/>
          <w:lang w:val="es-ES"/>
        </w:rPr>
        <w:t xml:space="preserve">. El análisis de esta cuestión corresponde al fondo del asunto, específicamente al deber </w:t>
      </w:r>
      <w:r w:rsidR="005A137B" w:rsidRPr="002A13E5">
        <w:rPr>
          <w:rFonts w:ascii="Verdana" w:hAnsi="Verdana"/>
          <w:color w:val="050505"/>
          <w:sz w:val="20"/>
          <w:szCs w:val="20"/>
          <w:lang w:val="es-ES"/>
        </w:rPr>
        <w:t>del Estado de</w:t>
      </w:r>
      <w:r w:rsidR="00E114B0" w:rsidRPr="002A13E5">
        <w:rPr>
          <w:rFonts w:ascii="Verdana" w:hAnsi="Verdana"/>
          <w:color w:val="050505"/>
          <w:sz w:val="20"/>
          <w:szCs w:val="20"/>
          <w:lang w:val="es-ES"/>
        </w:rPr>
        <w:t xml:space="preserve"> adoptar disposiciones de derecho interno en términos del artículo 2 de la Convención. En razón de ello, </w:t>
      </w:r>
      <w:r w:rsidR="0066704A" w:rsidRPr="002A13E5">
        <w:rPr>
          <w:rFonts w:ascii="Verdana" w:hAnsi="Verdana"/>
          <w:sz w:val="20"/>
          <w:szCs w:val="20"/>
        </w:rPr>
        <w:t xml:space="preserve">la Corte </w:t>
      </w:r>
      <w:r w:rsidR="00DB5ABD" w:rsidRPr="002A13E5">
        <w:rPr>
          <w:rFonts w:ascii="Verdana" w:hAnsi="Verdana"/>
          <w:sz w:val="20"/>
          <w:szCs w:val="20"/>
        </w:rPr>
        <w:t>desestima</w:t>
      </w:r>
      <w:r w:rsidR="0066704A" w:rsidRPr="002A13E5">
        <w:rPr>
          <w:rFonts w:ascii="Verdana" w:hAnsi="Verdana"/>
          <w:sz w:val="20"/>
          <w:szCs w:val="20"/>
        </w:rPr>
        <w:t xml:space="preserve"> la excepción preliminar</w:t>
      </w:r>
      <w:r w:rsidR="00906EE8" w:rsidRPr="002A13E5">
        <w:rPr>
          <w:rFonts w:ascii="Verdana" w:hAnsi="Verdana"/>
          <w:sz w:val="20"/>
          <w:szCs w:val="20"/>
        </w:rPr>
        <w:t xml:space="preserve"> del Estado</w:t>
      </w:r>
      <w:r w:rsidR="0066704A" w:rsidRPr="002A13E5">
        <w:rPr>
          <w:rFonts w:ascii="Verdana" w:hAnsi="Verdana"/>
          <w:sz w:val="20"/>
          <w:szCs w:val="20"/>
        </w:rPr>
        <w:t>.</w:t>
      </w:r>
    </w:p>
    <w:p w14:paraId="3777C736" w14:textId="77777777" w:rsidR="0066704A" w:rsidRPr="0098473C" w:rsidRDefault="0066704A" w:rsidP="00C962FE">
      <w:pPr>
        <w:keepNext/>
        <w:keepLines/>
        <w:tabs>
          <w:tab w:val="left" w:pos="851"/>
        </w:tabs>
        <w:spacing w:after="0" w:line="240" w:lineRule="auto"/>
        <w:jc w:val="center"/>
        <w:outlineLvl w:val="0"/>
        <w:rPr>
          <w:rFonts w:ascii="Verdana" w:eastAsia="Times New Roman" w:hAnsi="Verdana" w:cs="Times New Roman"/>
          <w:bCs/>
          <w:caps/>
          <w:snapToGrid w:val="0"/>
          <w:sz w:val="20"/>
          <w:szCs w:val="20"/>
        </w:rPr>
      </w:pPr>
    </w:p>
    <w:p w14:paraId="60E8AAD2" w14:textId="1B70A125" w:rsidR="002B648D" w:rsidRDefault="001C3B78" w:rsidP="000149E0">
      <w:pPr>
        <w:pStyle w:val="Heading1"/>
        <w:rPr>
          <w:rFonts w:eastAsia="Times New Roman" w:cs="Verdana"/>
          <w:b w:val="0"/>
          <w:bCs/>
          <w:caps/>
          <w:snapToGrid w:val="0"/>
          <w:lang w:val="es-ES_tradnl"/>
        </w:rPr>
      </w:pPr>
      <w:bookmarkStart w:id="16" w:name="_Toc19533018"/>
      <w:r w:rsidRPr="00F559E6">
        <w:rPr>
          <w:rFonts w:eastAsia="Times New Roman" w:cs="Verdana"/>
          <w:bCs/>
          <w:caps/>
          <w:snapToGrid w:val="0"/>
          <w:lang w:val="es-ES_tradnl"/>
        </w:rPr>
        <w:t>V</w:t>
      </w:r>
      <w:r w:rsidRPr="00F559E6">
        <w:rPr>
          <w:rFonts w:eastAsia="Times New Roman" w:cs="Verdana"/>
          <w:bCs/>
          <w:caps/>
          <w:snapToGrid w:val="0"/>
          <w:lang w:val="es-ES_tradnl"/>
        </w:rPr>
        <w:br/>
      </w:r>
      <w:r>
        <w:rPr>
          <w:rFonts w:eastAsia="Times New Roman" w:cs="Times New Roman"/>
          <w:bCs/>
          <w:caps/>
          <w:snapToGrid w:val="0"/>
          <w:lang w:val="es-ES_tradnl"/>
        </w:rPr>
        <w:t>CONSIDERACIÓN PREVIA</w:t>
      </w:r>
      <w:bookmarkEnd w:id="16"/>
    </w:p>
    <w:p w14:paraId="76F8F17F" w14:textId="77777777" w:rsidR="002B648D" w:rsidRDefault="002B648D" w:rsidP="00C962FE">
      <w:pPr>
        <w:pStyle w:val="NormalNumbered"/>
        <w:numPr>
          <w:ilvl w:val="0"/>
          <w:numId w:val="0"/>
        </w:numPr>
        <w:rPr>
          <w:snapToGrid w:val="0"/>
          <w:lang w:val="es-ES_tradnl"/>
        </w:rPr>
      </w:pPr>
    </w:p>
    <w:p w14:paraId="13FFE7A5" w14:textId="601AC5A1" w:rsidR="002B648D" w:rsidRPr="002B648D" w:rsidRDefault="00DF242D" w:rsidP="002767A8">
      <w:pPr>
        <w:pStyle w:val="NormalNumbered"/>
        <w:numPr>
          <w:ilvl w:val="0"/>
          <w:numId w:val="11"/>
        </w:numPr>
        <w:ind w:left="0" w:firstLine="0"/>
        <w:rPr>
          <w:snapToGrid w:val="0"/>
          <w:lang w:val="es-ES_tradnl"/>
        </w:rPr>
      </w:pPr>
      <w:r>
        <w:rPr>
          <w:snapToGrid w:val="0"/>
          <w:lang w:val="es-ES_tradnl"/>
        </w:rPr>
        <w:t>Los representantes de</w:t>
      </w:r>
      <w:r w:rsidR="0067485F">
        <w:rPr>
          <w:snapToGrid w:val="0"/>
          <w:lang w:val="es-ES_tradnl"/>
        </w:rPr>
        <w:t>l señor Gorigoitía</w:t>
      </w:r>
      <w:r>
        <w:rPr>
          <w:snapToGrid w:val="0"/>
          <w:lang w:val="es-ES_tradnl"/>
        </w:rPr>
        <w:t xml:space="preserve"> solicitaron al Tribunal </w:t>
      </w:r>
      <w:r w:rsidR="00590819">
        <w:rPr>
          <w:snapToGrid w:val="0"/>
          <w:lang w:val="es-ES_tradnl"/>
        </w:rPr>
        <w:t xml:space="preserve">medidas de reparación para los familiares de </w:t>
      </w:r>
      <w:r w:rsidR="0067485F">
        <w:rPr>
          <w:snapToGrid w:val="0"/>
          <w:lang w:val="es-ES_tradnl"/>
        </w:rPr>
        <w:t xml:space="preserve">este. </w:t>
      </w:r>
      <w:r w:rsidR="00590819">
        <w:rPr>
          <w:snapToGrid w:val="0"/>
          <w:lang w:val="es-ES_tradnl"/>
        </w:rPr>
        <w:t xml:space="preserve">Sin embargo, </w:t>
      </w:r>
      <w:r w:rsidR="00694879">
        <w:rPr>
          <w:snapToGrid w:val="0"/>
          <w:lang w:val="es-ES_tradnl"/>
        </w:rPr>
        <w:t>la C</w:t>
      </w:r>
      <w:r w:rsidR="00576FE8">
        <w:rPr>
          <w:snapToGrid w:val="0"/>
          <w:lang w:val="es-ES_tradnl"/>
        </w:rPr>
        <w:t>omisión Interamericana no señaló</w:t>
      </w:r>
      <w:r w:rsidR="00694879">
        <w:rPr>
          <w:snapToGrid w:val="0"/>
          <w:lang w:val="es-ES_tradnl"/>
        </w:rPr>
        <w:t xml:space="preserve"> a los familiares del señor Gorigoitía como presuntas víctimas en su Informe de Fondo. Por esta razón la Corte calificará la solicitud de los representantes como una consideración previa.</w:t>
      </w:r>
    </w:p>
    <w:p w14:paraId="58EE163A" w14:textId="77777777" w:rsidR="002B648D" w:rsidRPr="002B648D" w:rsidRDefault="002B648D" w:rsidP="00C962FE">
      <w:pPr>
        <w:pStyle w:val="NormalNumbered"/>
        <w:numPr>
          <w:ilvl w:val="0"/>
          <w:numId w:val="0"/>
        </w:numPr>
      </w:pPr>
    </w:p>
    <w:p w14:paraId="40D7840A" w14:textId="77777777" w:rsidR="002B648D" w:rsidRDefault="002B648D" w:rsidP="002767A8">
      <w:pPr>
        <w:pStyle w:val="Heading2"/>
        <w:numPr>
          <w:ilvl w:val="0"/>
          <w:numId w:val="21"/>
        </w:numPr>
      </w:pPr>
      <w:bookmarkStart w:id="17" w:name="_Toc11699305"/>
      <w:bookmarkStart w:id="18" w:name="_Toc19533019"/>
      <w:r>
        <w:t>Determinación de las presuntas víctimas</w:t>
      </w:r>
      <w:bookmarkEnd w:id="17"/>
      <w:bookmarkEnd w:id="18"/>
    </w:p>
    <w:p w14:paraId="26F14CB9" w14:textId="77777777" w:rsidR="002B648D" w:rsidRPr="004B01AD" w:rsidRDefault="002B648D" w:rsidP="00C962FE">
      <w:pPr>
        <w:spacing w:after="0" w:line="240" w:lineRule="auto"/>
        <w:rPr>
          <w:lang w:val="es-CR" w:eastAsia="es-CR"/>
        </w:rPr>
      </w:pPr>
    </w:p>
    <w:p w14:paraId="12192DED" w14:textId="68C4A2DB" w:rsidR="002B648D" w:rsidRPr="00034E18" w:rsidRDefault="002B648D" w:rsidP="002767A8">
      <w:pPr>
        <w:pStyle w:val="Heading3"/>
        <w:numPr>
          <w:ilvl w:val="0"/>
          <w:numId w:val="18"/>
        </w:numPr>
        <w:rPr>
          <w:i w:val="0"/>
        </w:rPr>
      </w:pPr>
      <w:r>
        <w:t xml:space="preserve"> </w:t>
      </w:r>
      <w:bookmarkStart w:id="19" w:name="_Toc11699306"/>
      <w:bookmarkStart w:id="20" w:name="_Toc19533020"/>
      <w:r w:rsidRPr="00034E18">
        <w:rPr>
          <w:i w:val="0"/>
        </w:rPr>
        <w:t xml:space="preserve">Alegatos de las partes y </w:t>
      </w:r>
      <w:r w:rsidR="001C1233">
        <w:rPr>
          <w:i w:val="0"/>
        </w:rPr>
        <w:t xml:space="preserve">observaciones </w:t>
      </w:r>
      <w:r w:rsidR="00576FE8" w:rsidRPr="00034E18">
        <w:rPr>
          <w:i w:val="0"/>
        </w:rPr>
        <w:t xml:space="preserve">de </w:t>
      </w:r>
      <w:r w:rsidRPr="00034E18">
        <w:rPr>
          <w:i w:val="0"/>
        </w:rPr>
        <w:t>la Comisión</w:t>
      </w:r>
      <w:bookmarkEnd w:id="19"/>
      <w:bookmarkEnd w:id="20"/>
    </w:p>
    <w:p w14:paraId="6B0392F8" w14:textId="77777777" w:rsidR="002B648D" w:rsidRPr="00A436C2" w:rsidRDefault="002B648D" w:rsidP="00C962FE">
      <w:pPr>
        <w:spacing w:after="0" w:line="240" w:lineRule="auto"/>
      </w:pPr>
    </w:p>
    <w:p w14:paraId="7C06A325" w14:textId="37142348" w:rsidR="00694879" w:rsidRDefault="00942DC1"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color w:val="000000"/>
          <w:sz w:val="20"/>
          <w:szCs w:val="20"/>
        </w:rPr>
      </w:pPr>
      <w:r>
        <w:rPr>
          <w:rFonts w:ascii="Verdana" w:hAnsi="Verdana"/>
          <w:sz w:val="20"/>
          <w:szCs w:val="20"/>
        </w:rPr>
        <w:t xml:space="preserve">la </w:t>
      </w:r>
      <w:r>
        <w:rPr>
          <w:rFonts w:ascii="Verdana" w:hAnsi="Verdana"/>
          <w:b/>
          <w:i/>
          <w:sz w:val="20"/>
          <w:szCs w:val="20"/>
        </w:rPr>
        <w:t>Comisión</w:t>
      </w:r>
      <w:r>
        <w:rPr>
          <w:rFonts w:ascii="Verdana" w:hAnsi="Verdana"/>
          <w:sz w:val="20"/>
          <w:szCs w:val="20"/>
        </w:rPr>
        <w:t xml:space="preserve"> señaló en el Informe de Fondo No. </w:t>
      </w:r>
      <w:r>
        <w:rPr>
          <w:rFonts w:ascii="Verdana" w:eastAsia="Verdana" w:hAnsi="Verdana" w:cs="Verdana"/>
          <w:color w:val="000000"/>
          <w:sz w:val="20"/>
          <w:szCs w:val="20"/>
        </w:rPr>
        <w:t xml:space="preserve">98/17 </w:t>
      </w:r>
      <w:r>
        <w:rPr>
          <w:rFonts w:ascii="Verdana" w:hAnsi="Verdana"/>
          <w:sz w:val="20"/>
          <w:szCs w:val="20"/>
        </w:rPr>
        <w:t xml:space="preserve">que la presunta víctima en el presente caso es el señor Oscar Raúl Gorigoitía. </w:t>
      </w:r>
      <w:r w:rsidR="00694879">
        <w:rPr>
          <w:rFonts w:ascii="Verdana" w:eastAsia="Verdana" w:hAnsi="Verdana" w:cs="Verdana"/>
          <w:color w:val="000000"/>
          <w:sz w:val="20"/>
          <w:szCs w:val="20"/>
        </w:rPr>
        <w:t xml:space="preserve">Los </w:t>
      </w:r>
      <w:r w:rsidR="00694879">
        <w:rPr>
          <w:rFonts w:ascii="Verdana" w:eastAsia="Verdana" w:hAnsi="Verdana" w:cs="Verdana"/>
          <w:b/>
          <w:i/>
          <w:color w:val="000000"/>
          <w:sz w:val="20"/>
          <w:szCs w:val="20"/>
        </w:rPr>
        <w:t xml:space="preserve">representantes </w:t>
      </w:r>
      <w:r w:rsidR="00667115">
        <w:rPr>
          <w:rFonts w:ascii="Verdana" w:eastAsia="Verdana" w:hAnsi="Verdana" w:cs="Verdana"/>
          <w:color w:val="000000"/>
          <w:sz w:val="20"/>
          <w:szCs w:val="20"/>
        </w:rPr>
        <w:t>manifestaron en su escrito de argumentos y pruebas que la familia del señor Gorigoitía, compuesta por su esposa Berta Montenegro y tres hijos, vivió el impacto del proceso arbitrario por el “escarnio público del delito ocasionado por un miembro de la Policía de Mendoza”, por “la desilusión del proceso penal, el cierre de las vías procesales, el fin del estado policial, las dificultades económicas” y</w:t>
      </w:r>
      <w:r w:rsidR="00F96A54">
        <w:rPr>
          <w:rFonts w:ascii="Verdana" w:eastAsia="Verdana" w:hAnsi="Verdana" w:cs="Verdana"/>
          <w:color w:val="000000"/>
          <w:sz w:val="20"/>
          <w:szCs w:val="20"/>
        </w:rPr>
        <w:t xml:space="preserve"> “enfrentar problemas de salud”</w:t>
      </w:r>
      <w:r w:rsidR="00667115">
        <w:rPr>
          <w:rFonts w:ascii="Verdana" w:eastAsia="Verdana" w:hAnsi="Verdana" w:cs="Verdana"/>
          <w:color w:val="000000"/>
          <w:sz w:val="20"/>
          <w:szCs w:val="20"/>
        </w:rPr>
        <w:t>. En ese sentido, solicitaron que se le otorgara “el beneficio jubilatorio que corresponde a Oscar Gorigoitía</w:t>
      </w:r>
      <w:r w:rsidR="00F96A54">
        <w:rPr>
          <w:rFonts w:ascii="Verdana" w:eastAsia="Verdana" w:hAnsi="Verdana" w:cs="Verdana"/>
          <w:color w:val="000000"/>
          <w:sz w:val="20"/>
          <w:szCs w:val="20"/>
        </w:rPr>
        <w:t>,</w:t>
      </w:r>
      <w:r w:rsidR="00667115">
        <w:rPr>
          <w:rFonts w:ascii="Verdana" w:eastAsia="Verdana" w:hAnsi="Verdana" w:cs="Verdana"/>
          <w:color w:val="000000"/>
          <w:sz w:val="20"/>
          <w:szCs w:val="20"/>
        </w:rPr>
        <w:t xml:space="preserve"> y su cobertura social para su esposa e hijo”, una “beca en materia de capacitación para Nicolás Gorigoitía” y brindar “servicio gratuito de terapia familiar a Oscar </w:t>
      </w:r>
      <w:r w:rsidR="00F96A54">
        <w:rPr>
          <w:rFonts w:ascii="Verdana" w:eastAsia="Verdana" w:hAnsi="Verdana" w:cs="Verdana"/>
          <w:color w:val="000000"/>
          <w:sz w:val="20"/>
          <w:szCs w:val="20"/>
        </w:rPr>
        <w:t>Gorigoitía y su grupo familiar”</w:t>
      </w:r>
      <w:r w:rsidR="00667115">
        <w:rPr>
          <w:rFonts w:ascii="Verdana" w:eastAsia="Verdana" w:hAnsi="Verdana" w:cs="Verdana"/>
          <w:color w:val="000000"/>
          <w:sz w:val="20"/>
          <w:szCs w:val="20"/>
        </w:rPr>
        <w:t xml:space="preserve">. </w:t>
      </w:r>
    </w:p>
    <w:p w14:paraId="0D215ACC" w14:textId="77777777" w:rsidR="00667115" w:rsidRPr="00694879" w:rsidRDefault="00667115" w:rsidP="00C962FE">
      <w:pPr>
        <w:widowControl w:val="0"/>
        <w:tabs>
          <w:tab w:val="left" w:pos="567"/>
        </w:tabs>
        <w:adjustRightInd w:val="0"/>
        <w:spacing w:after="0" w:line="240" w:lineRule="auto"/>
        <w:jc w:val="both"/>
        <w:textAlignment w:val="baseline"/>
        <w:rPr>
          <w:rFonts w:ascii="Verdana" w:eastAsia="Verdana" w:hAnsi="Verdana" w:cs="Verdana"/>
          <w:color w:val="000000"/>
          <w:sz w:val="20"/>
          <w:szCs w:val="20"/>
        </w:rPr>
      </w:pPr>
    </w:p>
    <w:p w14:paraId="2DEC7D43" w14:textId="57A2CB2C" w:rsidR="00667115" w:rsidRPr="00667115" w:rsidRDefault="002B648D"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El </w:t>
      </w:r>
      <w:r w:rsidRPr="004B01AD">
        <w:rPr>
          <w:rFonts w:ascii="Verdana" w:hAnsi="Verdana"/>
          <w:b/>
          <w:i/>
          <w:sz w:val="20"/>
          <w:szCs w:val="20"/>
        </w:rPr>
        <w:t>Estado</w:t>
      </w:r>
      <w:r w:rsidRPr="00F559E6">
        <w:rPr>
          <w:rFonts w:ascii="Verdana" w:hAnsi="Verdana"/>
          <w:sz w:val="20"/>
          <w:szCs w:val="20"/>
        </w:rPr>
        <w:t xml:space="preserve"> </w:t>
      </w:r>
      <w:r w:rsidR="00667115">
        <w:rPr>
          <w:rFonts w:ascii="Verdana" w:hAnsi="Verdana"/>
          <w:sz w:val="20"/>
          <w:szCs w:val="20"/>
        </w:rPr>
        <w:t>alegó</w:t>
      </w:r>
      <w:r w:rsidRPr="00F559E6">
        <w:rPr>
          <w:rFonts w:ascii="Verdana" w:hAnsi="Verdana"/>
          <w:sz w:val="20"/>
          <w:szCs w:val="20"/>
        </w:rPr>
        <w:t xml:space="preserve"> que </w:t>
      </w:r>
      <w:r w:rsidRPr="00F559E6">
        <w:rPr>
          <w:rFonts w:ascii="Verdana" w:eastAsia="Arial" w:hAnsi="Verdana" w:cs="Arial"/>
          <w:sz w:val="20"/>
          <w:szCs w:val="20"/>
          <w:lang w:val="es-ES"/>
        </w:rPr>
        <w:t xml:space="preserve">en ninguna etapa del proceso ante la Comisión se </w:t>
      </w:r>
      <w:r w:rsidR="00FC49BC" w:rsidRPr="00F559E6">
        <w:rPr>
          <w:rFonts w:ascii="Verdana" w:eastAsia="Arial" w:hAnsi="Verdana" w:cs="Arial"/>
          <w:sz w:val="20"/>
          <w:szCs w:val="20"/>
          <w:lang w:val="es-ES"/>
        </w:rPr>
        <w:t>arguyó</w:t>
      </w:r>
      <w:r w:rsidRPr="00F559E6">
        <w:rPr>
          <w:rFonts w:ascii="Verdana" w:eastAsia="Arial" w:hAnsi="Verdana" w:cs="Arial"/>
          <w:sz w:val="20"/>
          <w:szCs w:val="20"/>
          <w:lang w:val="es-ES"/>
        </w:rPr>
        <w:t xml:space="preserve"> la condición de víctima de los familiares del señor Gorigoitía, ni tampoco fueron reconocidos como tales en el Informe de Fondo. Asimismo, destacó que lo analizado en dicha instancia corresponde a la violación de los artículos 8.2.h) y 25.1, en relación con los artículos 1.1 y 2 de la Convención en perjuicio del señor Gorigoitía, siendo que ningún otro derecho se alegó como afectado en perjuicio del se</w:t>
      </w:r>
      <w:r w:rsidR="00667115">
        <w:rPr>
          <w:rFonts w:ascii="Verdana" w:eastAsia="Arial" w:hAnsi="Verdana" w:cs="Arial"/>
          <w:sz w:val="20"/>
          <w:szCs w:val="20"/>
          <w:lang w:val="es-ES"/>
        </w:rPr>
        <w:t>ñor Gorigoitía o sus familiares. Por este motivo,</w:t>
      </w:r>
      <w:r w:rsidRPr="00F559E6">
        <w:rPr>
          <w:rFonts w:ascii="Verdana" w:eastAsia="Arial" w:hAnsi="Verdana" w:cs="Arial"/>
          <w:sz w:val="20"/>
          <w:szCs w:val="20"/>
          <w:lang w:val="es-ES"/>
        </w:rPr>
        <w:t xml:space="preserve"> </w:t>
      </w:r>
      <w:r w:rsidR="00667115">
        <w:rPr>
          <w:rFonts w:ascii="Verdana" w:eastAsia="Arial" w:hAnsi="Verdana" w:cs="Arial"/>
          <w:sz w:val="20"/>
          <w:szCs w:val="20"/>
          <w:lang w:val="es-ES"/>
        </w:rPr>
        <w:t>sostuvo</w:t>
      </w:r>
      <w:r w:rsidRPr="00F559E6">
        <w:rPr>
          <w:rFonts w:ascii="Verdana" w:eastAsia="Arial" w:hAnsi="Verdana" w:cs="Arial"/>
          <w:sz w:val="20"/>
          <w:szCs w:val="20"/>
          <w:lang w:val="es-ES"/>
        </w:rPr>
        <w:t xml:space="preserve"> que incorporar nuevas violaciones alteraría el objeto procesal del caso y violentaría el adecuado ejercicio del derecho de defensa del Estado. En virtud de ello, el Estado sostuvo que debe declararse improcedente toda reparación pretendida en favor de los familiares del señor Gorigoitía, así como toda la prueba tendiente a demostrar los supuestos per</w:t>
      </w:r>
      <w:r w:rsidR="00667115">
        <w:rPr>
          <w:rFonts w:ascii="Verdana" w:eastAsia="Arial" w:hAnsi="Verdana" w:cs="Arial"/>
          <w:sz w:val="20"/>
          <w:szCs w:val="20"/>
          <w:lang w:val="es-ES"/>
        </w:rPr>
        <w:t>juicios sufridos por los mismos</w:t>
      </w:r>
      <w:r w:rsidR="00FC49BC">
        <w:rPr>
          <w:rFonts w:ascii="Verdana" w:eastAsia="Arial" w:hAnsi="Verdana" w:cs="Arial"/>
          <w:b/>
          <w:sz w:val="20"/>
          <w:szCs w:val="20"/>
          <w:lang w:val="es-ES"/>
        </w:rPr>
        <w:t>.</w:t>
      </w:r>
    </w:p>
    <w:p w14:paraId="7250FFDD" w14:textId="77777777" w:rsidR="00667115" w:rsidRPr="00667115" w:rsidRDefault="00667115" w:rsidP="00C962FE">
      <w:pPr>
        <w:widowControl w:val="0"/>
        <w:tabs>
          <w:tab w:val="left" w:pos="567"/>
        </w:tabs>
        <w:adjustRightInd w:val="0"/>
        <w:spacing w:after="0" w:line="240" w:lineRule="auto"/>
        <w:jc w:val="both"/>
        <w:textAlignment w:val="baseline"/>
        <w:rPr>
          <w:rFonts w:ascii="Verdana" w:hAnsi="Verdana"/>
          <w:sz w:val="20"/>
          <w:szCs w:val="20"/>
        </w:rPr>
      </w:pPr>
    </w:p>
    <w:p w14:paraId="3B9208CC" w14:textId="77777777" w:rsidR="002B648D" w:rsidRDefault="002B648D" w:rsidP="001335CC">
      <w:pPr>
        <w:pStyle w:val="Heading3"/>
        <w:rPr>
          <w:i w:val="0"/>
        </w:rPr>
      </w:pPr>
      <w:r>
        <w:t xml:space="preserve"> </w:t>
      </w:r>
      <w:bookmarkStart w:id="21" w:name="_Toc11699307"/>
      <w:bookmarkStart w:id="22" w:name="_Toc19533021"/>
      <w:r>
        <w:rPr>
          <w:i w:val="0"/>
        </w:rPr>
        <w:t>Consideraciones de la Corte</w:t>
      </w:r>
      <w:bookmarkEnd w:id="21"/>
      <w:bookmarkEnd w:id="22"/>
    </w:p>
    <w:p w14:paraId="6C68561E" w14:textId="77777777" w:rsidR="002B648D" w:rsidRPr="00A436C2" w:rsidRDefault="002B648D" w:rsidP="00C962FE">
      <w:pPr>
        <w:spacing w:after="0" w:line="240" w:lineRule="auto"/>
      </w:pPr>
    </w:p>
    <w:p w14:paraId="5FF31A86" w14:textId="213D5A37" w:rsidR="002B648D" w:rsidRPr="00942DC1" w:rsidRDefault="002B648D"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color w:val="000000"/>
          <w:sz w:val="20"/>
          <w:szCs w:val="20"/>
          <w:lang w:val="es-CR"/>
        </w:rPr>
      </w:pPr>
      <w:r>
        <w:rPr>
          <w:rFonts w:ascii="Verdana" w:eastAsia="Verdana" w:hAnsi="Verdana" w:cs="Verdana"/>
          <w:sz w:val="20"/>
          <w:szCs w:val="20"/>
        </w:rPr>
        <w:t>Con relación a la identificación de las presuntas víctimas, la Corte recuerda que el artículo 35.1 del Reglamento de la Corte disp</w:t>
      </w:r>
      <w:r w:rsidR="00E04C34">
        <w:rPr>
          <w:rFonts w:ascii="Verdana" w:eastAsia="Verdana" w:hAnsi="Verdana" w:cs="Verdana"/>
          <w:sz w:val="20"/>
          <w:szCs w:val="20"/>
        </w:rPr>
        <w:t>one</w:t>
      </w:r>
      <w:r>
        <w:rPr>
          <w:rFonts w:ascii="Verdana" w:eastAsia="Verdana" w:hAnsi="Verdana" w:cs="Verdana"/>
          <w:sz w:val="20"/>
          <w:szCs w:val="20"/>
        </w:rPr>
        <w:t xml:space="preserv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Pr>
          <w:rStyle w:val="FootnoteReference"/>
          <w:rFonts w:eastAsia="Verdana" w:cs="Verdana"/>
        </w:rPr>
        <w:footnoteReference w:id="19"/>
      </w:r>
      <w:r>
        <w:rPr>
          <w:rFonts w:ascii="Verdana" w:eastAsia="Verdana" w:hAnsi="Verdana" w:cs="Verdana"/>
          <w:sz w:val="20"/>
          <w:szCs w:val="20"/>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Pr>
          <w:rStyle w:val="FootnoteReference"/>
          <w:rFonts w:eastAsia="Verdana" w:cs="Verdana"/>
        </w:rPr>
        <w:footnoteReference w:id="20"/>
      </w:r>
      <w:r>
        <w:rPr>
          <w:rFonts w:ascii="Verdana" w:eastAsia="Verdana" w:hAnsi="Verdana" w:cs="Verdana"/>
          <w:sz w:val="20"/>
          <w:szCs w:val="20"/>
        </w:rPr>
        <w:t>.</w:t>
      </w:r>
    </w:p>
    <w:p w14:paraId="5E13ECCB" w14:textId="77777777" w:rsidR="00942DC1" w:rsidRPr="002B648D" w:rsidRDefault="00942DC1" w:rsidP="00C962FE">
      <w:pPr>
        <w:widowControl w:val="0"/>
        <w:tabs>
          <w:tab w:val="left" w:pos="567"/>
        </w:tabs>
        <w:adjustRightInd w:val="0"/>
        <w:spacing w:after="0" w:line="240" w:lineRule="auto"/>
        <w:jc w:val="both"/>
        <w:textAlignment w:val="baseline"/>
        <w:rPr>
          <w:rFonts w:ascii="Verdana" w:eastAsia="Verdana" w:hAnsi="Verdana" w:cs="Verdana"/>
          <w:color w:val="000000"/>
          <w:sz w:val="20"/>
          <w:szCs w:val="20"/>
          <w:lang w:val="es-CR"/>
        </w:rPr>
      </w:pPr>
    </w:p>
    <w:p w14:paraId="429B8D4D" w14:textId="2233DA90" w:rsidR="002B648D" w:rsidRPr="002B648D" w:rsidRDefault="002B648D"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Verdana" w:hAnsi="Verdana" w:cs="Verdana"/>
          <w:color w:val="000000"/>
          <w:sz w:val="20"/>
          <w:szCs w:val="20"/>
          <w:lang w:val="es-CR"/>
        </w:rPr>
      </w:pPr>
      <w:r w:rsidRPr="002B648D">
        <w:rPr>
          <w:rFonts w:ascii="Verdana" w:eastAsia="Verdana" w:hAnsi="Verdana" w:cs="Verdana"/>
          <w:sz w:val="20"/>
          <w:szCs w:val="20"/>
        </w:rPr>
        <w:t xml:space="preserve">En </w:t>
      </w:r>
      <w:r w:rsidR="00942DC1">
        <w:rPr>
          <w:rFonts w:ascii="Verdana" w:eastAsia="Verdana" w:hAnsi="Verdana" w:cs="Verdana"/>
          <w:sz w:val="20"/>
          <w:szCs w:val="20"/>
        </w:rPr>
        <w:t>el presente</w:t>
      </w:r>
      <w:r w:rsidRPr="002B648D">
        <w:rPr>
          <w:rFonts w:ascii="Verdana" w:eastAsia="Verdana" w:hAnsi="Verdana" w:cs="Verdana"/>
          <w:sz w:val="20"/>
          <w:szCs w:val="20"/>
        </w:rPr>
        <w:t xml:space="preserve"> caso</w:t>
      </w:r>
      <w:r w:rsidR="00942DC1">
        <w:rPr>
          <w:rFonts w:ascii="Verdana" w:eastAsia="Verdana" w:hAnsi="Verdana" w:cs="Verdana"/>
          <w:sz w:val="20"/>
          <w:szCs w:val="20"/>
        </w:rPr>
        <w:t xml:space="preserve"> la Corte constata que</w:t>
      </w:r>
      <w:r w:rsidRPr="002B648D">
        <w:rPr>
          <w:rFonts w:ascii="Verdana" w:eastAsia="Verdana" w:hAnsi="Verdana" w:cs="Verdana"/>
          <w:sz w:val="20"/>
          <w:szCs w:val="20"/>
        </w:rPr>
        <w:t xml:space="preserve"> no se </w:t>
      </w:r>
      <w:r w:rsidR="00942DC1">
        <w:rPr>
          <w:rFonts w:ascii="Verdana" w:eastAsia="Verdana" w:hAnsi="Verdana" w:cs="Verdana"/>
          <w:sz w:val="20"/>
          <w:szCs w:val="20"/>
        </w:rPr>
        <w:t>configura</w:t>
      </w:r>
      <w:r w:rsidRPr="002B648D">
        <w:rPr>
          <w:rFonts w:ascii="Verdana" w:eastAsia="Verdana" w:hAnsi="Verdana" w:cs="Verdana"/>
          <w:sz w:val="20"/>
          <w:szCs w:val="20"/>
        </w:rPr>
        <w:t xml:space="preserve"> alguna de las excepciones previstas en el artículo 35.2 del Reglamento de la Corte. En consecuencia, en razón de las normas dispuestas en el artículo 35.1 del Reglamento</w:t>
      </w:r>
      <w:r w:rsidR="00942DC1">
        <w:rPr>
          <w:rFonts w:ascii="Verdana" w:eastAsia="Verdana" w:hAnsi="Verdana" w:cs="Verdana"/>
          <w:sz w:val="20"/>
          <w:szCs w:val="20"/>
        </w:rPr>
        <w:t>,</w:t>
      </w:r>
      <w:r w:rsidRPr="002B648D">
        <w:rPr>
          <w:rFonts w:ascii="Verdana" w:eastAsia="Verdana" w:hAnsi="Verdana" w:cs="Verdana"/>
          <w:sz w:val="20"/>
          <w:szCs w:val="20"/>
        </w:rPr>
        <w:t xml:space="preserve"> y los precedentes sobre los que este Tribunal se ha pronunciado al respecto, la Corte concluye que </w:t>
      </w:r>
      <w:r w:rsidR="00942DC1">
        <w:rPr>
          <w:rFonts w:ascii="Verdana" w:eastAsia="Verdana" w:hAnsi="Verdana" w:cs="Verdana"/>
          <w:sz w:val="20"/>
          <w:szCs w:val="20"/>
        </w:rPr>
        <w:t xml:space="preserve">solo se considerará al </w:t>
      </w:r>
      <w:r w:rsidRPr="002B648D">
        <w:rPr>
          <w:rFonts w:ascii="Verdana" w:eastAsia="Verdana" w:hAnsi="Verdana" w:cs="Verdana"/>
          <w:sz w:val="20"/>
          <w:szCs w:val="20"/>
        </w:rPr>
        <w:t xml:space="preserve">señor Gorigoitía </w:t>
      </w:r>
      <w:r w:rsidR="00942DC1">
        <w:rPr>
          <w:rFonts w:ascii="Verdana" w:eastAsia="Verdana" w:hAnsi="Verdana" w:cs="Verdana"/>
          <w:sz w:val="20"/>
          <w:szCs w:val="20"/>
        </w:rPr>
        <w:t xml:space="preserve">como </w:t>
      </w:r>
      <w:r w:rsidRPr="002B648D">
        <w:rPr>
          <w:rFonts w:ascii="Verdana" w:eastAsia="Verdana" w:hAnsi="Verdana" w:cs="Verdana"/>
          <w:sz w:val="20"/>
          <w:szCs w:val="20"/>
        </w:rPr>
        <w:t xml:space="preserve">presunta víctima en presente caso y no corresponde admitir a </w:t>
      </w:r>
      <w:r w:rsidR="00444481">
        <w:rPr>
          <w:rFonts w:ascii="Verdana" w:eastAsia="Verdana" w:hAnsi="Verdana" w:cs="Verdana"/>
          <w:sz w:val="20"/>
          <w:szCs w:val="20"/>
        </w:rPr>
        <w:t>sus</w:t>
      </w:r>
      <w:r w:rsidRPr="002B648D">
        <w:rPr>
          <w:rFonts w:ascii="Verdana" w:eastAsia="Verdana" w:hAnsi="Verdana" w:cs="Verdana"/>
          <w:sz w:val="20"/>
          <w:szCs w:val="20"/>
        </w:rPr>
        <w:t xml:space="preserve"> familiares como presuntas víctimas.</w:t>
      </w:r>
    </w:p>
    <w:p w14:paraId="2A75DD1D" w14:textId="77777777" w:rsidR="002B648D" w:rsidRPr="00F559E6" w:rsidRDefault="002B648D" w:rsidP="00C962FE">
      <w:pPr>
        <w:keepNext/>
        <w:keepLines/>
        <w:tabs>
          <w:tab w:val="left" w:pos="851"/>
        </w:tabs>
        <w:spacing w:after="0" w:line="240" w:lineRule="auto"/>
        <w:jc w:val="center"/>
        <w:outlineLvl w:val="0"/>
        <w:rPr>
          <w:rFonts w:ascii="Verdana" w:eastAsia="Times New Roman" w:hAnsi="Verdana" w:cs="Times New Roman"/>
          <w:b/>
          <w:bCs/>
          <w:caps/>
          <w:snapToGrid w:val="0"/>
          <w:sz w:val="20"/>
          <w:szCs w:val="20"/>
        </w:rPr>
      </w:pPr>
    </w:p>
    <w:p w14:paraId="09223EC8" w14:textId="005256EB" w:rsidR="008549CC" w:rsidRPr="00F559E6" w:rsidRDefault="008549CC" w:rsidP="001335CC">
      <w:pPr>
        <w:pStyle w:val="Heading1"/>
        <w:rPr>
          <w:rFonts w:eastAsia="Times New Roman" w:cs="Verdana"/>
          <w:b w:val="0"/>
          <w:bCs/>
          <w:caps/>
          <w:snapToGrid w:val="0"/>
          <w:lang w:val="es-ES_tradnl"/>
        </w:rPr>
      </w:pPr>
      <w:bookmarkStart w:id="23" w:name="_Toc375517114"/>
      <w:bookmarkStart w:id="24" w:name="_Toc459158102"/>
      <w:bookmarkStart w:id="25" w:name="_Toc470180046"/>
      <w:bookmarkStart w:id="26" w:name="_Toc514172609"/>
      <w:bookmarkStart w:id="27" w:name="_Toc526774142"/>
      <w:bookmarkStart w:id="28" w:name="_Toc526777474"/>
      <w:bookmarkStart w:id="29" w:name="_Toc526783753"/>
      <w:bookmarkStart w:id="30" w:name="_Toc529192672"/>
      <w:bookmarkStart w:id="31" w:name="_Toc7020777"/>
      <w:bookmarkStart w:id="32" w:name="_Toc19533022"/>
      <w:r w:rsidRPr="00F559E6">
        <w:rPr>
          <w:rFonts w:eastAsia="Times New Roman" w:cs="Verdana"/>
          <w:bCs/>
          <w:caps/>
          <w:snapToGrid w:val="0"/>
          <w:lang w:val="es-ES_tradnl"/>
        </w:rPr>
        <w:t>V</w:t>
      </w:r>
      <w:r w:rsidR="00444481">
        <w:rPr>
          <w:rFonts w:eastAsia="Times New Roman" w:cs="Verdana"/>
          <w:bCs/>
          <w:caps/>
          <w:snapToGrid w:val="0"/>
          <w:lang w:val="es-ES_tradnl"/>
        </w:rPr>
        <w:t>I</w:t>
      </w:r>
      <w:r w:rsidRPr="00F559E6">
        <w:rPr>
          <w:rFonts w:eastAsia="Times New Roman" w:cs="Verdana"/>
          <w:bCs/>
          <w:caps/>
          <w:snapToGrid w:val="0"/>
          <w:lang w:val="es-ES_tradnl"/>
        </w:rPr>
        <w:br/>
        <w:t>PRUEBA</w:t>
      </w:r>
      <w:bookmarkEnd w:id="23"/>
      <w:bookmarkEnd w:id="24"/>
      <w:bookmarkEnd w:id="25"/>
      <w:bookmarkEnd w:id="26"/>
      <w:bookmarkEnd w:id="27"/>
      <w:bookmarkEnd w:id="28"/>
      <w:bookmarkEnd w:id="29"/>
      <w:bookmarkEnd w:id="30"/>
      <w:bookmarkEnd w:id="31"/>
      <w:bookmarkEnd w:id="32"/>
    </w:p>
    <w:p w14:paraId="01CF422C" w14:textId="77777777" w:rsidR="008549CC" w:rsidRPr="00F559E6" w:rsidRDefault="008549CC" w:rsidP="00C962FE">
      <w:pPr>
        <w:keepNext/>
        <w:keepLines/>
        <w:tabs>
          <w:tab w:val="left" w:pos="851"/>
        </w:tabs>
        <w:spacing w:after="0" w:line="240" w:lineRule="auto"/>
        <w:jc w:val="both"/>
        <w:outlineLvl w:val="0"/>
        <w:rPr>
          <w:rFonts w:ascii="Verdana" w:eastAsia="Times New Roman" w:hAnsi="Verdana" w:cs="Times New Roman"/>
          <w:b/>
          <w:bCs/>
          <w:caps/>
          <w:snapToGrid w:val="0"/>
          <w:sz w:val="20"/>
          <w:szCs w:val="20"/>
        </w:rPr>
      </w:pPr>
    </w:p>
    <w:p w14:paraId="072A385A" w14:textId="77777777" w:rsidR="00500A60" w:rsidRPr="00500A60" w:rsidRDefault="00500A60" w:rsidP="002767A8">
      <w:pPr>
        <w:pStyle w:val="Heading2"/>
        <w:numPr>
          <w:ilvl w:val="0"/>
          <w:numId w:val="19"/>
        </w:numPr>
      </w:pPr>
      <w:bookmarkStart w:id="33" w:name="_Toc9511440"/>
      <w:bookmarkStart w:id="34" w:name="_Toc4402948"/>
      <w:bookmarkStart w:id="35" w:name="_Toc4402709"/>
      <w:bookmarkStart w:id="36" w:name="_Toc19533023"/>
      <w:r w:rsidRPr="00500A60">
        <w:t>Admisibilidad de la prueba documental</w:t>
      </w:r>
      <w:bookmarkEnd w:id="33"/>
      <w:bookmarkEnd w:id="34"/>
      <w:bookmarkEnd w:id="35"/>
      <w:bookmarkEnd w:id="36"/>
    </w:p>
    <w:p w14:paraId="79C0882C" w14:textId="77777777" w:rsidR="00500A60" w:rsidRPr="00500A60" w:rsidRDefault="00500A60" w:rsidP="00C962FE">
      <w:pPr>
        <w:pStyle w:val="PrrafodeSentencia"/>
        <w:contextualSpacing/>
        <w:rPr>
          <w:spacing w:val="0"/>
          <w:szCs w:val="20"/>
          <w:lang w:val="es-CR"/>
        </w:rPr>
      </w:pPr>
    </w:p>
    <w:p w14:paraId="6A34E8A6" w14:textId="73794E73" w:rsidR="00293C8E" w:rsidRDefault="00500A60"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MX"/>
        </w:rPr>
      </w:pPr>
      <w:r w:rsidRPr="007A5487">
        <w:rPr>
          <w:rFonts w:ascii="Verdana" w:hAnsi="Verdana"/>
          <w:sz w:val="20"/>
          <w:szCs w:val="20"/>
          <w:lang w:val="es-CR"/>
        </w:rPr>
        <w:t xml:space="preserve">El Tribunal recibió diversos documentos presentados como prueba por la Comisión, los representantes y el Estado, </w:t>
      </w:r>
      <w:r w:rsidR="00917BB0" w:rsidRPr="007A5487">
        <w:rPr>
          <w:rFonts w:ascii="Verdana" w:hAnsi="Verdana"/>
          <w:sz w:val="20"/>
          <w:szCs w:val="20"/>
        </w:rPr>
        <w:t xml:space="preserve">así como también aquellos solicitados por la Corte o su Presidencia como prueba para mejor resolver, </w:t>
      </w:r>
      <w:r w:rsidR="009F55DF" w:rsidRPr="007A5487">
        <w:rPr>
          <w:rFonts w:ascii="Verdana" w:hAnsi="Verdana"/>
          <w:sz w:val="20"/>
          <w:szCs w:val="20"/>
          <w:lang w:val="es-CR"/>
        </w:rPr>
        <w:t>l</w:t>
      </w:r>
      <w:r w:rsidRPr="007A5487">
        <w:rPr>
          <w:rFonts w:ascii="Verdana" w:hAnsi="Verdana"/>
          <w:sz w:val="20"/>
          <w:szCs w:val="20"/>
          <w:lang w:val="es-CR"/>
        </w:rPr>
        <w:t>os cuales, como en otros casos, admite en el entendido que fueron presentados en la debida oportunidad proce</w:t>
      </w:r>
      <w:r w:rsidR="006C3E5B">
        <w:rPr>
          <w:rFonts w:ascii="Verdana" w:hAnsi="Verdana"/>
          <w:sz w:val="20"/>
          <w:szCs w:val="20"/>
          <w:lang w:val="es-CR"/>
        </w:rPr>
        <w:t>sal</w:t>
      </w:r>
      <w:r w:rsidRPr="007A5487">
        <w:rPr>
          <w:rStyle w:val="FootnoteReference"/>
          <w:rFonts w:ascii="Verdana" w:hAnsi="Verdana"/>
          <w:sz w:val="20"/>
          <w:szCs w:val="20"/>
        </w:rPr>
        <w:footnoteReference w:id="21"/>
      </w:r>
      <w:r w:rsidRPr="007A5487">
        <w:rPr>
          <w:rFonts w:ascii="Verdana" w:hAnsi="Verdana"/>
          <w:sz w:val="20"/>
          <w:szCs w:val="20"/>
          <w:lang w:val="es-CR"/>
        </w:rPr>
        <w:t xml:space="preserve"> y su admisibilidad no</w:t>
      </w:r>
      <w:r w:rsidR="007A5487">
        <w:rPr>
          <w:rFonts w:ascii="Verdana" w:hAnsi="Verdana"/>
          <w:sz w:val="20"/>
          <w:szCs w:val="20"/>
          <w:lang w:val="es-CR"/>
        </w:rPr>
        <w:t xml:space="preserve"> fue controvertida ni objetada.</w:t>
      </w:r>
    </w:p>
    <w:p w14:paraId="0ACE0FC9" w14:textId="77777777" w:rsidR="007A5487" w:rsidRPr="007A5487" w:rsidRDefault="007A5487" w:rsidP="00C962FE">
      <w:pPr>
        <w:widowControl w:val="0"/>
        <w:tabs>
          <w:tab w:val="left" w:pos="567"/>
        </w:tabs>
        <w:adjustRightInd w:val="0"/>
        <w:spacing w:after="0" w:line="240" w:lineRule="auto"/>
        <w:jc w:val="both"/>
        <w:textAlignment w:val="baseline"/>
        <w:rPr>
          <w:rFonts w:ascii="Verdana" w:hAnsi="Verdana"/>
          <w:sz w:val="20"/>
          <w:szCs w:val="20"/>
          <w:lang w:val="es-CR" w:eastAsia="es-MX"/>
        </w:rPr>
      </w:pPr>
    </w:p>
    <w:p w14:paraId="1E403F94" w14:textId="77777777" w:rsidR="007A5487" w:rsidRDefault="00500A60" w:rsidP="00E112A2">
      <w:pPr>
        <w:pStyle w:val="Heading2"/>
      </w:pPr>
      <w:bookmarkStart w:id="37" w:name="_Toc9511441"/>
      <w:bookmarkStart w:id="38" w:name="_Toc4402949"/>
      <w:bookmarkStart w:id="39" w:name="_Toc4402710"/>
      <w:bookmarkStart w:id="40" w:name="_Toc19533024"/>
      <w:r w:rsidRPr="00500A60">
        <w:t>Admisibilidad de la prueba testimonial y pericial</w:t>
      </w:r>
      <w:bookmarkEnd w:id="37"/>
      <w:bookmarkEnd w:id="38"/>
      <w:bookmarkEnd w:id="39"/>
      <w:bookmarkEnd w:id="40"/>
    </w:p>
    <w:p w14:paraId="21D3D507" w14:textId="77777777" w:rsidR="007A5487" w:rsidRPr="007A5487" w:rsidRDefault="007A5487" w:rsidP="00C962FE">
      <w:pPr>
        <w:tabs>
          <w:tab w:val="left" w:pos="2003"/>
        </w:tabs>
        <w:spacing w:after="0" w:line="240" w:lineRule="auto"/>
        <w:rPr>
          <w:lang w:val="es-CR" w:eastAsia="es-CR"/>
        </w:rPr>
      </w:pPr>
    </w:p>
    <w:p w14:paraId="56A0333A" w14:textId="68AC8ED7" w:rsidR="006161CF" w:rsidRPr="006161CF" w:rsidRDefault="006161CF"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CR"/>
        </w:rPr>
      </w:pPr>
      <w:r w:rsidRPr="006161CF">
        <w:rPr>
          <w:rFonts w:ascii="Verdana" w:hAnsi="Verdana"/>
          <w:sz w:val="20"/>
          <w:szCs w:val="20"/>
        </w:rPr>
        <w:t>Asimismo, la Corte estima pertinente admitir las declaraciones de la presunta víctima</w:t>
      </w:r>
      <w:r w:rsidR="00B5653E">
        <w:rPr>
          <w:rStyle w:val="FootnoteReference"/>
          <w:rFonts w:ascii="Verdana" w:hAnsi="Verdana"/>
          <w:sz w:val="20"/>
          <w:szCs w:val="20"/>
        </w:rPr>
        <w:footnoteReference w:id="22"/>
      </w:r>
      <w:r w:rsidRPr="006161CF">
        <w:rPr>
          <w:rFonts w:ascii="Verdana" w:hAnsi="Verdana"/>
          <w:sz w:val="20"/>
          <w:szCs w:val="20"/>
        </w:rPr>
        <w:t>, los dictámenes periciales rendidos ante fedatario público en el marco del presente caso</w:t>
      </w:r>
      <w:r w:rsidRPr="006161CF">
        <w:rPr>
          <w:rStyle w:val="FootnoteReference"/>
          <w:rFonts w:ascii="Verdana" w:hAnsi="Verdana"/>
          <w:sz w:val="20"/>
          <w:szCs w:val="20"/>
        </w:rPr>
        <w:footnoteReference w:id="23"/>
      </w:r>
      <w:r w:rsidRPr="006161CF">
        <w:rPr>
          <w:rFonts w:ascii="Verdana" w:hAnsi="Verdana"/>
          <w:sz w:val="20"/>
          <w:szCs w:val="20"/>
        </w:rPr>
        <w:t xml:space="preserve"> y los dictámenes periciales rendidos por el señor Alberto Bovino</w:t>
      </w:r>
      <w:r>
        <w:rPr>
          <w:rStyle w:val="FootnoteReference"/>
          <w:rFonts w:ascii="Verdana" w:hAnsi="Verdana"/>
          <w:sz w:val="20"/>
          <w:szCs w:val="20"/>
        </w:rPr>
        <w:footnoteReference w:id="24"/>
      </w:r>
      <w:r w:rsidRPr="006161CF">
        <w:rPr>
          <w:rFonts w:ascii="Verdana" w:hAnsi="Verdana"/>
          <w:sz w:val="20"/>
          <w:szCs w:val="20"/>
        </w:rPr>
        <w:t xml:space="preserve"> en los casos </w:t>
      </w:r>
      <w:r w:rsidRPr="006161CF">
        <w:rPr>
          <w:rFonts w:ascii="Verdana" w:hAnsi="Verdana"/>
          <w:i/>
          <w:sz w:val="20"/>
          <w:szCs w:val="20"/>
        </w:rPr>
        <w:t>Mendoza y otros Vs. Argentina</w:t>
      </w:r>
      <w:r>
        <w:rPr>
          <w:rFonts w:ascii="Verdana" w:hAnsi="Verdana"/>
          <w:sz w:val="20"/>
          <w:szCs w:val="20"/>
        </w:rPr>
        <w:t xml:space="preserve"> y </w:t>
      </w:r>
      <w:r w:rsidRPr="006161CF">
        <w:rPr>
          <w:rFonts w:ascii="Verdana" w:hAnsi="Verdana"/>
          <w:i/>
          <w:sz w:val="20"/>
          <w:szCs w:val="20"/>
        </w:rPr>
        <w:t>Amrhein y otros Vs. Costa Rica</w:t>
      </w:r>
      <w:r>
        <w:rPr>
          <w:rFonts w:ascii="Verdana" w:hAnsi="Verdana"/>
          <w:sz w:val="20"/>
          <w:szCs w:val="20"/>
        </w:rPr>
        <w:t xml:space="preserve">, </w:t>
      </w:r>
      <w:r w:rsidRPr="006161CF">
        <w:rPr>
          <w:rFonts w:ascii="Verdana" w:hAnsi="Verdana"/>
          <w:sz w:val="20"/>
          <w:szCs w:val="20"/>
        </w:rPr>
        <w:t>en lo que se ajusten</w:t>
      </w:r>
      <w:r w:rsidR="00576FE8">
        <w:rPr>
          <w:rFonts w:ascii="Verdana" w:hAnsi="Verdana"/>
          <w:sz w:val="20"/>
          <w:szCs w:val="20"/>
        </w:rPr>
        <w:t xml:space="preserve"> tanto</w:t>
      </w:r>
      <w:r w:rsidRPr="006161CF">
        <w:rPr>
          <w:rFonts w:ascii="Verdana" w:hAnsi="Verdana"/>
          <w:sz w:val="20"/>
          <w:szCs w:val="20"/>
        </w:rPr>
        <w:t xml:space="preserve"> al objeto que fue definido por la Presidencia en la Resolución mediante la cual se ordenó recibirlos</w:t>
      </w:r>
      <w:r w:rsidR="00576FE8">
        <w:rPr>
          <w:rFonts w:ascii="Verdana" w:hAnsi="Verdana"/>
          <w:sz w:val="20"/>
          <w:szCs w:val="20"/>
        </w:rPr>
        <w:t>, como</w:t>
      </w:r>
      <w:r w:rsidRPr="006161CF">
        <w:rPr>
          <w:rFonts w:ascii="Verdana" w:hAnsi="Verdana"/>
          <w:sz w:val="20"/>
          <w:szCs w:val="20"/>
        </w:rPr>
        <w:t xml:space="preserve"> al objeto del presente caso.</w:t>
      </w:r>
    </w:p>
    <w:p w14:paraId="5ADA0F10" w14:textId="77777777" w:rsidR="006161CF" w:rsidRPr="006161CF" w:rsidRDefault="006161CF" w:rsidP="00C962FE">
      <w:pPr>
        <w:widowControl w:val="0"/>
        <w:tabs>
          <w:tab w:val="left" w:pos="567"/>
        </w:tabs>
        <w:adjustRightInd w:val="0"/>
        <w:spacing w:after="0" w:line="240" w:lineRule="auto"/>
        <w:jc w:val="both"/>
        <w:textAlignment w:val="baseline"/>
        <w:rPr>
          <w:rFonts w:ascii="Verdana" w:hAnsi="Verdana"/>
          <w:sz w:val="20"/>
          <w:szCs w:val="20"/>
          <w:lang w:val="es-CR" w:eastAsia="es-CR"/>
        </w:rPr>
      </w:pPr>
    </w:p>
    <w:p w14:paraId="7A80AE3A" w14:textId="483A4FA4" w:rsidR="008549CC" w:rsidRPr="00F559E6" w:rsidRDefault="008549CC" w:rsidP="00C962FE">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41" w:name="_Toc7020780"/>
      <w:bookmarkStart w:id="42" w:name="_Toc19533025"/>
      <w:r w:rsidRPr="00F559E6">
        <w:rPr>
          <w:rFonts w:ascii="Verdana" w:eastAsia="Times New Roman" w:hAnsi="Verdana" w:cs="Verdana"/>
          <w:b/>
          <w:bCs/>
          <w:caps/>
          <w:snapToGrid w:val="0"/>
          <w:sz w:val="20"/>
          <w:szCs w:val="20"/>
          <w:lang w:val="es-ES_tradnl"/>
        </w:rPr>
        <w:t>V</w:t>
      </w:r>
      <w:r w:rsidR="00444481">
        <w:rPr>
          <w:rFonts w:ascii="Verdana" w:eastAsia="Times New Roman" w:hAnsi="Verdana" w:cs="Verdana"/>
          <w:b/>
          <w:bCs/>
          <w:caps/>
          <w:snapToGrid w:val="0"/>
          <w:sz w:val="20"/>
          <w:szCs w:val="20"/>
          <w:lang w:val="es-ES_tradnl"/>
        </w:rPr>
        <w:t>I</w:t>
      </w:r>
      <w:r w:rsidRPr="00F559E6">
        <w:rPr>
          <w:rFonts w:ascii="Verdana" w:eastAsia="Times New Roman" w:hAnsi="Verdana" w:cs="Verdana"/>
          <w:b/>
          <w:bCs/>
          <w:caps/>
          <w:snapToGrid w:val="0"/>
          <w:sz w:val="20"/>
          <w:szCs w:val="20"/>
          <w:lang w:val="es-ES_tradnl"/>
        </w:rPr>
        <w:t>i</w:t>
      </w:r>
      <w:r w:rsidRPr="00F559E6">
        <w:rPr>
          <w:rFonts w:ascii="Verdana" w:eastAsia="Times New Roman" w:hAnsi="Verdana" w:cs="Verdana"/>
          <w:b/>
          <w:bCs/>
          <w:caps/>
          <w:snapToGrid w:val="0"/>
          <w:sz w:val="20"/>
          <w:szCs w:val="20"/>
          <w:lang w:val="es-ES_tradnl"/>
        </w:rPr>
        <w:br/>
        <w:t>hechos</w:t>
      </w:r>
      <w:bookmarkEnd w:id="41"/>
      <w:bookmarkEnd w:id="42"/>
    </w:p>
    <w:p w14:paraId="2C24B586" w14:textId="77777777" w:rsidR="00CE4F03" w:rsidRPr="00F559E6" w:rsidRDefault="00CE4F03" w:rsidP="00C962FE">
      <w:pPr>
        <w:keepNext/>
        <w:keepLines/>
        <w:tabs>
          <w:tab w:val="left" w:pos="851"/>
        </w:tabs>
        <w:spacing w:after="0" w:line="240" w:lineRule="auto"/>
        <w:jc w:val="both"/>
        <w:outlineLvl w:val="0"/>
        <w:rPr>
          <w:rFonts w:ascii="Verdana" w:eastAsia="Times New Roman" w:hAnsi="Verdana" w:cs="Verdana"/>
          <w:bCs/>
          <w:caps/>
          <w:snapToGrid w:val="0"/>
          <w:sz w:val="20"/>
          <w:szCs w:val="20"/>
          <w:lang w:val="es-ES_tradnl"/>
        </w:rPr>
      </w:pPr>
    </w:p>
    <w:p w14:paraId="175494C6" w14:textId="77777777" w:rsidR="00CE4F03" w:rsidRPr="008F7AFD" w:rsidRDefault="00CE4F03" w:rsidP="002767A8">
      <w:pPr>
        <w:pStyle w:val="ListParagraph"/>
        <w:numPr>
          <w:ilvl w:val="0"/>
          <w:numId w:val="13"/>
        </w:numPr>
        <w:spacing w:after="0" w:line="240" w:lineRule="auto"/>
        <w:jc w:val="both"/>
        <w:outlineLvl w:val="1"/>
        <w:rPr>
          <w:rFonts w:ascii="Verdana" w:hAnsi="Verdana"/>
          <w:b/>
          <w:i/>
          <w:sz w:val="20"/>
          <w:szCs w:val="20"/>
          <w:lang w:val="es-AR"/>
        </w:rPr>
      </w:pPr>
      <w:bookmarkStart w:id="43" w:name="_Toc19533026"/>
      <w:r w:rsidRPr="008F7AFD">
        <w:rPr>
          <w:rFonts w:ascii="Verdana" w:hAnsi="Verdana"/>
          <w:b/>
          <w:i/>
          <w:sz w:val="20"/>
          <w:szCs w:val="20"/>
          <w:lang w:val="es-AR"/>
        </w:rPr>
        <w:t>El proceso penal de Oscar Raúl Gorigoitía</w:t>
      </w:r>
      <w:bookmarkEnd w:id="43"/>
    </w:p>
    <w:p w14:paraId="22DC2129" w14:textId="77777777" w:rsidR="00CE4F03" w:rsidRPr="00F559E6" w:rsidRDefault="00CE4F03" w:rsidP="00C962FE">
      <w:pPr>
        <w:spacing w:after="0" w:line="240" w:lineRule="auto"/>
        <w:contextualSpacing/>
        <w:jc w:val="both"/>
        <w:rPr>
          <w:rFonts w:ascii="Verdana" w:hAnsi="Verdana"/>
          <w:sz w:val="20"/>
          <w:szCs w:val="20"/>
          <w:lang w:val="es-ES"/>
        </w:rPr>
      </w:pPr>
    </w:p>
    <w:p w14:paraId="71F0E255" w14:textId="38EA2F98" w:rsidR="00CE4F03" w:rsidRPr="00FA1C69" w:rsidRDefault="00863505" w:rsidP="002767A8">
      <w:pPr>
        <w:pStyle w:val="Heading3"/>
        <w:numPr>
          <w:ilvl w:val="0"/>
          <w:numId w:val="20"/>
        </w:numPr>
        <w:rPr>
          <w:i w:val="0"/>
          <w:lang w:val="es-ES"/>
        </w:rPr>
      </w:pPr>
      <w:r w:rsidRPr="00FA1C69">
        <w:rPr>
          <w:i w:val="0"/>
          <w:lang w:val="es-ES"/>
        </w:rPr>
        <w:t xml:space="preserve"> </w:t>
      </w:r>
      <w:bookmarkStart w:id="44" w:name="_Toc19533027"/>
      <w:r w:rsidR="00CE4F03" w:rsidRPr="00FA1C69">
        <w:rPr>
          <w:i w:val="0"/>
          <w:lang w:val="es-ES"/>
        </w:rPr>
        <w:t>Detención</w:t>
      </w:r>
      <w:r w:rsidR="00442A42" w:rsidRPr="00FA1C69">
        <w:rPr>
          <w:i w:val="0"/>
          <w:lang w:val="es-ES"/>
        </w:rPr>
        <w:t xml:space="preserve"> y prisión preventiva</w:t>
      </w:r>
      <w:bookmarkEnd w:id="44"/>
    </w:p>
    <w:p w14:paraId="4127B8CF" w14:textId="77777777" w:rsidR="00CE4F03" w:rsidRPr="00F559E6" w:rsidRDefault="00CE4F03" w:rsidP="00C962FE">
      <w:pPr>
        <w:spacing w:after="0" w:line="240" w:lineRule="auto"/>
        <w:contextualSpacing/>
        <w:jc w:val="both"/>
        <w:rPr>
          <w:rFonts w:ascii="Verdana" w:hAnsi="Verdana"/>
          <w:sz w:val="20"/>
          <w:szCs w:val="20"/>
          <w:lang w:val="es-ES"/>
        </w:rPr>
      </w:pPr>
    </w:p>
    <w:p w14:paraId="6B6C2859" w14:textId="7E96A263" w:rsidR="00CE4F03" w:rsidRPr="00442A42"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442A42">
        <w:rPr>
          <w:rFonts w:ascii="Verdana" w:hAnsi="Verdana"/>
          <w:sz w:val="20"/>
          <w:szCs w:val="20"/>
          <w:lang w:val="es-ES"/>
        </w:rPr>
        <w:t xml:space="preserve">El 31 de agosto de 1996 el señor </w:t>
      </w:r>
      <w:r w:rsidRPr="00442A42">
        <w:rPr>
          <w:rFonts w:ascii="Verdana" w:hAnsi="Verdana"/>
          <w:sz w:val="20"/>
          <w:szCs w:val="20"/>
          <w:lang w:val="es-AR"/>
        </w:rPr>
        <w:t xml:space="preserve">Oscar Raúl Gorigoitía Guerrero </w:t>
      </w:r>
      <w:r w:rsidRPr="00442A42">
        <w:rPr>
          <w:rFonts w:ascii="Verdana" w:hAnsi="Verdana"/>
          <w:sz w:val="20"/>
          <w:szCs w:val="20"/>
          <w:lang w:val="es-ES"/>
        </w:rPr>
        <w:t>fue detenido junto a otros agentes policiales por el delito de homicidio del señor Hugo Alejandro Gómez Romagnoli</w:t>
      </w:r>
      <w:r w:rsidRPr="00F559E6">
        <w:rPr>
          <w:rStyle w:val="FootnoteReference"/>
          <w:rFonts w:ascii="Verdana" w:hAnsi="Verdana"/>
          <w:sz w:val="20"/>
          <w:szCs w:val="20"/>
          <w:lang w:val="es-ES"/>
        </w:rPr>
        <w:footnoteReference w:id="25"/>
      </w:r>
      <w:r w:rsidRPr="00442A42">
        <w:rPr>
          <w:rFonts w:ascii="Verdana" w:hAnsi="Verdana"/>
          <w:sz w:val="20"/>
          <w:szCs w:val="20"/>
          <w:lang w:val="es-ES"/>
        </w:rPr>
        <w:t xml:space="preserve"> (en adelante “el señor Gómez</w:t>
      </w:r>
      <w:r w:rsidR="00801E19">
        <w:rPr>
          <w:rFonts w:ascii="Verdana" w:hAnsi="Verdana"/>
          <w:sz w:val="20"/>
          <w:szCs w:val="20"/>
          <w:lang w:val="es-ES"/>
        </w:rPr>
        <w:t xml:space="preserve"> </w:t>
      </w:r>
      <w:r w:rsidR="00801E19" w:rsidRPr="00442A42">
        <w:rPr>
          <w:rFonts w:ascii="Verdana" w:hAnsi="Verdana"/>
          <w:sz w:val="20"/>
          <w:szCs w:val="20"/>
          <w:lang w:val="es-ES"/>
        </w:rPr>
        <w:t>Romagnoli</w:t>
      </w:r>
      <w:r w:rsidR="00BD08B8">
        <w:rPr>
          <w:rFonts w:ascii="Verdana" w:hAnsi="Verdana"/>
          <w:sz w:val="20"/>
          <w:szCs w:val="20"/>
          <w:lang w:val="es-ES"/>
        </w:rPr>
        <w:t>”)</w:t>
      </w:r>
      <w:r w:rsidRPr="00442A42">
        <w:rPr>
          <w:rFonts w:ascii="Verdana" w:hAnsi="Verdana"/>
          <w:sz w:val="20"/>
          <w:szCs w:val="20"/>
          <w:lang w:val="es-ES"/>
        </w:rPr>
        <w:t xml:space="preserve">. </w:t>
      </w:r>
      <w:r w:rsidRPr="00442A42">
        <w:rPr>
          <w:rFonts w:ascii="Verdana" w:hAnsi="Verdana"/>
          <w:sz w:val="20"/>
          <w:szCs w:val="20"/>
          <w:lang w:val="es-AR"/>
        </w:rPr>
        <w:t>Al momento de los hechos</w:t>
      </w:r>
      <w:r w:rsidR="00CA7586">
        <w:rPr>
          <w:rFonts w:ascii="Verdana" w:hAnsi="Verdana"/>
          <w:sz w:val="20"/>
          <w:szCs w:val="20"/>
          <w:lang w:val="es-AR"/>
        </w:rPr>
        <w:t xml:space="preserve"> el señor</w:t>
      </w:r>
      <w:r w:rsidRPr="00442A42">
        <w:rPr>
          <w:rFonts w:ascii="Verdana" w:hAnsi="Verdana"/>
          <w:sz w:val="20"/>
          <w:szCs w:val="20"/>
          <w:lang w:val="es-AR"/>
        </w:rPr>
        <w:t xml:space="preserve"> Gorigoitía era Sargento Ayudante de la Policía de Mendoza, integrante de la Compañía Motorizada</w:t>
      </w:r>
      <w:r w:rsidRPr="00F559E6">
        <w:rPr>
          <w:rStyle w:val="FootnoteReference"/>
          <w:rFonts w:ascii="Verdana" w:hAnsi="Verdana"/>
          <w:sz w:val="20"/>
          <w:szCs w:val="20"/>
          <w:lang w:val="es-ES"/>
        </w:rPr>
        <w:footnoteReference w:id="26"/>
      </w:r>
      <w:r w:rsidRPr="00442A42">
        <w:rPr>
          <w:rFonts w:ascii="Verdana" w:hAnsi="Verdana"/>
          <w:sz w:val="20"/>
          <w:szCs w:val="20"/>
          <w:lang w:val="es-ES"/>
        </w:rPr>
        <w:t>.</w:t>
      </w:r>
      <w:r w:rsidR="00442A42" w:rsidRPr="00442A42">
        <w:rPr>
          <w:rFonts w:ascii="Verdana" w:hAnsi="Verdana"/>
          <w:sz w:val="20"/>
          <w:szCs w:val="20"/>
          <w:lang w:val="es-ES"/>
        </w:rPr>
        <w:t xml:space="preserve"> </w:t>
      </w:r>
      <w:r w:rsidRPr="00442A42">
        <w:rPr>
          <w:rFonts w:ascii="Verdana" w:hAnsi="Verdana"/>
          <w:sz w:val="20"/>
          <w:szCs w:val="20"/>
          <w:lang w:val="es-ES"/>
        </w:rPr>
        <w:t>El 6 de septiembre de 1996 el Juez de Instrucción emitió la resolución judicial por la cual resolvió transformar la detención del señor Gorigoitía en prisión preventiva</w:t>
      </w:r>
      <w:r w:rsidR="00CB297F" w:rsidRPr="00442A42">
        <w:rPr>
          <w:rFonts w:ascii="Verdana" w:hAnsi="Verdana"/>
          <w:sz w:val="20"/>
          <w:szCs w:val="20"/>
          <w:lang w:val="es-ES"/>
        </w:rPr>
        <w:t>,</w:t>
      </w:r>
      <w:r w:rsidRPr="00442A42">
        <w:rPr>
          <w:rFonts w:ascii="Verdana" w:hAnsi="Verdana"/>
          <w:sz w:val="20"/>
          <w:szCs w:val="20"/>
          <w:lang w:val="es-ES"/>
        </w:rPr>
        <w:t xml:space="preserve"> con fundamento en el inciso </w:t>
      </w:r>
      <w:r w:rsidRPr="00442A42">
        <w:rPr>
          <w:rFonts w:ascii="Verdana" w:hAnsi="Verdana"/>
          <w:sz w:val="20"/>
          <w:szCs w:val="20"/>
          <w:lang w:val="es-ES"/>
        </w:rPr>
        <w:lastRenderedPageBreak/>
        <w:t>1 del artícul</w:t>
      </w:r>
      <w:r w:rsidR="00CB297F" w:rsidRPr="00442A42">
        <w:rPr>
          <w:rFonts w:ascii="Verdana" w:hAnsi="Verdana"/>
          <w:sz w:val="20"/>
          <w:szCs w:val="20"/>
          <w:lang w:val="es-ES"/>
        </w:rPr>
        <w:t xml:space="preserve">o </w:t>
      </w:r>
      <w:r w:rsidR="00C71B2D">
        <w:rPr>
          <w:rFonts w:ascii="Verdana" w:hAnsi="Verdana"/>
          <w:sz w:val="20"/>
          <w:szCs w:val="20"/>
          <w:lang w:val="es-ES"/>
        </w:rPr>
        <w:t xml:space="preserve">503 </w:t>
      </w:r>
      <w:r w:rsidR="00CB297F" w:rsidRPr="00442A42">
        <w:rPr>
          <w:rFonts w:ascii="Verdana" w:hAnsi="Verdana"/>
          <w:sz w:val="20"/>
          <w:szCs w:val="20"/>
          <w:lang w:val="es-ES"/>
        </w:rPr>
        <w:t>del Código Procesal Penal</w:t>
      </w:r>
      <w:r w:rsidR="00576FE8" w:rsidRPr="00442A42">
        <w:rPr>
          <w:rFonts w:ascii="Verdana" w:hAnsi="Verdana"/>
          <w:sz w:val="20"/>
          <w:szCs w:val="20"/>
          <w:lang w:val="es-ES"/>
        </w:rPr>
        <w:t xml:space="preserve"> de la Provincia de Mendoza</w:t>
      </w:r>
      <w:r w:rsidR="00CB297F" w:rsidRPr="00F559E6">
        <w:rPr>
          <w:rStyle w:val="FootnoteReference"/>
          <w:rFonts w:ascii="Verdana" w:hAnsi="Verdana"/>
          <w:sz w:val="20"/>
          <w:szCs w:val="20"/>
          <w:lang w:val="es-ES"/>
        </w:rPr>
        <w:footnoteReference w:id="27"/>
      </w:r>
      <w:r w:rsidRPr="00442A42">
        <w:rPr>
          <w:rFonts w:ascii="Verdana" w:hAnsi="Verdana"/>
          <w:sz w:val="20"/>
          <w:szCs w:val="20"/>
          <w:lang w:val="es-ES"/>
        </w:rPr>
        <w:t>.</w:t>
      </w:r>
      <w:r w:rsidR="00442A42">
        <w:rPr>
          <w:rFonts w:ascii="Verdana" w:hAnsi="Verdana"/>
          <w:sz w:val="20"/>
          <w:szCs w:val="20"/>
          <w:lang w:val="es-ES"/>
        </w:rPr>
        <w:t xml:space="preserve"> </w:t>
      </w:r>
      <w:r w:rsidRPr="00442A42">
        <w:rPr>
          <w:rFonts w:ascii="Verdana" w:hAnsi="Verdana"/>
          <w:sz w:val="20"/>
          <w:szCs w:val="20"/>
          <w:lang w:val="es-ES"/>
        </w:rPr>
        <w:t xml:space="preserve">En la misma resolución el Juez de Instrucción se pronunció sobre la responsabilidad del señor Gorigoitía </w:t>
      </w:r>
      <w:r w:rsidRPr="00442A42">
        <w:rPr>
          <w:rFonts w:ascii="Verdana" w:hAnsi="Verdana"/>
          <w:sz w:val="20"/>
          <w:szCs w:val="20"/>
        </w:rPr>
        <w:t>como fu</w:t>
      </w:r>
      <w:r w:rsidR="00442A42">
        <w:rPr>
          <w:rFonts w:ascii="Verdana" w:hAnsi="Verdana"/>
          <w:sz w:val="20"/>
          <w:szCs w:val="20"/>
        </w:rPr>
        <w:t>ncionario de la fuerza policial</w:t>
      </w:r>
      <w:r w:rsidR="00442A42" w:rsidRPr="00F559E6">
        <w:rPr>
          <w:rStyle w:val="FootnoteReference"/>
          <w:rFonts w:ascii="Verdana" w:hAnsi="Verdana"/>
          <w:sz w:val="20"/>
          <w:szCs w:val="20"/>
        </w:rPr>
        <w:footnoteReference w:id="28"/>
      </w:r>
      <w:r w:rsidR="00442A42">
        <w:rPr>
          <w:rFonts w:ascii="Verdana" w:hAnsi="Verdana"/>
          <w:sz w:val="20"/>
          <w:szCs w:val="20"/>
        </w:rPr>
        <w:t>.</w:t>
      </w:r>
      <w:r w:rsidRPr="00442A42">
        <w:rPr>
          <w:rFonts w:ascii="Verdana" w:hAnsi="Verdana"/>
          <w:sz w:val="20"/>
          <w:szCs w:val="20"/>
        </w:rPr>
        <w:t xml:space="preserve"> Por otro lado, </w:t>
      </w:r>
      <w:r w:rsidRPr="00442A42">
        <w:rPr>
          <w:rFonts w:ascii="Verdana" w:hAnsi="Verdana"/>
          <w:sz w:val="20"/>
          <w:szCs w:val="20"/>
          <w:lang w:val="es-ES"/>
        </w:rPr>
        <w:t>el Juez de Instrucción determinó que las pruebas obtenidas no constituían “motivo bastante” para imputarles algún delito al resto del personal policial que intervino en la persecución, por lo que el único procesado en el caso fue el señor Gorigoitía</w:t>
      </w:r>
      <w:r w:rsidRPr="00F559E6">
        <w:rPr>
          <w:rStyle w:val="FootnoteReference"/>
          <w:rFonts w:ascii="Verdana" w:hAnsi="Verdana"/>
          <w:sz w:val="20"/>
          <w:szCs w:val="20"/>
          <w:lang w:val="es-ES"/>
        </w:rPr>
        <w:footnoteReference w:id="29"/>
      </w:r>
      <w:r w:rsidRPr="00442A42">
        <w:rPr>
          <w:rFonts w:ascii="Verdana" w:hAnsi="Verdana"/>
          <w:sz w:val="20"/>
          <w:szCs w:val="20"/>
          <w:lang w:val="es-ES"/>
        </w:rPr>
        <w:t>.</w:t>
      </w:r>
    </w:p>
    <w:p w14:paraId="3D8EF08A"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2F54C74F" w14:textId="77777777" w:rsidR="00CE4F03" w:rsidRPr="003E758F" w:rsidRDefault="003E758F" w:rsidP="002370A6">
      <w:pPr>
        <w:pStyle w:val="Heading3"/>
        <w:rPr>
          <w:i w:val="0"/>
          <w:lang w:val="es-ES"/>
        </w:rPr>
      </w:pPr>
      <w:r>
        <w:rPr>
          <w:b w:val="0"/>
          <w:i w:val="0"/>
          <w:lang w:val="es-ES"/>
        </w:rPr>
        <w:t xml:space="preserve"> </w:t>
      </w:r>
      <w:bookmarkStart w:id="45" w:name="_Toc19533028"/>
      <w:r w:rsidR="00CE4F03" w:rsidRPr="003E758F">
        <w:rPr>
          <w:i w:val="0"/>
          <w:lang w:val="es-ES"/>
        </w:rPr>
        <w:t>Condena</w:t>
      </w:r>
      <w:bookmarkEnd w:id="45"/>
    </w:p>
    <w:p w14:paraId="626EE79B" w14:textId="77777777" w:rsidR="00CE4F03" w:rsidRPr="00F559E6" w:rsidRDefault="00CE4F03" w:rsidP="00C962FE">
      <w:pPr>
        <w:spacing w:after="0" w:line="240" w:lineRule="auto"/>
        <w:contextualSpacing/>
        <w:jc w:val="both"/>
        <w:rPr>
          <w:rFonts w:ascii="Verdana" w:hAnsi="Verdana"/>
          <w:sz w:val="20"/>
          <w:szCs w:val="20"/>
          <w:lang w:val="es-ES"/>
        </w:rPr>
      </w:pPr>
    </w:p>
    <w:p w14:paraId="53B81134" w14:textId="27133B65" w:rsidR="00EA32EE"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El 12 de septiembre de 1997 la Cámara Primera condenó al señor Gorigoitía por el delito de homicidio simple, imponiéndole una pena de 14 años de prisión y la inhabilitación absoluta por igual término. El Tribunal entendió que el disparo que ocasionó la muerte del señor Gómez</w:t>
      </w:r>
      <w:r w:rsidR="00801E19">
        <w:rPr>
          <w:rFonts w:ascii="Verdana" w:hAnsi="Verdana"/>
          <w:sz w:val="20"/>
          <w:szCs w:val="20"/>
          <w:lang w:val="es-ES"/>
        </w:rPr>
        <w:t xml:space="preserve"> </w:t>
      </w:r>
      <w:r w:rsidR="00801E19" w:rsidRPr="00442A42">
        <w:rPr>
          <w:rFonts w:ascii="Verdana" w:hAnsi="Verdana"/>
          <w:sz w:val="20"/>
          <w:szCs w:val="20"/>
          <w:lang w:val="es-ES"/>
        </w:rPr>
        <w:t>Romagnoli</w:t>
      </w:r>
      <w:r w:rsidRPr="00F559E6">
        <w:rPr>
          <w:rFonts w:ascii="Verdana" w:hAnsi="Verdana"/>
          <w:sz w:val="20"/>
          <w:szCs w:val="20"/>
          <w:lang w:val="es-ES"/>
        </w:rPr>
        <w:t xml:space="preserve"> fue efectuado por el arma del señor Gorigoitía</w:t>
      </w:r>
      <w:r w:rsidRPr="00F559E6">
        <w:rPr>
          <w:rStyle w:val="FootnoteReference"/>
          <w:rFonts w:ascii="Verdana" w:hAnsi="Verdana"/>
          <w:sz w:val="20"/>
          <w:szCs w:val="20"/>
          <w:lang w:val="es-ES"/>
        </w:rPr>
        <w:footnoteReference w:id="30"/>
      </w:r>
      <w:r w:rsidRPr="00F559E6">
        <w:rPr>
          <w:rFonts w:ascii="Verdana" w:hAnsi="Verdana"/>
          <w:sz w:val="20"/>
          <w:szCs w:val="20"/>
          <w:lang w:val="es-ES"/>
        </w:rPr>
        <w:t>. En relación con la calificación del delito como “homicidio simple”, el tribunal entendió que el señor Gorigoitía actuó con “dolo eventual”</w:t>
      </w:r>
      <w:r w:rsidRPr="00F559E6">
        <w:rPr>
          <w:rStyle w:val="FootnoteReference"/>
          <w:rFonts w:ascii="Verdana" w:hAnsi="Verdana"/>
          <w:sz w:val="20"/>
          <w:szCs w:val="20"/>
          <w:lang w:val="es-ES"/>
        </w:rPr>
        <w:footnoteReference w:id="31"/>
      </w:r>
      <w:r w:rsidRPr="00F559E6">
        <w:rPr>
          <w:rFonts w:ascii="Verdana" w:hAnsi="Verdana"/>
          <w:sz w:val="20"/>
          <w:szCs w:val="20"/>
          <w:lang w:val="es-ES"/>
        </w:rPr>
        <w:t>, puesto que: “</w:t>
      </w:r>
      <w:r w:rsidR="00BD08B8">
        <w:rPr>
          <w:rFonts w:ascii="Verdana" w:hAnsi="Verdana"/>
          <w:sz w:val="20"/>
          <w:szCs w:val="20"/>
          <w:lang w:val="es-ES"/>
        </w:rPr>
        <w:t>inició su realización homicida […]</w:t>
      </w:r>
      <w:r w:rsidRPr="00F559E6">
        <w:rPr>
          <w:rFonts w:ascii="Verdana" w:hAnsi="Verdana"/>
          <w:sz w:val="20"/>
          <w:szCs w:val="20"/>
          <w:lang w:val="es-ES"/>
        </w:rPr>
        <w:t xml:space="preserve"> mediante una inexcusable indiferencia ante el posible resultado dañoso. Gorigoitía conocía el arma y sabía las consecuencias que trae utilizarla en una persecución a gran velocidad, se presentó el resultado típico, y pese a ello, disparó en tales condiciones”</w:t>
      </w:r>
      <w:r w:rsidRPr="00F559E6">
        <w:rPr>
          <w:rStyle w:val="FootnoteReference"/>
          <w:rFonts w:ascii="Verdana" w:hAnsi="Verdana"/>
          <w:sz w:val="20"/>
          <w:szCs w:val="20"/>
          <w:lang w:val="es-ES"/>
        </w:rPr>
        <w:footnoteReference w:id="32"/>
      </w:r>
      <w:r w:rsidR="00BD08B8">
        <w:rPr>
          <w:rFonts w:ascii="Verdana" w:hAnsi="Verdana"/>
          <w:sz w:val="20"/>
          <w:szCs w:val="20"/>
          <w:lang w:val="es-ES"/>
        </w:rPr>
        <w:t>.</w:t>
      </w:r>
    </w:p>
    <w:p w14:paraId="7B32DDE2"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5778E74F" w14:textId="7860A6FE" w:rsidR="00EA32EE"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La Cámara Primera indicó que el señor Gorigoitía no actuó con las previsiones que amerita el uso de armas de fuego según los Reglamentos Policiales</w:t>
      </w:r>
      <w:r w:rsidRPr="00F559E6">
        <w:rPr>
          <w:rStyle w:val="FootnoteReference"/>
          <w:rFonts w:ascii="Verdana" w:hAnsi="Verdana"/>
          <w:sz w:val="20"/>
          <w:szCs w:val="20"/>
          <w:lang w:val="es-ES"/>
        </w:rPr>
        <w:footnoteReference w:id="33"/>
      </w:r>
      <w:r w:rsidRPr="00F559E6">
        <w:rPr>
          <w:rFonts w:ascii="Verdana" w:hAnsi="Verdana"/>
          <w:sz w:val="20"/>
          <w:szCs w:val="20"/>
          <w:lang w:val="es-ES"/>
        </w:rPr>
        <w:t>. También argumentó que no puede ser justificado por percepción directa si el señor Gorigoitía actuó con dolo, sino que tiene que ser deducido de conjeturas exteriores, por lo que “para afirmar la existencia de dolo en el ámbito de lo jurídico, hay que servirse de hechos, de las circunstancias, de los fenómenos que lo simbolizan”</w:t>
      </w:r>
      <w:r w:rsidRPr="00F559E6">
        <w:rPr>
          <w:rStyle w:val="FootnoteReference"/>
          <w:rFonts w:ascii="Verdana" w:hAnsi="Verdana"/>
          <w:sz w:val="20"/>
          <w:szCs w:val="20"/>
          <w:lang w:val="es-ES"/>
        </w:rPr>
        <w:footnoteReference w:id="34"/>
      </w:r>
      <w:r w:rsidR="00DD3C33">
        <w:rPr>
          <w:rFonts w:ascii="Verdana" w:hAnsi="Verdana"/>
          <w:sz w:val="20"/>
          <w:szCs w:val="20"/>
          <w:lang w:val="es-ES"/>
        </w:rPr>
        <w:t>.</w:t>
      </w:r>
      <w:r w:rsidRPr="00F559E6">
        <w:rPr>
          <w:rFonts w:ascii="Verdana" w:hAnsi="Verdana"/>
          <w:sz w:val="20"/>
          <w:szCs w:val="20"/>
          <w:lang w:val="es-ES"/>
        </w:rPr>
        <w:t xml:space="preserve"> </w:t>
      </w:r>
      <w:r w:rsidR="00576FE8">
        <w:rPr>
          <w:rFonts w:ascii="Verdana" w:hAnsi="Verdana"/>
          <w:sz w:val="20"/>
          <w:szCs w:val="20"/>
          <w:lang w:val="es-ES"/>
        </w:rPr>
        <w:t>La Cámara Primera</w:t>
      </w:r>
      <w:r w:rsidRPr="00F559E6">
        <w:rPr>
          <w:rFonts w:ascii="Verdana" w:hAnsi="Verdana"/>
          <w:sz w:val="20"/>
          <w:szCs w:val="20"/>
          <w:lang w:val="es-ES"/>
        </w:rPr>
        <w:t xml:space="preserve"> determinó que el “[señor] Gorigoitía debe responder por la muerte de Hugo Alejandro </w:t>
      </w:r>
      <w:r w:rsidR="00BD08B8">
        <w:rPr>
          <w:rFonts w:ascii="Verdana" w:hAnsi="Verdana"/>
          <w:sz w:val="20"/>
          <w:szCs w:val="20"/>
          <w:lang w:val="es-ES"/>
        </w:rPr>
        <w:t>Gómez a tenor del dolo eventual […]</w:t>
      </w:r>
      <w:r w:rsidRPr="00F559E6">
        <w:rPr>
          <w:rFonts w:ascii="Verdana" w:hAnsi="Verdana"/>
          <w:sz w:val="20"/>
          <w:szCs w:val="20"/>
          <w:lang w:val="es-ES"/>
        </w:rPr>
        <w:t>”</w:t>
      </w:r>
      <w:r w:rsidRPr="00F559E6">
        <w:rPr>
          <w:rStyle w:val="FootnoteReference"/>
          <w:rFonts w:ascii="Verdana" w:hAnsi="Verdana"/>
          <w:sz w:val="20"/>
          <w:szCs w:val="20"/>
          <w:lang w:val="es-ES"/>
        </w:rPr>
        <w:footnoteReference w:id="35"/>
      </w:r>
      <w:r w:rsidRPr="00F559E6">
        <w:rPr>
          <w:rFonts w:ascii="Verdana" w:hAnsi="Verdana"/>
          <w:sz w:val="20"/>
          <w:szCs w:val="20"/>
          <w:lang w:val="es-ES"/>
        </w:rPr>
        <w:t xml:space="preserve"> en función de que “se representó el resultado posible (muerte) y movido por su egoísmo, desoyendo la orden de no </w:t>
      </w:r>
      <w:r w:rsidRPr="00F559E6">
        <w:rPr>
          <w:rFonts w:ascii="Verdana" w:hAnsi="Verdana"/>
          <w:sz w:val="20"/>
          <w:szCs w:val="20"/>
          <w:lang w:val="es-ES"/>
        </w:rPr>
        <w:lastRenderedPageBreak/>
        <w:t>usar las armas, disparó repetidamente con las dos armas provistas (Itaka, 9 mm.)”</w:t>
      </w:r>
      <w:r w:rsidRPr="00F559E6">
        <w:rPr>
          <w:rStyle w:val="FootnoteReference"/>
          <w:rFonts w:ascii="Verdana" w:hAnsi="Verdana"/>
          <w:sz w:val="20"/>
          <w:szCs w:val="20"/>
          <w:lang w:val="es-ES"/>
        </w:rPr>
        <w:footnoteReference w:id="36"/>
      </w:r>
      <w:r w:rsidR="00EA32EE" w:rsidRPr="00F559E6">
        <w:rPr>
          <w:rFonts w:ascii="Verdana" w:hAnsi="Verdana"/>
          <w:sz w:val="20"/>
          <w:szCs w:val="20"/>
          <w:lang w:val="es-ES"/>
        </w:rPr>
        <w:t>.</w:t>
      </w:r>
    </w:p>
    <w:p w14:paraId="258BCE69"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544E9F5C" w14:textId="6B412BDD" w:rsidR="00CE4F03"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La Cámara Primera tomó en cuenta un examen psicológico realizado por el Cuerpo Médico Forense en el que se señaló que el señor Gorigoitía es “inmaduro, egocéntrico, con tendencia a manejar el medio y dificultad para adecuarse a las exigencias y límites externos” así como que “muestra dificultad para lograr un manejo racional de las situaciones, percibiendo las interrelaciones como competitivas, agresivas, poco fiables y no continentes. Todo ello le genera inseguridad y desconfianza”</w:t>
      </w:r>
      <w:r w:rsidRPr="00F559E6">
        <w:rPr>
          <w:rStyle w:val="FootnoteReference"/>
          <w:rFonts w:ascii="Verdana" w:hAnsi="Verdana"/>
          <w:sz w:val="20"/>
          <w:szCs w:val="20"/>
          <w:lang w:val="es-ES"/>
        </w:rPr>
        <w:footnoteReference w:id="37"/>
      </w:r>
      <w:r w:rsidRPr="00F559E6">
        <w:rPr>
          <w:rFonts w:ascii="Verdana" w:hAnsi="Verdana"/>
          <w:sz w:val="20"/>
          <w:szCs w:val="20"/>
          <w:lang w:val="es-ES"/>
        </w:rPr>
        <w:t xml:space="preserve">. </w:t>
      </w:r>
      <w:r w:rsidR="00576FE8">
        <w:rPr>
          <w:rFonts w:ascii="Verdana" w:hAnsi="Verdana"/>
          <w:sz w:val="20"/>
          <w:szCs w:val="20"/>
          <w:lang w:val="es-ES"/>
        </w:rPr>
        <w:t xml:space="preserve">Asimismo, </w:t>
      </w:r>
      <w:r w:rsidRPr="00F559E6">
        <w:rPr>
          <w:rFonts w:ascii="Verdana" w:hAnsi="Verdana"/>
          <w:sz w:val="20"/>
          <w:szCs w:val="20"/>
          <w:lang w:val="es-ES"/>
        </w:rPr>
        <w:t>indicó que “transportada esa personali</w:t>
      </w:r>
      <w:r w:rsidR="00576FE8">
        <w:rPr>
          <w:rFonts w:ascii="Verdana" w:hAnsi="Verdana"/>
          <w:sz w:val="20"/>
          <w:szCs w:val="20"/>
          <w:lang w:val="es-ES"/>
        </w:rPr>
        <w:t>dad al hecho que nos ocupa […] s</w:t>
      </w:r>
      <w:r w:rsidRPr="00F559E6">
        <w:rPr>
          <w:rFonts w:ascii="Verdana" w:hAnsi="Verdana"/>
          <w:sz w:val="20"/>
          <w:szCs w:val="20"/>
          <w:lang w:val="es-ES"/>
        </w:rPr>
        <w:t>u actuación es el fiel reflejo de su personalidad”</w:t>
      </w:r>
      <w:r w:rsidRPr="00F559E6">
        <w:rPr>
          <w:rStyle w:val="FootnoteReference"/>
          <w:rFonts w:ascii="Verdana" w:hAnsi="Verdana"/>
          <w:sz w:val="20"/>
          <w:szCs w:val="20"/>
          <w:lang w:val="es-ES"/>
        </w:rPr>
        <w:footnoteReference w:id="38"/>
      </w:r>
      <w:r w:rsidR="00BD08B8">
        <w:rPr>
          <w:rFonts w:ascii="Verdana" w:hAnsi="Verdana"/>
          <w:sz w:val="20"/>
          <w:szCs w:val="20"/>
          <w:lang w:val="es-ES"/>
        </w:rPr>
        <w:t>.</w:t>
      </w:r>
    </w:p>
    <w:p w14:paraId="377396ED"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67446835" w14:textId="77777777" w:rsidR="00CE4F03" w:rsidRPr="00A02AC3" w:rsidRDefault="00CE4F03" w:rsidP="00C962FE">
      <w:pPr>
        <w:pStyle w:val="Heading3"/>
        <w:rPr>
          <w:i w:val="0"/>
          <w:lang w:val="es-ES"/>
        </w:rPr>
      </w:pPr>
      <w:r w:rsidRPr="00A02AC3">
        <w:rPr>
          <w:i w:val="0"/>
          <w:lang w:val="es-ES"/>
        </w:rPr>
        <w:t xml:space="preserve"> </w:t>
      </w:r>
      <w:bookmarkStart w:id="46" w:name="_Toc19533029"/>
      <w:r w:rsidRPr="00A02AC3">
        <w:rPr>
          <w:i w:val="0"/>
          <w:lang w:val="es-ES"/>
        </w:rPr>
        <w:t>Recurso de Casación</w:t>
      </w:r>
      <w:bookmarkEnd w:id="46"/>
    </w:p>
    <w:p w14:paraId="465EA6A6" w14:textId="77777777" w:rsidR="00CE4F03" w:rsidRPr="00F559E6" w:rsidRDefault="00CE4F03" w:rsidP="00C962FE">
      <w:pPr>
        <w:spacing w:after="0" w:line="240" w:lineRule="auto"/>
        <w:contextualSpacing/>
        <w:jc w:val="both"/>
        <w:rPr>
          <w:rFonts w:ascii="Verdana" w:hAnsi="Verdana"/>
          <w:sz w:val="20"/>
          <w:szCs w:val="20"/>
          <w:lang w:val="es-ES"/>
        </w:rPr>
      </w:pPr>
    </w:p>
    <w:p w14:paraId="382C0FA3" w14:textId="4B2EBCA9" w:rsidR="00EA32EE"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El 29 de septiembre de 1997 la defensa del señor Gorigoitía interpuso un recurso de casación solicitando la nulidad de la sentencia condenatoria</w:t>
      </w:r>
      <w:r w:rsidRPr="00F559E6">
        <w:rPr>
          <w:rStyle w:val="FootnoteReference"/>
          <w:rFonts w:ascii="Verdana" w:hAnsi="Verdana"/>
          <w:sz w:val="20"/>
          <w:szCs w:val="20"/>
          <w:lang w:val="es-ES"/>
        </w:rPr>
        <w:footnoteReference w:id="39"/>
      </w:r>
      <w:r w:rsidRPr="00F559E6">
        <w:rPr>
          <w:rFonts w:ascii="Verdana" w:hAnsi="Verdana"/>
          <w:sz w:val="20"/>
          <w:szCs w:val="20"/>
          <w:lang w:val="es-ES"/>
        </w:rPr>
        <w:t>. En dicho recurso plantearon la falta de motivación alegando que: “[…] el dolo es un hecho y como tal debe probarse como cualquier hecho, nunca en los hechos afirmados en la sentencia el tribunal ha podido demostrar la existencia de este elemento constitutivo de la culpabilidad, porque no basta la mera enunciación de los mismos, ni las circunstancias que rodearon lo acaecido la</w:t>
      </w:r>
      <w:r w:rsidR="00D12C23">
        <w:rPr>
          <w:rFonts w:ascii="Verdana" w:hAnsi="Verdana"/>
          <w:sz w:val="20"/>
          <w:szCs w:val="20"/>
          <w:lang w:val="es-ES"/>
        </w:rPr>
        <w:t xml:space="preserve"> noche del 31 de agosto de 1996.</w:t>
      </w:r>
      <w:r w:rsidRPr="00F559E6">
        <w:rPr>
          <w:rFonts w:ascii="Verdana" w:hAnsi="Verdana"/>
          <w:sz w:val="20"/>
          <w:szCs w:val="20"/>
          <w:lang w:val="es-ES"/>
        </w:rPr>
        <w:t xml:space="preserve"> […] Cada afirmación jurídica debe ser probada por su antecedente inmediato y […] la prueba se debe munir</w:t>
      </w:r>
      <w:r w:rsidR="00D12C23">
        <w:rPr>
          <w:rFonts w:ascii="Verdana" w:hAnsi="Verdana"/>
          <w:sz w:val="20"/>
          <w:szCs w:val="20"/>
          <w:lang w:val="es-ES"/>
        </w:rPr>
        <w:t xml:space="preserve"> (sic)</w:t>
      </w:r>
      <w:r w:rsidR="00032FB7">
        <w:rPr>
          <w:rFonts w:ascii="Verdana" w:hAnsi="Verdana"/>
          <w:sz w:val="20"/>
          <w:szCs w:val="20"/>
          <w:lang w:val="es-ES"/>
        </w:rPr>
        <w:t xml:space="preserve"> </w:t>
      </w:r>
      <w:r w:rsidR="00D12C23">
        <w:rPr>
          <w:rFonts w:ascii="Verdana" w:hAnsi="Verdana"/>
          <w:sz w:val="20"/>
          <w:szCs w:val="20"/>
          <w:lang w:val="es-ES"/>
        </w:rPr>
        <w:t>de hechos que derivan ‘</w:t>
      </w:r>
      <w:r w:rsidRPr="00F559E6">
        <w:rPr>
          <w:rFonts w:ascii="Verdana" w:hAnsi="Verdana"/>
          <w:sz w:val="20"/>
          <w:szCs w:val="20"/>
          <w:lang w:val="es-ES"/>
        </w:rPr>
        <w:t>razonableme</w:t>
      </w:r>
      <w:r w:rsidR="00D12C23">
        <w:rPr>
          <w:rFonts w:ascii="Verdana" w:hAnsi="Verdana"/>
          <w:sz w:val="20"/>
          <w:szCs w:val="20"/>
          <w:lang w:val="es-ES"/>
        </w:rPr>
        <w:t>nte en la consecuencia jurídica’</w:t>
      </w:r>
      <w:r w:rsidRPr="00F559E6">
        <w:rPr>
          <w:rFonts w:ascii="Verdana" w:hAnsi="Verdana"/>
          <w:sz w:val="20"/>
          <w:szCs w:val="20"/>
          <w:lang w:val="es-ES"/>
        </w:rPr>
        <w:t xml:space="preserve"> y no en la enunciación de los mismos</w:t>
      </w:r>
      <w:r w:rsidRPr="00F559E6">
        <w:rPr>
          <w:rStyle w:val="FootnoteReference"/>
          <w:rFonts w:ascii="Verdana" w:hAnsi="Verdana"/>
          <w:sz w:val="20"/>
          <w:szCs w:val="20"/>
          <w:lang w:val="es-ES"/>
        </w:rPr>
        <w:footnoteReference w:id="40"/>
      </w:r>
      <w:r w:rsidRPr="00F559E6">
        <w:rPr>
          <w:rFonts w:ascii="Verdana" w:hAnsi="Verdana"/>
          <w:sz w:val="20"/>
          <w:szCs w:val="20"/>
          <w:lang w:val="es-ES"/>
        </w:rPr>
        <w:t xml:space="preserve"> […] El dolo es un hecho psíquico que pertenece al fuero íntimo del autor, debiendo responder por lo que él tuvo intención de cometer […]</w:t>
      </w:r>
      <w:r w:rsidRPr="00F559E6">
        <w:rPr>
          <w:rStyle w:val="FootnoteReference"/>
          <w:rFonts w:ascii="Verdana" w:hAnsi="Verdana"/>
          <w:sz w:val="20"/>
          <w:szCs w:val="20"/>
          <w:lang w:val="es-ES"/>
        </w:rPr>
        <w:footnoteReference w:id="41"/>
      </w:r>
      <w:r w:rsidR="00D12C23">
        <w:rPr>
          <w:rFonts w:ascii="Verdana" w:hAnsi="Verdana"/>
          <w:sz w:val="20"/>
          <w:szCs w:val="20"/>
          <w:lang w:val="es-ES"/>
        </w:rPr>
        <w:t>”.</w:t>
      </w:r>
    </w:p>
    <w:p w14:paraId="4B77C5BE"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0D60B82F" w14:textId="24AF16FA" w:rsidR="00EA32EE"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La defensa del señor Gorigoitía también planteó la arbitrariedad de la sentencia condenatoria de primera instancia, manifestando que “con los mismos argumentos esgrimidos para condenar al señor Raúl Oscar Gorigoitía por el delito de homicidio simple […]</w:t>
      </w:r>
      <w:r w:rsidR="0082292F">
        <w:rPr>
          <w:rFonts w:ascii="Verdana" w:hAnsi="Verdana"/>
          <w:sz w:val="20"/>
          <w:szCs w:val="20"/>
          <w:lang w:val="es-ES"/>
        </w:rPr>
        <w:t xml:space="preserve"> </w:t>
      </w:r>
      <w:r w:rsidRPr="00F559E6">
        <w:rPr>
          <w:rFonts w:ascii="Verdana" w:hAnsi="Verdana"/>
          <w:sz w:val="20"/>
          <w:szCs w:val="20"/>
          <w:lang w:val="es-ES"/>
        </w:rPr>
        <w:t>excluye de toda sospecha al Sargento Hugo Felix Sarmiento”,</w:t>
      </w:r>
      <w:r w:rsidR="00C2779B">
        <w:rPr>
          <w:rFonts w:ascii="Verdana" w:hAnsi="Verdana"/>
          <w:sz w:val="20"/>
          <w:szCs w:val="20"/>
          <w:lang w:val="es-ES"/>
        </w:rPr>
        <w:t xml:space="preserve"> </w:t>
      </w:r>
      <w:r w:rsidRPr="00F559E6">
        <w:rPr>
          <w:rFonts w:ascii="Verdana" w:hAnsi="Verdana"/>
          <w:sz w:val="20"/>
          <w:szCs w:val="20"/>
          <w:lang w:val="es-ES"/>
        </w:rPr>
        <w:t>quien también efectuó dos disparos hacia el vehículo del señor Gómez</w:t>
      </w:r>
      <w:r w:rsidR="00C2779B">
        <w:rPr>
          <w:rFonts w:ascii="Verdana" w:hAnsi="Verdana"/>
          <w:sz w:val="20"/>
          <w:szCs w:val="20"/>
          <w:lang w:val="es-ES"/>
        </w:rPr>
        <w:t xml:space="preserve"> </w:t>
      </w:r>
      <w:r w:rsidR="00C2779B" w:rsidRPr="00442A42">
        <w:rPr>
          <w:rFonts w:ascii="Verdana" w:hAnsi="Verdana"/>
          <w:sz w:val="20"/>
          <w:szCs w:val="20"/>
          <w:lang w:val="es-ES"/>
        </w:rPr>
        <w:t>Romagnoli</w:t>
      </w:r>
      <w:r w:rsidRPr="00F559E6">
        <w:rPr>
          <w:rFonts w:ascii="Verdana" w:hAnsi="Verdana"/>
          <w:sz w:val="20"/>
          <w:szCs w:val="20"/>
          <w:lang w:val="es-ES"/>
        </w:rPr>
        <w:t xml:space="preserve"> “el primero no dio en el blanco y el segundo impactó en la cubierta trasera derecha y fue el que provocó la inmediata detención del auto”</w:t>
      </w:r>
      <w:r w:rsidRPr="00F559E6">
        <w:rPr>
          <w:rStyle w:val="FootnoteReference"/>
          <w:rFonts w:ascii="Verdana" w:hAnsi="Verdana"/>
          <w:sz w:val="20"/>
          <w:szCs w:val="20"/>
          <w:lang w:val="es-ES"/>
        </w:rPr>
        <w:footnoteReference w:id="42"/>
      </w:r>
      <w:r w:rsidRPr="00F559E6">
        <w:rPr>
          <w:rFonts w:ascii="Verdana" w:hAnsi="Verdana"/>
          <w:sz w:val="20"/>
          <w:szCs w:val="20"/>
          <w:lang w:val="es-ES"/>
        </w:rPr>
        <w:t>. La defensa cuestionó “[…] si el actuar del Cabo primero Sarmiento está justificado ¿por qué no lo está también para Gorigoitía?”</w:t>
      </w:r>
      <w:r w:rsidRPr="00F559E6">
        <w:rPr>
          <w:rStyle w:val="FootnoteReference"/>
          <w:rFonts w:ascii="Verdana" w:hAnsi="Verdana"/>
          <w:sz w:val="20"/>
          <w:szCs w:val="20"/>
          <w:lang w:val="es-ES"/>
        </w:rPr>
        <w:footnoteReference w:id="43"/>
      </w:r>
      <w:r w:rsidR="0082292F">
        <w:rPr>
          <w:rFonts w:ascii="Verdana" w:hAnsi="Verdana"/>
          <w:sz w:val="20"/>
          <w:szCs w:val="20"/>
          <w:lang w:val="es-ES"/>
        </w:rPr>
        <w:t>.</w:t>
      </w:r>
      <w:r w:rsidR="0082292F">
        <w:rPr>
          <w:rFonts w:ascii="Verdana" w:hAnsi="Verdana"/>
          <w:sz w:val="20"/>
          <w:szCs w:val="20"/>
        </w:rPr>
        <w:t xml:space="preserve"> </w:t>
      </w:r>
      <w:r w:rsidRPr="00F559E6">
        <w:rPr>
          <w:rFonts w:ascii="Verdana" w:hAnsi="Verdana"/>
          <w:sz w:val="20"/>
          <w:szCs w:val="20"/>
          <w:lang w:val="es-ES"/>
        </w:rPr>
        <w:t>Por último, la defensa cuestionó la valoración jurídica del dolo eventual pues “se sustenta en la personalidad el imputado, y en la violación a los reglamentos policiales”</w:t>
      </w:r>
      <w:r w:rsidRPr="00F559E6">
        <w:rPr>
          <w:rStyle w:val="FootnoteReference"/>
          <w:rFonts w:ascii="Verdana" w:hAnsi="Verdana"/>
          <w:sz w:val="20"/>
          <w:szCs w:val="20"/>
          <w:lang w:val="es-ES"/>
        </w:rPr>
        <w:footnoteReference w:id="44"/>
      </w:r>
      <w:r w:rsidR="0082292F">
        <w:rPr>
          <w:rFonts w:ascii="Verdana" w:hAnsi="Verdana"/>
          <w:sz w:val="20"/>
          <w:szCs w:val="20"/>
          <w:lang w:val="es-ES"/>
        </w:rPr>
        <w:t>.</w:t>
      </w:r>
    </w:p>
    <w:p w14:paraId="3BAFA02B"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52869FFD" w14:textId="52110516" w:rsidR="00CE4F03"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 xml:space="preserve">La Cámara Primera concedió el recurso y elevó las actuaciones a la Suprema Corte de </w:t>
      </w:r>
      <w:r w:rsidRPr="00F559E6">
        <w:rPr>
          <w:rFonts w:ascii="Verdana" w:hAnsi="Verdana"/>
          <w:sz w:val="20"/>
          <w:szCs w:val="20"/>
          <w:lang w:val="es-ES"/>
        </w:rPr>
        <w:lastRenderedPageBreak/>
        <w:t>Justicia de Mendoza (en adelante la “Suprema Corte de Mendoza”), la cual resolvería sobre el fondo del asunto</w:t>
      </w:r>
      <w:r w:rsidRPr="00F559E6">
        <w:rPr>
          <w:rStyle w:val="FootnoteReference"/>
          <w:rFonts w:ascii="Verdana" w:hAnsi="Verdana"/>
          <w:sz w:val="20"/>
          <w:szCs w:val="20"/>
          <w:lang w:val="es-ES"/>
        </w:rPr>
        <w:footnoteReference w:id="45"/>
      </w:r>
      <w:r w:rsidRPr="00F559E6">
        <w:rPr>
          <w:rFonts w:ascii="Verdana" w:hAnsi="Verdana"/>
          <w:sz w:val="20"/>
          <w:szCs w:val="20"/>
          <w:lang w:val="es-ES"/>
        </w:rPr>
        <w:t>. El 19 de diciembre de 1997 la Sala Segunda de la Suprema Corte de Mendoza (en adelante “la Sala Segunda”) resolvió rechazar el recurso de casación por falta de motivación y ausencia de determinación concreta del agravio</w:t>
      </w:r>
      <w:r w:rsidRPr="00F559E6">
        <w:rPr>
          <w:rStyle w:val="FootnoteReference"/>
          <w:rFonts w:ascii="Verdana" w:hAnsi="Verdana"/>
          <w:sz w:val="20"/>
          <w:szCs w:val="20"/>
          <w:lang w:val="es-ES"/>
        </w:rPr>
        <w:footnoteReference w:id="46"/>
      </w:r>
      <w:r w:rsidRPr="00F559E6">
        <w:rPr>
          <w:rFonts w:ascii="Verdana" w:hAnsi="Verdana"/>
          <w:sz w:val="20"/>
          <w:szCs w:val="20"/>
          <w:lang w:val="es-ES"/>
        </w:rPr>
        <w:t>. Al respecto, la Sala Segunda señaló que el recurso “debe ser motivado y que esta motivación debe ser suministrada por la parte recurrente en el mismo escrito de interposición determinando concretamente el agravio tanto en lo referente al vicio que denuncia como al derecho que sustenta”</w:t>
      </w:r>
      <w:r w:rsidRPr="00F559E6">
        <w:rPr>
          <w:rStyle w:val="FootnoteReference"/>
          <w:rFonts w:ascii="Verdana" w:hAnsi="Verdana"/>
          <w:sz w:val="20"/>
          <w:szCs w:val="20"/>
          <w:lang w:val="es-ES"/>
        </w:rPr>
        <w:footnoteReference w:id="47"/>
      </w:r>
      <w:r w:rsidR="000F5400">
        <w:rPr>
          <w:rFonts w:ascii="Verdana" w:hAnsi="Verdana"/>
          <w:sz w:val="20"/>
          <w:szCs w:val="20"/>
          <w:lang w:val="es-ES"/>
        </w:rPr>
        <w:t>.</w:t>
      </w:r>
      <w:r w:rsidRPr="00F559E6">
        <w:rPr>
          <w:rFonts w:ascii="Verdana" w:hAnsi="Verdana"/>
          <w:sz w:val="20"/>
          <w:szCs w:val="20"/>
          <w:lang w:val="es-ES"/>
        </w:rPr>
        <w:t xml:space="preserve"> En concreto, la Sa</w:t>
      </w:r>
      <w:r w:rsidR="008A351B">
        <w:rPr>
          <w:rFonts w:ascii="Verdana" w:hAnsi="Verdana"/>
          <w:sz w:val="20"/>
          <w:szCs w:val="20"/>
          <w:lang w:val="es-ES"/>
        </w:rPr>
        <w:t>la Segunda indicó lo siguiente:</w:t>
      </w:r>
    </w:p>
    <w:p w14:paraId="2E63F18A"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11B4A09A" w14:textId="04BBF85B" w:rsidR="00CE4F03" w:rsidRPr="008A351B" w:rsidRDefault="00CE4F03" w:rsidP="00C962FE">
      <w:pPr>
        <w:spacing w:after="0" w:line="240" w:lineRule="auto"/>
        <w:ind w:left="708" w:right="1088"/>
        <w:contextualSpacing/>
        <w:jc w:val="both"/>
        <w:rPr>
          <w:rFonts w:ascii="Verdana" w:hAnsi="Verdana"/>
          <w:sz w:val="18"/>
          <w:szCs w:val="18"/>
          <w:lang w:val="es-ES"/>
        </w:rPr>
      </w:pPr>
      <w:r w:rsidRPr="008A351B">
        <w:rPr>
          <w:rFonts w:ascii="Verdana" w:hAnsi="Verdana"/>
          <w:sz w:val="18"/>
          <w:szCs w:val="18"/>
          <w:lang w:val="es-ES"/>
        </w:rPr>
        <w:t>El recurso no puede fundarse en forma genérica; sino que cuando se aduce falta de motivación en la sentencia, es necesario individualizar el acto viciado, referirlo concretamente a sus fundamentos señalando la posibilidad razonable de incidencia de la prueba ilegal u omitida en el razonamiento del tribunal de mérito”</w:t>
      </w:r>
      <w:r w:rsidRPr="008A351B">
        <w:rPr>
          <w:rStyle w:val="FootnoteReference"/>
          <w:rFonts w:ascii="Verdana" w:hAnsi="Verdana"/>
          <w:sz w:val="18"/>
          <w:szCs w:val="18"/>
          <w:lang w:val="es-ES"/>
        </w:rPr>
        <w:footnoteReference w:id="48"/>
      </w:r>
      <w:r w:rsidRPr="008A351B">
        <w:rPr>
          <w:rFonts w:ascii="Verdana" w:hAnsi="Verdana"/>
          <w:sz w:val="18"/>
          <w:szCs w:val="18"/>
          <w:lang w:val="es-ES"/>
        </w:rPr>
        <w:t xml:space="preserve"> […] “el quejoso hace referencia en forma genérica a la circunstancia que el dolo no se ha probado en el fallo, sin cuestionar prueba alguna o pasajes de la sentencia</w:t>
      </w:r>
      <w:r w:rsidR="000C7E04">
        <w:rPr>
          <w:rFonts w:ascii="Verdana" w:hAnsi="Verdana"/>
          <w:sz w:val="18"/>
          <w:szCs w:val="18"/>
          <w:lang w:val="es-ES"/>
        </w:rPr>
        <w:t xml:space="preserve"> [</w:t>
      </w:r>
      <w:r w:rsidRPr="008A351B">
        <w:rPr>
          <w:rFonts w:ascii="Verdana" w:hAnsi="Verdana"/>
          <w:sz w:val="18"/>
          <w:szCs w:val="18"/>
          <w:lang w:val="es-ES"/>
        </w:rPr>
        <w:t>...</w:t>
      </w:r>
      <w:r w:rsidR="000C7E04">
        <w:rPr>
          <w:rFonts w:ascii="Verdana" w:hAnsi="Verdana"/>
          <w:sz w:val="18"/>
          <w:szCs w:val="18"/>
          <w:lang w:val="es-ES"/>
        </w:rPr>
        <w:t>]</w:t>
      </w:r>
      <w:r w:rsidRPr="008A351B">
        <w:rPr>
          <w:rFonts w:ascii="Verdana" w:hAnsi="Verdana"/>
          <w:sz w:val="18"/>
          <w:szCs w:val="18"/>
          <w:lang w:val="es-ES"/>
        </w:rPr>
        <w:t>”. “Respecto al motivo sustancial alegado corresponde desestimarlo</w:t>
      </w:r>
      <w:r w:rsidR="000965F4">
        <w:rPr>
          <w:rFonts w:ascii="Verdana" w:hAnsi="Verdana"/>
          <w:sz w:val="18"/>
          <w:szCs w:val="18"/>
          <w:lang w:val="es-ES"/>
        </w:rPr>
        <w:t xml:space="preserve"> </w:t>
      </w:r>
      <w:r w:rsidRPr="008A351B">
        <w:rPr>
          <w:rFonts w:ascii="Verdana" w:hAnsi="Verdana"/>
          <w:sz w:val="18"/>
          <w:szCs w:val="18"/>
          <w:lang w:val="es-ES"/>
        </w:rPr>
        <w:t>“in limine”, porque las argumentaciones recursivas revelan, en suma, la discrepancia valorativa del impugnante con el criterio de la Cámara con relación al material probatorio incorporado legalmente al debate, porque el Tribunal de Casación no puede rever ni juzgar los motivos que conformaron la convicción del Tribunal a-quo</w:t>
      </w:r>
      <w:r w:rsidR="000F5400">
        <w:rPr>
          <w:rFonts w:ascii="Verdana" w:hAnsi="Verdana"/>
          <w:sz w:val="18"/>
          <w:szCs w:val="18"/>
          <w:lang w:val="es-ES"/>
        </w:rPr>
        <w:t xml:space="preserve"> [</w:t>
      </w:r>
      <w:r w:rsidRPr="008A351B">
        <w:rPr>
          <w:rFonts w:ascii="Verdana" w:hAnsi="Verdana"/>
          <w:sz w:val="18"/>
          <w:szCs w:val="18"/>
          <w:lang w:val="es-ES"/>
        </w:rPr>
        <w:t>…</w:t>
      </w:r>
      <w:r w:rsidR="000F5400">
        <w:rPr>
          <w:rFonts w:ascii="Verdana" w:hAnsi="Verdana"/>
          <w:sz w:val="18"/>
          <w:szCs w:val="18"/>
          <w:lang w:val="es-ES"/>
        </w:rPr>
        <w:t>]</w:t>
      </w:r>
      <w:r w:rsidRPr="008A351B">
        <w:rPr>
          <w:rStyle w:val="FootnoteReference"/>
          <w:rFonts w:ascii="Verdana" w:hAnsi="Verdana"/>
          <w:sz w:val="18"/>
          <w:szCs w:val="18"/>
          <w:lang w:val="es-ES"/>
        </w:rPr>
        <w:footnoteReference w:id="49"/>
      </w:r>
      <w:r w:rsidR="000F5400">
        <w:rPr>
          <w:rFonts w:ascii="Verdana" w:hAnsi="Verdana"/>
          <w:sz w:val="18"/>
          <w:szCs w:val="18"/>
          <w:lang w:val="es-ES"/>
        </w:rPr>
        <w:t>.</w:t>
      </w:r>
    </w:p>
    <w:p w14:paraId="5981F8CE" w14:textId="77777777" w:rsidR="00CE4F03" w:rsidRPr="00F559E6" w:rsidRDefault="00CE4F03" w:rsidP="00C962FE">
      <w:pPr>
        <w:spacing w:after="0" w:line="240" w:lineRule="auto"/>
        <w:contextualSpacing/>
        <w:jc w:val="both"/>
        <w:rPr>
          <w:rFonts w:ascii="Verdana" w:hAnsi="Verdana"/>
          <w:sz w:val="20"/>
          <w:szCs w:val="20"/>
          <w:lang w:val="es-ES"/>
        </w:rPr>
      </w:pPr>
    </w:p>
    <w:p w14:paraId="6A32CDE6" w14:textId="5DEA7F04" w:rsidR="00CE4F03" w:rsidRPr="00576FE8"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La Sala Segunda agregó que “la Cámara ha fundado en forma clara, completa y generosa el dolo eventual que le atribuye a la conducta del encartado” para lo cual citó textualmente el razonamiento de la Cámara Primera</w:t>
      </w:r>
      <w:r w:rsidRPr="00F559E6">
        <w:rPr>
          <w:rStyle w:val="FootnoteReference"/>
          <w:rFonts w:ascii="Verdana" w:hAnsi="Verdana"/>
          <w:sz w:val="20"/>
          <w:szCs w:val="20"/>
          <w:lang w:val="es-ES"/>
        </w:rPr>
        <w:footnoteReference w:id="50"/>
      </w:r>
      <w:r w:rsidRPr="00F559E6">
        <w:rPr>
          <w:rFonts w:ascii="Verdana" w:hAnsi="Verdana"/>
          <w:sz w:val="20"/>
          <w:szCs w:val="20"/>
          <w:lang w:val="es-ES"/>
        </w:rPr>
        <w:t>.</w:t>
      </w:r>
      <w:r w:rsidRPr="00F559E6">
        <w:rPr>
          <w:rFonts w:ascii="Verdana" w:hAnsi="Verdana"/>
          <w:b/>
          <w:sz w:val="20"/>
          <w:szCs w:val="20"/>
          <w:lang w:val="es-ES"/>
        </w:rPr>
        <w:t xml:space="preserve"> </w:t>
      </w:r>
      <w:r w:rsidRPr="00F559E6">
        <w:rPr>
          <w:rFonts w:ascii="Verdana" w:hAnsi="Verdana"/>
          <w:sz w:val="20"/>
          <w:szCs w:val="20"/>
          <w:lang w:val="es-ES"/>
        </w:rPr>
        <w:t>Asimismo, indicó que la Cámara examinó la hipótesis de que el imputado hubiera actuado con culpa lo que descartó dado que la “prueba de cargo reunida, […] muestra otra realidad de lo sucedido, mucho más gravosa”</w:t>
      </w:r>
      <w:r w:rsidRPr="00F559E6">
        <w:rPr>
          <w:rStyle w:val="FootnoteReference"/>
          <w:rFonts w:ascii="Verdana" w:hAnsi="Verdana"/>
          <w:sz w:val="20"/>
          <w:szCs w:val="20"/>
          <w:lang w:val="es-ES"/>
        </w:rPr>
        <w:footnoteReference w:id="51"/>
      </w:r>
      <w:r w:rsidRPr="00F559E6">
        <w:rPr>
          <w:rFonts w:ascii="Verdana" w:hAnsi="Verdana"/>
          <w:sz w:val="20"/>
          <w:szCs w:val="20"/>
          <w:lang w:val="es-ES"/>
        </w:rPr>
        <w:t>. Refirió que “el desprecio por el resultado de una acción grave como lo es el apuntar a un vehículo en movimiento desde otro que lo sigue, con un arma de grueso calibre y largo alcance, conociendo el poder de daño de sus proyectiles, excluye toda forma de culpa […] y llena adecuadamente la exigencia típica del dolo, bajo la forma eventual […]”</w:t>
      </w:r>
      <w:r w:rsidRPr="00F559E6">
        <w:rPr>
          <w:rStyle w:val="FootnoteReference"/>
          <w:rFonts w:ascii="Verdana" w:hAnsi="Verdana"/>
          <w:sz w:val="20"/>
          <w:szCs w:val="20"/>
          <w:lang w:val="es-ES"/>
        </w:rPr>
        <w:footnoteReference w:id="52"/>
      </w:r>
      <w:r w:rsidRPr="00F559E6">
        <w:rPr>
          <w:rFonts w:ascii="Verdana" w:hAnsi="Verdana"/>
          <w:sz w:val="20"/>
          <w:szCs w:val="20"/>
          <w:lang w:val="es-ES"/>
        </w:rPr>
        <w:t>. En consecuencia, determinó que correspondía desestimar el remedio intentado por resultar “formalmente improcedente”</w:t>
      </w:r>
      <w:r w:rsidRPr="00F559E6">
        <w:rPr>
          <w:rStyle w:val="FootnoteReference"/>
          <w:rFonts w:ascii="Verdana" w:hAnsi="Verdana"/>
          <w:sz w:val="20"/>
          <w:szCs w:val="20"/>
          <w:lang w:val="es-ES"/>
        </w:rPr>
        <w:footnoteReference w:id="53"/>
      </w:r>
      <w:r w:rsidR="00EF567E">
        <w:rPr>
          <w:rFonts w:ascii="Verdana" w:hAnsi="Verdana"/>
          <w:sz w:val="20"/>
          <w:szCs w:val="20"/>
          <w:lang w:val="es-ES"/>
        </w:rPr>
        <w:t>.</w:t>
      </w:r>
    </w:p>
    <w:p w14:paraId="49328CD6" w14:textId="77777777" w:rsidR="00576FE8" w:rsidRPr="00576FE8" w:rsidRDefault="00576FE8"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3A11F34E" w14:textId="77777777" w:rsidR="00CE4F03" w:rsidRPr="00A02AC3" w:rsidRDefault="00AF1D36" w:rsidP="00BE32C0">
      <w:pPr>
        <w:pStyle w:val="Heading3"/>
        <w:rPr>
          <w:i w:val="0"/>
          <w:lang w:val="es-ES"/>
        </w:rPr>
      </w:pPr>
      <w:r w:rsidRPr="00A02AC3">
        <w:rPr>
          <w:i w:val="0"/>
          <w:lang w:val="es-ES"/>
        </w:rPr>
        <w:t xml:space="preserve"> </w:t>
      </w:r>
      <w:bookmarkStart w:id="47" w:name="_Toc19533030"/>
      <w:r w:rsidR="00CE4F03" w:rsidRPr="00A02AC3">
        <w:rPr>
          <w:i w:val="0"/>
          <w:lang w:val="es-ES"/>
        </w:rPr>
        <w:t>Recurso Extraordinario Federal</w:t>
      </w:r>
      <w:bookmarkEnd w:id="47"/>
      <w:r w:rsidR="00CE4F03" w:rsidRPr="00A02AC3">
        <w:rPr>
          <w:i w:val="0"/>
          <w:lang w:val="es-ES"/>
        </w:rPr>
        <w:t xml:space="preserve"> </w:t>
      </w:r>
    </w:p>
    <w:p w14:paraId="5DAFCFC0" w14:textId="77777777" w:rsidR="00CE4F03" w:rsidRPr="00F559E6" w:rsidRDefault="00CE4F03" w:rsidP="00C962FE">
      <w:pPr>
        <w:spacing w:after="0" w:line="240" w:lineRule="auto"/>
        <w:contextualSpacing/>
        <w:jc w:val="both"/>
        <w:rPr>
          <w:rFonts w:ascii="Verdana" w:hAnsi="Verdana"/>
          <w:sz w:val="20"/>
          <w:szCs w:val="20"/>
          <w:lang w:val="es-ES"/>
        </w:rPr>
      </w:pPr>
    </w:p>
    <w:p w14:paraId="3CC1DF7A" w14:textId="06261E41" w:rsidR="007A2EAC" w:rsidRPr="008A351B"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 xml:space="preserve">El 24 de febrero de 1998 la defensa del señor Gorigoitía interpuso un recurso extraordinario </w:t>
      </w:r>
      <w:r w:rsidR="00576FE8">
        <w:rPr>
          <w:rFonts w:ascii="Verdana" w:hAnsi="Verdana"/>
          <w:sz w:val="20"/>
          <w:szCs w:val="20"/>
          <w:lang w:val="es-ES"/>
        </w:rPr>
        <w:t xml:space="preserve">federal </w:t>
      </w:r>
      <w:r w:rsidR="00CB297F">
        <w:rPr>
          <w:rFonts w:ascii="Verdana" w:hAnsi="Verdana"/>
          <w:sz w:val="20"/>
          <w:szCs w:val="20"/>
          <w:lang w:val="es-ES"/>
        </w:rPr>
        <w:t xml:space="preserve">(en adelante también </w:t>
      </w:r>
      <w:r w:rsidR="00FA511D">
        <w:rPr>
          <w:rFonts w:ascii="Verdana" w:hAnsi="Verdana"/>
          <w:sz w:val="20"/>
          <w:szCs w:val="20"/>
          <w:lang w:val="es-ES"/>
        </w:rPr>
        <w:t>“</w:t>
      </w:r>
      <w:r w:rsidR="00576FE8">
        <w:rPr>
          <w:rFonts w:ascii="Verdana" w:hAnsi="Verdana"/>
          <w:sz w:val="20"/>
          <w:szCs w:val="20"/>
          <w:lang w:val="es-ES"/>
        </w:rPr>
        <w:t>recurso extraordinario</w:t>
      </w:r>
      <w:r w:rsidR="00FA511D">
        <w:rPr>
          <w:rFonts w:ascii="Verdana" w:hAnsi="Verdana"/>
          <w:sz w:val="20"/>
          <w:szCs w:val="20"/>
          <w:lang w:val="es-ES"/>
        </w:rPr>
        <w:t>”</w:t>
      </w:r>
      <w:r w:rsidR="00576FE8">
        <w:rPr>
          <w:rFonts w:ascii="Verdana" w:hAnsi="Verdana"/>
          <w:sz w:val="20"/>
          <w:szCs w:val="20"/>
          <w:lang w:val="es-ES"/>
        </w:rPr>
        <w:t xml:space="preserve"> o “REF”</w:t>
      </w:r>
      <w:r w:rsidR="00CB297F">
        <w:rPr>
          <w:rFonts w:ascii="Verdana" w:hAnsi="Verdana"/>
          <w:sz w:val="20"/>
          <w:szCs w:val="20"/>
          <w:lang w:val="es-ES"/>
        </w:rPr>
        <w:t xml:space="preserve">) </w:t>
      </w:r>
      <w:r w:rsidRPr="00F559E6">
        <w:rPr>
          <w:rFonts w:ascii="Verdana" w:hAnsi="Verdana"/>
          <w:sz w:val="20"/>
          <w:szCs w:val="20"/>
          <w:lang w:val="es-ES"/>
        </w:rPr>
        <w:t>contra la resolución de la Sala Seg</w:t>
      </w:r>
      <w:r w:rsidR="00CB297F">
        <w:rPr>
          <w:rFonts w:ascii="Verdana" w:hAnsi="Verdana"/>
          <w:sz w:val="20"/>
          <w:szCs w:val="20"/>
          <w:lang w:val="es-ES"/>
        </w:rPr>
        <w:t>unda que rechazó el recurso de c</w:t>
      </w:r>
      <w:r w:rsidRPr="00F559E6">
        <w:rPr>
          <w:rFonts w:ascii="Verdana" w:hAnsi="Verdana"/>
          <w:sz w:val="20"/>
          <w:szCs w:val="20"/>
          <w:lang w:val="es-ES"/>
        </w:rPr>
        <w:t>asación</w:t>
      </w:r>
      <w:r w:rsidRPr="00F559E6">
        <w:rPr>
          <w:rStyle w:val="FootnoteReference"/>
          <w:rFonts w:ascii="Verdana" w:hAnsi="Verdana"/>
          <w:sz w:val="20"/>
          <w:szCs w:val="20"/>
          <w:lang w:val="es-ES"/>
        </w:rPr>
        <w:footnoteReference w:id="54"/>
      </w:r>
      <w:r w:rsidRPr="00F559E6">
        <w:rPr>
          <w:rFonts w:ascii="Verdana" w:hAnsi="Verdana"/>
          <w:sz w:val="20"/>
          <w:szCs w:val="20"/>
          <w:lang w:val="es-ES"/>
        </w:rPr>
        <w:t xml:space="preserve">. La defensa solicitó la </w:t>
      </w:r>
      <w:r w:rsidRPr="00F559E6">
        <w:rPr>
          <w:rFonts w:ascii="Verdana" w:hAnsi="Verdana"/>
          <w:sz w:val="20"/>
          <w:szCs w:val="20"/>
          <w:lang w:val="es-ES"/>
        </w:rPr>
        <w:lastRenderedPageBreak/>
        <w:t>anulación de la sentencia de la Sala Segunda que rechazó el recurso de casación impetrado y que se dicte una nueva sentencia “en forma ajustada a derecho”</w:t>
      </w:r>
      <w:r w:rsidRPr="00F559E6">
        <w:rPr>
          <w:rStyle w:val="FootnoteReference"/>
          <w:rFonts w:ascii="Verdana" w:hAnsi="Verdana"/>
          <w:sz w:val="20"/>
          <w:szCs w:val="20"/>
          <w:lang w:val="es-ES"/>
        </w:rPr>
        <w:footnoteReference w:id="55"/>
      </w:r>
      <w:r w:rsidR="00B7511E">
        <w:rPr>
          <w:rFonts w:ascii="Verdana" w:hAnsi="Verdana"/>
          <w:sz w:val="20"/>
          <w:szCs w:val="20"/>
          <w:lang w:val="es-ES"/>
        </w:rPr>
        <w:t>.</w:t>
      </w:r>
      <w:r w:rsidRPr="00F559E6">
        <w:rPr>
          <w:rFonts w:ascii="Verdana" w:hAnsi="Verdana"/>
          <w:b/>
          <w:sz w:val="20"/>
          <w:szCs w:val="20"/>
          <w:lang w:val="es-ES"/>
        </w:rPr>
        <w:t xml:space="preserve"> </w:t>
      </w:r>
      <w:r w:rsidRPr="00F559E6">
        <w:rPr>
          <w:rFonts w:ascii="Verdana" w:hAnsi="Verdana"/>
          <w:sz w:val="20"/>
          <w:szCs w:val="20"/>
          <w:lang w:val="es-ES"/>
        </w:rPr>
        <w:t>La defensa del señor Gorigoitía indicó que las sentencias de la Cámara del Crimen y la Suprema Corte resultaron arbitrarias por los siguientes motivos</w:t>
      </w:r>
      <w:r w:rsidRPr="00F559E6">
        <w:rPr>
          <w:rStyle w:val="FootnoteReference"/>
          <w:rFonts w:ascii="Verdana" w:hAnsi="Verdana"/>
          <w:sz w:val="20"/>
          <w:szCs w:val="20"/>
          <w:lang w:val="es-ES"/>
        </w:rPr>
        <w:footnoteReference w:id="56"/>
      </w:r>
      <w:r w:rsidRPr="00F559E6">
        <w:rPr>
          <w:rFonts w:ascii="Verdana" w:hAnsi="Verdana"/>
          <w:sz w:val="20"/>
          <w:szCs w:val="20"/>
          <w:lang w:val="es-ES"/>
        </w:rPr>
        <w:t>: a) e</w:t>
      </w:r>
      <w:r w:rsidRPr="00F559E6">
        <w:rPr>
          <w:rFonts w:ascii="Verdana" w:hAnsi="Verdana"/>
          <w:noProof/>
          <w:sz w:val="20"/>
          <w:szCs w:val="20"/>
        </w:rPr>
        <w:t>l dolo eventual que se atribuyó al obrar del inculpado, nunca fue probado</w:t>
      </w:r>
      <w:r w:rsidRPr="00F559E6">
        <w:rPr>
          <w:rStyle w:val="FootnoteReference"/>
          <w:rFonts w:ascii="Verdana" w:hAnsi="Verdana"/>
          <w:noProof/>
          <w:sz w:val="20"/>
          <w:szCs w:val="20"/>
        </w:rPr>
        <w:footnoteReference w:id="57"/>
      </w:r>
      <w:r w:rsidRPr="00F559E6">
        <w:rPr>
          <w:rFonts w:ascii="Verdana" w:hAnsi="Verdana"/>
          <w:noProof/>
          <w:sz w:val="20"/>
          <w:szCs w:val="20"/>
        </w:rPr>
        <w:t xml:space="preserve">; b) </w:t>
      </w:r>
      <w:r w:rsidRPr="00F559E6">
        <w:rPr>
          <w:rFonts w:ascii="Verdana" w:hAnsi="Verdana"/>
          <w:sz w:val="20"/>
          <w:szCs w:val="20"/>
          <w:lang w:val="es-ES"/>
        </w:rPr>
        <w:t xml:space="preserve">se debió apreciar la situación legal de Gorigoitía dentro del principio del </w:t>
      </w:r>
      <w:r w:rsidRPr="00F559E6">
        <w:rPr>
          <w:rFonts w:ascii="Verdana" w:hAnsi="Verdana"/>
          <w:i/>
          <w:sz w:val="20"/>
          <w:szCs w:val="20"/>
          <w:lang w:val="es-ES"/>
        </w:rPr>
        <w:t>in dubio pro reo</w:t>
      </w:r>
      <w:r w:rsidRPr="00F559E6">
        <w:rPr>
          <w:rFonts w:ascii="Verdana" w:hAnsi="Verdana"/>
          <w:sz w:val="20"/>
          <w:szCs w:val="20"/>
          <w:lang w:val="es-ES"/>
        </w:rPr>
        <w:t>, a la hora de decidir si la figura delictiva a fijar era un homicidio simple o un homicidio culposo</w:t>
      </w:r>
      <w:r w:rsidRPr="00F559E6">
        <w:rPr>
          <w:rStyle w:val="FootnoteReference"/>
          <w:rFonts w:ascii="Verdana" w:hAnsi="Verdana"/>
          <w:sz w:val="20"/>
          <w:szCs w:val="20"/>
          <w:lang w:val="es-ES"/>
        </w:rPr>
        <w:footnoteReference w:id="58"/>
      </w:r>
      <w:r w:rsidR="00EA0D57">
        <w:rPr>
          <w:rFonts w:ascii="Verdana" w:hAnsi="Verdana"/>
          <w:sz w:val="20"/>
          <w:szCs w:val="20"/>
          <w:lang w:val="es-ES"/>
        </w:rPr>
        <w:t>,</w:t>
      </w:r>
      <w:r w:rsidRPr="00F559E6">
        <w:rPr>
          <w:rFonts w:ascii="Verdana" w:hAnsi="Verdana"/>
          <w:sz w:val="20"/>
          <w:szCs w:val="20"/>
          <w:lang w:val="es-ES"/>
        </w:rPr>
        <w:t xml:space="preserve"> y c) el criterio de apreciación de la prueba efectuado por el Tribunal de sentencia estuvo “sustentado en el puro y exclusivo subjetivismo de los jueces qu</w:t>
      </w:r>
      <w:r w:rsidR="008F5A53">
        <w:rPr>
          <w:rFonts w:ascii="Verdana" w:hAnsi="Verdana"/>
          <w:sz w:val="20"/>
          <w:szCs w:val="20"/>
          <w:lang w:val="es-ES"/>
        </w:rPr>
        <w:t>e además se apartaron […]</w:t>
      </w:r>
      <w:r w:rsidRPr="00F559E6">
        <w:rPr>
          <w:rFonts w:ascii="Verdana" w:hAnsi="Verdana"/>
          <w:sz w:val="20"/>
          <w:szCs w:val="20"/>
          <w:lang w:val="es-ES"/>
        </w:rPr>
        <w:t xml:space="preserve"> de los hechos, del buen sentido y d</w:t>
      </w:r>
      <w:r w:rsidR="00B7511E">
        <w:rPr>
          <w:rFonts w:ascii="Verdana" w:hAnsi="Verdana"/>
          <w:sz w:val="20"/>
          <w:szCs w:val="20"/>
          <w:lang w:val="es-ES"/>
        </w:rPr>
        <w:t>e las reglas de la sana crítica</w:t>
      </w:r>
      <w:r w:rsidRPr="00F559E6">
        <w:rPr>
          <w:rFonts w:ascii="Verdana" w:hAnsi="Verdana"/>
          <w:sz w:val="20"/>
          <w:szCs w:val="20"/>
          <w:lang w:val="es-ES"/>
        </w:rPr>
        <w:t>”</w:t>
      </w:r>
      <w:r w:rsidRPr="00F559E6">
        <w:rPr>
          <w:rStyle w:val="FootnoteReference"/>
          <w:rFonts w:ascii="Verdana" w:hAnsi="Verdana"/>
          <w:sz w:val="20"/>
          <w:szCs w:val="20"/>
          <w:lang w:val="es-ES"/>
        </w:rPr>
        <w:footnoteReference w:id="59"/>
      </w:r>
      <w:r w:rsidRPr="00F559E6">
        <w:rPr>
          <w:rFonts w:ascii="Verdana" w:hAnsi="Verdana"/>
          <w:sz w:val="20"/>
          <w:szCs w:val="20"/>
          <w:lang w:val="es-ES"/>
        </w:rPr>
        <w:t>, por lo que tampoco estuvo debidamente motivada</w:t>
      </w:r>
      <w:r w:rsidRPr="00F559E6">
        <w:rPr>
          <w:rStyle w:val="FootnoteReference"/>
          <w:rFonts w:ascii="Verdana" w:hAnsi="Verdana"/>
          <w:sz w:val="20"/>
          <w:szCs w:val="20"/>
          <w:lang w:val="es-ES"/>
        </w:rPr>
        <w:footnoteReference w:id="60"/>
      </w:r>
      <w:r w:rsidR="007A2EAC" w:rsidRPr="00F559E6">
        <w:rPr>
          <w:rFonts w:ascii="Verdana" w:hAnsi="Verdana"/>
          <w:sz w:val="20"/>
          <w:szCs w:val="20"/>
          <w:lang w:val="es-ES"/>
        </w:rPr>
        <w:t>.</w:t>
      </w:r>
    </w:p>
    <w:p w14:paraId="28AB15BF"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74A72648" w14:textId="6CDAE233" w:rsidR="007A2EAC" w:rsidRPr="008A351B"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El 11 de marzo de 1998 el Procurador General de la Suprema Corte de Mendoza (en adelante “Procurador General”) estimó que debía declararse procedente el recurso extraordinario. Señaló que “corresponde admitir la queja: […</w:t>
      </w:r>
      <w:r w:rsidR="00576FE8">
        <w:rPr>
          <w:rFonts w:ascii="Verdana" w:hAnsi="Verdana"/>
          <w:sz w:val="20"/>
          <w:szCs w:val="20"/>
          <w:lang w:val="es-ES"/>
        </w:rPr>
        <w:t xml:space="preserve"> ya que</w:t>
      </w:r>
      <w:r w:rsidRPr="00F559E6">
        <w:rPr>
          <w:rFonts w:ascii="Verdana" w:hAnsi="Verdana"/>
          <w:sz w:val="20"/>
          <w:szCs w:val="20"/>
          <w:lang w:val="es-ES"/>
        </w:rPr>
        <w:t>] se llevó a cabo una restricción sustancial de la vía utilizada por el justiciable sin fundamentación idónea o suficiente lo que se traduce en una violación del debido proceso […]”</w:t>
      </w:r>
      <w:r w:rsidRPr="00F559E6">
        <w:rPr>
          <w:rStyle w:val="FootnoteReference"/>
          <w:rFonts w:ascii="Verdana" w:hAnsi="Verdana"/>
          <w:sz w:val="20"/>
          <w:szCs w:val="20"/>
          <w:lang w:val="es-ES"/>
        </w:rPr>
        <w:footnoteReference w:id="61"/>
      </w:r>
      <w:r w:rsidRPr="00F559E6">
        <w:rPr>
          <w:rFonts w:ascii="Verdana" w:hAnsi="Verdana"/>
          <w:sz w:val="20"/>
          <w:szCs w:val="20"/>
          <w:lang w:val="es-ES"/>
        </w:rPr>
        <w:t>. Asimismo, invocó el artículo 8.2 h) de la Convención Americana, y el artículo 14.5 del Pacto Internacional de Derechos Civiles y Políticos, indicando que “la garantía de recurrir, ha sido consagrada en forma por demás amplia en favor del imputado y no puede limitarse o restringirse en aras de la conservación de requisitos formales excesivos</w:t>
      </w:r>
      <w:r w:rsidRPr="00F559E6">
        <w:rPr>
          <w:rStyle w:val="FootnoteReference"/>
          <w:rFonts w:ascii="Verdana" w:hAnsi="Verdana"/>
          <w:sz w:val="20"/>
          <w:szCs w:val="20"/>
          <w:lang w:val="es-ES"/>
        </w:rPr>
        <w:footnoteReference w:id="62"/>
      </w:r>
      <w:r w:rsidRPr="00F559E6">
        <w:rPr>
          <w:rFonts w:ascii="Verdana" w:hAnsi="Verdana"/>
          <w:sz w:val="20"/>
          <w:szCs w:val="20"/>
          <w:lang w:val="es-ES"/>
        </w:rPr>
        <w:t>”</w:t>
      </w:r>
      <w:r w:rsidR="005F5C55">
        <w:rPr>
          <w:rFonts w:ascii="Verdana" w:hAnsi="Verdana"/>
          <w:sz w:val="20"/>
          <w:szCs w:val="20"/>
          <w:lang w:val="es-ES"/>
        </w:rPr>
        <w:t>.</w:t>
      </w:r>
    </w:p>
    <w:p w14:paraId="1228AEDC"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4B7485A0" w14:textId="5D26C006" w:rsidR="00CE4F03"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Fonts w:ascii="Verdana" w:hAnsi="Verdana"/>
          <w:sz w:val="20"/>
          <w:szCs w:val="20"/>
          <w:lang w:val="es-ES"/>
        </w:rPr>
        <w:t xml:space="preserve">El 31 de marzo de 1998 la Suprema Corte de Mendoza rechazó el </w:t>
      </w:r>
      <w:r w:rsidR="00576FE8">
        <w:rPr>
          <w:rFonts w:ascii="Verdana" w:hAnsi="Verdana"/>
          <w:sz w:val="20"/>
          <w:szCs w:val="20"/>
          <w:lang w:val="es-ES"/>
        </w:rPr>
        <w:t>recurso extraordinario</w:t>
      </w:r>
      <w:r w:rsidRPr="00F559E6">
        <w:rPr>
          <w:rFonts w:ascii="Verdana" w:hAnsi="Verdana"/>
          <w:sz w:val="20"/>
          <w:szCs w:val="20"/>
          <w:lang w:val="es-ES"/>
        </w:rPr>
        <w:t xml:space="preserve"> indicando lo siguiente: a) que el quejoso no cuestiona una sentencia sino un “auto” dictado por la Sala Segunda </w:t>
      </w:r>
      <w:r w:rsidR="00576FE8">
        <w:rPr>
          <w:rFonts w:ascii="Verdana" w:hAnsi="Verdana"/>
          <w:sz w:val="20"/>
          <w:szCs w:val="20"/>
          <w:lang w:val="es-ES"/>
        </w:rPr>
        <w:t xml:space="preserve">mediante el cual </w:t>
      </w:r>
      <w:r w:rsidRPr="00F559E6">
        <w:rPr>
          <w:rFonts w:ascii="Verdana" w:hAnsi="Verdana"/>
          <w:sz w:val="20"/>
          <w:szCs w:val="20"/>
          <w:lang w:val="es-ES"/>
        </w:rPr>
        <w:t>rechaza formalmente el recurso de casación porque no reúne los recaudos expresamente exigidos por la ley ritual penal mendocina y la jurisprudencia</w:t>
      </w:r>
      <w:r w:rsidRPr="00F559E6">
        <w:rPr>
          <w:rStyle w:val="FootnoteReference"/>
          <w:rFonts w:ascii="Verdana" w:hAnsi="Verdana"/>
          <w:sz w:val="20"/>
          <w:szCs w:val="20"/>
          <w:lang w:val="es-ES"/>
        </w:rPr>
        <w:footnoteReference w:id="63"/>
      </w:r>
      <w:r w:rsidRPr="00F559E6">
        <w:rPr>
          <w:rFonts w:ascii="Verdana" w:hAnsi="Verdana"/>
          <w:sz w:val="20"/>
          <w:szCs w:val="20"/>
          <w:lang w:val="es-ES"/>
        </w:rPr>
        <w:t>; b) que los agravios en que se funda el recurso extraordinario no deben referirse a la sentencia de primera instancia, sino a la de segunda</w:t>
      </w:r>
      <w:r w:rsidRPr="00F559E6">
        <w:rPr>
          <w:rStyle w:val="FootnoteReference"/>
          <w:rFonts w:ascii="Verdana" w:hAnsi="Verdana"/>
          <w:sz w:val="20"/>
          <w:szCs w:val="20"/>
          <w:lang w:val="es-ES"/>
        </w:rPr>
        <w:footnoteReference w:id="64"/>
      </w:r>
      <w:r w:rsidRPr="00F559E6">
        <w:rPr>
          <w:rFonts w:ascii="Verdana" w:hAnsi="Verdana"/>
          <w:sz w:val="20"/>
          <w:szCs w:val="20"/>
          <w:lang w:val="es-ES"/>
        </w:rPr>
        <w:t xml:space="preserve">; c) que la doctrina de la arbitrariedad no tiene por objetivo corregir en tercera instancia pronunciamientos equivocados o que el recurrente considere como tales, según su divergencia con la interpretación asignada por los jueces a los hechos y leyes comunes incluso respecto </w:t>
      </w:r>
      <w:r w:rsidR="006E43C9">
        <w:rPr>
          <w:rFonts w:ascii="Verdana" w:hAnsi="Verdana"/>
          <w:sz w:val="20"/>
          <w:szCs w:val="20"/>
          <w:lang w:val="es-ES"/>
        </w:rPr>
        <w:t>de normas que se estiman claras,</w:t>
      </w:r>
      <w:r w:rsidRPr="00F559E6">
        <w:rPr>
          <w:rFonts w:ascii="Verdana" w:hAnsi="Verdana"/>
          <w:sz w:val="20"/>
          <w:szCs w:val="20"/>
          <w:lang w:val="es-ES"/>
        </w:rPr>
        <w:t xml:space="preserve"> y d) que en el caso sub lite la resolución cuestionada ha sido debidamente fundada en la ley procesal mendocina y jurisprudencia concordante</w:t>
      </w:r>
      <w:r w:rsidRPr="00F559E6">
        <w:rPr>
          <w:rStyle w:val="FootnoteReference"/>
          <w:rFonts w:ascii="Verdana" w:hAnsi="Verdana"/>
          <w:sz w:val="20"/>
          <w:szCs w:val="20"/>
          <w:lang w:val="es-ES"/>
        </w:rPr>
        <w:footnoteReference w:id="65"/>
      </w:r>
      <w:r w:rsidR="006E43C9">
        <w:rPr>
          <w:rFonts w:ascii="Verdana" w:hAnsi="Verdana"/>
          <w:sz w:val="20"/>
          <w:szCs w:val="20"/>
          <w:lang w:val="es-ES"/>
        </w:rPr>
        <w:t>.</w:t>
      </w:r>
    </w:p>
    <w:p w14:paraId="3B457731"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5E6D996D" w14:textId="146BFAB9" w:rsidR="008A351B" w:rsidRPr="00A02AC3" w:rsidRDefault="00AF1D36" w:rsidP="00BE32C0">
      <w:pPr>
        <w:pStyle w:val="Heading3"/>
        <w:rPr>
          <w:i w:val="0"/>
          <w:lang w:val="es-ES"/>
        </w:rPr>
      </w:pPr>
      <w:r w:rsidRPr="00E5561D">
        <w:rPr>
          <w:lang w:val="es-ES"/>
        </w:rPr>
        <w:t xml:space="preserve"> </w:t>
      </w:r>
      <w:bookmarkStart w:id="48" w:name="_Toc19533031"/>
      <w:r w:rsidR="00CE4F03" w:rsidRPr="00A02AC3">
        <w:rPr>
          <w:i w:val="0"/>
          <w:lang w:val="es-ES"/>
        </w:rPr>
        <w:t>Recurso de Queja</w:t>
      </w:r>
      <w:bookmarkEnd w:id="48"/>
    </w:p>
    <w:p w14:paraId="6ED0C1FF"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b/>
          <w:sz w:val="20"/>
          <w:szCs w:val="20"/>
          <w:lang w:val="es-ES"/>
        </w:rPr>
      </w:pPr>
    </w:p>
    <w:p w14:paraId="70BF904F" w14:textId="1659E182" w:rsidR="00CE4F03" w:rsidRDefault="00CE4F03"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b/>
          <w:sz w:val="20"/>
          <w:szCs w:val="20"/>
          <w:lang w:val="es-ES"/>
        </w:rPr>
      </w:pPr>
      <w:r w:rsidRPr="00F559E6">
        <w:rPr>
          <w:rFonts w:ascii="Verdana" w:hAnsi="Verdana"/>
          <w:sz w:val="20"/>
          <w:szCs w:val="20"/>
          <w:lang w:val="es-ES"/>
        </w:rPr>
        <w:lastRenderedPageBreak/>
        <w:t xml:space="preserve">Ante la denegación del </w:t>
      </w:r>
      <w:r w:rsidR="00595E1A">
        <w:rPr>
          <w:rFonts w:ascii="Verdana" w:hAnsi="Verdana"/>
          <w:sz w:val="20"/>
          <w:szCs w:val="20"/>
          <w:lang w:val="es-ES"/>
        </w:rPr>
        <w:t>REF</w:t>
      </w:r>
      <w:r w:rsidRPr="00F559E6">
        <w:rPr>
          <w:rFonts w:ascii="Verdana" w:hAnsi="Verdana"/>
          <w:noProof/>
          <w:sz w:val="20"/>
          <w:szCs w:val="20"/>
        </w:rPr>
        <w:t xml:space="preserve"> </w:t>
      </w:r>
      <w:r w:rsidR="006E43C9">
        <w:rPr>
          <w:rFonts w:ascii="Verdana" w:hAnsi="Verdana"/>
          <w:noProof/>
          <w:sz w:val="20"/>
          <w:szCs w:val="20"/>
        </w:rPr>
        <w:t>por la Suprema Corte de Mendoza</w:t>
      </w:r>
      <w:r w:rsidRPr="00F559E6">
        <w:rPr>
          <w:rFonts w:ascii="Verdana" w:hAnsi="Verdana"/>
          <w:sz w:val="20"/>
          <w:szCs w:val="20"/>
        </w:rPr>
        <w:t>, el 23 de abril de 1998</w:t>
      </w:r>
      <w:r w:rsidRPr="00F559E6">
        <w:rPr>
          <w:rFonts w:ascii="Verdana" w:hAnsi="Verdana"/>
          <w:sz w:val="20"/>
          <w:szCs w:val="20"/>
          <w:lang w:val="es-ES"/>
        </w:rPr>
        <w:t xml:space="preserve"> la defensa del señor Gorigoitía presentó un recurso de queja ante la Corte Suprema de Justicia de la Nación (en adelante “Corte Suprema de la Nación”</w:t>
      </w:r>
      <w:r w:rsidR="009A1066">
        <w:rPr>
          <w:rFonts w:ascii="Verdana" w:hAnsi="Verdana"/>
          <w:sz w:val="20"/>
          <w:szCs w:val="20"/>
          <w:lang w:val="es-ES"/>
        </w:rPr>
        <w:t xml:space="preserve"> o “CSJN”</w:t>
      </w:r>
      <w:r w:rsidRPr="00F559E6">
        <w:rPr>
          <w:rFonts w:ascii="Verdana" w:hAnsi="Verdana"/>
          <w:sz w:val="20"/>
          <w:szCs w:val="20"/>
          <w:lang w:val="es-ES"/>
        </w:rPr>
        <w:t>)</w:t>
      </w:r>
      <w:r w:rsidRPr="00F559E6">
        <w:rPr>
          <w:rStyle w:val="FootnoteReference"/>
          <w:rFonts w:ascii="Verdana" w:hAnsi="Verdana"/>
          <w:sz w:val="20"/>
          <w:szCs w:val="20"/>
          <w:lang w:val="es-ES"/>
        </w:rPr>
        <w:footnoteReference w:id="66"/>
      </w:r>
      <w:r w:rsidRPr="00F559E6">
        <w:rPr>
          <w:rFonts w:ascii="Verdana" w:hAnsi="Verdana"/>
          <w:sz w:val="20"/>
          <w:szCs w:val="20"/>
          <w:lang w:val="es-ES"/>
        </w:rPr>
        <w:t xml:space="preserve">. El 6 de agosto de 1998 la </w:t>
      </w:r>
      <w:r w:rsidR="00595E1A">
        <w:rPr>
          <w:rFonts w:ascii="Verdana" w:hAnsi="Verdana"/>
          <w:sz w:val="20"/>
          <w:szCs w:val="20"/>
          <w:lang w:val="es-ES"/>
        </w:rPr>
        <w:t>CSJN</w:t>
      </w:r>
      <w:r w:rsidRPr="00F559E6">
        <w:rPr>
          <w:rFonts w:ascii="Verdana" w:hAnsi="Verdana"/>
          <w:sz w:val="20"/>
          <w:szCs w:val="20"/>
          <w:lang w:val="es-ES"/>
        </w:rPr>
        <w:t xml:space="preserve"> determinó que </w:t>
      </w:r>
      <w:r w:rsidR="009A1066">
        <w:rPr>
          <w:rFonts w:ascii="Verdana" w:hAnsi="Verdana"/>
          <w:sz w:val="20"/>
          <w:szCs w:val="20"/>
          <w:lang w:val="es-ES"/>
        </w:rPr>
        <w:t>dicho</w:t>
      </w:r>
      <w:r w:rsidRPr="00F559E6">
        <w:rPr>
          <w:rFonts w:ascii="Verdana" w:hAnsi="Verdana"/>
          <w:sz w:val="20"/>
          <w:szCs w:val="20"/>
          <w:lang w:val="es-ES"/>
        </w:rPr>
        <w:t xml:space="preserve"> recurso extraordinario era inadmisible y en consecuencia desestimó la queja</w:t>
      </w:r>
      <w:r w:rsidRPr="00F559E6">
        <w:rPr>
          <w:rStyle w:val="FootnoteReference"/>
          <w:rFonts w:ascii="Verdana" w:hAnsi="Verdana"/>
          <w:sz w:val="20"/>
          <w:szCs w:val="20"/>
          <w:lang w:val="es-ES"/>
        </w:rPr>
        <w:footnoteReference w:id="67"/>
      </w:r>
      <w:r w:rsidR="006E43C9">
        <w:rPr>
          <w:rFonts w:ascii="Verdana" w:hAnsi="Verdana"/>
          <w:sz w:val="20"/>
          <w:szCs w:val="20"/>
          <w:lang w:val="es-ES"/>
        </w:rPr>
        <w:t>.</w:t>
      </w:r>
    </w:p>
    <w:p w14:paraId="56BE0B14"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b/>
          <w:sz w:val="20"/>
          <w:szCs w:val="20"/>
          <w:lang w:val="es-ES"/>
        </w:rPr>
      </w:pPr>
    </w:p>
    <w:p w14:paraId="00102C9A" w14:textId="77777777" w:rsidR="00CE4F03" w:rsidRPr="00A02AC3" w:rsidRDefault="00AF1D36" w:rsidP="00BE32C0">
      <w:pPr>
        <w:pStyle w:val="Heading3"/>
        <w:rPr>
          <w:i w:val="0"/>
          <w:lang w:val="es-ES"/>
        </w:rPr>
      </w:pPr>
      <w:r w:rsidRPr="00A02AC3">
        <w:rPr>
          <w:i w:val="0"/>
          <w:lang w:val="es-ES"/>
        </w:rPr>
        <w:t xml:space="preserve"> </w:t>
      </w:r>
      <w:bookmarkStart w:id="49" w:name="_Toc19533032"/>
      <w:r w:rsidR="00CE4F03" w:rsidRPr="00A02AC3">
        <w:rPr>
          <w:i w:val="0"/>
          <w:lang w:val="es-ES"/>
        </w:rPr>
        <w:t>Cumplimiento de la condena</w:t>
      </w:r>
      <w:bookmarkEnd w:id="49"/>
    </w:p>
    <w:p w14:paraId="078BB3D7" w14:textId="77777777" w:rsidR="00CE4F03" w:rsidRPr="00F559E6" w:rsidRDefault="00CE4F03" w:rsidP="00C962FE">
      <w:pPr>
        <w:spacing w:after="0" w:line="240" w:lineRule="auto"/>
        <w:contextualSpacing/>
        <w:jc w:val="both"/>
        <w:rPr>
          <w:rStyle w:val="Strong"/>
          <w:rFonts w:ascii="Verdana" w:hAnsi="Verdana"/>
          <w:b w:val="0"/>
          <w:i/>
          <w:sz w:val="20"/>
          <w:szCs w:val="20"/>
        </w:rPr>
      </w:pPr>
    </w:p>
    <w:p w14:paraId="157EF2CF" w14:textId="0336ADFB" w:rsidR="00CE4F03" w:rsidRPr="009A1066" w:rsidRDefault="009A106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F559E6">
        <w:rPr>
          <w:rStyle w:val="Strong"/>
          <w:rFonts w:ascii="Verdana" w:hAnsi="Verdana"/>
          <w:b w:val="0"/>
          <w:color w:val="000000"/>
          <w:sz w:val="20"/>
          <w:szCs w:val="20"/>
          <w:shd w:val="clear" w:color="auto" w:fill="FFFFFF"/>
        </w:rPr>
        <w:t xml:space="preserve">En señor Gorigoitía fue condenado mediante Sentencia N° 4.035 de </w:t>
      </w:r>
      <w:r>
        <w:rPr>
          <w:rStyle w:val="Strong"/>
          <w:rFonts w:ascii="Verdana" w:hAnsi="Verdana"/>
          <w:b w:val="0"/>
          <w:color w:val="000000"/>
          <w:sz w:val="20"/>
          <w:szCs w:val="20"/>
          <w:shd w:val="clear" w:color="auto" w:fill="FFFFFF"/>
        </w:rPr>
        <w:t xml:space="preserve">5 de septiembre de 1997 </w:t>
      </w:r>
      <w:r w:rsidRPr="00F559E6">
        <w:rPr>
          <w:rStyle w:val="Strong"/>
          <w:rFonts w:ascii="Verdana" w:hAnsi="Verdana"/>
          <w:b w:val="0"/>
          <w:color w:val="000000"/>
          <w:sz w:val="20"/>
          <w:szCs w:val="20"/>
          <w:shd w:val="clear" w:color="auto" w:fill="FFFFFF"/>
        </w:rPr>
        <w:t>a la pena de 14 años de prisión, accesorias legales y pago de costas</w:t>
      </w:r>
      <w:r w:rsidRPr="00F559E6">
        <w:rPr>
          <w:rFonts w:ascii="Verdana" w:hAnsi="Verdana"/>
          <w:bCs/>
          <w:sz w:val="20"/>
          <w:szCs w:val="20"/>
          <w:lang w:val="es-ES"/>
        </w:rPr>
        <w:t>,</w:t>
      </w:r>
      <w:r w:rsidRPr="009A1066">
        <w:rPr>
          <w:rFonts w:ascii="Verdana" w:hAnsi="Verdana"/>
          <w:bCs/>
          <w:sz w:val="20"/>
          <w:szCs w:val="20"/>
          <w:lang w:val="es-ES"/>
        </w:rPr>
        <w:t xml:space="preserve"> y </w:t>
      </w:r>
      <w:r w:rsidRPr="00F559E6">
        <w:rPr>
          <w:rFonts w:ascii="Verdana" w:hAnsi="Verdana"/>
          <w:bCs/>
          <w:sz w:val="20"/>
          <w:szCs w:val="20"/>
          <w:lang w:val="es-ES"/>
        </w:rPr>
        <w:t xml:space="preserve">fue además exonerado de la Policía de Mendoza e </w:t>
      </w:r>
      <w:r w:rsidRPr="00C2779B">
        <w:rPr>
          <w:rFonts w:ascii="Verdana" w:hAnsi="Verdana"/>
          <w:bCs/>
          <w:sz w:val="20"/>
          <w:szCs w:val="20"/>
          <w:lang w:val="es-ES"/>
        </w:rPr>
        <w:t>inhabilitado a perpetuidad</w:t>
      </w:r>
      <w:r w:rsidR="006E43C9">
        <w:rPr>
          <w:rFonts w:ascii="Verdana" w:hAnsi="Verdana"/>
          <w:bCs/>
          <w:sz w:val="20"/>
          <w:szCs w:val="20"/>
          <w:lang w:val="es-ES"/>
        </w:rPr>
        <w:t>.</w:t>
      </w:r>
      <w:r w:rsidRPr="00F559E6">
        <w:rPr>
          <w:rFonts w:ascii="Verdana" w:hAnsi="Verdana"/>
          <w:sz w:val="20"/>
          <w:szCs w:val="20"/>
          <w:lang w:val="es-ES"/>
        </w:rPr>
        <w:t xml:space="preserve"> </w:t>
      </w:r>
      <w:r>
        <w:rPr>
          <w:rFonts w:ascii="Verdana" w:hAnsi="Verdana"/>
          <w:sz w:val="20"/>
          <w:szCs w:val="20"/>
          <w:lang w:val="es-ES"/>
        </w:rPr>
        <w:t>De la pena de 14 años, el señor Gorigoitía cum</w:t>
      </w:r>
      <w:r w:rsidRPr="00F559E6">
        <w:rPr>
          <w:rFonts w:ascii="Verdana" w:hAnsi="Verdana"/>
          <w:sz w:val="20"/>
          <w:szCs w:val="20"/>
          <w:lang w:val="es-ES"/>
        </w:rPr>
        <w:t>plió 9 años y 4 meses</w:t>
      </w:r>
      <w:r>
        <w:rPr>
          <w:rFonts w:ascii="Verdana" w:hAnsi="Verdana"/>
          <w:sz w:val="20"/>
          <w:szCs w:val="20"/>
          <w:lang w:val="es-ES"/>
        </w:rPr>
        <w:t xml:space="preserve"> preso</w:t>
      </w:r>
      <w:r w:rsidRPr="00A65AFC">
        <w:rPr>
          <w:rFonts w:ascii="Verdana" w:hAnsi="Verdana"/>
          <w:bCs/>
          <w:sz w:val="20"/>
          <w:szCs w:val="20"/>
          <w:lang w:val="es-ES"/>
        </w:rPr>
        <w:t>,</w:t>
      </w:r>
      <w:r>
        <w:rPr>
          <w:rFonts w:ascii="Verdana" w:hAnsi="Verdana"/>
          <w:b/>
          <w:bCs/>
          <w:sz w:val="20"/>
          <w:szCs w:val="20"/>
          <w:lang w:val="es-ES"/>
        </w:rPr>
        <w:t xml:space="preserve"> </w:t>
      </w:r>
      <w:r>
        <w:rPr>
          <w:rFonts w:ascii="Verdana" w:hAnsi="Verdana"/>
          <w:sz w:val="20"/>
          <w:szCs w:val="20"/>
          <w:lang w:val="es-ES"/>
        </w:rPr>
        <w:t>ya que l</w:t>
      </w:r>
      <w:r w:rsidRPr="00F559E6">
        <w:rPr>
          <w:rFonts w:ascii="Verdana" w:hAnsi="Verdana"/>
          <w:sz w:val="20"/>
          <w:szCs w:val="20"/>
          <w:lang w:val="es-ES"/>
        </w:rPr>
        <w:t>a detención de la presunta víctima se produjo e</w:t>
      </w:r>
      <w:r w:rsidRPr="00F559E6">
        <w:rPr>
          <w:rStyle w:val="Strong"/>
          <w:rFonts w:ascii="Verdana" w:hAnsi="Verdana"/>
          <w:b w:val="0"/>
          <w:color w:val="000000"/>
          <w:sz w:val="20"/>
          <w:szCs w:val="20"/>
          <w:shd w:val="clear" w:color="auto" w:fill="FFFFFF"/>
        </w:rPr>
        <w:t>l día 31 de agosto de 1996</w:t>
      </w:r>
      <w:r w:rsidRPr="00F559E6">
        <w:rPr>
          <w:rStyle w:val="Strong"/>
          <w:rFonts w:ascii="Verdana" w:hAnsi="Verdana"/>
          <w:color w:val="000000"/>
          <w:sz w:val="20"/>
          <w:szCs w:val="20"/>
          <w:shd w:val="clear" w:color="auto" w:fill="FFFFFF"/>
        </w:rPr>
        <w:t xml:space="preserve"> </w:t>
      </w:r>
      <w:r>
        <w:rPr>
          <w:rFonts w:ascii="Verdana" w:hAnsi="Verdana"/>
          <w:sz w:val="20"/>
          <w:szCs w:val="20"/>
          <w:lang w:val="es-ES"/>
        </w:rPr>
        <w:t xml:space="preserve">y fue puesto en libertad condicional </w:t>
      </w:r>
      <w:r w:rsidRPr="00F559E6">
        <w:rPr>
          <w:rFonts w:ascii="Verdana" w:hAnsi="Verdana"/>
          <w:sz w:val="20"/>
          <w:szCs w:val="20"/>
          <w:lang w:val="es-ES"/>
        </w:rPr>
        <w:t xml:space="preserve">en </w:t>
      </w:r>
      <w:r w:rsidRPr="00C2779B">
        <w:rPr>
          <w:rFonts w:ascii="Verdana" w:hAnsi="Verdana"/>
          <w:sz w:val="20"/>
          <w:szCs w:val="20"/>
          <w:lang w:val="es-ES"/>
        </w:rPr>
        <w:t>diciembre</w:t>
      </w:r>
      <w:r>
        <w:rPr>
          <w:rFonts w:ascii="Verdana" w:hAnsi="Verdana"/>
          <w:sz w:val="20"/>
          <w:szCs w:val="20"/>
          <w:lang w:val="es-ES"/>
        </w:rPr>
        <w:t xml:space="preserve"> de</w:t>
      </w:r>
      <w:r w:rsidRPr="00F559E6">
        <w:rPr>
          <w:rFonts w:ascii="Verdana" w:hAnsi="Verdana"/>
          <w:sz w:val="20"/>
          <w:szCs w:val="20"/>
          <w:lang w:val="es-ES"/>
        </w:rPr>
        <w:t xml:space="preserve"> 2005</w:t>
      </w:r>
      <w:r w:rsidR="006E43C9">
        <w:rPr>
          <w:rFonts w:ascii="Verdana" w:hAnsi="Verdana"/>
          <w:sz w:val="20"/>
          <w:szCs w:val="20"/>
          <w:lang w:val="es-ES"/>
        </w:rPr>
        <w:t>.</w:t>
      </w:r>
    </w:p>
    <w:p w14:paraId="5C17873B"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ES"/>
        </w:rPr>
      </w:pPr>
    </w:p>
    <w:p w14:paraId="4235BD12" w14:textId="77777777" w:rsidR="00CE4F03" w:rsidRPr="008F7AFD" w:rsidRDefault="00CE4F03" w:rsidP="002767A8">
      <w:pPr>
        <w:pStyle w:val="ListParagraph"/>
        <w:numPr>
          <w:ilvl w:val="0"/>
          <w:numId w:val="13"/>
        </w:numPr>
        <w:spacing w:after="0" w:line="240" w:lineRule="auto"/>
        <w:jc w:val="both"/>
        <w:outlineLvl w:val="1"/>
        <w:rPr>
          <w:rFonts w:ascii="Verdana" w:hAnsi="Verdana"/>
          <w:b/>
          <w:i/>
          <w:sz w:val="20"/>
          <w:szCs w:val="20"/>
          <w:lang w:val="es-ES"/>
        </w:rPr>
      </w:pPr>
      <w:bookmarkStart w:id="50" w:name="_Toc19533033"/>
      <w:r w:rsidRPr="008F7AFD">
        <w:rPr>
          <w:rFonts w:ascii="Verdana" w:hAnsi="Verdana"/>
          <w:b/>
          <w:i/>
          <w:sz w:val="20"/>
          <w:szCs w:val="20"/>
          <w:lang w:val="es-ES"/>
        </w:rPr>
        <w:t>El marco jurídico procesal penal relevante y el “fallo Casal”</w:t>
      </w:r>
      <w:bookmarkEnd w:id="50"/>
    </w:p>
    <w:p w14:paraId="22A322F7" w14:textId="77777777" w:rsidR="00CE4F03" w:rsidRPr="00F559E6" w:rsidRDefault="00CE4F03" w:rsidP="00C962FE">
      <w:pPr>
        <w:spacing w:after="0" w:line="240" w:lineRule="auto"/>
        <w:contextualSpacing/>
        <w:jc w:val="both"/>
        <w:rPr>
          <w:rFonts w:ascii="Verdana" w:hAnsi="Verdana"/>
          <w:sz w:val="20"/>
          <w:szCs w:val="20"/>
          <w:lang w:val="es-ES"/>
        </w:rPr>
      </w:pPr>
    </w:p>
    <w:p w14:paraId="141F5A11" w14:textId="7A9C3C1C" w:rsidR="00151008" w:rsidRPr="006E43C9" w:rsidRDefault="00151008"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Times New Roman" w:hAnsi="Verdana" w:cs="Times New Roman"/>
          <w:b/>
          <w:bCs/>
          <w:caps/>
          <w:snapToGrid w:val="0"/>
          <w:sz w:val="20"/>
          <w:szCs w:val="20"/>
        </w:rPr>
      </w:pPr>
      <w:r w:rsidRPr="006E43C9">
        <w:rPr>
          <w:rFonts w:ascii="Verdana" w:hAnsi="Verdana"/>
          <w:sz w:val="20"/>
          <w:szCs w:val="20"/>
        </w:rPr>
        <w:t xml:space="preserve">En relación con el marco jurídico procesal penal relevante para el presente caso, la Corte constata los </w:t>
      </w:r>
      <w:r w:rsidR="006E43C9" w:rsidRPr="006E43C9">
        <w:rPr>
          <w:rFonts w:ascii="Verdana" w:hAnsi="Verdana"/>
          <w:sz w:val="20"/>
          <w:szCs w:val="20"/>
        </w:rPr>
        <w:t xml:space="preserve">siguientes hechos: </w:t>
      </w:r>
      <w:r w:rsidRPr="006E43C9">
        <w:rPr>
          <w:rFonts w:ascii="Verdana" w:hAnsi="Verdana"/>
          <w:sz w:val="20"/>
          <w:szCs w:val="20"/>
        </w:rPr>
        <w:t>i) que la legislación procesal penal aplicada en el caso del señor Gorigoitía, en particular sobre el recurso de casación, fue el Código Procesal Penal de la Provincia de Mendoza, Ley No. 1.908 del año 1950</w:t>
      </w:r>
      <w:r w:rsidRPr="00F559E6">
        <w:rPr>
          <w:rStyle w:val="FootnoteReference"/>
          <w:rFonts w:ascii="Verdana" w:hAnsi="Verdana"/>
          <w:sz w:val="20"/>
          <w:szCs w:val="20"/>
        </w:rPr>
        <w:footnoteReference w:id="68"/>
      </w:r>
      <w:r w:rsidRPr="006E43C9">
        <w:rPr>
          <w:rFonts w:ascii="Verdana" w:hAnsi="Verdana"/>
          <w:sz w:val="20"/>
          <w:szCs w:val="20"/>
        </w:rPr>
        <w:t xml:space="preserve">, </w:t>
      </w:r>
      <w:r w:rsidR="006E43C9" w:rsidRPr="006E43C9">
        <w:rPr>
          <w:rFonts w:ascii="Verdana" w:hAnsi="Verdana"/>
          <w:sz w:val="20"/>
          <w:szCs w:val="20"/>
        </w:rPr>
        <w:t xml:space="preserve">ii) </w:t>
      </w:r>
      <w:r w:rsidRPr="006E43C9">
        <w:rPr>
          <w:rFonts w:ascii="Verdana" w:hAnsi="Verdana"/>
          <w:sz w:val="20"/>
          <w:szCs w:val="20"/>
        </w:rPr>
        <w:t>que estuvo vigente en su totalidad hasta el año 2004 y respecto al recurs</w:t>
      </w:r>
      <w:r w:rsidR="006E43C9" w:rsidRPr="006E43C9">
        <w:rPr>
          <w:rFonts w:ascii="Verdana" w:hAnsi="Verdana"/>
          <w:sz w:val="20"/>
          <w:szCs w:val="20"/>
        </w:rPr>
        <w:t>o de casación hasta el año 1999</w:t>
      </w:r>
      <w:r w:rsidRPr="00A11371">
        <w:rPr>
          <w:rStyle w:val="FootnoteReference"/>
          <w:rFonts w:ascii="Verdana" w:hAnsi="Verdana"/>
          <w:bCs/>
          <w:sz w:val="20"/>
          <w:szCs w:val="20"/>
          <w:lang w:val="es-ES"/>
        </w:rPr>
        <w:footnoteReference w:id="69"/>
      </w:r>
      <w:r w:rsidRPr="006E43C9">
        <w:rPr>
          <w:rFonts w:ascii="Verdana" w:hAnsi="Verdana"/>
          <w:bCs/>
          <w:sz w:val="20"/>
          <w:szCs w:val="20"/>
          <w:lang w:val="es-ES"/>
        </w:rPr>
        <w:t>;</w:t>
      </w:r>
      <w:r w:rsidRPr="006E43C9">
        <w:rPr>
          <w:rFonts w:ascii="Verdana" w:hAnsi="Verdana"/>
          <w:b/>
          <w:bCs/>
          <w:sz w:val="20"/>
          <w:szCs w:val="20"/>
          <w:lang w:val="es-ES"/>
        </w:rPr>
        <w:t xml:space="preserve"> </w:t>
      </w:r>
      <w:r w:rsidR="006E43C9" w:rsidRPr="006E43C9">
        <w:rPr>
          <w:rFonts w:ascii="Verdana" w:hAnsi="Verdana"/>
          <w:sz w:val="20"/>
          <w:szCs w:val="20"/>
        </w:rPr>
        <w:t>i</w:t>
      </w:r>
      <w:r w:rsidRPr="006E43C9">
        <w:rPr>
          <w:rFonts w:ascii="Verdana" w:hAnsi="Verdana"/>
          <w:sz w:val="20"/>
          <w:szCs w:val="20"/>
        </w:rPr>
        <w:t xml:space="preserve">ii) que </w:t>
      </w:r>
      <w:r w:rsidRPr="006E43C9">
        <w:rPr>
          <w:rFonts w:ascii="Verdana" w:hAnsi="Verdana"/>
          <w:sz w:val="20"/>
          <w:szCs w:val="20"/>
          <w:lang w:val="es-ES"/>
        </w:rPr>
        <w:t>el 20 de septiembre de 2005, la CSJN emitió la sentencia conocida como “fallo Casal”, mediante la cual se efectuó un análisis de la práctica judicial de los tribunales argentinos, y especialmente de la sala de Casación Penal, respecto a la interpretación de las normas que regulan el recurso de casación</w:t>
      </w:r>
      <w:r w:rsidRPr="00F559E6">
        <w:rPr>
          <w:rFonts w:ascii="Verdana" w:hAnsi="Verdana"/>
          <w:sz w:val="20"/>
          <w:szCs w:val="20"/>
          <w:vertAlign w:val="superscript"/>
          <w:lang w:val="es-ES"/>
        </w:rPr>
        <w:footnoteReference w:id="70"/>
      </w:r>
      <w:r w:rsidR="00FE372D">
        <w:rPr>
          <w:rFonts w:ascii="Verdana" w:hAnsi="Verdana"/>
          <w:sz w:val="20"/>
          <w:szCs w:val="20"/>
        </w:rPr>
        <w:t>, y</w:t>
      </w:r>
      <w:r w:rsidR="006E43C9" w:rsidRPr="006E43C9">
        <w:rPr>
          <w:rFonts w:ascii="Verdana" w:hAnsi="Verdana"/>
          <w:sz w:val="20"/>
          <w:szCs w:val="20"/>
        </w:rPr>
        <w:t xml:space="preserve"> </w:t>
      </w:r>
      <w:r w:rsidRPr="006E43C9">
        <w:rPr>
          <w:rFonts w:ascii="Verdana" w:hAnsi="Verdana"/>
          <w:sz w:val="20"/>
          <w:szCs w:val="20"/>
        </w:rPr>
        <w:t>iv) que en la actualidad el recurso de casación se encuentra regulado en la provincia de Mendoza, por el Código Procesal Penal de la provincia de Mendoza, Ley No. 6.730 del año 1999 que, a su vez, fue modificada por la Ley No. 9.040 de 2018</w:t>
      </w:r>
      <w:r w:rsidRPr="00F559E6">
        <w:rPr>
          <w:rStyle w:val="FootnoteReference"/>
          <w:rFonts w:ascii="Verdana" w:hAnsi="Verdana"/>
          <w:sz w:val="20"/>
          <w:szCs w:val="20"/>
        </w:rPr>
        <w:footnoteReference w:id="71"/>
      </w:r>
      <w:r w:rsidRPr="006E43C9">
        <w:rPr>
          <w:rFonts w:ascii="Verdana" w:hAnsi="Verdana"/>
          <w:sz w:val="20"/>
          <w:szCs w:val="20"/>
        </w:rPr>
        <w:t xml:space="preserve"> respecto a la estructura y atribuciones del Fuero Penal Colegiado de la Provincia de Mendoza</w:t>
      </w:r>
      <w:r>
        <w:rPr>
          <w:rStyle w:val="FootnoteReference"/>
          <w:rFonts w:ascii="Verdana" w:hAnsi="Verdana"/>
          <w:sz w:val="20"/>
          <w:szCs w:val="20"/>
        </w:rPr>
        <w:footnoteReference w:id="72"/>
      </w:r>
      <w:r w:rsidRPr="006E43C9">
        <w:rPr>
          <w:rFonts w:ascii="Verdana" w:hAnsi="Verdana"/>
          <w:sz w:val="20"/>
          <w:szCs w:val="20"/>
        </w:rPr>
        <w:t>. El Tribunal, en lo pertinente, se referirá a los aspectos relacionados con dicha n</w:t>
      </w:r>
      <w:r w:rsidR="006E43C9">
        <w:rPr>
          <w:rFonts w:ascii="Verdana" w:hAnsi="Verdana"/>
          <w:sz w:val="20"/>
          <w:szCs w:val="20"/>
        </w:rPr>
        <w:t>ormativa en materia de casación.</w:t>
      </w:r>
    </w:p>
    <w:p w14:paraId="1C238E1D" w14:textId="77777777" w:rsidR="006E43C9" w:rsidRPr="006E43C9" w:rsidRDefault="006E43C9" w:rsidP="00C962FE">
      <w:pPr>
        <w:widowControl w:val="0"/>
        <w:tabs>
          <w:tab w:val="left" w:pos="567"/>
        </w:tabs>
        <w:adjustRightInd w:val="0"/>
        <w:spacing w:after="0" w:line="240" w:lineRule="auto"/>
        <w:jc w:val="both"/>
        <w:textAlignment w:val="baseline"/>
        <w:rPr>
          <w:rFonts w:ascii="Verdana" w:eastAsia="Times New Roman" w:hAnsi="Verdana" w:cs="Times New Roman"/>
          <w:b/>
          <w:bCs/>
          <w:caps/>
          <w:snapToGrid w:val="0"/>
          <w:sz w:val="20"/>
          <w:szCs w:val="20"/>
        </w:rPr>
      </w:pPr>
    </w:p>
    <w:p w14:paraId="69F07631" w14:textId="0F2A0199" w:rsidR="00574DFE" w:rsidRPr="00F559E6" w:rsidRDefault="00574DFE" w:rsidP="001C45D2">
      <w:pPr>
        <w:pStyle w:val="Heading1"/>
        <w:rPr>
          <w:rFonts w:eastAsia="Times New Roman" w:cs="Verdana"/>
          <w:b w:val="0"/>
          <w:bCs/>
          <w:caps/>
          <w:snapToGrid w:val="0"/>
          <w:lang w:val="es-ES_tradnl"/>
        </w:rPr>
      </w:pPr>
      <w:bookmarkStart w:id="51" w:name="_Toc494123986"/>
      <w:bookmarkStart w:id="52" w:name="_Toc7020792"/>
      <w:bookmarkStart w:id="53" w:name="_Toc19533034"/>
      <w:r w:rsidRPr="00F559E6">
        <w:rPr>
          <w:rFonts w:eastAsia="Times New Roman" w:cs="Verdana"/>
          <w:bCs/>
          <w:caps/>
          <w:snapToGrid w:val="0"/>
          <w:lang w:val="es-ES_tradnl"/>
        </w:rPr>
        <w:lastRenderedPageBreak/>
        <w:t>VI</w:t>
      </w:r>
      <w:r w:rsidR="00002A1A">
        <w:rPr>
          <w:rFonts w:eastAsia="Times New Roman" w:cs="Verdana"/>
          <w:bCs/>
          <w:caps/>
          <w:snapToGrid w:val="0"/>
          <w:lang w:val="es-ES_tradnl"/>
        </w:rPr>
        <w:t>I</w:t>
      </w:r>
      <w:r w:rsidRPr="00F559E6">
        <w:rPr>
          <w:rFonts w:eastAsia="Times New Roman" w:cs="Verdana"/>
          <w:bCs/>
          <w:caps/>
          <w:snapToGrid w:val="0"/>
          <w:lang w:val="es-ES_tradnl"/>
        </w:rPr>
        <w:t>I</w:t>
      </w:r>
      <w:r w:rsidRPr="00F559E6">
        <w:rPr>
          <w:rFonts w:eastAsia="Times New Roman" w:cs="Verdana"/>
          <w:bCs/>
          <w:caps/>
          <w:snapToGrid w:val="0"/>
          <w:lang w:val="es-ES_tradnl"/>
        </w:rPr>
        <w:br/>
        <w:t>Fondo</w:t>
      </w:r>
      <w:bookmarkEnd w:id="51"/>
      <w:bookmarkEnd w:id="52"/>
      <w:bookmarkEnd w:id="53"/>
    </w:p>
    <w:p w14:paraId="48F316E8" w14:textId="54F3F113" w:rsidR="00574DFE" w:rsidRPr="00F559E6" w:rsidRDefault="00574DFE" w:rsidP="001C45D2">
      <w:pPr>
        <w:pStyle w:val="Heading1"/>
        <w:rPr>
          <w:i/>
        </w:rPr>
      </w:pPr>
      <w:bookmarkStart w:id="54" w:name="_Toc19533035"/>
      <w:r w:rsidRPr="00F559E6">
        <w:t>DERECHO A RECURRIR EL FALLO ANTE JUEZ O TRIBUNAL SUPERIOR Y DERECHO A LA PROTECCIÓN JUDICIAL EN RELACIÓN CON LA OBLIGACIÓN DE RESPETAR Y GARANTIZAR LOS DERECHOS, EL DEBER DE ADOPTAR DISPOSICIONES DE DERECHO INTERNO Y LA CLAÚSULA FEDERAL</w:t>
      </w:r>
      <w:r w:rsidR="00571012">
        <w:rPr>
          <w:rStyle w:val="FootnoteReference"/>
        </w:rPr>
        <w:footnoteReference w:id="73"/>
      </w:r>
      <w:bookmarkEnd w:id="54"/>
    </w:p>
    <w:p w14:paraId="30C2ABB5" w14:textId="77777777" w:rsidR="00574DFE" w:rsidRPr="00F559E6" w:rsidRDefault="00574DFE" w:rsidP="00C962FE">
      <w:pPr>
        <w:spacing w:after="0" w:line="240" w:lineRule="auto"/>
        <w:jc w:val="both"/>
        <w:rPr>
          <w:rFonts w:ascii="Verdana" w:hAnsi="Verdana"/>
          <w:sz w:val="20"/>
          <w:szCs w:val="20"/>
          <w:lang w:val="es-CR" w:eastAsia="es-CR"/>
        </w:rPr>
      </w:pPr>
    </w:p>
    <w:p w14:paraId="37420809" w14:textId="7E932FE6" w:rsidR="00574DFE" w:rsidRPr="00F559E6" w:rsidRDefault="00F12E2B" w:rsidP="002767A8">
      <w:pPr>
        <w:pStyle w:val="ListParagraph"/>
        <w:numPr>
          <w:ilvl w:val="0"/>
          <w:numId w:val="14"/>
        </w:numPr>
        <w:spacing w:after="0" w:line="240" w:lineRule="auto"/>
        <w:ind w:right="21"/>
        <w:jc w:val="both"/>
        <w:outlineLvl w:val="1"/>
        <w:rPr>
          <w:rFonts w:ascii="Verdana" w:hAnsi="Verdana"/>
          <w:b/>
          <w:i/>
          <w:sz w:val="20"/>
          <w:szCs w:val="20"/>
          <w:lang w:eastAsia="es-MX"/>
        </w:rPr>
      </w:pPr>
      <w:bookmarkStart w:id="55" w:name="_Toc19533036"/>
      <w:r>
        <w:rPr>
          <w:rFonts w:ascii="Verdana" w:hAnsi="Verdana"/>
          <w:b/>
          <w:i/>
          <w:sz w:val="20"/>
          <w:szCs w:val="20"/>
          <w:lang w:eastAsia="es-MX"/>
        </w:rPr>
        <w:t>Alegatos</w:t>
      </w:r>
      <w:r w:rsidR="00574DFE" w:rsidRPr="00F559E6">
        <w:rPr>
          <w:rFonts w:ascii="Verdana" w:hAnsi="Verdana"/>
          <w:b/>
          <w:i/>
          <w:sz w:val="20"/>
          <w:szCs w:val="20"/>
          <w:lang w:eastAsia="es-MX"/>
        </w:rPr>
        <w:t xml:space="preserve"> de </w:t>
      </w:r>
      <w:r w:rsidR="00832C55">
        <w:rPr>
          <w:rFonts w:ascii="Verdana" w:hAnsi="Verdana"/>
          <w:b/>
          <w:i/>
          <w:sz w:val="20"/>
          <w:szCs w:val="20"/>
          <w:lang w:eastAsia="es-MX"/>
        </w:rPr>
        <w:t>las partes y observaciones de la Comisión</w:t>
      </w:r>
      <w:bookmarkEnd w:id="55"/>
    </w:p>
    <w:p w14:paraId="7B3B0D78" w14:textId="77777777" w:rsidR="00574DFE" w:rsidRPr="00F559E6" w:rsidRDefault="00574DFE" w:rsidP="00C962FE">
      <w:pPr>
        <w:spacing w:after="0" w:line="240" w:lineRule="auto"/>
        <w:ind w:right="21"/>
        <w:jc w:val="both"/>
        <w:rPr>
          <w:rFonts w:ascii="Verdana" w:hAnsi="Verdana"/>
          <w:i/>
          <w:sz w:val="20"/>
          <w:szCs w:val="20"/>
          <w:lang w:eastAsia="es-MX"/>
        </w:rPr>
      </w:pPr>
    </w:p>
    <w:p w14:paraId="2380AA62" w14:textId="08997C72" w:rsidR="000C41A8"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La </w:t>
      </w:r>
      <w:r w:rsidRPr="00F559E6">
        <w:rPr>
          <w:rFonts w:ascii="Verdana" w:hAnsi="Verdana"/>
          <w:b/>
          <w:i/>
          <w:sz w:val="20"/>
          <w:szCs w:val="20"/>
        </w:rPr>
        <w:t xml:space="preserve">Comisión </w:t>
      </w:r>
      <w:r w:rsidRPr="00F559E6">
        <w:rPr>
          <w:rFonts w:ascii="Verdana" w:hAnsi="Verdana"/>
          <w:sz w:val="20"/>
          <w:szCs w:val="20"/>
        </w:rPr>
        <w:t xml:space="preserve">alegó que en la época de los hechos existía una seria limitación en la práctica judicial y en el artículo 503 del </w:t>
      </w:r>
      <w:r w:rsidR="00151008">
        <w:rPr>
          <w:rFonts w:ascii="Verdana" w:hAnsi="Verdana"/>
          <w:sz w:val="20"/>
          <w:szCs w:val="20"/>
        </w:rPr>
        <w:t>Código Procesal Penal de la Provincia de Mendoza</w:t>
      </w:r>
      <w:r w:rsidRPr="00F559E6">
        <w:rPr>
          <w:rFonts w:ascii="Verdana" w:hAnsi="Verdana"/>
          <w:sz w:val="20"/>
          <w:szCs w:val="20"/>
        </w:rPr>
        <w:t xml:space="preserve"> en cuanto a las perspectivas de efectividad de cualquier alegato que no se enmarcara dentro de lo que históricamente se había considerado como “revisable” mediante el recurso de casación. En ese sentido, la Comisión alegó que el señor Gorigoitía no contó con un recurso ante autoridad jerárquica que efectuara una revisión integral de la condena emitida en su contra, incluyendo las cuestiones de hecho y de valoración probatoria alegadas por la defensa mediante el recurso de casación. La Comisión concluyó que el Estado argentino violó en su perjuicio el derecho a recurrir el fallo establecido en el artículo 8.2.h) de la Convención, en relación con las obligaciones establecidas en los artículo</w:t>
      </w:r>
      <w:r w:rsidR="002C4B85">
        <w:rPr>
          <w:rFonts w:ascii="Verdana" w:hAnsi="Verdana"/>
          <w:sz w:val="20"/>
          <w:szCs w:val="20"/>
        </w:rPr>
        <w:t>s 1.1 y 2 del mismo instrumento</w:t>
      </w:r>
      <w:r w:rsidRPr="00F559E6">
        <w:rPr>
          <w:rFonts w:ascii="Verdana" w:hAnsi="Verdana"/>
          <w:sz w:val="20"/>
          <w:szCs w:val="20"/>
        </w:rPr>
        <w:t>. Asimismo, la Comisión concluyó que como consecuencia del carácter limitado de la casación y aún más limitado del recurso extraordinario, la víctima no contó con recursos judiciales sencillos y efectivos en el marco del proceso penal que culminó con su condena, en violación también al derecho establecido en el</w:t>
      </w:r>
      <w:r w:rsidR="002C4B85">
        <w:rPr>
          <w:rFonts w:ascii="Verdana" w:hAnsi="Verdana"/>
          <w:sz w:val="20"/>
          <w:szCs w:val="20"/>
        </w:rPr>
        <w:t xml:space="preserve"> artículo 25.1 de la Convención</w:t>
      </w:r>
      <w:r w:rsidRPr="00F559E6">
        <w:rPr>
          <w:rFonts w:ascii="Verdana" w:hAnsi="Verdana"/>
          <w:sz w:val="20"/>
          <w:szCs w:val="20"/>
        </w:rPr>
        <w:t xml:space="preserve">. La Comisión </w:t>
      </w:r>
      <w:r w:rsidRPr="00F559E6">
        <w:rPr>
          <w:rFonts w:ascii="Verdana" w:eastAsia="Calibri" w:hAnsi="Verdana" w:cs="Arial"/>
          <w:sz w:val="20"/>
          <w:szCs w:val="20"/>
          <w:lang w:val="es-CO" w:eastAsia="es-CR"/>
        </w:rPr>
        <w:t xml:space="preserve">consideró que estas violaciones ocurrieron en el contexto de una legislación y práctica que excluía la revisión de los hechos y la valoración y recepción de prueba, por lo que el Estado incumplió la obligación de adoptar disposiciones de derecho interno </w:t>
      </w:r>
      <w:r w:rsidR="00C2779B" w:rsidRPr="00F559E6">
        <w:rPr>
          <w:rFonts w:ascii="Verdana" w:eastAsia="Calibri" w:hAnsi="Verdana" w:cs="Arial"/>
          <w:sz w:val="20"/>
          <w:szCs w:val="20"/>
          <w:lang w:val="es-CO" w:eastAsia="es-CR"/>
        </w:rPr>
        <w:t>establecido</w:t>
      </w:r>
      <w:r w:rsidRPr="00F559E6">
        <w:rPr>
          <w:rFonts w:ascii="Verdana" w:eastAsia="Calibri" w:hAnsi="Verdana" w:cs="Arial"/>
          <w:sz w:val="20"/>
          <w:szCs w:val="20"/>
          <w:lang w:val="es-CO" w:eastAsia="es-CR"/>
        </w:rPr>
        <w:t xml:space="preserve"> en el artículo 2 de la Convención</w:t>
      </w:r>
      <w:r w:rsidR="002C4B85">
        <w:rPr>
          <w:rFonts w:ascii="Verdana" w:eastAsia="Calibri" w:hAnsi="Verdana" w:cs="Arial"/>
          <w:sz w:val="20"/>
          <w:szCs w:val="20"/>
          <w:lang w:val="es-CO" w:eastAsia="es-CR"/>
        </w:rPr>
        <w:t>.</w:t>
      </w:r>
      <w:r w:rsidRPr="00F559E6">
        <w:rPr>
          <w:rFonts w:ascii="Verdana" w:eastAsia="Calibri" w:hAnsi="Verdana" w:cs="Arial"/>
          <w:sz w:val="20"/>
          <w:szCs w:val="20"/>
          <w:lang w:val="es-CO" w:eastAsia="es-CR"/>
        </w:rPr>
        <w:t xml:space="preserve"> </w:t>
      </w:r>
    </w:p>
    <w:p w14:paraId="16CE487F"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1A1539C3" w14:textId="0A3CEA07" w:rsidR="000C41A8"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Los </w:t>
      </w:r>
      <w:r w:rsidRPr="00F559E6">
        <w:rPr>
          <w:rFonts w:ascii="Verdana" w:hAnsi="Verdana"/>
          <w:b/>
          <w:i/>
          <w:sz w:val="20"/>
          <w:szCs w:val="20"/>
        </w:rPr>
        <w:t xml:space="preserve">representantes </w:t>
      </w:r>
      <w:r w:rsidRPr="00F559E6">
        <w:rPr>
          <w:rFonts w:ascii="Verdana" w:hAnsi="Verdana"/>
          <w:sz w:val="20"/>
          <w:szCs w:val="20"/>
        </w:rPr>
        <w:t>alegaron que el señor Gorigoitía no contó con un recurso ante autoridad jerárquica que efectuara una revisión integral de la condena emitida en su contra, incluyendo las cuestiones de hecho y de valoración probatoria alegadas mediante recurso de casación. Alegaron que como consecuencia del carácter limitado del recurso de casación y aún más limitado del recurso extraordinario, la presunta víctima no contó con recursos judiciales sencillos y efectivos en el marco del proceso penal que culminó con su condena a 14 años de prisión, la inhabilitación absoluta y su exoneración d</w:t>
      </w:r>
      <w:r w:rsidR="001E07BF">
        <w:rPr>
          <w:rFonts w:ascii="Verdana" w:hAnsi="Verdana"/>
          <w:sz w:val="20"/>
          <w:szCs w:val="20"/>
        </w:rPr>
        <w:t>efinitiva de la fuerza policial</w:t>
      </w:r>
      <w:r w:rsidRPr="00F559E6">
        <w:rPr>
          <w:rFonts w:ascii="Verdana" w:hAnsi="Verdana"/>
          <w:sz w:val="20"/>
          <w:szCs w:val="20"/>
        </w:rPr>
        <w:t>. Asimismo, alegaron que los tribunales nacionales no están preparados para cumplir acabadamente con el doble conforme pues la vía recursiva es tan escueta y formalista que limita</w:t>
      </w:r>
      <w:r w:rsidR="001E07BF">
        <w:rPr>
          <w:rFonts w:ascii="Verdana" w:hAnsi="Verdana"/>
          <w:sz w:val="20"/>
          <w:szCs w:val="20"/>
        </w:rPr>
        <w:t xml:space="preserve"> la posibilidad de los recursos</w:t>
      </w:r>
      <w:r w:rsidRPr="00F559E6">
        <w:rPr>
          <w:rFonts w:ascii="Verdana" w:hAnsi="Verdana"/>
          <w:sz w:val="20"/>
          <w:szCs w:val="20"/>
        </w:rPr>
        <w:t>. En consecuencia, alegaron que el Estado violó el derecho a recurrir el fallo establecido en el artículo 8.2.h)</w:t>
      </w:r>
      <w:r w:rsidR="002E4BB4">
        <w:rPr>
          <w:rFonts w:ascii="Verdana" w:hAnsi="Verdana"/>
          <w:sz w:val="20"/>
          <w:szCs w:val="20"/>
        </w:rPr>
        <w:t xml:space="preserve"> de la Convención</w:t>
      </w:r>
      <w:r w:rsidRPr="00F559E6">
        <w:rPr>
          <w:rFonts w:ascii="Verdana" w:hAnsi="Verdana"/>
          <w:sz w:val="20"/>
          <w:szCs w:val="20"/>
        </w:rPr>
        <w:t xml:space="preserve"> en relación con los artículo</w:t>
      </w:r>
      <w:r w:rsidR="001E07BF">
        <w:rPr>
          <w:rFonts w:ascii="Verdana" w:hAnsi="Verdana"/>
          <w:sz w:val="20"/>
          <w:szCs w:val="20"/>
        </w:rPr>
        <w:t>s 1.1 y 2 del mismo instrumento</w:t>
      </w:r>
      <w:r w:rsidRPr="00F559E6">
        <w:rPr>
          <w:rFonts w:ascii="Verdana" w:hAnsi="Verdana"/>
          <w:sz w:val="20"/>
          <w:szCs w:val="20"/>
        </w:rPr>
        <w:t>. Adicionalmente, alegaron que la decisión de la Suprema Corte de Mendoza en relación con el recurso extraordinario fue arbitraria, constituyendo así una violación al artículo 25.1 de la Conve</w:t>
      </w:r>
      <w:r w:rsidR="001E07BF">
        <w:rPr>
          <w:rFonts w:ascii="Verdana" w:hAnsi="Verdana"/>
          <w:sz w:val="20"/>
          <w:szCs w:val="20"/>
        </w:rPr>
        <w:t>nción</w:t>
      </w:r>
      <w:r w:rsidRPr="00F559E6">
        <w:rPr>
          <w:rFonts w:ascii="Verdana" w:hAnsi="Verdana"/>
          <w:sz w:val="20"/>
          <w:szCs w:val="20"/>
        </w:rPr>
        <w:t>.</w:t>
      </w:r>
      <w:r w:rsidR="00C2779B">
        <w:rPr>
          <w:rFonts w:ascii="Verdana" w:hAnsi="Verdana"/>
          <w:sz w:val="20"/>
          <w:szCs w:val="20"/>
        </w:rPr>
        <w:t xml:space="preserve"> </w:t>
      </w:r>
      <w:r w:rsidRPr="00F559E6">
        <w:rPr>
          <w:rFonts w:ascii="Verdana" w:hAnsi="Verdana"/>
          <w:sz w:val="20"/>
          <w:szCs w:val="20"/>
        </w:rPr>
        <w:t xml:space="preserve">Finalmente, alegaron que el Estado violó el artículo 28.2 de la Convención por no haber adoptado las </w:t>
      </w:r>
      <w:r w:rsidR="002E4BB4">
        <w:rPr>
          <w:rFonts w:ascii="Verdana" w:hAnsi="Verdana"/>
          <w:sz w:val="20"/>
          <w:szCs w:val="20"/>
        </w:rPr>
        <w:t>medidas necesarias para que la P</w:t>
      </w:r>
      <w:r w:rsidRPr="00F559E6">
        <w:rPr>
          <w:rFonts w:ascii="Verdana" w:hAnsi="Verdana"/>
          <w:sz w:val="20"/>
          <w:szCs w:val="20"/>
        </w:rPr>
        <w:t>rovincia de Mendoza adecuara sus disposiciones a la Convención en materia de doble instancia</w:t>
      </w:r>
      <w:r w:rsidR="001E07BF">
        <w:rPr>
          <w:rFonts w:ascii="Verdana" w:hAnsi="Verdana"/>
          <w:sz w:val="20"/>
          <w:szCs w:val="20"/>
        </w:rPr>
        <w:t>.</w:t>
      </w:r>
    </w:p>
    <w:p w14:paraId="34B18E50"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3B559E3E" w14:textId="2EB9810E" w:rsidR="00574DFE"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El </w:t>
      </w:r>
      <w:r w:rsidRPr="00F559E6">
        <w:rPr>
          <w:rFonts w:ascii="Verdana" w:hAnsi="Verdana"/>
          <w:b/>
          <w:i/>
          <w:sz w:val="20"/>
          <w:szCs w:val="20"/>
        </w:rPr>
        <w:t xml:space="preserve">Estado </w:t>
      </w:r>
      <w:r w:rsidRPr="00F559E6">
        <w:rPr>
          <w:rFonts w:ascii="Verdana" w:hAnsi="Verdana"/>
          <w:sz w:val="20"/>
          <w:szCs w:val="20"/>
        </w:rPr>
        <w:t xml:space="preserve">alegó que el señor Gorigoitía no planteó cuestiones de hecho y prueba en el recurso de casación, por lo que </w:t>
      </w:r>
      <w:r w:rsidR="002E4BB4">
        <w:rPr>
          <w:rFonts w:ascii="Verdana" w:hAnsi="Verdana"/>
          <w:sz w:val="20"/>
          <w:szCs w:val="20"/>
        </w:rPr>
        <w:t>la Suprema Corte de Justicia de Mendoza</w:t>
      </w:r>
      <w:r w:rsidRPr="00F559E6">
        <w:rPr>
          <w:rFonts w:ascii="Verdana" w:hAnsi="Verdana"/>
          <w:sz w:val="20"/>
          <w:szCs w:val="20"/>
        </w:rPr>
        <w:t xml:space="preserve"> no tuvo posibilida</w:t>
      </w:r>
      <w:r w:rsidR="0020414E">
        <w:rPr>
          <w:rFonts w:ascii="Verdana" w:hAnsi="Verdana"/>
          <w:sz w:val="20"/>
          <w:szCs w:val="20"/>
        </w:rPr>
        <w:t>des de pronunciarse al respecto</w:t>
      </w:r>
      <w:r w:rsidRPr="00F559E6">
        <w:rPr>
          <w:rFonts w:ascii="Verdana" w:hAnsi="Verdana"/>
          <w:sz w:val="20"/>
          <w:szCs w:val="20"/>
        </w:rPr>
        <w:t xml:space="preserve">. En el mismo sentido, alegó que el rechazo del recurso de casación se debió a la falta de fundamentación de la pieza recursiva, en la cual no se controvirtieron cuestiones de prueba o de hecho lo que imposibilitó procesalmente que el Tribunal se pronunciara en virtud del principio de congruencia. Asimismo, alegó que el señor Gorigoitía no planteó de manera oportuna ante las autoridades jurisdiccionales internas el agravio referido a </w:t>
      </w:r>
      <w:r w:rsidRPr="00F559E6">
        <w:rPr>
          <w:rFonts w:ascii="Verdana" w:hAnsi="Verdana"/>
          <w:sz w:val="20"/>
          <w:szCs w:val="20"/>
        </w:rPr>
        <w:lastRenderedPageBreak/>
        <w:t>la violación del derecho a obtener una revisión ampl</w:t>
      </w:r>
      <w:r w:rsidR="0020414E">
        <w:rPr>
          <w:rFonts w:ascii="Verdana" w:hAnsi="Verdana"/>
          <w:sz w:val="20"/>
          <w:szCs w:val="20"/>
        </w:rPr>
        <w:t>ia de la sentencia condenatoria</w:t>
      </w:r>
      <w:r w:rsidRPr="00F559E6">
        <w:rPr>
          <w:rFonts w:ascii="Verdana" w:hAnsi="Verdana"/>
          <w:sz w:val="20"/>
          <w:szCs w:val="20"/>
        </w:rPr>
        <w:t>, pues el denunciante planteó</w:t>
      </w:r>
      <w:r w:rsidR="002E4BB4">
        <w:rPr>
          <w:rFonts w:ascii="Verdana" w:hAnsi="Verdana"/>
          <w:sz w:val="20"/>
          <w:szCs w:val="20"/>
        </w:rPr>
        <w:t>,</w:t>
      </w:r>
      <w:r w:rsidRPr="00F559E6">
        <w:rPr>
          <w:rFonts w:ascii="Verdana" w:hAnsi="Verdana"/>
          <w:sz w:val="20"/>
          <w:szCs w:val="20"/>
        </w:rPr>
        <w:t xml:space="preserve"> por primera vez</w:t>
      </w:r>
      <w:r w:rsidR="002E4BB4">
        <w:rPr>
          <w:rFonts w:ascii="Verdana" w:hAnsi="Verdana"/>
          <w:sz w:val="20"/>
          <w:szCs w:val="20"/>
        </w:rPr>
        <w:t>,</w:t>
      </w:r>
      <w:r w:rsidRPr="00F559E6">
        <w:rPr>
          <w:rFonts w:ascii="Verdana" w:hAnsi="Verdana"/>
          <w:sz w:val="20"/>
          <w:szCs w:val="20"/>
        </w:rPr>
        <w:t xml:space="preserve"> la violación al artículo 8.2.h) de la Convención Americana hasta su recurso de queja por denegación del recurso extraordinario federal ante la Corte S</w:t>
      </w:r>
      <w:r w:rsidR="0020414E">
        <w:rPr>
          <w:rFonts w:ascii="Verdana" w:hAnsi="Verdana"/>
          <w:sz w:val="20"/>
          <w:szCs w:val="20"/>
        </w:rPr>
        <w:t>uprema de Justicia de la Nación</w:t>
      </w:r>
      <w:r w:rsidRPr="00F559E6">
        <w:rPr>
          <w:rFonts w:ascii="Verdana" w:hAnsi="Verdana"/>
          <w:sz w:val="20"/>
          <w:szCs w:val="20"/>
        </w:rPr>
        <w:t>. El Estado alegó que los tribunales deben aplicar la doctrina elaborada por la Corte Suprema de la Nación en el “fallo Casal” en materia de revisión de un fallo condenatorio, y que en caso de no hacerlo</w:t>
      </w:r>
      <w:r w:rsidR="002E4BB4">
        <w:rPr>
          <w:rFonts w:ascii="Verdana" w:hAnsi="Verdana"/>
          <w:sz w:val="20"/>
          <w:szCs w:val="20"/>
        </w:rPr>
        <w:t xml:space="preserve"> se habilita</w:t>
      </w:r>
      <w:r w:rsidRPr="00F559E6">
        <w:rPr>
          <w:rFonts w:ascii="Verdana" w:hAnsi="Verdana"/>
          <w:sz w:val="20"/>
          <w:szCs w:val="20"/>
        </w:rPr>
        <w:t xml:space="preserve"> inmediatamente la posibilidad </w:t>
      </w:r>
      <w:r w:rsidR="0020414E">
        <w:rPr>
          <w:rFonts w:ascii="Verdana" w:hAnsi="Verdana"/>
          <w:sz w:val="20"/>
          <w:szCs w:val="20"/>
        </w:rPr>
        <w:t>de invocar la instancia federal</w:t>
      </w:r>
      <w:r w:rsidRPr="00F559E6">
        <w:rPr>
          <w:rFonts w:ascii="Verdana" w:hAnsi="Verdana"/>
          <w:sz w:val="20"/>
          <w:szCs w:val="20"/>
        </w:rPr>
        <w:t>. Asimismo, alegó que el Estado nunca se ha excusado en la cláusula federal con el propósito de justificar el incumplimiento de sus obligaciones internacionales, por lo que no existe violación al</w:t>
      </w:r>
      <w:r w:rsidR="0020414E">
        <w:rPr>
          <w:rFonts w:ascii="Verdana" w:hAnsi="Verdana"/>
          <w:sz w:val="20"/>
          <w:szCs w:val="20"/>
        </w:rPr>
        <w:t xml:space="preserve"> artículo 28.2 de la Convención</w:t>
      </w:r>
      <w:r w:rsidRPr="00F559E6">
        <w:rPr>
          <w:rFonts w:ascii="Verdana" w:hAnsi="Verdana"/>
          <w:sz w:val="20"/>
          <w:szCs w:val="20"/>
        </w:rPr>
        <w:t>.</w:t>
      </w:r>
    </w:p>
    <w:p w14:paraId="59D34085"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5EA49766" w14:textId="77777777" w:rsidR="00574DFE" w:rsidRPr="00F559E6" w:rsidRDefault="00574DFE" w:rsidP="002767A8">
      <w:pPr>
        <w:pStyle w:val="ListParagraph"/>
        <w:numPr>
          <w:ilvl w:val="0"/>
          <w:numId w:val="14"/>
        </w:numPr>
        <w:spacing w:after="0" w:line="240" w:lineRule="auto"/>
        <w:ind w:right="21"/>
        <w:jc w:val="both"/>
        <w:outlineLvl w:val="1"/>
        <w:rPr>
          <w:rFonts w:ascii="Verdana" w:hAnsi="Verdana"/>
          <w:b/>
          <w:i/>
          <w:sz w:val="20"/>
          <w:szCs w:val="20"/>
          <w:lang w:eastAsia="es-MX"/>
        </w:rPr>
      </w:pPr>
      <w:bookmarkStart w:id="56" w:name="_Toc19533037"/>
      <w:r w:rsidRPr="00F559E6">
        <w:rPr>
          <w:rFonts w:ascii="Verdana" w:hAnsi="Verdana"/>
          <w:b/>
          <w:i/>
          <w:sz w:val="20"/>
          <w:szCs w:val="20"/>
          <w:lang w:eastAsia="es-MX"/>
        </w:rPr>
        <w:t>Consideraciones de la Corte</w:t>
      </w:r>
      <w:bookmarkEnd w:id="56"/>
    </w:p>
    <w:p w14:paraId="36FBE788" w14:textId="77777777" w:rsid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6B510CF4" w14:textId="2EEA22BD" w:rsidR="00574DFE"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8A351B">
        <w:rPr>
          <w:rFonts w:ascii="Verdana" w:hAnsi="Verdana"/>
          <w:sz w:val="20"/>
          <w:szCs w:val="20"/>
        </w:rPr>
        <w:t>El Tribunal advierte que la controversia en este caso se centra en si el Estado es responsable por la violación al derecho a</w:t>
      </w:r>
      <w:r w:rsidRPr="008A351B">
        <w:rPr>
          <w:rFonts w:ascii="Verdana" w:hAnsi="Verdana"/>
          <w:sz w:val="20"/>
          <w:szCs w:val="20"/>
          <w:lang w:val="es-CR"/>
        </w:rPr>
        <w:t xml:space="preserve"> recurrir el fallo ante juez o tribunal superior y a</w:t>
      </w:r>
      <w:r w:rsidR="002E4BB4">
        <w:rPr>
          <w:rFonts w:ascii="Verdana" w:hAnsi="Verdana"/>
          <w:sz w:val="20"/>
          <w:szCs w:val="20"/>
          <w:lang w:val="es-CR"/>
        </w:rPr>
        <w:t>l de</w:t>
      </w:r>
      <w:r w:rsidRPr="008A351B">
        <w:rPr>
          <w:rFonts w:ascii="Verdana" w:hAnsi="Verdana"/>
          <w:sz w:val="20"/>
          <w:szCs w:val="20"/>
          <w:lang w:val="es-CR"/>
        </w:rPr>
        <w:t xml:space="preserve"> un recurso judicial efectivo,</w:t>
      </w:r>
      <w:r w:rsidRPr="008A351B">
        <w:rPr>
          <w:rFonts w:ascii="Verdana" w:hAnsi="Verdana"/>
          <w:sz w:val="20"/>
          <w:szCs w:val="20"/>
        </w:rPr>
        <w:t xml:space="preserve"> como resultado de la respuesta de los tribunales internos a los recursos intentados por la defensa del señor Gorigoitía después de su sentencia condenatoria po</w:t>
      </w:r>
      <w:r w:rsidR="00F22B98">
        <w:rPr>
          <w:rFonts w:ascii="Verdana" w:hAnsi="Verdana"/>
          <w:sz w:val="20"/>
          <w:szCs w:val="20"/>
        </w:rPr>
        <w:t>r el delito de homicidio simple</w:t>
      </w:r>
      <w:r w:rsidRPr="008A351B">
        <w:rPr>
          <w:rFonts w:ascii="Verdana" w:hAnsi="Verdana"/>
          <w:sz w:val="20"/>
          <w:szCs w:val="20"/>
        </w:rPr>
        <w:t xml:space="preserve">. Adicionalmente, corresponde al Tribunal pronunciarse sobre si la legislación y prácticas en </w:t>
      </w:r>
      <w:r w:rsidR="00C2779B">
        <w:rPr>
          <w:rFonts w:ascii="Verdana" w:hAnsi="Verdana"/>
          <w:sz w:val="20"/>
          <w:szCs w:val="20"/>
        </w:rPr>
        <w:t>la provincia de Mendoza</w:t>
      </w:r>
      <w:r w:rsidRPr="008A351B">
        <w:rPr>
          <w:rFonts w:ascii="Verdana" w:hAnsi="Verdana"/>
          <w:sz w:val="20"/>
          <w:szCs w:val="20"/>
        </w:rPr>
        <w:t xml:space="preserve"> respecto a la casación constituyeron una violación a</w:t>
      </w:r>
      <w:r w:rsidR="002E4BB4">
        <w:rPr>
          <w:rFonts w:ascii="Verdana" w:hAnsi="Verdana"/>
          <w:sz w:val="20"/>
          <w:szCs w:val="20"/>
        </w:rPr>
        <w:t xml:space="preserve"> </w:t>
      </w:r>
      <w:r w:rsidRPr="008A351B">
        <w:rPr>
          <w:rFonts w:ascii="Verdana" w:hAnsi="Verdana"/>
          <w:sz w:val="20"/>
          <w:szCs w:val="20"/>
        </w:rPr>
        <w:t>l</w:t>
      </w:r>
      <w:r w:rsidR="002E4BB4">
        <w:rPr>
          <w:rFonts w:ascii="Verdana" w:hAnsi="Verdana"/>
          <w:sz w:val="20"/>
          <w:szCs w:val="20"/>
        </w:rPr>
        <w:t>os</w:t>
      </w:r>
      <w:r w:rsidRPr="008A351B">
        <w:rPr>
          <w:rFonts w:ascii="Verdana" w:hAnsi="Verdana"/>
          <w:sz w:val="20"/>
          <w:szCs w:val="20"/>
        </w:rPr>
        <w:t xml:space="preserve"> artículo</w:t>
      </w:r>
      <w:r w:rsidR="002E4BB4">
        <w:rPr>
          <w:rFonts w:ascii="Verdana" w:hAnsi="Verdana"/>
          <w:sz w:val="20"/>
          <w:szCs w:val="20"/>
        </w:rPr>
        <w:t>s</w:t>
      </w:r>
      <w:r w:rsidRPr="008A351B">
        <w:rPr>
          <w:rFonts w:ascii="Verdana" w:hAnsi="Verdana"/>
          <w:sz w:val="20"/>
          <w:szCs w:val="20"/>
        </w:rPr>
        <w:t xml:space="preserve"> 2 y 28.2 de la Convención. En razón de lo anterior, la Corte evaluará la controversia en el siguiente orden: i) si la respuesta de los tribunales internos a los recursos interpuestos por la defensa del señor Gorigoitía cumplieron con las obligaciones del Estado previstas en </w:t>
      </w:r>
      <w:r w:rsidR="00C2779B">
        <w:rPr>
          <w:rFonts w:ascii="Verdana" w:hAnsi="Verdana"/>
          <w:sz w:val="20"/>
          <w:szCs w:val="20"/>
        </w:rPr>
        <w:t>los artículos 8.2.h) y</w:t>
      </w:r>
      <w:r w:rsidRPr="008A351B">
        <w:rPr>
          <w:rFonts w:ascii="Verdana" w:hAnsi="Verdana"/>
          <w:sz w:val="20"/>
          <w:szCs w:val="20"/>
        </w:rPr>
        <w:t xml:space="preserve"> 25.1 de la Convención en relación con el art</w:t>
      </w:r>
      <w:r w:rsidR="00F22B98">
        <w:rPr>
          <w:rFonts w:ascii="Verdana" w:hAnsi="Verdana"/>
          <w:sz w:val="20"/>
          <w:szCs w:val="20"/>
        </w:rPr>
        <w:t>ículo 1.1 del mismo instrumento,</w:t>
      </w:r>
      <w:r w:rsidRPr="008A351B">
        <w:rPr>
          <w:rFonts w:ascii="Verdana" w:hAnsi="Verdana"/>
          <w:sz w:val="20"/>
          <w:szCs w:val="20"/>
        </w:rPr>
        <w:t xml:space="preserve"> y ii)</w:t>
      </w:r>
      <w:r w:rsidR="00C2779B">
        <w:rPr>
          <w:rFonts w:ascii="Verdana" w:hAnsi="Verdana"/>
          <w:sz w:val="20"/>
          <w:szCs w:val="20"/>
        </w:rPr>
        <w:t xml:space="preserve"> si el marco jurídico que regulaba</w:t>
      </w:r>
      <w:r w:rsidRPr="008A351B">
        <w:rPr>
          <w:rFonts w:ascii="Verdana" w:hAnsi="Verdana"/>
          <w:sz w:val="20"/>
          <w:szCs w:val="20"/>
        </w:rPr>
        <w:t xml:space="preserve"> la casación </w:t>
      </w:r>
      <w:r w:rsidR="00C2779B">
        <w:rPr>
          <w:rFonts w:ascii="Verdana" w:hAnsi="Verdana"/>
          <w:sz w:val="20"/>
          <w:szCs w:val="20"/>
        </w:rPr>
        <w:t xml:space="preserve">en la época de los hechos </w:t>
      </w:r>
      <w:r w:rsidRPr="008A351B">
        <w:rPr>
          <w:rFonts w:ascii="Verdana" w:hAnsi="Verdana"/>
          <w:sz w:val="20"/>
          <w:szCs w:val="20"/>
        </w:rPr>
        <w:t>constituye un incumplimiento del deber del Estado de adoptar disposiciones de derecho interno en términos del artículo 2 de la Convención y de la cláusula federal prevista en el artículo 28 del mismo instrumento.</w:t>
      </w:r>
    </w:p>
    <w:p w14:paraId="20DFF541"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1F6AD1DF" w14:textId="099137C4" w:rsidR="00574DFE" w:rsidRPr="00A80AC4" w:rsidRDefault="003523AA" w:rsidP="004C22C1">
      <w:pPr>
        <w:pStyle w:val="Heading3"/>
        <w:numPr>
          <w:ilvl w:val="0"/>
          <w:numId w:val="0"/>
        </w:numPr>
        <w:ind w:left="1353"/>
        <w:rPr>
          <w:i w:val="0"/>
        </w:rPr>
      </w:pPr>
      <w:bookmarkStart w:id="57" w:name="_Toc19533038"/>
      <w:r w:rsidRPr="00A80AC4">
        <w:rPr>
          <w:i w:val="0"/>
        </w:rPr>
        <w:t xml:space="preserve">B.1 </w:t>
      </w:r>
      <w:r w:rsidR="00574DFE" w:rsidRPr="00A80AC4">
        <w:rPr>
          <w:i w:val="0"/>
        </w:rPr>
        <w:t>El derecho a recurrir la sentencia condenatoria</w:t>
      </w:r>
      <w:r w:rsidR="00FC1345" w:rsidRPr="00A80AC4">
        <w:rPr>
          <w:i w:val="0"/>
        </w:rPr>
        <w:t xml:space="preserve"> y el derecho a la protección judicial</w:t>
      </w:r>
      <w:r w:rsidR="00574DFE" w:rsidRPr="00A80AC4">
        <w:rPr>
          <w:i w:val="0"/>
        </w:rPr>
        <w:t xml:space="preserve"> del señor Gorigoitía</w:t>
      </w:r>
      <w:bookmarkEnd w:id="57"/>
    </w:p>
    <w:p w14:paraId="236845D2" w14:textId="77777777" w:rsidR="000965F4" w:rsidRDefault="000965F4"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60021AC5" w14:textId="77777777" w:rsidR="00574DFE"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F559E6">
        <w:rPr>
          <w:rFonts w:ascii="Verdana" w:hAnsi="Verdana"/>
          <w:sz w:val="20"/>
          <w:szCs w:val="20"/>
          <w:lang w:val="es-CR"/>
        </w:rPr>
        <w:t>La Corte se ha referido en su jurisprudencia constante sobre el alcance y contenido del artículo 8.2.h) de la Convención, así como a los estándares que deben ser observados para asegurar la garantía del derecho a recurrir el fallo ante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F559E6">
        <w:rPr>
          <w:rFonts w:ascii="Verdana" w:eastAsiaTheme="majorEastAsia" w:hAnsi="Verdana"/>
          <w:sz w:val="20"/>
          <w:szCs w:val="20"/>
          <w:vertAlign w:val="superscript"/>
          <w:lang w:val="es-CR"/>
        </w:rPr>
        <w:footnoteReference w:id="74"/>
      </w:r>
      <w:r w:rsidRPr="00F559E6">
        <w:rPr>
          <w:rFonts w:ascii="Verdana" w:hAnsi="Verdana"/>
          <w:sz w:val="20"/>
          <w:szCs w:val="20"/>
          <w:lang w:val="es-CR"/>
        </w:rPr>
        <w:t xml:space="preserve">. Teniendo en cuenta que las garantías judiciales buscan que quien esté incurso en un proceso no sea sometido a </w:t>
      </w:r>
      <w:r w:rsidRPr="00F559E6">
        <w:rPr>
          <w:rFonts w:ascii="Verdana" w:hAnsi="Verdana"/>
          <w:sz w:val="20"/>
          <w:szCs w:val="20"/>
          <w:lang w:val="es-CR" w:eastAsia="es-CR"/>
        </w:rPr>
        <w:t>decisiones</w:t>
      </w:r>
      <w:r w:rsidRPr="00F559E6">
        <w:rPr>
          <w:rFonts w:ascii="Verdana" w:hAnsi="Verdana"/>
          <w:sz w:val="20"/>
          <w:szCs w:val="20"/>
          <w:lang w:val="es-CR"/>
        </w:rPr>
        <w:t xml:space="preserve"> arbitrarias, la Corte ha interpretado que el derecho a recurrir el fallo no puede ser efectivo si no se garantiza respecto de todo aquél que es condenado</w:t>
      </w:r>
      <w:r w:rsidRPr="00F559E6">
        <w:rPr>
          <w:rFonts w:ascii="Verdana" w:eastAsiaTheme="majorEastAsia" w:hAnsi="Verdana"/>
          <w:sz w:val="20"/>
          <w:szCs w:val="20"/>
          <w:vertAlign w:val="superscript"/>
          <w:lang w:val="es-CR"/>
        </w:rPr>
        <w:footnoteReference w:id="75"/>
      </w:r>
      <w:r w:rsidRPr="00F559E6">
        <w:rPr>
          <w:rFonts w:ascii="Verdana" w:hAnsi="Verdana"/>
          <w:sz w:val="20"/>
          <w:szCs w:val="20"/>
          <w:lang w:val="es-CR"/>
        </w:rPr>
        <w:t>, ya que la condena es la manifestación del ejercicio del poder punitivo del Estado</w:t>
      </w:r>
      <w:r w:rsidRPr="00F559E6">
        <w:rPr>
          <w:rFonts w:ascii="Verdana" w:eastAsiaTheme="majorEastAsia" w:hAnsi="Verdana"/>
          <w:sz w:val="20"/>
          <w:szCs w:val="20"/>
          <w:vertAlign w:val="superscript"/>
          <w:lang w:val="es-CR"/>
        </w:rPr>
        <w:footnoteReference w:id="76"/>
      </w:r>
      <w:r w:rsidRPr="00F559E6">
        <w:rPr>
          <w:rFonts w:ascii="Verdana" w:hAnsi="Verdana"/>
          <w:sz w:val="20"/>
          <w:szCs w:val="20"/>
          <w:lang w:val="es-CR"/>
        </w:rPr>
        <w:t>. La Corte ha considerado el derecho a recurrir el fallo como una de las garantías mínimas que tiene toda persona que es sometida a una investigación y proceso penal</w:t>
      </w:r>
      <w:r w:rsidRPr="00F559E6">
        <w:rPr>
          <w:rFonts w:ascii="Verdana" w:eastAsiaTheme="majorEastAsia" w:hAnsi="Verdana"/>
          <w:sz w:val="20"/>
          <w:szCs w:val="20"/>
          <w:vertAlign w:val="superscript"/>
          <w:lang w:val="es-CR"/>
        </w:rPr>
        <w:footnoteReference w:id="77"/>
      </w:r>
      <w:r w:rsidRPr="00F559E6">
        <w:rPr>
          <w:rFonts w:ascii="Verdana" w:hAnsi="Verdana"/>
          <w:sz w:val="20"/>
          <w:szCs w:val="20"/>
          <w:lang w:val="es-CR"/>
        </w:rPr>
        <w:t>.</w:t>
      </w:r>
    </w:p>
    <w:p w14:paraId="37C723DC"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1D4A3CB7" w14:textId="7EEEA0C8" w:rsidR="000C41A8"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F559E6">
        <w:rPr>
          <w:rFonts w:ascii="Verdana" w:hAnsi="Verdana"/>
          <w:sz w:val="20"/>
          <w:szCs w:val="20"/>
          <w:lang w:val="es-CR"/>
        </w:rPr>
        <w:t xml:space="preserve">Además, el Tribunal ha sostenido que el artículo 8.2.h) de la Convención se refiere a un </w:t>
      </w:r>
      <w:r w:rsidRPr="00F559E6">
        <w:rPr>
          <w:rFonts w:ascii="Verdana" w:hAnsi="Verdana"/>
          <w:sz w:val="20"/>
          <w:szCs w:val="20"/>
          <w:lang w:val="es-CR"/>
        </w:rPr>
        <w:lastRenderedPageBreak/>
        <w:t xml:space="preserve">recurso ordinario, accesible y eficaz, es decir que no debe requerir mayores </w:t>
      </w:r>
      <w:r w:rsidRPr="00F559E6">
        <w:rPr>
          <w:rFonts w:ascii="Verdana" w:hAnsi="Verdana" w:cs="Arial"/>
          <w:sz w:val="20"/>
          <w:szCs w:val="20"/>
          <w:lang w:val="es-CR"/>
        </w:rPr>
        <w:t>complejidades</w:t>
      </w:r>
      <w:r w:rsidRPr="00F559E6">
        <w:rPr>
          <w:rFonts w:ascii="Verdana" w:hAnsi="Verdana"/>
          <w:sz w:val="20"/>
          <w:szCs w:val="20"/>
          <w:lang w:val="es-CR"/>
        </w:rPr>
        <w:t xml:space="preserve"> que tornen ilusorio este derecho. En ese sentido, las formalidades requeridas para que el recurso sea admitido deben ser mínimas y no deben constituir un obstáculo para que cumpla con su fin de examinar y resolver los agravios sustentados por el recurrente, es decir que debe procurar resultados o respuestas al fin para el cual fue concebido. 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F559E6">
        <w:rPr>
          <w:rFonts w:ascii="Verdana" w:eastAsiaTheme="majorEastAsia" w:hAnsi="Verdana"/>
          <w:sz w:val="20"/>
          <w:szCs w:val="20"/>
          <w:vertAlign w:val="superscript"/>
          <w:lang w:val="es-CR"/>
        </w:rPr>
        <w:footnoteReference w:id="78"/>
      </w:r>
      <w:r w:rsidRPr="00F559E6">
        <w:rPr>
          <w:rFonts w:ascii="Verdana" w:hAnsi="Verdana"/>
          <w:sz w:val="20"/>
          <w:szCs w:val="20"/>
          <w:lang w:val="es-CR"/>
        </w:rPr>
        <w:t>.</w:t>
      </w:r>
    </w:p>
    <w:p w14:paraId="4EC0E19C"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44080668" w14:textId="73E0AC1E" w:rsidR="000C41A8" w:rsidRPr="008A351B"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F559E6">
        <w:rPr>
          <w:rFonts w:ascii="Verdana" w:hAnsi="Verdana"/>
          <w:sz w:val="20"/>
          <w:szCs w:val="20"/>
        </w:rPr>
        <w:t>La Corte recuerda que el señor Gorigoitía fue condenado el 12 de septiembre de 1997 por la Cámara Primera del Crimen de Mendoza por el delito de homicidio simple (</w:t>
      </w:r>
      <w:r w:rsidRPr="00F559E6">
        <w:rPr>
          <w:rFonts w:ascii="Verdana" w:hAnsi="Verdana"/>
          <w:i/>
          <w:sz w:val="20"/>
          <w:szCs w:val="20"/>
        </w:rPr>
        <w:t xml:space="preserve">supra </w:t>
      </w:r>
      <w:r w:rsidR="00245F2A">
        <w:rPr>
          <w:rFonts w:ascii="Verdana" w:hAnsi="Verdana"/>
          <w:sz w:val="20"/>
          <w:szCs w:val="20"/>
        </w:rPr>
        <w:t>párr. 30</w:t>
      </w:r>
      <w:r w:rsidRPr="00F559E6">
        <w:rPr>
          <w:rFonts w:ascii="Verdana" w:hAnsi="Verdana"/>
          <w:sz w:val="20"/>
          <w:szCs w:val="20"/>
        </w:rPr>
        <w:t>). El 29 de septiembre de 1997 la defensa del señor Gorigoitía interpuso un recurso de casación solicitando la nulidad de la sentencia condenatoria, el cual fue elevado ante la Suprema Corte de Mendoza (</w:t>
      </w:r>
      <w:r w:rsidRPr="00F559E6">
        <w:rPr>
          <w:rFonts w:ascii="Verdana" w:hAnsi="Verdana"/>
          <w:i/>
          <w:sz w:val="20"/>
          <w:szCs w:val="20"/>
        </w:rPr>
        <w:t xml:space="preserve">supra </w:t>
      </w:r>
      <w:r w:rsidR="00770FF7">
        <w:rPr>
          <w:rFonts w:ascii="Verdana" w:hAnsi="Verdana"/>
          <w:sz w:val="20"/>
          <w:szCs w:val="20"/>
        </w:rPr>
        <w:t>párr. 33</w:t>
      </w:r>
      <w:r w:rsidR="00CA7586">
        <w:rPr>
          <w:rFonts w:ascii="Verdana" w:hAnsi="Verdana"/>
          <w:sz w:val="20"/>
          <w:szCs w:val="20"/>
        </w:rPr>
        <w:t xml:space="preserve"> y 35</w:t>
      </w:r>
      <w:r w:rsidRPr="00F559E6">
        <w:rPr>
          <w:rFonts w:ascii="Verdana" w:hAnsi="Verdana"/>
          <w:sz w:val="20"/>
          <w:szCs w:val="20"/>
        </w:rPr>
        <w:t xml:space="preserve">). No existe controversia respecto a que, conforme a la legislación argentina, el recurso de casación es el recurso que procede </w:t>
      </w:r>
      <w:r w:rsidR="002E4BB4">
        <w:rPr>
          <w:rFonts w:ascii="Verdana" w:hAnsi="Verdana"/>
          <w:sz w:val="20"/>
          <w:szCs w:val="20"/>
        </w:rPr>
        <w:t>para impugnar</w:t>
      </w:r>
      <w:r w:rsidRPr="00F559E6">
        <w:rPr>
          <w:rFonts w:ascii="Verdana" w:hAnsi="Verdana"/>
          <w:sz w:val="20"/>
          <w:szCs w:val="20"/>
        </w:rPr>
        <w:t xml:space="preserve"> una sentencia penal condenatoria en contra de p</w:t>
      </w:r>
      <w:r w:rsidR="00BE5D95">
        <w:rPr>
          <w:rFonts w:ascii="Verdana" w:hAnsi="Verdana"/>
          <w:sz w:val="20"/>
          <w:szCs w:val="20"/>
        </w:rPr>
        <w:t>ersonas que cometieron delitos</w:t>
      </w:r>
      <w:r w:rsidR="002E4BB4">
        <w:rPr>
          <w:rFonts w:ascii="Verdana" w:hAnsi="Verdana"/>
          <w:sz w:val="20"/>
          <w:szCs w:val="20"/>
        </w:rPr>
        <w:t xml:space="preserve"> acorde a los supuestos </w:t>
      </w:r>
      <w:r w:rsidRPr="00F559E6">
        <w:rPr>
          <w:rFonts w:ascii="Verdana" w:hAnsi="Verdana"/>
          <w:sz w:val="20"/>
          <w:szCs w:val="20"/>
        </w:rPr>
        <w:t>previstos en el artículo 503 d</w:t>
      </w:r>
      <w:r w:rsidR="002E4BB4">
        <w:rPr>
          <w:rFonts w:ascii="Verdana" w:hAnsi="Verdana"/>
          <w:sz w:val="20"/>
          <w:szCs w:val="20"/>
        </w:rPr>
        <w:t>el Código Procesal Penal de la P</w:t>
      </w:r>
      <w:r w:rsidRPr="00F559E6">
        <w:rPr>
          <w:rFonts w:ascii="Verdana" w:hAnsi="Verdana"/>
          <w:sz w:val="20"/>
          <w:szCs w:val="20"/>
        </w:rPr>
        <w:t>rovincia de Mendoza, vigente en la época de los hechos (</w:t>
      </w:r>
      <w:r w:rsidRPr="00F559E6">
        <w:rPr>
          <w:rFonts w:ascii="Verdana" w:hAnsi="Verdana"/>
          <w:i/>
          <w:sz w:val="20"/>
          <w:szCs w:val="20"/>
        </w:rPr>
        <w:t xml:space="preserve">supra </w:t>
      </w:r>
      <w:r w:rsidR="00BE5D95">
        <w:rPr>
          <w:rFonts w:ascii="Verdana" w:hAnsi="Verdana"/>
          <w:sz w:val="20"/>
          <w:szCs w:val="20"/>
        </w:rPr>
        <w:t>párr. 42</w:t>
      </w:r>
      <w:r w:rsidRPr="00F559E6">
        <w:rPr>
          <w:rFonts w:ascii="Verdana" w:hAnsi="Verdana"/>
          <w:sz w:val="20"/>
          <w:szCs w:val="20"/>
        </w:rPr>
        <w:t>). Sin embargo, el Estado afirmó que podría haber ocurrido una revisión amplia de haberse planteado adecuadamente el recurso. En ese sentido, argumentó que el recurso de casación fue rechazado por la Suprema Corte de Mendoza por la indebida fundamentación de la defensa del señor Gorigoitía, lo cual no puede ser atribuido al Estado. El Estado sostuvo que fue por esa razón que dicha Corte no tuvo posibilidades de pronunciarse respecto a cuestiones de hecho y de prueba, por lo que tampoco puede acreditarse la responsabilidad internacional del Estado por la violación al artículo 8.2.h) de la Convención.</w:t>
      </w:r>
    </w:p>
    <w:p w14:paraId="23A09C7A"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02EA9A07" w14:textId="6BFC568D" w:rsidR="000C41A8" w:rsidRPr="008A351B"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F559E6">
        <w:rPr>
          <w:rFonts w:ascii="Verdana" w:hAnsi="Verdana"/>
          <w:sz w:val="20"/>
          <w:szCs w:val="20"/>
        </w:rPr>
        <w:t>La Corte observa que la defensa del señor Gorigoitía planteó dos alegatos centrales en su recurso de casación para solicitar la nulidad de la sentencia condenatoria de la Cámara Primera sobre la base del artículo 503 d</w:t>
      </w:r>
      <w:r w:rsidR="002E4BB4">
        <w:rPr>
          <w:rFonts w:ascii="Verdana" w:hAnsi="Verdana"/>
          <w:sz w:val="20"/>
          <w:szCs w:val="20"/>
        </w:rPr>
        <w:t>el Código Procesal Penal de la P</w:t>
      </w:r>
      <w:r w:rsidR="00704BE8">
        <w:rPr>
          <w:rFonts w:ascii="Verdana" w:hAnsi="Verdana"/>
          <w:sz w:val="20"/>
          <w:szCs w:val="20"/>
        </w:rPr>
        <w:t>rovincia de Mendoza</w:t>
      </w:r>
      <w:r w:rsidRPr="00F559E6">
        <w:rPr>
          <w:rFonts w:ascii="Verdana" w:hAnsi="Verdana"/>
          <w:sz w:val="20"/>
          <w:szCs w:val="20"/>
        </w:rPr>
        <w:t xml:space="preserve">. En relación </w:t>
      </w:r>
      <w:r w:rsidR="002E4BB4">
        <w:rPr>
          <w:rFonts w:ascii="Verdana" w:hAnsi="Verdana"/>
          <w:sz w:val="20"/>
          <w:szCs w:val="20"/>
        </w:rPr>
        <w:t>a</w:t>
      </w:r>
      <w:r w:rsidRPr="00F559E6">
        <w:rPr>
          <w:rFonts w:ascii="Verdana" w:hAnsi="Verdana"/>
          <w:sz w:val="20"/>
          <w:szCs w:val="20"/>
        </w:rPr>
        <w:t>l primer alegato, la defensa argumentó que</w:t>
      </w:r>
      <w:r w:rsidR="00704BE8">
        <w:rPr>
          <w:rFonts w:ascii="Verdana" w:hAnsi="Verdana"/>
          <w:sz w:val="20"/>
          <w:szCs w:val="20"/>
        </w:rPr>
        <w:t xml:space="preserve">: </w:t>
      </w:r>
      <w:r w:rsidRPr="00F559E6">
        <w:rPr>
          <w:rFonts w:ascii="Verdana" w:hAnsi="Verdana"/>
          <w:sz w:val="20"/>
          <w:szCs w:val="20"/>
        </w:rPr>
        <w:t>i) el deber de motivar los autos y las sentencias es una g</w:t>
      </w:r>
      <w:r w:rsidR="00704BE8">
        <w:rPr>
          <w:rFonts w:ascii="Verdana" w:hAnsi="Verdana"/>
          <w:sz w:val="20"/>
          <w:szCs w:val="20"/>
        </w:rPr>
        <w:t xml:space="preserve">arantía fundamental del proceso; </w:t>
      </w:r>
      <w:r w:rsidR="00E10008">
        <w:rPr>
          <w:rFonts w:ascii="Verdana" w:hAnsi="Verdana"/>
          <w:sz w:val="20"/>
          <w:szCs w:val="20"/>
        </w:rPr>
        <w:t xml:space="preserve">ii) </w:t>
      </w:r>
      <w:r w:rsidRPr="00F559E6">
        <w:rPr>
          <w:rFonts w:ascii="Verdana" w:hAnsi="Verdana"/>
          <w:sz w:val="20"/>
          <w:szCs w:val="20"/>
        </w:rPr>
        <w:t>la falta de motivación deviene</w:t>
      </w:r>
      <w:r w:rsidR="00704BE8">
        <w:rPr>
          <w:rFonts w:ascii="Verdana" w:hAnsi="Verdana"/>
          <w:sz w:val="20"/>
          <w:szCs w:val="20"/>
        </w:rPr>
        <w:t xml:space="preserve"> en la nulidad de una sentencia; </w:t>
      </w:r>
      <w:r w:rsidR="00E10008">
        <w:rPr>
          <w:rFonts w:ascii="Verdana" w:hAnsi="Verdana"/>
          <w:sz w:val="20"/>
          <w:szCs w:val="20"/>
        </w:rPr>
        <w:t xml:space="preserve">iii) </w:t>
      </w:r>
      <w:r w:rsidRPr="00F559E6">
        <w:rPr>
          <w:rFonts w:ascii="Verdana" w:hAnsi="Verdana"/>
          <w:sz w:val="20"/>
          <w:szCs w:val="20"/>
        </w:rPr>
        <w:t>el deber de motivar obliga a que una decisión se funde en los elementos de prueba legalmente incorporados, los cuales deben ser valorados de acuerdo con la lógica, la psicología y l</w:t>
      </w:r>
      <w:r w:rsidR="00704BE8">
        <w:rPr>
          <w:rFonts w:ascii="Verdana" w:hAnsi="Verdana"/>
          <w:sz w:val="20"/>
          <w:szCs w:val="20"/>
        </w:rPr>
        <w:t xml:space="preserve">a experiencia común; </w:t>
      </w:r>
      <w:r w:rsidR="00E10008">
        <w:rPr>
          <w:rFonts w:ascii="Verdana" w:hAnsi="Verdana"/>
          <w:sz w:val="20"/>
          <w:szCs w:val="20"/>
        </w:rPr>
        <w:t xml:space="preserve">iv) </w:t>
      </w:r>
      <w:r w:rsidRPr="00F559E6">
        <w:rPr>
          <w:rFonts w:ascii="Verdana" w:hAnsi="Verdana"/>
          <w:sz w:val="20"/>
          <w:szCs w:val="20"/>
        </w:rPr>
        <w:t>el dolo es un</w:t>
      </w:r>
      <w:r w:rsidR="00704BE8">
        <w:rPr>
          <w:rFonts w:ascii="Verdana" w:hAnsi="Verdana"/>
          <w:sz w:val="20"/>
          <w:szCs w:val="20"/>
        </w:rPr>
        <w:t xml:space="preserve"> hecho y como tal debe probarse, y </w:t>
      </w:r>
      <w:r w:rsidR="00E10008">
        <w:rPr>
          <w:rFonts w:ascii="Verdana" w:hAnsi="Verdana"/>
          <w:sz w:val="20"/>
          <w:szCs w:val="20"/>
        </w:rPr>
        <w:t xml:space="preserve">v) </w:t>
      </w:r>
      <w:r w:rsidRPr="00F559E6">
        <w:rPr>
          <w:rFonts w:ascii="Verdana" w:hAnsi="Verdana"/>
          <w:sz w:val="20"/>
          <w:szCs w:val="20"/>
        </w:rPr>
        <w:t>nunca en los hechos afirmados por la Cámara Primera en su sentencia se demostró la existencia del elemento constitutivo de la culpabilidad del señor Gorigoitía. En razón de lo anterior, la defensa planteó que la decisión de la Cámara Primera careció de una adecuada motivación al no haber existido una adecuada valoración de los hechos, lo cual consti</w:t>
      </w:r>
      <w:r w:rsidR="00704BE8">
        <w:rPr>
          <w:rFonts w:ascii="Verdana" w:hAnsi="Verdana"/>
          <w:sz w:val="20"/>
          <w:szCs w:val="20"/>
        </w:rPr>
        <w:t>tuyó un vicio del procedimiento</w:t>
      </w:r>
      <w:r w:rsidRPr="00F559E6">
        <w:rPr>
          <w:rFonts w:ascii="Verdana" w:hAnsi="Verdana"/>
          <w:sz w:val="20"/>
          <w:szCs w:val="20"/>
        </w:rPr>
        <w:t>. En relación con el segundo alegato, la defensa del señor Gorigoitía argumentó que la valoración realizada por parte de la Cámara Primera para fundar su sentencia no se relaciona</w:t>
      </w:r>
      <w:r w:rsidR="002E4BB4">
        <w:rPr>
          <w:rFonts w:ascii="Verdana" w:hAnsi="Verdana"/>
          <w:sz w:val="20"/>
          <w:szCs w:val="20"/>
        </w:rPr>
        <w:t>ba</w:t>
      </w:r>
      <w:r w:rsidRPr="00F559E6">
        <w:rPr>
          <w:rFonts w:ascii="Verdana" w:hAnsi="Verdana"/>
          <w:sz w:val="20"/>
          <w:szCs w:val="20"/>
        </w:rPr>
        <w:t xml:space="preserve"> con la norma aplicada, y por ende que la sanción aplicada no correspond</w:t>
      </w:r>
      <w:r w:rsidR="002E4BB4">
        <w:rPr>
          <w:rFonts w:ascii="Verdana" w:hAnsi="Verdana"/>
          <w:sz w:val="20"/>
          <w:szCs w:val="20"/>
        </w:rPr>
        <w:t>ía</w:t>
      </w:r>
      <w:r w:rsidR="00704BE8">
        <w:rPr>
          <w:rFonts w:ascii="Verdana" w:hAnsi="Verdana"/>
          <w:sz w:val="20"/>
          <w:szCs w:val="20"/>
        </w:rPr>
        <w:t xml:space="preserve"> con el caso</w:t>
      </w:r>
      <w:r w:rsidRPr="00F559E6">
        <w:rPr>
          <w:rFonts w:ascii="Verdana" w:hAnsi="Verdana"/>
          <w:sz w:val="20"/>
          <w:szCs w:val="20"/>
        </w:rPr>
        <w:t>.</w:t>
      </w:r>
    </w:p>
    <w:p w14:paraId="52D8CE94"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7D23B4A3" w14:textId="0D37FA5B" w:rsidR="00574DFE" w:rsidRPr="008A351B"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F559E6">
        <w:rPr>
          <w:rFonts w:ascii="Verdana" w:hAnsi="Verdana"/>
          <w:sz w:val="20"/>
          <w:szCs w:val="20"/>
        </w:rPr>
        <w:t>La Corte observa que la defensa</w:t>
      </w:r>
      <w:r w:rsidR="002E4BB4">
        <w:rPr>
          <w:rFonts w:ascii="Verdana" w:hAnsi="Verdana"/>
          <w:sz w:val="20"/>
          <w:szCs w:val="20"/>
        </w:rPr>
        <w:t xml:space="preserve"> del señor Gorigoitía no planteó</w:t>
      </w:r>
      <w:r w:rsidRPr="00F559E6">
        <w:rPr>
          <w:rFonts w:ascii="Verdana" w:hAnsi="Verdana"/>
          <w:sz w:val="20"/>
          <w:szCs w:val="20"/>
        </w:rPr>
        <w:t xml:space="preserve"> alegatos que estuvieran formalmente dirigidos a que la Suprema Corte de Mendoza resolviera sobre cuestiones de hecho o de valoración de prueba, sino que los agravios fueron formulados en relación a que existieron </w:t>
      </w:r>
      <w:r w:rsidRPr="00F559E6">
        <w:rPr>
          <w:rFonts w:ascii="Verdana" w:hAnsi="Verdana"/>
          <w:sz w:val="20"/>
          <w:szCs w:val="20"/>
        </w:rPr>
        <w:lastRenderedPageBreak/>
        <w:t>vicios en el procedimiento y a que hubo una inobservancia en la aplicación sustantiva de la ley por la Cámara Primera. Sin embargo, el Tribunal advierte que debido a la regulación prevista en el artículo 503 del Código Procesal Penal de la Provincia de Mendoza, la naturaleza y alcance de los agravios presentados por la defensa del señor Gorigoitía estaban condicionados por las causales de procedencia de dich</w:t>
      </w:r>
      <w:r w:rsidR="002E4BB4">
        <w:rPr>
          <w:rFonts w:ascii="Verdana" w:hAnsi="Verdana"/>
          <w:sz w:val="20"/>
          <w:szCs w:val="20"/>
        </w:rPr>
        <w:t>o recurso. Dicho artículo preveía</w:t>
      </w:r>
      <w:r w:rsidRPr="00F559E6">
        <w:rPr>
          <w:rFonts w:ascii="Verdana" w:hAnsi="Verdana"/>
          <w:sz w:val="20"/>
          <w:szCs w:val="20"/>
        </w:rPr>
        <w:t xml:space="preserve"> que el recurso de casación podía ser interpuesto por dos motivos: la inobservancia o errónea aplicación de la ley sustantiva y la inobservancia de las normas que el Código establece bajo pena de inadmisibilidad, caducidad o nulidad. El Tribunal observa, como lo ha hecho en otros casos</w:t>
      </w:r>
      <w:r w:rsidRPr="00F559E6">
        <w:rPr>
          <w:rStyle w:val="FootnoteReference"/>
          <w:rFonts w:ascii="Verdana" w:hAnsi="Verdana"/>
          <w:sz w:val="20"/>
          <w:szCs w:val="20"/>
        </w:rPr>
        <w:footnoteReference w:id="79"/>
      </w:r>
      <w:r w:rsidRPr="00F559E6">
        <w:rPr>
          <w:rFonts w:ascii="Verdana" w:hAnsi="Verdana"/>
          <w:sz w:val="20"/>
          <w:szCs w:val="20"/>
        </w:rPr>
        <w:t>, que tal y como se encontraba regulado el recurso de casación, de la literalidad de las normas no era posible la revisión de cuestiones fácticas y/o probatorias por un tribunal superior</w:t>
      </w:r>
      <w:r w:rsidRPr="00F559E6">
        <w:rPr>
          <w:rStyle w:val="FootnoteReference"/>
          <w:rFonts w:ascii="Verdana" w:hAnsi="Verdana"/>
          <w:sz w:val="20"/>
          <w:szCs w:val="20"/>
        </w:rPr>
        <w:footnoteReference w:id="80"/>
      </w:r>
      <w:r w:rsidRPr="00F559E6">
        <w:rPr>
          <w:rFonts w:ascii="Verdana" w:hAnsi="Verdana"/>
          <w:sz w:val="20"/>
          <w:szCs w:val="20"/>
        </w:rPr>
        <w:t xml:space="preserve">. </w:t>
      </w:r>
      <w:r w:rsidR="00B231C1">
        <w:rPr>
          <w:rFonts w:ascii="Verdana" w:hAnsi="Verdana"/>
          <w:sz w:val="20"/>
          <w:szCs w:val="20"/>
        </w:rPr>
        <w:t>La Corte</w:t>
      </w:r>
      <w:r w:rsidRPr="00F559E6">
        <w:rPr>
          <w:rFonts w:ascii="Verdana" w:hAnsi="Verdana"/>
          <w:sz w:val="20"/>
          <w:szCs w:val="20"/>
        </w:rPr>
        <w:t xml:space="preserve"> considera que la defensa del señor Gorigoitía planteó sus alegatos para encuadrarlos en alguna de las causales que la propia ley establecía para la admisibilidad de dicho recurso y conforme la práctica para la interpretación de dicha normativa a nivel interno. En ese sentido, la Corte </w:t>
      </w:r>
      <w:r w:rsidR="002E4BB4">
        <w:rPr>
          <w:rFonts w:ascii="Verdana" w:hAnsi="Verdana"/>
          <w:sz w:val="20"/>
          <w:szCs w:val="20"/>
        </w:rPr>
        <w:t>toma</w:t>
      </w:r>
      <w:r w:rsidRPr="00F559E6">
        <w:rPr>
          <w:rFonts w:ascii="Verdana" w:hAnsi="Verdana"/>
          <w:sz w:val="20"/>
          <w:szCs w:val="20"/>
        </w:rPr>
        <w:t xml:space="preserve"> nota de la información suministrada por el Perito Dimas Agüero en el sentido que:</w:t>
      </w:r>
    </w:p>
    <w:p w14:paraId="54FDD7C4"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lang w:val="es-CR"/>
        </w:rPr>
      </w:pPr>
    </w:p>
    <w:p w14:paraId="5DD5D6F6" w14:textId="378C277C" w:rsidR="00574DFE" w:rsidRPr="008A351B" w:rsidRDefault="00574DFE" w:rsidP="00C962FE">
      <w:pPr>
        <w:autoSpaceDE w:val="0"/>
        <w:autoSpaceDN w:val="0"/>
        <w:adjustRightInd w:val="0"/>
        <w:spacing w:after="0" w:line="240" w:lineRule="auto"/>
        <w:ind w:left="708" w:right="1040"/>
        <w:jc w:val="both"/>
        <w:rPr>
          <w:rFonts w:ascii="Verdana" w:hAnsi="Verdana" w:cs="CenturySchoolbook-Italic"/>
          <w:iCs/>
          <w:sz w:val="18"/>
          <w:szCs w:val="18"/>
          <w:lang w:val="es-CR"/>
        </w:rPr>
      </w:pPr>
      <w:r w:rsidRPr="008A351B">
        <w:rPr>
          <w:rFonts w:ascii="Verdana" w:hAnsi="Verdana" w:cs="CenturySchoolbook-Italic"/>
          <w:iCs/>
          <w:sz w:val="18"/>
          <w:szCs w:val="18"/>
          <w:lang w:val="es-CR"/>
        </w:rPr>
        <w:t>Las sentencias dictadas por los jueces correccionales y las Cámaras del Crimen, fuesen absolutorias o condenatorias, sólo podían ser impugnadas a través del recurso extraordinario de casación, sujeto a r</w:t>
      </w:r>
      <w:r w:rsidRPr="008A351B">
        <w:rPr>
          <w:rFonts w:ascii="Verdana" w:hAnsi="Verdana" w:cs="CenturySchoolbook-BoldItalic"/>
          <w:bCs/>
          <w:iCs/>
          <w:sz w:val="18"/>
          <w:szCs w:val="18"/>
          <w:lang w:val="es-CR"/>
        </w:rPr>
        <w:t xml:space="preserve">ígidas formalidades rituales; con severas limitaciones de procedibilidad y de la naturaleza de los motivos de agravio que, </w:t>
      </w:r>
      <w:r w:rsidRPr="008A351B">
        <w:rPr>
          <w:rFonts w:ascii="Verdana" w:hAnsi="Verdana" w:cs="CenturySchoolbook-Italic"/>
          <w:iCs/>
          <w:sz w:val="18"/>
          <w:szCs w:val="18"/>
          <w:lang w:val="es-CR"/>
        </w:rPr>
        <w:t xml:space="preserve">en la interpretación rigurosa del superior (la SCJM) </w:t>
      </w:r>
      <w:r w:rsidRPr="008A351B">
        <w:rPr>
          <w:rFonts w:ascii="Verdana" w:hAnsi="Verdana" w:cs="CenturySchoolbook-BoldItalic"/>
          <w:bCs/>
          <w:iCs/>
          <w:sz w:val="18"/>
          <w:szCs w:val="18"/>
          <w:lang w:val="es-CR"/>
        </w:rPr>
        <w:t>dejaba fuera de toda posibilidad de revisión las cuestiones de hecho y prueba</w:t>
      </w:r>
      <w:r w:rsidRPr="008A351B">
        <w:rPr>
          <w:rFonts w:ascii="Verdana" w:hAnsi="Verdana" w:cs="CenturySchoolbook-Italic"/>
          <w:iCs/>
          <w:sz w:val="18"/>
          <w:szCs w:val="18"/>
          <w:lang w:val="es-CR"/>
        </w:rPr>
        <w:t>.</w:t>
      </w:r>
    </w:p>
    <w:p w14:paraId="51DE44AA" w14:textId="77777777" w:rsidR="008A351B" w:rsidRPr="00F559E6" w:rsidRDefault="008A351B" w:rsidP="00C962FE">
      <w:pPr>
        <w:autoSpaceDE w:val="0"/>
        <w:autoSpaceDN w:val="0"/>
        <w:adjustRightInd w:val="0"/>
        <w:spacing w:after="0" w:line="240" w:lineRule="auto"/>
        <w:ind w:right="1040"/>
        <w:jc w:val="both"/>
        <w:rPr>
          <w:rFonts w:ascii="Verdana" w:hAnsi="Verdana"/>
          <w:sz w:val="20"/>
          <w:szCs w:val="20"/>
        </w:rPr>
      </w:pPr>
    </w:p>
    <w:p w14:paraId="6FA494F9" w14:textId="3B14A92F" w:rsidR="000C41A8"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La Corte advierte que aun cuando el recurso se presentó argumentando formalmente una falta de adecuada motivación, el aspecto central de la defensa del señor Gorigoitía eran una serie de argumentos dirigidos a cuestionar la apreciación que la Cámara Primera había realizado de los hechos del caso y de cómo estos se adecuaban o no a la modalidad dolosa de la c</w:t>
      </w:r>
      <w:r w:rsidR="00F75608">
        <w:rPr>
          <w:rFonts w:ascii="Verdana" w:hAnsi="Verdana"/>
          <w:sz w:val="20"/>
          <w:szCs w:val="20"/>
        </w:rPr>
        <w:t>omisión del delito de homicidio</w:t>
      </w:r>
      <w:r w:rsidRPr="00F559E6">
        <w:rPr>
          <w:rFonts w:ascii="Verdana" w:hAnsi="Verdana"/>
          <w:sz w:val="20"/>
          <w:szCs w:val="20"/>
        </w:rPr>
        <w:t>. En la argumentación hecha por la defensa era esa inadecuada evaluación de los hechos lo que derivó en la condena del señor Gorigoitía, por lo que ésta debía ser reevaluada mediante el recurso de casación. Este Tribunal observa que fue precisamente por dicho aspecto central de la demanda que la Suprema Corte de Mendoza decidió rechazar el recurso de casación, toda vez que lo desestimó “in limine, porque las argumentaciones recursivas revelan, en suma, la discrepancia valorativa del impugnante con el criterio de la Cámara con relación al material probatorio incorporado legalmente al debate, porque el Tribunal de Casación no puede rever ni juzgar los motivos que conformaron la</w:t>
      </w:r>
      <w:r w:rsidR="00F75608">
        <w:rPr>
          <w:rFonts w:ascii="Verdana" w:hAnsi="Verdana"/>
          <w:sz w:val="20"/>
          <w:szCs w:val="20"/>
        </w:rPr>
        <w:t xml:space="preserve"> convicción del Tribunal a-quo”</w:t>
      </w:r>
      <w:r w:rsidRPr="00F559E6">
        <w:rPr>
          <w:rFonts w:ascii="Verdana" w:hAnsi="Verdana"/>
          <w:sz w:val="20"/>
          <w:szCs w:val="20"/>
        </w:rPr>
        <w:t>. La Suprema Corte de Mendoza se limitó a reiterar algunas de las razones sobre las que se basó la Cámara Primera para concluir la culpabilidad del señor Gorigoitía, pero sin realizar valoración alguna sobre si dicha evaluación habría sido realizada adecuadamente conforme a la legislación interna</w:t>
      </w:r>
      <w:r w:rsidR="00F75608">
        <w:rPr>
          <w:rFonts w:ascii="Verdana" w:hAnsi="Verdana"/>
          <w:sz w:val="20"/>
          <w:szCs w:val="20"/>
        </w:rPr>
        <w:t>.</w:t>
      </w:r>
    </w:p>
    <w:p w14:paraId="524D13E1"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17F40D18" w14:textId="16D3A341" w:rsidR="00574DFE"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La Corte reitera que el artículo 8.2.h) se refiere al derecho a un recurso ordinario, accesible y eficaz que no torne ilusorio el derecho de recurrir el fallo ante tribunal superior. En ese sentido, la Corte ha establecido que las formalidades requeridas no deben constituir un obstáculo para que recurso permita la revisión de las cuestiones fácticas, probatorias y jurídicas que podrían haber derivado en un error en la sentencia. La importancia del cumplimento de esta obligación se funda en que existe relación entre una errónea determinación de los hechos y una indebida aplicación del derecho, por lo que la revisión que se debe hacer en cumplimiento del derecho al doble conforme debe permitir al juzgador realizar un control amplio de la sentencia. Este es el planteamiento que la defensa del señor Gorigoitía realizó en su escrito de recurso de casación, el cual fue rechazado “in limine” por requerir una revalorización del criterio de la </w:t>
      </w:r>
      <w:r w:rsidRPr="00F559E6">
        <w:rPr>
          <w:rFonts w:ascii="Verdana" w:hAnsi="Verdana"/>
          <w:sz w:val="20"/>
          <w:szCs w:val="20"/>
        </w:rPr>
        <w:lastRenderedPageBreak/>
        <w:t>Cámara Primera en materia de he</w:t>
      </w:r>
      <w:r w:rsidR="00A93FE5">
        <w:rPr>
          <w:rFonts w:ascii="Verdana" w:hAnsi="Verdana"/>
          <w:sz w:val="20"/>
          <w:szCs w:val="20"/>
        </w:rPr>
        <w:t>chos y de valoración probatoria</w:t>
      </w:r>
      <w:r w:rsidRPr="00F559E6">
        <w:rPr>
          <w:rFonts w:ascii="Verdana" w:hAnsi="Verdana"/>
          <w:sz w:val="20"/>
          <w:szCs w:val="20"/>
        </w:rPr>
        <w:t xml:space="preserve">. En consecuencia, el Tribunal considera que la negativa por parte de la Suprema Corte de Mendoza de revisar el fondo de la cuestión planteada por la defensa del señor Gorigoitía constituyó un hecho ilícito internacional en tanto resultó en un incumplimiento del deber de revisión integral del fallo que </w:t>
      </w:r>
      <w:r w:rsidR="002E4BB4">
        <w:rPr>
          <w:rFonts w:ascii="Verdana" w:hAnsi="Verdana"/>
          <w:sz w:val="20"/>
          <w:szCs w:val="20"/>
        </w:rPr>
        <w:t>establece</w:t>
      </w:r>
      <w:r w:rsidRPr="00F559E6">
        <w:rPr>
          <w:rFonts w:ascii="Verdana" w:hAnsi="Verdana"/>
          <w:sz w:val="20"/>
          <w:szCs w:val="20"/>
        </w:rPr>
        <w:t xml:space="preserve"> el artículo 8.2.h) de la Convención.</w:t>
      </w:r>
    </w:p>
    <w:p w14:paraId="613EBA35"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07BB1687" w14:textId="77F8F309" w:rsidR="00FC1345" w:rsidRPr="00FC1345" w:rsidRDefault="00FC1345"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Verdana"/>
          <w:bCs/>
          <w:iCs/>
          <w:sz w:val="20"/>
          <w:szCs w:val="20"/>
        </w:rPr>
      </w:pPr>
      <w:r w:rsidRPr="00FC1345">
        <w:rPr>
          <w:rFonts w:ascii="Verdana" w:hAnsi="Verdana"/>
          <w:sz w:val="20"/>
          <w:szCs w:val="20"/>
        </w:rPr>
        <w:t xml:space="preserve">La Corte no se pronunciará sobre las alegadas violaciones a </w:t>
      </w:r>
      <w:r>
        <w:rPr>
          <w:rFonts w:ascii="Verdana" w:hAnsi="Verdana"/>
          <w:sz w:val="20"/>
          <w:szCs w:val="20"/>
        </w:rPr>
        <w:t>25.1</w:t>
      </w:r>
      <w:r w:rsidRPr="00FC1345">
        <w:rPr>
          <w:rFonts w:ascii="Verdana" w:hAnsi="Verdana"/>
          <w:sz w:val="20"/>
          <w:szCs w:val="20"/>
        </w:rPr>
        <w:t xml:space="preserve"> de la Convención Americana, planteadas por </w:t>
      </w:r>
      <w:r>
        <w:rPr>
          <w:rFonts w:ascii="Verdana" w:hAnsi="Verdana"/>
          <w:sz w:val="20"/>
          <w:szCs w:val="20"/>
        </w:rPr>
        <w:t xml:space="preserve">la Comisión en su Informe de Fondo y </w:t>
      </w:r>
      <w:r w:rsidRPr="00FC1345">
        <w:rPr>
          <w:rFonts w:ascii="Verdana" w:hAnsi="Verdana"/>
          <w:sz w:val="20"/>
          <w:szCs w:val="20"/>
        </w:rPr>
        <w:t>los representantes en el petitorio del escrito de solicitudes y argumentos, puesto que ha constatado que no</w:t>
      </w:r>
      <w:r>
        <w:rPr>
          <w:rFonts w:ascii="Verdana" w:hAnsi="Verdana"/>
          <w:sz w:val="20"/>
          <w:szCs w:val="20"/>
        </w:rPr>
        <w:t xml:space="preserve"> se</w:t>
      </w:r>
      <w:r w:rsidRPr="00FC1345">
        <w:rPr>
          <w:rFonts w:ascii="Verdana" w:hAnsi="Verdana"/>
          <w:sz w:val="20"/>
          <w:szCs w:val="20"/>
        </w:rPr>
        <w:t xml:space="preserve"> presentaron argumentos de derecho </w:t>
      </w:r>
      <w:r>
        <w:rPr>
          <w:rFonts w:ascii="Verdana" w:hAnsi="Verdana"/>
          <w:sz w:val="20"/>
          <w:szCs w:val="20"/>
        </w:rPr>
        <w:t>que permitieran establecer</w:t>
      </w:r>
      <w:r w:rsidR="007D227B">
        <w:rPr>
          <w:rFonts w:ascii="Verdana" w:hAnsi="Verdana"/>
          <w:sz w:val="20"/>
          <w:szCs w:val="20"/>
        </w:rPr>
        <w:t xml:space="preserve"> específicamente</w:t>
      </w:r>
      <w:r>
        <w:rPr>
          <w:rFonts w:ascii="Verdana" w:hAnsi="Verdana"/>
          <w:sz w:val="20"/>
          <w:szCs w:val="20"/>
        </w:rPr>
        <w:t xml:space="preserve"> la falta de idoneidad y efectividad del recurso extraordinario federal</w:t>
      </w:r>
      <w:r w:rsidR="00843376">
        <w:rPr>
          <w:rFonts w:ascii="Verdana" w:hAnsi="Verdana"/>
          <w:sz w:val="20"/>
          <w:szCs w:val="20"/>
        </w:rPr>
        <w:t>,</w:t>
      </w:r>
      <w:r>
        <w:rPr>
          <w:rFonts w:ascii="Verdana" w:hAnsi="Verdana"/>
          <w:sz w:val="20"/>
          <w:szCs w:val="20"/>
        </w:rPr>
        <w:t xml:space="preserve"> ni del recurso de queja intentado por la defensa del señor Gorigoitía</w:t>
      </w:r>
      <w:r w:rsidRPr="00FC1345">
        <w:rPr>
          <w:rFonts w:ascii="Verdana" w:hAnsi="Verdana"/>
          <w:sz w:val="20"/>
          <w:szCs w:val="20"/>
        </w:rPr>
        <w:t>.</w:t>
      </w:r>
    </w:p>
    <w:p w14:paraId="30A9071D" w14:textId="77777777" w:rsidR="008A351B" w:rsidRPr="00A80AC4" w:rsidRDefault="008A351B" w:rsidP="00A80AC4">
      <w:pPr>
        <w:pStyle w:val="Heading3"/>
        <w:numPr>
          <w:ilvl w:val="0"/>
          <w:numId w:val="0"/>
        </w:numPr>
        <w:ind w:left="426"/>
        <w:rPr>
          <w:i w:val="0"/>
        </w:rPr>
      </w:pPr>
    </w:p>
    <w:p w14:paraId="167EDA34" w14:textId="09C70278" w:rsidR="00574DFE" w:rsidRPr="00A80AC4" w:rsidRDefault="00A80AC4" w:rsidP="004C22C1">
      <w:pPr>
        <w:pStyle w:val="Heading3"/>
        <w:numPr>
          <w:ilvl w:val="0"/>
          <w:numId w:val="0"/>
        </w:numPr>
        <w:ind w:left="1353"/>
        <w:rPr>
          <w:i w:val="0"/>
        </w:rPr>
      </w:pPr>
      <w:bookmarkStart w:id="58" w:name="_Toc19533039"/>
      <w:r>
        <w:rPr>
          <w:i w:val="0"/>
        </w:rPr>
        <w:t xml:space="preserve">B.2 </w:t>
      </w:r>
      <w:r w:rsidR="00574DFE" w:rsidRPr="00A80AC4">
        <w:rPr>
          <w:i w:val="0"/>
        </w:rPr>
        <w:t>Deber de adoptar disposiciones de derecho interno y cláusula federal</w:t>
      </w:r>
      <w:bookmarkEnd w:id="58"/>
    </w:p>
    <w:p w14:paraId="2FE9FEB2"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cs="Verdana"/>
          <w:sz w:val="20"/>
          <w:szCs w:val="20"/>
          <w:lang w:val="es-CR"/>
        </w:rPr>
      </w:pPr>
    </w:p>
    <w:p w14:paraId="1B85AC2C" w14:textId="77777777" w:rsidR="00FA301B" w:rsidRPr="008A351B"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Verdana"/>
          <w:sz w:val="20"/>
          <w:szCs w:val="20"/>
          <w:lang w:val="es-CR"/>
        </w:rPr>
      </w:pPr>
      <w:r w:rsidRPr="008A351B">
        <w:rPr>
          <w:rFonts w:ascii="Verdana" w:hAnsi="Verdana" w:cs="Verdana"/>
          <w:sz w:val="20"/>
          <w:szCs w:val="20"/>
          <w:lang w:val="es-CR"/>
        </w:rPr>
        <w:t>La Corte ha establecido que el artículo 2</w:t>
      </w:r>
      <w:r w:rsidRPr="00F559E6">
        <w:rPr>
          <w:rFonts w:ascii="Verdana" w:eastAsiaTheme="majorEastAsia" w:hAnsi="Verdana" w:cs="Verdana"/>
          <w:sz w:val="20"/>
          <w:szCs w:val="20"/>
          <w:vertAlign w:val="superscript"/>
          <w:lang w:val="es-CR"/>
        </w:rPr>
        <w:footnoteReference w:id="81"/>
      </w:r>
      <w:r w:rsidRPr="008A351B">
        <w:rPr>
          <w:rFonts w:ascii="Verdana" w:hAnsi="Verdana" w:cs="Verdana"/>
          <w:sz w:val="20"/>
          <w:szCs w:val="20"/>
          <w:lang w:val="es-CR"/>
        </w:rPr>
        <w:t xml:space="preserve"> de la Convención contempla el deber general de los Estados Partes de adecuar su </w:t>
      </w:r>
      <w:r w:rsidRPr="008A351B">
        <w:rPr>
          <w:rFonts w:ascii="Verdana" w:hAnsi="Verdana"/>
          <w:sz w:val="20"/>
          <w:szCs w:val="20"/>
          <w:lang w:val="es-CR"/>
        </w:rPr>
        <w:t>derecho</w:t>
      </w:r>
      <w:r w:rsidRPr="008A351B">
        <w:rPr>
          <w:rFonts w:ascii="Verdana" w:hAnsi="Verdana" w:cs="Verdana"/>
          <w:sz w:val="20"/>
          <w:szCs w:val="20"/>
          <w:lang w:val="es-CR"/>
        </w:rPr>
        <w:t xml:space="preserve"> interno a las disposiciones de la misma para garantizar los derechos en ella </w:t>
      </w:r>
      <w:r w:rsidRPr="008A351B">
        <w:rPr>
          <w:rFonts w:ascii="Verdana" w:hAnsi="Verdana"/>
          <w:sz w:val="20"/>
          <w:szCs w:val="20"/>
          <w:lang w:val="es-CR"/>
        </w:rPr>
        <w:t>consagrados</w:t>
      </w:r>
      <w:r w:rsidRPr="008A351B">
        <w:rPr>
          <w:rFonts w:ascii="Verdana" w:hAnsi="Verdana" w:cs="Verdana"/>
          <w:sz w:val="20"/>
          <w:szCs w:val="20"/>
          <w:lang w:val="es-CR"/>
        </w:rPr>
        <w:t>. Este deber implica la adopción de medidas en dos vertientes. Por una parte, la supresión de las normas y prácticas de cualquier naturaleza que entrañen violación a las garantías previstas en la Convención. Por otra, la expedición de normas y el desarrollo de prácticas conducentes a la efectiva observancia de dichas garantías</w:t>
      </w:r>
      <w:r w:rsidRPr="00F559E6">
        <w:rPr>
          <w:rFonts w:ascii="Verdana" w:eastAsiaTheme="majorEastAsia" w:hAnsi="Verdana" w:cs="Verdana"/>
          <w:sz w:val="20"/>
          <w:szCs w:val="20"/>
          <w:vertAlign w:val="superscript"/>
          <w:lang w:val="es-CR"/>
        </w:rPr>
        <w:footnoteReference w:id="82"/>
      </w:r>
      <w:r w:rsidRPr="008A351B">
        <w:rPr>
          <w:rFonts w:ascii="Verdana" w:hAnsi="Verdana" w:cs="Verdana"/>
          <w:sz w:val="20"/>
          <w:szCs w:val="20"/>
          <w:lang w:val="es-CR"/>
        </w:rPr>
        <w:t xml:space="preserve">. </w:t>
      </w:r>
      <w:r w:rsidRPr="008A351B">
        <w:rPr>
          <w:rFonts w:ascii="Verdana" w:hAnsi="Verdana"/>
          <w:sz w:val="20"/>
          <w:szCs w:val="20"/>
        </w:rPr>
        <w:t>Precisamente, respecto a la adopción de dichas medidas, esta Corte ha reconocido que todas las autoridades de un Estado Parte en la Convención tienen la obligación de ejercer un control de convencionalidad</w:t>
      </w:r>
      <w:r w:rsidRPr="00F559E6">
        <w:rPr>
          <w:rStyle w:val="FootnoteReference"/>
          <w:rFonts w:ascii="Verdana" w:hAnsi="Verdana" w:cs="Arial"/>
          <w:sz w:val="20"/>
          <w:szCs w:val="20"/>
        </w:rPr>
        <w:footnoteReference w:id="83"/>
      </w:r>
      <w:r w:rsidRPr="008A351B">
        <w:rPr>
          <w:rFonts w:ascii="Verdana" w:hAnsi="Verdana"/>
          <w:sz w:val="20"/>
          <w:szCs w:val="20"/>
        </w:rPr>
        <w:t>, de forma tal que la interpretación y aplicación del derecho nacional sea consistente con las obligaciones internacionales del Estado en materia de derechos humanos</w:t>
      </w:r>
      <w:r w:rsidRPr="00F559E6">
        <w:rPr>
          <w:rStyle w:val="FootnoteReference"/>
          <w:rFonts w:ascii="Verdana" w:hAnsi="Verdana"/>
          <w:sz w:val="20"/>
          <w:szCs w:val="20"/>
        </w:rPr>
        <w:footnoteReference w:id="84"/>
      </w:r>
      <w:r w:rsidRPr="008A351B">
        <w:rPr>
          <w:rFonts w:ascii="Verdana" w:hAnsi="Verdana"/>
          <w:sz w:val="20"/>
          <w:szCs w:val="20"/>
        </w:rPr>
        <w:t>. En relación con el artículo 28, el Tribunal ha establecido que “según una jurisprudencia centenaria y que no ha variado hasta ahora, un Estado no puede alegar su estructura federal para dejar de cumplir con una obligación internacional”</w:t>
      </w:r>
      <w:r w:rsidRPr="00F559E6">
        <w:rPr>
          <w:rStyle w:val="FootnoteReference"/>
          <w:rFonts w:ascii="Verdana" w:hAnsi="Verdana"/>
          <w:sz w:val="20"/>
          <w:szCs w:val="20"/>
        </w:rPr>
        <w:footnoteReference w:id="85"/>
      </w:r>
      <w:r w:rsidRPr="008A351B">
        <w:rPr>
          <w:rFonts w:ascii="Verdana" w:hAnsi="Verdana"/>
          <w:sz w:val="20"/>
          <w:szCs w:val="20"/>
        </w:rPr>
        <w:t>.</w:t>
      </w:r>
    </w:p>
    <w:p w14:paraId="41D08797"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cs="Verdana"/>
          <w:sz w:val="20"/>
          <w:szCs w:val="20"/>
          <w:lang w:val="es-CR"/>
        </w:rPr>
      </w:pPr>
    </w:p>
    <w:p w14:paraId="32851B33" w14:textId="18686F26" w:rsidR="00D84B9E" w:rsidRPr="00843376"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Verdana"/>
          <w:sz w:val="20"/>
          <w:szCs w:val="20"/>
          <w:lang w:val="es-CR"/>
        </w:rPr>
      </w:pPr>
      <w:r w:rsidRPr="00D84B9E">
        <w:rPr>
          <w:rFonts w:ascii="Verdana" w:hAnsi="Verdana"/>
          <w:sz w:val="20"/>
          <w:szCs w:val="20"/>
        </w:rPr>
        <w:t xml:space="preserve">En el presente caso el Tribunal resolvió que de la literalidad de las normas pertinentes </w:t>
      </w:r>
      <w:r w:rsidRPr="00D84B9E">
        <w:rPr>
          <w:rFonts w:ascii="Verdana" w:eastAsia="Calibri" w:hAnsi="Verdana" w:cs="Arial"/>
          <w:sz w:val="20"/>
          <w:szCs w:val="20"/>
          <w:lang w:val="es-CO" w:eastAsia="es-CR"/>
        </w:rPr>
        <w:t>en el Código Procesal Penal de la Provincia de Mendoza, aplicable en la época de los hechos</w:t>
      </w:r>
      <w:r w:rsidRPr="00D84B9E">
        <w:rPr>
          <w:rFonts w:ascii="Verdana" w:hAnsi="Verdana"/>
          <w:sz w:val="20"/>
          <w:szCs w:val="20"/>
        </w:rPr>
        <w:t>, a través del recurso de casación, no fue posible la revisión de cuestiones fácticas y/o probatorias por un tribunal superior en el caso del señor Gorigoitía (</w:t>
      </w:r>
      <w:r w:rsidRPr="00B62132">
        <w:rPr>
          <w:rFonts w:ascii="Verdana" w:hAnsi="Verdana"/>
          <w:i/>
          <w:sz w:val="20"/>
          <w:szCs w:val="20"/>
        </w:rPr>
        <w:t>supra</w:t>
      </w:r>
      <w:r w:rsidRPr="00D84B9E">
        <w:rPr>
          <w:rFonts w:ascii="Verdana" w:hAnsi="Verdana"/>
          <w:sz w:val="20"/>
          <w:szCs w:val="20"/>
        </w:rPr>
        <w:t xml:space="preserve"> párr</w:t>
      </w:r>
      <w:r w:rsidR="00CA7586">
        <w:rPr>
          <w:rFonts w:ascii="Verdana" w:hAnsi="Verdana"/>
          <w:sz w:val="20"/>
          <w:szCs w:val="20"/>
        </w:rPr>
        <w:t>s</w:t>
      </w:r>
      <w:r w:rsidRPr="00D84B9E">
        <w:rPr>
          <w:rFonts w:ascii="Verdana" w:hAnsi="Verdana"/>
          <w:sz w:val="20"/>
          <w:szCs w:val="20"/>
        </w:rPr>
        <w:t>.</w:t>
      </w:r>
      <w:r w:rsidR="00CA7586">
        <w:rPr>
          <w:rFonts w:ascii="Verdana" w:hAnsi="Verdana"/>
          <w:sz w:val="20"/>
          <w:szCs w:val="20"/>
        </w:rPr>
        <w:t xml:space="preserve"> 51 y</w:t>
      </w:r>
      <w:r w:rsidR="00843376">
        <w:rPr>
          <w:rFonts w:ascii="Verdana" w:hAnsi="Verdana"/>
          <w:sz w:val="20"/>
          <w:szCs w:val="20"/>
        </w:rPr>
        <w:t xml:space="preserve"> </w:t>
      </w:r>
      <w:r w:rsidR="003D2E9B">
        <w:rPr>
          <w:rFonts w:ascii="Verdana" w:hAnsi="Verdana"/>
          <w:sz w:val="20"/>
          <w:szCs w:val="20"/>
        </w:rPr>
        <w:t>53</w:t>
      </w:r>
      <w:r w:rsidRPr="00D84B9E">
        <w:rPr>
          <w:rFonts w:ascii="Verdana" w:hAnsi="Verdana"/>
          <w:sz w:val="20"/>
          <w:szCs w:val="20"/>
        </w:rPr>
        <w:t xml:space="preserve">). Por lo tanto, la Corte concluyó que el Estado incumplió con el deber de revisión integral del fallo que requiere el artículo 8.2.h) de la Convención en relación con el artículo 1.1 del mismo instrumento. </w:t>
      </w:r>
      <w:r w:rsidR="00D84B9E">
        <w:rPr>
          <w:rFonts w:ascii="Verdana" w:hAnsi="Verdana"/>
          <w:sz w:val="20"/>
          <w:szCs w:val="20"/>
        </w:rPr>
        <w:t xml:space="preserve">Por las mismas razones, la Corte concluye que el Estado incumplió con sus obligaciones previstas en el artículo 2 de la Convención. </w:t>
      </w:r>
      <w:r w:rsidRPr="00D84B9E">
        <w:rPr>
          <w:rFonts w:ascii="Verdana" w:hAnsi="Verdana"/>
          <w:sz w:val="20"/>
          <w:szCs w:val="20"/>
        </w:rPr>
        <w:t>L</w:t>
      </w:r>
      <w:r w:rsidRPr="00D84B9E">
        <w:rPr>
          <w:rFonts w:ascii="Verdana" w:hAnsi="Verdana" w:cs="Verdana"/>
          <w:sz w:val="20"/>
          <w:szCs w:val="20"/>
          <w:lang w:val="es-CR"/>
        </w:rPr>
        <w:t xml:space="preserve">a Corte observa que el Estado no impugnó que el Código Procesal Penal de la Provincia de Mendoza aplicado en la época de los hechos regula el recurso de casación en un sentido muy restringido y contrario a lo dispuesto por el artículo 8.2.h) de la Convención. Lo que alegó es que </w:t>
      </w:r>
      <w:r w:rsidRPr="00D84B9E">
        <w:rPr>
          <w:rFonts w:ascii="Verdana" w:hAnsi="Verdana"/>
          <w:sz w:val="20"/>
          <w:szCs w:val="20"/>
        </w:rPr>
        <w:t xml:space="preserve">los tribunales deben aplicar la doctrina elaborada en el “fallo </w:t>
      </w:r>
      <w:r w:rsidRPr="00D84B9E">
        <w:rPr>
          <w:rFonts w:ascii="Verdana" w:hAnsi="Verdana"/>
          <w:sz w:val="20"/>
          <w:szCs w:val="20"/>
        </w:rPr>
        <w:lastRenderedPageBreak/>
        <w:t>Casal” en materia de revisión de un fallo condenatorio, y que existieron actos estatales posteriores dirigidos a asegurar la revisión integral en mater</w:t>
      </w:r>
      <w:r w:rsidR="003D2E9B">
        <w:rPr>
          <w:rFonts w:ascii="Verdana" w:hAnsi="Verdana"/>
          <w:sz w:val="20"/>
          <w:szCs w:val="20"/>
        </w:rPr>
        <w:t>ia de casación</w:t>
      </w:r>
      <w:r w:rsidR="008A351B" w:rsidRPr="00D84B9E">
        <w:rPr>
          <w:rFonts w:ascii="Verdana" w:hAnsi="Verdana"/>
          <w:sz w:val="20"/>
          <w:szCs w:val="20"/>
        </w:rPr>
        <w:t>.</w:t>
      </w:r>
      <w:r w:rsidR="00D84B9E">
        <w:rPr>
          <w:rFonts w:ascii="Verdana" w:hAnsi="Verdana"/>
          <w:sz w:val="20"/>
          <w:szCs w:val="20"/>
        </w:rPr>
        <w:t xml:space="preserve"> </w:t>
      </w:r>
      <w:r w:rsidR="00D84B9E" w:rsidRPr="00843376">
        <w:rPr>
          <w:rFonts w:ascii="Verdana" w:hAnsi="Verdana"/>
          <w:sz w:val="20"/>
          <w:szCs w:val="20"/>
        </w:rPr>
        <w:t xml:space="preserve">Al respecto, sin dejar de reconocer la importancia del “fallo Casal”, la Corte concluye que el Estado incumplió con la obligación contenida en el artículo 2 de la Convención Americana, en relación con el artículo 8.2.h) </w:t>
      </w:r>
      <w:r w:rsidR="00B62132">
        <w:rPr>
          <w:rFonts w:ascii="Verdana" w:hAnsi="Verdana"/>
          <w:sz w:val="20"/>
          <w:szCs w:val="20"/>
        </w:rPr>
        <w:t>del mismo instrumento</w:t>
      </w:r>
      <w:r w:rsidR="00D84B9E" w:rsidRPr="00843376">
        <w:rPr>
          <w:rFonts w:ascii="Verdana" w:hAnsi="Verdana"/>
          <w:sz w:val="20"/>
          <w:szCs w:val="20"/>
        </w:rPr>
        <w:t>.</w:t>
      </w:r>
    </w:p>
    <w:p w14:paraId="7D1F8649"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Verdana"/>
          <w:sz w:val="20"/>
          <w:szCs w:val="20"/>
          <w:lang w:val="es-CR"/>
        </w:rPr>
      </w:pPr>
    </w:p>
    <w:p w14:paraId="33E549CB" w14:textId="77777777" w:rsidR="00574DFE" w:rsidRPr="008A351B" w:rsidRDefault="00574DFE"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i/>
          <w:sz w:val="20"/>
          <w:szCs w:val="20"/>
          <w:lang w:val="es-CR"/>
        </w:rPr>
      </w:pPr>
      <w:r w:rsidRPr="00F559E6">
        <w:rPr>
          <w:rFonts w:ascii="Verdana" w:hAnsi="Verdana"/>
          <w:sz w:val="20"/>
          <w:szCs w:val="20"/>
        </w:rPr>
        <w:t>En relación con el alegato de los representantes relacionado con la presunta violación al artículo 28 de la Convención, la Corte recuerda que un alegato sobre la eventual inobservancia de las obligaciones emanadas del artículo 28 de la Convención debe referirse a un hecho con suficiente entidad para ser considerado como un verdadero incumplimiento</w:t>
      </w:r>
      <w:r w:rsidRPr="00F559E6">
        <w:rPr>
          <w:rStyle w:val="FootnoteReference"/>
          <w:rFonts w:ascii="Verdana" w:hAnsi="Verdana"/>
          <w:sz w:val="20"/>
          <w:szCs w:val="20"/>
        </w:rPr>
        <w:footnoteReference w:id="86"/>
      </w:r>
      <w:r w:rsidRPr="00F559E6">
        <w:rPr>
          <w:rFonts w:ascii="Verdana" w:hAnsi="Verdana"/>
          <w:sz w:val="20"/>
          <w:szCs w:val="20"/>
        </w:rPr>
        <w:t>. En el presente caso la Corte la Corte advierte que el Estado no opuso su estructura federal como excusa para incumplir con sus obligaciones internacionales, por lo que la Corte no encuentra que el Estado haya incumplido con sus obligaciones emergentes del artículo 28 de la Convención.</w:t>
      </w:r>
    </w:p>
    <w:p w14:paraId="66C88D74" w14:textId="77777777" w:rsidR="008A351B" w:rsidRPr="004C22C1" w:rsidRDefault="008A351B" w:rsidP="004C22C1">
      <w:pPr>
        <w:pStyle w:val="Heading3"/>
        <w:numPr>
          <w:ilvl w:val="0"/>
          <w:numId w:val="0"/>
        </w:numPr>
        <w:ind w:left="426"/>
        <w:rPr>
          <w:i w:val="0"/>
        </w:rPr>
      </w:pPr>
    </w:p>
    <w:p w14:paraId="535F9F09" w14:textId="4E585D27" w:rsidR="00172DD1" w:rsidRPr="004C22C1" w:rsidRDefault="004C22C1" w:rsidP="004C22C1">
      <w:pPr>
        <w:pStyle w:val="Heading3"/>
        <w:numPr>
          <w:ilvl w:val="0"/>
          <w:numId w:val="0"/>
        </w:numPr>
        <w:ind w:left="1353"/>
        <w:rPr>
          <w:i w:val="0"/>
        </w:rPr>
      </w:pPr>
      <w:bookmarkStart w:id="59" w:name="_Toc19533040"/>
      <w:r>
        <w:rPr>
          <w:i w:val="0"/>
        </w:rPr>
        <w:t xml:space="preserve">B.3 </w:t>
      </w:r>
      <w:r w:rsidR="00172DD1" w:rsidRPr="004C22C1">
        <w:rPr>
          <w:i w:val="0"/>
        </w:rPr>
        <w:t>Conclusión</w:t>
      </w:r>
      <w:bookmarkEnd w:id="59"/>
    </w:p>
    <w:p w14:paraId="0E205844" w14:textId="77777777" w:rsidR="008A351B" w:rsidRPr="008A351B" w:rsidRDefault="008A351B" w:rsidP="00C962FE">
      <w:pPr>
        <w:pStyle w:val="ListParagraph"/>
        <w:widowControl w:val="0"/>
        <w:tabs>
          <w:tab w:val="left" w:pos="567"/>
        </w:tabs>
        <w:adjustRightInd w:val="0"/>
        <w:spacing w:after="0" w:line="240" w:lineRule="auto"/>
        <w:ind w:left="0"/>
        <w:jc w:val="both"/>
        <w:textAlignment w:val="baseline"/>
        <w:rPr>
          <w:rFonts w:ascii="Verdana" w:hAnsi="Verdana"/>
          <w:sz w:val="20"/>
          <w:szCs w:val="20"/>
        </w:rPr>
      </w:pPr>
    </w:p>
    <w:p w14:paraId="538C97B6" w14:textId="6E3A2DF0" w:rsidR="00172DD1" w:rsidRPr="00172DD1" w:rsidRDefault="00172DD1" w:rsidP="002767A8">
      <w:pPr>
        <w:pStyle w:val="ListParagraph"/>
        <w:widowControl w:val="0"/>
        <w:numPr>
          <w:ilvl w:val="0"/>
          <w:numId w:val="11"/>
        </w:numPr>
        <w:tabs>
          <w:tab w:val="left" w:pos="567"/>
        </w:tabs>
        <w:adjustRightInd w:val="0"/>
        <w:spacing w:after="0" w:line="240" w:lineRule="auto"/>
        <w:ind w:left="0" w:firstLine="0"/>
        <w:jc w:val="both"/>
        <w:textAlignment w:val="baseline"/>
        <w:rPr>
          <w:rFonts w:ascii="Verdana" w:hAnsi="Verdana"/>
          <w:sz w:val="20"/>
          <w:szCs w:val="20"/>
        </w:rPr>
      </w:pPr>
      <w:r w:rsidRPr="00172DD1">
        <w:rPr>
          <w:rFonts w:ascii="Verdana" w:hAnsi="Verdana" w:cs="Verdana"/>
          <w:sz w:val="20"/>
          <w:szCs w:val="20"/>
        </w:rPr>
        <w:t>De conformidad con lo anterior, la Corte concluye que el Estado es responsable por la violación artículo 8.2.h) de la Convención, en relación con el artículo 1.1 del mismo instrumento, debido a la falta de revisión integral de la Suprema Corte de Mendoza</w:t>
      </w:r>
      <w:r w:rsidR="00002A1A">
        <w:rPr>
          <w:rFonts w:ascii="Verdana" w:hAnsi="Verdana" w:cs="Verdana"/>
          <w:sz w:val="20"/>
          <w:szCs w:val="20"/>
        </w:rPr>
        <w:t xml:space="preserve"> del recurso</w:t>
      </w:r>
      <w:r w:rsidRPr="00172DD1">
        <w:rPr>
          <w:rFonts w:ascii="Verdana" w:hAnsi="Verdana" w:cs="Verdana"/>
          <w:sz w:val="20"/>
          <w:szCs w:val="20"/>
        </w:rPr>
        <w:t xml:space="preserve"> presentado por la defensa del señor Gorigoitía contra la sentencia condenatoria de la Cámara Primera del Crimen d</w:t>
      </w:r>
      <w:r w:rsidR="00A4003C">
        <w:rPr>
          <w:rFonts w:ascii="Verdana" w:hAnsi="Verdana" w:cs="Verdana"/>
          <w:sz w:val="20"/>
          <w:szCs w:val="20"/>
        </w:rPr>
        <w:t xml:space="preserve">e Mendoza. </w:t>
      </w:r>
      <w:r w:rsidRPr="00172DD1">
        <w:rPr>
          <w:rFonts w:ascii="Verdana" w:hAnsi="Verdana" w:cs="Verdana"/>
          <w:sz w:val="20"/>
          <w:szCs w:val="20"/>
        </w:rPr>
        <w:t>Asimismo, concluye que el Estado es responsable por la violación al artículo 2 de la Convención, como resultado de la regulación inconvencional del recurso de casación previsto en el artículo 503 de la Ley No. 1908</w:t>
      </w:r>
      <w:r w:rsidR="00A4003C">
        <w:rPr>
          <w:rFonts w:ascii="Verdana" w:hAnsi="Verdana" w:cs="Verdana"/>
          <w:sz w:val="20"/>
          <w:szCs w:val="20"/>
        </w:rPr>
        <w:t>. Por otro lado, el Tribunal concluye</w:t>
      </w:r>
      <w:r w:rsidR="00A4003C" w:rsidRPr="00172DD1">
        <w:rPr>
          <w:rFonts w:ascii="Verdana" w:hAnsi="Verdana" w:cs="Verdana"/>
          <w:sz w:val="20"/>
          <w:szCs w:val="20"/>
        </w:rPr>
        <w:t xml:space="preserve"> que</w:t>
      </w:r>
      <w:r w:rsidR="00A4003C">
        <w:rPr>
          <w:rFonts w:ascii="Verdana" w:hAnsi="Verdana" w:cs="Verdana"/>
          <w:sz w:val="20"/>
          <w:szCs w:val="20"/>
        </w:rPr>
        <w:t xml:space="preserve"> no</w:t>
      </w:r>
      <w:r w:rsidR="00A4003C" w:rsidRPr="00172DD1">
        <w:rPr>
          <w:rFonts w:ascii="Verdana" w:hAnsi="Verdana" w:cs="Verdana"/>
          <w:sz w:val="20"/>
          <w:szCs w:val="20"/>
        </w:rPr>
        <w:t xml:space="preserve"> es responsable por la violación al artículo 25 de la Convención, en relación con el artículo 1.1 del mismo instrumento,</w:t>
      </w:r>
      <w:r w:rsidR="00A4003C">
        <w:rPr>
          <w:rFonts w:ascii="Verdana" w:hAnsi="Verdana" w:cs="Verdana"/>
          <w:sz w:val="20"/>
          <w:szCs w:val="20"/>
        </w:rPr>
        <w:t xml:space="preserve"> y que</w:t>
      </w:r>
      <w:r w:rsidR="00A4003C" w:rsidRPr="00172DD1">
        <w:rPr>
          <w:rFonts w:ascii="Verdana" w:hAnsi="Verdana" w:cs="Verdana"/>
          <w:sz w:val="20"/>
          <w:szCs w:val="20"/>
        </w:rPr>
        <w:t xml:space="preserve"> </w:t>
      </w:r>
      <w:r w:rsidRPr="00172DD1">
        <w:rPr>
          <w:rFonts w:ascii="Verdana" w:hAnsi="Verdana" w:cs="Verdana"/>
          <w:sz w:val="20"/>
          <w:szCs w:val="20"/>
        </w:rPr>
        <w:t>no es responsable por la violación al artículo 28 de la Convención.</w:t>
      </w:r>
    </w:p>
    <w:p w14:paraId="2002104E" w14:textId="77777777" w:rsidR="006E489E" w:rsidRPr="00F559E6" w:rsidRDefault="006E489E" w:rsidP="00C962FE">
      <w:pPr>
        <w:widowControl w:val="0"/>
        <w:tabs>
          <w:tab w:val="left" w:pos="567"/>
        </w:tabs>
        <w:adjustRightInd w:val="0"/>
        <w:spacing w:after="0" w:line="240" w:lineRule="auto"/>
        <w:jc w:val="both"/>
        <w:textAlignment w:val="baseline"/>
        <w:rPr>
          <w:rFonts w:ascii="Verdana" w:eastAsia="Times New Roman" w:hAnsi="Verdana" w:cs="Times New Roman"/>
          <w:b/>
          <w:bCs/>
          <w:caps/>
          <w:snapToGrid w:val="0"/>
          <w:sz w:val="20"/>
          <w:szCs w:val="20"/>
        </w:rPr>
      </w:pPr>
    </w:p>
    <w:p w14:paraId="0A3833BE" w14:textId="02ECC298" w:rsidR="0096005C" w:rsidRPr="00F559E6" w:rsidRDefault="00002A1A" w:rsidP="000E3906">
      <w:pPr>
        <w:pStyle w:val="Heading1"/>
        <w:rPr>
          <w:rFonts w:eastAsia="Times New Roman" w:cs="Verdana"/>
          <w:b w:val="0"/>
          <w:bCs/>
          <w:caps/>
          <w:snapToGrid w:val="0"/>
          <w:lang w:val="es-ES_tradnl"/>
        </w:rPr>
      </w:pPr>
      <w:bookmarkStart w:id="60" w:name="_Toc494124027"/>
      <w:bookmarkStart w:id="61" w:name="_Toc7020799"/>
      <w:bookmarkStart w:id="62" w:name="_Toc19533041"/>
      <w:r>
        <w:rPr>
          <w:rFonts w:eastAsia="Times New Roman" w:cs="Verdana"/>
          <w:bCs/>
          <w:caps/>
          <w:snapToGrid w:val="0"/>
          <w:lang w:val="es-ES_tradnl"/>
        </w:rPr>
        <w:t>IX</w:t>
      </w:r>
      <w:r w:rsidR="0096005C" w:rsidRPr="00F559E6">
        <w:rPr>
          <w:rFonts w:eastAsia="Times New Roman" w:cs="Verdana"/>
          <w:bCs/>
          <w:caps/>
          <w:snapToGrid w:val="0"/>
          <w:lang w:val="es-ES_tradnl"/>
        </w:rPr>
        <w:br/>
      </w:r>
      <w:bookmarkEnd w:id="60"/>
      <w:bookmarkEnd w:id="61"/>
      <w:r w:rsidR="0096005C" w:rsidRPr="00F559E6">
        <w:rPr>
          <w:rFonts w:eastAsia="Times New Roman" w:cs="Verdana"/>
          <w:bCs/>
          <w:caps/>
          <w:snapToGrid w:val="0"/>
          <w:lang w:val="es-ES_tradnl"/>
        </w:rPr>
        <w:t>reparaciones</w:t>
      </w:r>
      <w:r w:rsidR="000A2A64">
        <w:rPr>
          <w:rStyle w:val="FootnoteReference"/>
          <w:rFonts w:eastAsia="Times New Roman" w:cs="Verdana"/>
          <w:bCs/>
          <w:caps/>
          <w:snapToGrid w:val="0"/>
          <w:lang w:val="es-ES_tradnl"/>
        </w:rPr>
        <w:footnoteReference w:id="87"/>
      </w:r>
      <w:bookmarkEnd w:id="62"/>
    </w:p>
    <w:p w14:paraId="04ADC4E5" w14:textId="77777777" w:rsid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241F614C" w14:textId="77777777"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Sobre la base de lo dispuesto en el artículo 63.1 de la Convención Americana</w:t>
      </w:r>
      <w:r w:rsidRPr="00F559E6">
        <w:rPr>
          <w:rStyle w:val="FootnoteReference"/>
          <w:rFonts w:ascii="Verdana" w:eastAsia="Calibri" w:hAnsi="Verdana"/>
          <w:sz w:val="20"/>
          <w:szCs w:val="20"/>
        </w:rPr>
        <w:footnoteReference w:id="88"/>
      </w:r>
      <w:r w:rsidRPr="00F559E6">
        <w:rPr>
          <w:rFonts w:ascii="Verdana" w:hAnsi="Verdana"/>
          <w:sz w:val="20"/>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p>
    <w:p w14:paraId="5C053CCD"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62E46E75" w14:textId="77777777"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La reparación del daño ocasionado por la infracción de una obligación internacional requiere, siempre que sea posible, la plena restitución (</w:t>
      </w:r>
      <w:r w:rsidRPr="00F559E6">
        <w:rPr>
          <w:rFonts w:ascii="Verdana" w:hAnsi="Verdana"/>
          <w:i/>
          <w:sz w:val="20"/>
          <w:szCs w:val="20"/>
        </w:rPr>
        <w:t>restitutio in integrum</w:t>
      </w:r>
      <w:r w:rsidRPr="00F559E6">
        <w:rPr>
          <w:rFonts w:ascii="Verdana" w:hAnsi="Verdana"/>
          <w:sz w:val="20"/>
          <w:szCs w:val="20"/>
        </w:rPr>
        <w:t>), que consiste en el restablecimiento de la situación anterior</w:t>
      </w:r>
      <w:r w:rsidRPr="00F559E6">
        <w:rPr>
          <w:rStyle w:val="FootnoteReference"/>
          <w:rFonts w:ascii="Verdana" w:eastAsia="Calibri" w:hAnsi="Verdana"/>
          <w:sz w:val="20"/>
          <w:szCs w:val="20"/>
        </w:rPr>
        <w:footnoteReference w:id="89"/>
      </w:r>
      <w:r w:rsidRPr="00F559E6">
        <w:rPr>
          <w:rFonts w:ascii="Verdana" w:hAnsi="Verdana"/>
          <w:sz w:val="20"/>
          <w:szCs w:val="20"/>
        </w:rPr>
        <w:t>. De no ser esto factible, como ocurre en la mayoría de los casos de violaciones a derechos humanos, este Tribunal determinará medidas para garantizar los derechos conculcados y reparar las consecuencias que las infracciones produjeron</w:t>
      </w:r>
      <w:r w:rsidRPr="00F559E6">
        <w:rPr>
          <w:rStyle w:val="FootnoteReference"/>
          <w:rFonts w:ascii="Verdana" w:eastAsia="Calibri" w:hAnsi="Verdana"/>
          <w:sz w:val="20"/>
          <w:szCs w:val="20"/>
        </w:rPr>
        <w:footnoteReference w:id="90"/>
      </w:r>
      <w:r w:rsidRPr="00F559E6">
        <w:rPr>
          <w:rFonts w:ascii="Verdana" w:hAnsi="Verdana"/>
          <w:sz w:val="20"/>
          <w:szCs w:val="20"/>
        </w:rPr>
        <w:t xml:space="preserve">. Por tanto, la Corte ha considerado la necesidad de otorgar diversas medidas de reparación, a fin de resarcir los daños de manera integral, por lo que además de las compensaciones pecuniarias, las medidas de restitución, rehabilitación, satisfacción y garantías </w:t>
      </w:r>
      <w:r w:rsidRPr="00F559E6">
        <w:rPr>
          <w:rFonts w:ascii="Verdana" w:hAnsi="Verdana"/>
          <w:sz w:val="20"/>
          <w:szCs w:val="20"/>
        </w:rPr>
        <w:lastRenderedPageBreak/>
        <w:t>de no repetición tienen especial relevancia por los daños ocasionados</w:t>
      </w:r>
      <w:r w:rsidRPr="00F559E6">
        <w:rPr>
          <w:rStyle w:val="FootnoteReference"/>
          <w:rFonts w:ascii="Verdana" w:eastAsia="Calibri" w:hAnsi="Verdana"/>
          <w:sz w:val="20"/>
          <w:szCs w:val="20"/>
        </w:rPr>
        <w:footnoteReference w:id="91"/>
      </w:r>
      <w:r w:rsidRPr="00F559E6">
        <w:rPr>
          <w:rFonts w:ascii="Verdana" w:hAnsi="Verdana"/>
          <w:sz w:val="20"/>
          <w:szCs w:val="20"/>
        </w:rPr>
        <w:t>.</w:t>
      </w:r>
    </w:p>
    <w:p w14:paraId="0B03ADDC"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706E7424" w14:textId="77777777"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F559E6">
        <w:rPr>
          <w:rStyle w:val="FootnoteReference"/>
          <w:rFonts w:ascii="Verdana" w:eastAsia="Calibri" w:hAnsi="Verdana"/>
          <w:sz w:val="20"/>
          <w:szCs w:val="20"/>
        </w:rPr>
        <w:footnoteReference w:id="92"/>
      </w:r>
      <w:r w:rsidRPr="00F559E6">
        <w:rPr>
          <w:rFonts w:ascii="Verdana" w:hAnsi="Verdana"/>
          <w:sz w:val="20"/>
          <w:szCs w:val="20"/>
        </w:rPr>
        <w:t>.</w:t>
      </w:r>
    </w:p>
    <w:p w14:paraId="077722FB"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586A69A9" w14:textId="0EF8F775"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En consideración de las violaciones declaradas en el capítulo anterior, este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F559E6">
        <w:rPr>
          <w:rStyle w:val="FootnoteReference"/>
          <w:rFonts w:ascii="Verdana" w:eastAsia="Calibri" w:hAnsi="Verdana"/>
          <w:sz w:val="20"/>
          <w:szCs w:val="20"/>
        </w:rPr>
        <w:footnoteReference w:id="93"/>
      </w:r>
      <w:r w:rsidR="008A351B">
        <w:rPr>
          <w:rFonts w:ascii="Verdana" w:hAnsi="Verdana"/>
          <w:sz w:val="20"/>
          <w:szCs w:val="20"/>
        </w:rPr>
        <w:t>.</w:t>
      </w:r>
    </w:p>
    <w:p w14:paraId="2625B0B6"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0564577C" w14:textId="7AB10F40"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La jurisprudencia internacional y en particular de la Corte, ha establecido reiteradamente que la sentencia constituye por sí misma una forma de reparación</w:t>
      </w:r>
      <w:r w:rsidRPr="00F559E6">
        <w:rPr>
          <w:rStyle w:val="FootnoteReference"/>
          <w:rFonts w:ascii="Verdana" w:eastAsia="Calibri" w:hAnsi="Verdana"/>
          <w:sz w:val="20"/>
          <w:szCs w:val="20"/>
        </w:rPr>
        <w:footnoteReference w:id="94"/>
      </w:r>
      <w:r w:rsidRPr="00F559E6">
        <w:rPr>
          <w:rFonts w:ascii="Verdana" w:hAnsi="Verdana"/>
          <w:sz w:val="20"/>
          <w:szCs w:val="20"/>
        </w:rPr>
        <w:t>. No obstante, considerando las circunstancias del presente caso y los sufrimientos que las violaciones cometidas causaron a la víctima, la Corte estima pertinente fijar otras medidas.</w:t>
      </w:r>
    </w:p>
    <w:p w14:paraId="69A27404"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757CD06A" w14:textId="77777777" w:rsidR="00243386" w:rsidRPr="003F33A5" w:rsidRDefault="00243386" w:rsidP="002767A8">
      <w:pPr>
        <w:pStyle w:val="Heading2"/>
        <w:numPr>
          <w:ilvl w:val="0"/>
          <w:numId w:val="17"/>
        </w:numPr>
        <w:rPr>
          <w:b w:val="0"/>
          <w:i w:val="0"/>
        </w:rPr>
      </w:pPr>
      <w:bookmarkStart w:id="63" w:name="_Toc19533042"/>
      <w:r w:rsidRPr="00F559E6">
        <w:t>Parte Lesionada</w:t>
      </w:r>
      <w:bookmarkEnd w:id="63"/>
    </w:p>
    <w:p w14:paraId="3042BCDC"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62A4DBE4" w14:textId="6A3964A3"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8A351B">
        <w:rPr>
          <w:rFonts w:ascii="Verdana" w:hAnsi="Verdana"/>
          <w:sz w:val="20"/>
          <w:szCs w:val="20"/>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al señor Oscar Gorigoitía, quien en su carácter de víctima de las violaciones declaradas en el capítulo </w:t>
      </w:r>
      <w:r w:rsidR="000233EC" w:rsidRPr="000233EC">
        <w:rPr>
          <w:rFonts w:ascii="Verdana" w:hAnsi="Verdana"/>
          <w:sz w:val="20"/>
          <w:szCs w:val="20"/>
        </w:rPr>
        <w:t>VIII</w:t>
      </w:r>
      <w:r w:rsidRPr="008A351B">
        <w:rPr>
          <w:rFonts w:ascii="Verdana" w:hAnsi="Verdana"/>
          <w:sz w:val="20"/>
          <w:szCs w:val="20"/>
        </w:rPr>
        <w:t xml:space="preserve"> de la presente Sentencia, será considerado beneficiario de las reparaciones que ordene el Tribunal.</w:t>
      </w:r>
    </w:p>
    <w:p w14:paraId="35C8AAAC"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6994AB1E" w14:textId="77777777" w:rsidR="00243386" w:rsidRDefault="00243386" w:rsidP="00C962FE">
      <w:pPr>
        <w:pStyle w:val="Heading2"/>
        <w:rPr>
          <w:rFonts w:cs="Arial"/>
        </w:rPr>
      </w:pPr>
      <w:bookmarkStart w:id="64" w:name="_Toc19533043"/>
      <w:bookmarkStart w:id="65" w:name="_Toc497737920"/>
      <w:r w:rsidRPr="00F559E6">
        <w:rPr>
          <w:rFonts w:cs="Arial"/>
        </w:rPr>
        <w:t>Medidas de restitución, satisfacción y garantías de no repetición</w:t>
      </w:r>
      <w:bookmarkEnd w:id="64"/>
    </w:p>
    <w:p w14:paraId="07759051" w14:textId="77777777" w:rsidR="0082670E" w:rsidRPr="0082670E" w:rsidRDefault="0082670E" w:rsidP="00C962FE">
      <w:pPr>
        <w:spacing w:after="0" w:line="240" w:lineRule="auto"/>
        <w:rPr>
          <w:lang w:val="es-CR" w:eastAsia="es-CR"/>
        </w:rPr>
      </w:pPr>
    </w:p>
    <w:p w14:paraId="442E34EA" w14:textId="77777777" w:rsidR="00243386" w:rsidRPr="0082670E" w:rsidRDefault="0082670E" w:rsidP="00C962FE">
      <w:pPr>
        <w:pStyle w:val="Heading3"/>
        <w:numPr>
          <w:ilvl w:val="0"/>
          <w:numId w:val="0"/>
        </w:numPr>
        <w:ind w:left="1353"/>
        <w:rPr>
          <w:rFonts w:cs="Arial"/>
          <w:b w:val="0"/>
          <w:i w:val="0"/>
          <w:lang w:val="es-CR"/>
        </w:rPr>
      </w:pPr>
      <w:bookmarkStart w:id="66" w:name="_Toc19533044"/>
      <w:r>
        <w:rPr>
          <w:rFonts w:cs="Arial"/>
          <w:i w:val="0"/>
          <w:lang w:val="es-CR"/>
        </w:rPr>
        <w:t xml:space="preserve">B.1 </w:t>
      </w:r>
      <w:r w:rsidR="00243386" w:rsidRPr="0082670E">
        <w:rPr>
          <w:rFonts w:cs="Arial"/>
          <w:i w:val="0"/>
          <w:lang w:val="es-CR"/>
        </w:rPr>
        <w:t>Medidas de restitución</w:t>
      </w:r>
      <w:bookmarkEnd w:id="66"/>
    </w:p>
    <w:p w14:paraId="13ECC40E" w14:textId="77777777" w:rsidR="008A351B"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3BB0C568" w14:textId="106979B3"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F559E6">
        <w:rPr>
          <w:rFonts w:ascii="Verdana" w:hAnsi="Verdana" w:cs="Arial"/>
          <w:sz w:val="20"/>
          <w:szCs w:val="20"/>
          <w:lang w:val="es-CR"/>
        </w:rPr>
        <w:t xml:space="preserve">La </w:t>
      </w:r>
      <w:r w:rsidRPr="00F559E6">
        <w:rPr>
          <w:rFonts w:ascii="Verdana" w:hAnsi="Verdana" w:cs="Arial"/>
          <w:b/>
          <w:i/>
          <w:sz w:val="20"/>
          <w:szCs w:val="20"/>
          <w:lang w:val="es-CR"/>
        </w:rPr>
        <w:t>Comisión</w:t>
      </w:r>
      <w:r w:rsidRPr="00F559E6">
        <w:rPr>
          <w:rFonts w:ascii="Verdana" w:hAnsi="Verdana" w:cs="Arial"/>
          <w:sz w:val="20"/>
          <w:szCs w:val="20"/>
          <w:lang w:val="es-CR"/>
        </w:rPr>
        <w:t xml:space="preserve"> solicitó que se dispongan las medidas necesarias para que, en caso de ser voluntad el señor Gorigoitía, pueda interponer un recurso mediante el cual obtenga una revisión amplia de la sentencia condenatoria, en cumplimiento del a</w:t>
      </w:r>
      <w:r w:rsidR="009770E7">
        <w:rPr>
          <w:rFonts w:ascii="Verdana" w:hAnsi="Verdana" w:cs="Arial"/>
          <w:sz w:val="20"/>
          <w:szCs w:val="20"/>
          <w:lang w:val="es-CR"/>
        </w:rPr>
        <w:t>rtículo 8.2.h) de la Convención</w:t>
      </w:r>
      <w:r w:rsidRPr="00AB0FF3">
        <w:rPr>
          <w:rFonts w:ascii="Verdana" w:hAnsi="Verdana" w:cs="Arial"/>
          <w:sz w:val="20"/>
          <w:szCs w:val="20"/>
          <w:lang w:val="es-CR"/>
        </w:rPr>
        <w:t>.</w:t>
      </w:r>
      <w:r w:rsidRPr="00F559E6">
        <w:rPr>
          <w:rFonts w:ascii="Verdana" w:hAnsi="Verdana" w:cs="Arial"/>
          <w:b/>
          <w:sz w:val="20"/>
          <w:szCs w:val="20"/>
          <w:lang w:val="es-CR"/>
        </w:rPr>
        <w:t xml:space="preserve"> </w:t>
      </w:r>
      <w:r w:rsidRPr="00F559E6">
        <w:rPr>
          <w:rFonts w:ascii="Verdana" w:hAnsi="Verdana" w:cs="Arial"/>
          <w:sz w:val="20"/>
          <w:szCs w:val="20"/>
          <w:lang w:val="es-CR"/>
        </w:rPr>
        <w:t xml:space="preserve">Los </w:t>
      </w:r>
      <w:r w:rsidRPr="00F559E6">
        <w:rPr>
          <w:rFonts w:ascii="Verdana" w:hAnsi="Verdana" w:cs="Arial"/>
          <w:b/>
          <w:i/>
          <w:sz w:val="20"/>
          <w:szCs w:val="20"/>
          <w:lang w:val="es-CR"/>
        </w:rPr>
        <w:t>representantes</w:t>
      </w:r>
      <w:r w:rsidRPr="00F559E6">
        <w:rPr>
          <w:rFonts w:ascii="Verdana" w:hAnsi="Verdana" w:cs="Arial"/>
          <w:sz w:val="20"/>
          <w:szCs w:val="20"/>
          <w:lang w:val="es-CR"/>
        </w:rPr>
        <w:t xml:space="preserve"> solicitaron que se realice la anulación de la sentencia condenatoria del señor Gorigoitía. Asimismo, solicitaron que se deje sin efecto la exoneración de la institución policial y, por ende, se proceda a otorgarle el beneficio jubilatorio que le corresponda y su cobertura social para su esposa e hijo. Aunado a ello, solicitaron que se elimine del registro de antecedentes la condena que se dictó en contra del señor Gorigoitía. El </w:t>
      </w:r>
      <w:r w:rsidRPr="00F559E6">
        <w:rPr>
          <w:rFonts w:ascii="Verdana" w:hAnsi="Verdana" w:cs="Arial"/>
          <w:b/>
          <w:i/>
          <w:sz w:val="20"/>
          <w:szCs w:val="20"/>
          <w:lang w:val="es-CR"/>
        </w:rPr>
        <w:t>Estado</w:t>
      </w:r>
      <w:r w:rsidRPr="00F559E6">
        <w:rPr>
          <w:rFonts w:ascii="Verdana" w:hAnsi="Verdana" w:cs="Arial"/>
          <w:sz w:val="20"/>
          <w:szCs w:val="20"/>
          <w:lang w:val="es-CR"/>
        </w:rPr>
        <w:t xml:space="preserve"> no se refirió</w:t>
      </w:r>
      <w:r w:rsidR="00AB0FF3">
        <w:rPr>
          <w:rFonts w:ascii="Verdana" w:hAnsi="Verdana" w:cs="Arial"/>
          <w:sz w:val="20"/>
          <w:szCs w:val="20"/>
          <w:lang w:val="es-CR"/>
        </w:rPr>
        <w:t xml:space="preserve"> de manera expresa</w:t>
      </w:r>
      <w:r w:rsidRPr="00F559E6">
        <w:rPr>
          <w:rFonts w:ascii="Verdana" w:hAnsi="Verdana" w:cs="Arial"/>
          <w:sz w:val="20"/>
          <w:szCs w:val="20"/>
          <w:lang w:val="es-CR"/>
        </w:rPr>
        <w:t xml:space="preserve"> a estas medidas de re</w:t>
      </w:r>
      <w:r w:rsidR="00AB0FF3">
        <w:rPr>
          <w:rFonts w:ascii="Verdana" w:hAnsi="Verdana" w:cs="Arial"/>
          <w:sz w:val="20"/>
          <w:szCs w:val="20"/>
          <w:lang w:val="es-CR"/>
        </w:rPr>
        <w:t xml:space="preserve">paración, pero informó que la Suprema Corte de Justicia de Mendoza, mediante lo dispuesto en la “Acordada No. 28.677”, de 15 de marzo de 2018, ha ofrecido al señor Gorigoitía la posibilidad de interponer un recurso de revisión, con el propósito de impugnar la sentencia condenatoria y obtener </w:t>
      </w:r>
      <w:r w:rsidR="009770E7">
        <w:rPr>
          <w:rFonts w:ascii="Verdana" w:hAnsi="Verdana" w:cs="Arial"/>
          <w:sz w:val="20"/>
          <w:szCs w:val="20"/>
          <w:lang w:val="es-CR"/>
        </w:rPr>
        <w:t>una revisión amplia de la misma</w:t>
      </w:r>
      <w:r w:rsidR="00AB0FF3" w:rsidRPr="00AB0FF3">
        <w:rPr>
          <w:rFonts w:ascii="Verdana" w:hAnsi="Verdana" w:cs="Arial"/>
          <w:sz w:val="20"/>
          <w:szCs w:val="20"/>
          <w:lang w:val="es-CR"/>
        </w:rPr>
        <w:t>.</w:t>
      </w:r>
    </w:p>
    <w:p w14:paraId="6F54AD69"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0791FCCD" w14:textId="439652B9"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F559E6">
        <w:rPr>
          <w:rFonts w:ascii="Verdana" w:hAnsi="Verdana" w:cs="Arial"/>
          <w:sz w:val="20"/>
          <w:szCs w:val="20"/>
          <w:lang w:val="es-CR"/>
        </w:rPr>
        <w:lastRenderedPageBreak/>
        <w:t>El Tribunal reitera su jurisprudencia en cuanto a que no actúa como una instancia penal</w:t>
      </w:r>
      <w:r w:rsidRPr="00F559E6">
        <w:rPr>
          <w:rStyle w:val="FootnoteReference"/>
          <w:rFonts w:ascii="Verdana" w:hAnsi="Verdana"/>
          <w:sz w:val="20"/>
          <w:szCs w:val="20"/>
        </w:rPr>
        <w:footnoteReference w:id="95"/>
      </w:r>
      <w:r w:rsidRPr="00F559E6">
        <w:rPr>
          <w:rFonts w:ascii="Verdana" w:hAnsi="Verdana" w:cs="Arial"/>
          <w:sz w:val="20"/>
          <w:szCs w:val="20"/>
          <w:lang w:val="es-CR"/>
        </w:rPr>
        <w:t>, por lo que no le compete decidir sobre la culpabilidad o la inocencia del señor Gorigoitía, sino que se ha limitado a determinar la compatibilidad del proceso penal</w:t>
      </w:r>
      <w:r w:rsidR="00AB0FF3">
        <w:rPr>
          <w:rFonts w:ascii="Verdana" w:hAnsi="Verdana" w:cs="Arial"/>
          <w:sz w:val="20"/>
          <w:szCs w:val="20"/>
          <w:lang w:val="es-CR"/>
        </w:rPr>
        <w:t>,</w:t>
      </w:r>
      <w:r w:rsidRPr="00F559E6">
        <w:rPr>
          <w:rFonts w:ascii="Verdana" w:hAnsi="Verdana" w:cs="Arial"/>
          <w:sz w:val="20"/>
          <w:szCs w:val="20"/>
          <w:lang w:val="es-CR"/>
        </w:rPr>
        <w:t xml:space="preserve"> y los recursos judiciales a que este fue sometido</w:t>
      </w:r>
      <w:r w:rsidR="00AB0FF3">
        <w:rPr>
          <w:rFonts w:ascii="Verdana" w:hAnsi="Verdana" w:cs="Arial"/>
          <w:sz w:val="20"/>
          <w:szCs w:val="20"/>
          <w:lang w:val="es-CR"/>
        </w:rPr>
        <w:t>,</w:t>
      </w:r>
      <w:r w:rsidRPr="00F559E6">
        <w:rPr>
          <w:rFonts w:ascii="Verdana" w:hAnsi="Verdana" w:cs="Arial"/>
          <w:sz w:val="20"/>
          <w:szCs w:val="20"/>
          <w:lang w:val="es-CR"/>
        </w:rPr>
        <w:t xml:space="preserve"> con la Convención Americana</w:t>
      </w:r>
      <w:r w:rsidRPr="00F559E6">
        <w:rPr>
          <w:rStyle w:val="FootnoteReference"/>
          <w:rFonts w:ascii="Verdana" w:hAnsi="Verdana"/>
          <w:sz w:val="20"/>
          <w:szCs w:val="20"/>
        </w:rPr>
        <w:footnoteReference w:id="96"/>
      </w:r>
      <w:r w:rsidRPr="00F559E6">
        <w:rPr>
          <w:rFonts w:ascii="Verdana" w:hAnsi="Verdana" w:cs="Arial"/>
          <w:sz w:val="20"/>
          <w:szCs w:val="20"/>
          <w:lang w:val="es-CR"/>
        </w:rPr>
        <w:t>. En ese sentido, la Corte determinó que el incumplimiento de la Suprema Corte de Mendoza de realizar una revisión integral</w:t>
      </w:r>
      <w:r w:rsidRPr="00F559E6">
        <w:rPr>
          <w:rFonts w:ascii="Verdana" w:hAnsi="Verdana"/>
          <w:sz w:val="20"/>
          <w:szCs w:val="20"/>
        </w:rPr>
        <w:t xml:space="preserve"> de la sentencia</w:t>
      </w:r>
      <w:r w:rsidRPr="00F559E6">
        <w:rPr>
          <w:rFonts w:ascii="Verdana" w:hAnsi="Verdana" w:cs="Arial"/>
          <w:sz w:val="20"/>
          <w:szCs w:val="20"/>
          <w:lang w:val="es-CR"/>
        </w:rPr>
        <w:t xml:space="preserve"> condenatoria del señor Gorigoitía resultó en una violación del artículo 8.2.h) de la Convención (</w:t>
      </w:r>
      <w:r w:rsidRPr="00F559E6">
        <w:rPr>
          <w:rFonts w:ascii="Verdana" w:hAnsi="Verdana" w:cs="Arial"/>
          <w:i/>
          <w:sz w:val="20"/>
          <w:szCs w:val="20"/>
          <w:lang w:val="es-CR"/>
        </w:rPr>
        <w:t>supra</w:t>
      </w:r>
      <w:r w:rsidRPr="00F559E6">
        <w:rPr>
          <w:rFonts w:ascii="Verdana" w:hAnsi="Verdana" w:cs="Arial"/>
          <w:sz w:val="20"/>
          <w:szCs w:val="20"/>
          <w:lang w:val="es-CR"/>
        </w:rPr>
        <w:t xml:space="preserve"> párrs. </w:t>
      </w:r>
      <w:r w:rsidR="00CA7586">
        <w:rPr>
          <w:rFonts w:ascii="Verdana" w:hAnsi="Verdana" w:cs="Arial"/>
          <w:sz w:val="20"/>
          <w:szCs w:val="20"/>
          <w:lang w:val="es-CR"/>
        </w:rPr>
        <w:t>47</w:t>
      </w:r>
      <w:r w:rsidR="005E0119">
        <w:rPr>
          <w:rFonts w:ascii="Verdana" w:hAnsi="Verdana" w:cs="Arial"/>
          <w:sz w:val="20"/>
          <w:szCs w:val="20"/>
          <w:lang w:val="es-CR"/>
        </w:rPr>
        <w:t xml:space="preserve"> a 53</w:t>
      </w:r>
      <w:r w:rsidRPr="00843376">
        <w:rPr>
          <w:rFonts w:ascii="Verdana" w:hAnsi="Verdana" w:cs="Arial"/>
          <w:sz w:val="20"/>
          <w:szCs w:val="20"/>
          <w:lang w:val="es-CR"/>
        </w:rPr>
        <w:t>)</w:t>
      </w:r>
      <w:r w:rsidRPr="00F559E6">
        <w:rPr>
          <w:rFonts w:ascii="Verdana" w:hAnsi="Verdana" w:cs="Arial"/>
          <w:sz w:val="20"/>
          <w:szCs w:val="20"/>
          <w:lang w:val="es-CR"/>
        </w:rPr>
        <w:t xml:space="preserve">. Asimismo, el Tribunal toma nota que el Estado ofreció </w:t>
      </w:r>
      <w:r w:rsidRPr="00F559E6">
        <w:rPr>
          <w:rFonts w:ascii="Verdana" w:hAnsi="Verdana"/>
          <w:sz w:val="20"/>
          <w:szCs w:val="20"/>
        </w:rPr>
        <w:t>al señor Gorigoitía la posibilidad de obtener un recurso de revisión amplio de la sentencia condenatoria mediante la Acordada No. 28.677 de 15 de marzo de 2018 (</w:t>
      </w:r>
      <w:r w:rsidRPr="00F559E6">
        <w:rPr>
          <w:rFonts w:ascii="Verdana" w:hAnsi="Verdana"/>
          <w:i/>
          <w:sz w:val="20"/>
          <w:szCs w:val="20"/>
        </w:rPr>
        <w:t>supra</w:t>
      </w:r>
      <w:r w:rsidRPr="00F559E6">
        <w:rPr>
          <w:rFonts w:ascii="Verdana" w:hAnsi="Verdana"/>
          <w:sz w:val="20"/>
          <w:szCs w:val="20"/>
        </w:rPr>
        <w:t xml:space="preserve"> párr. </w:t>
      </w:r>
      <w:r w:rsidR="005E0119">
        <w:rPr>
          <w:rFonts w:ascii="Verdana" w:hAnsi="Verdana"/>
          <w:sz w:val="20"/>
          <w:szCs w:val="20"/>
        </w:rPr>
        <w:t>65</w:t>
      </w:r>
      <w:r w:rsidRPr="00F559E6">
        <w:rPr>
          <w:rFonts w:ascii="Verdana" w:hAnsi="Verdana"/>
          <w:sz w:val="20"/>
          <w:szCs w:val="20"/>
        </w:rPr>
        <w:t xml:space="preserve">). </w:t>
      </w:r>
      <w:r w:rsidRPr="00F559E6">
        <w:rPr>
          <w:rFonts w:ascii="Verdana" w:hAnsi="Verdana" w:cs="Arial"/>
          <w:sz w:val="20"/>
          <w:szCs w:val="20"/>
          <w:lang w:val="es-CR"/>
        </w:rPr>
        <w:t>En razón de lo anterior, el Tribunal ordena al Estado que:</w:t>
      </w:r>
    </w:p>
    <w:p w14:paraId="7ABA9652" w14:textId="77777777" w:rsidR="008A351B"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069C0C08" w14:textId="67B35A6A" w:rsidR="00243386" w:rsidRPr="00F559E6" w:rsidRDefault="00243386" w:rsidP="002767A8">
      <w:pPr>
        <w:pStyle w:val="ListParagraph"/>
        <w:numPr>
          <w:ilvl w:val="0"/>
          <w:numId w:val="15"/>
        </w:numPr>
        <w:spacing w:after="0" w:line="240" w:lineRule="auto"/>
        <w:jc w:val="both"/>
        <w:rPr>
          <w:rFonts w:ascii="Verdana" w:hAnsi="Verdana" w:cs="Arial"/>
          <w:sz w:val="20"/>
          <w:szCs w:val="20"/>
          <w:lang w:val="es-CR"/>
        </w:rPr>
      </w:pPr>
      <w:r w:rsidRPr="00F559E6">
        <w:rPr>
          <w:rFonts w:ascii="Verdana" w:hAnsi="Verdana" w:cs="Arial"/>
          <w:sz w:val="20"/>
          <w:szCs w:val="20"/>
          <w:lang w:val="es-CR"/>
        </w:rPr>
        <w:t>adopte las medidas necesarias para garantizar al señor Gorigoitía el derecho de recurrir el fallo condenatorio emitido por la Cámara Primera del Crimen de Mendoza el 12 de septiembre de 1997, de conformidad con los parámetros convencionales establecidos en el artículo 8.2.h) de la Convención Americana (</w:t>
      </w:r>
      <w:r w:rsidRPr="00F559E6">
        <w:rPr>
          <w:rFonts w:ascii="Verdana" w:hAnsi="Verdana" w:cs="Arial"/>
          <w:i/>
          <w:sz w:val="20"/>
          <w:szCs w:val="20"/>
          <w:lang w:val="es-CR"/>
        </w:rPr>
        <w:t>supra</w:t>
      </w:r>
      <w:r w:rsidRPr="00F559E6">
        <w:rPr>
          <w:rFonts w:ascii="Verdana" w:hAnsi="Verdana" w:cs="Arial"/>
          <w:sz w:val="20"/>
          <w:szCs w:val="20"/>
          <w:lang w:val="es-CR"/>
        </w:rPr>
        <w:t xml:space="preserve"> párrs. </w:t>
      </w:r>
      <w:r w:rsidR="002308E1">
        <w:rPr>
          <w:rFonts w:ascii="Verdana" w:hAnsi="Verdana" w:cs="Arial"/>
          <w:sz w:val="20"/>
          <w:szCs w:val="20"/>
          <w:lang w:val="es-CR"/>
        </w:rPr>
        <w:t>47 a 53</w:t>
      </w:r>
      <w:r w:rsidRPr="00843376">
        <w:rPr>
          <w:rFonts w:ascii="Verdana" w:hAnsi="Verdana" w:cs="Arial"/>
          <w:sz w:val="20"/>
          <w:szCs w:val="20"/>
          <w:lang w:val="es-CR"/>
        </w:rPr>
        <w:t>).</w:t>
      </w:r>
      <w:r w:rsidRPr="00F559E6">
        <w:rPr>
          <w:rFonts w:ascii="Verdana" w:hAnsi="Verdana" w:cs="Arial"/>
          <w:sz w:val="20"/>
          <w:szCs w:val="20"/>
          <w:lang w:val="es-CR"/>
        </w:rPr>
        <w:t xml:space="preserve"> Esta medida debe cumplirse en el plazo de seis meses, contado a partir de la notificación de la presente Sentencia, y</w:t>
      </w:r>
    </w:p>
    <w:p w14:paraId="2B86544B" w14:textId="599E33D7" w:rsidR="00243386" w:rsidRDefault="00243386" w:rsidP="002767A8">
      <w:pPr>
        <w:pStyle w:val="ListParagraph"/>
        <w:numPr>
          <w:ilvl w:val="0"/>
          <w:numId w:val="15"/>
        </w:numPr>
        <w:spacing w:after="0" w:line="240" w:lineRule="auto"/>
        <w:jc w:val="both"/>
        <w:rPr>
          <w:rFonts w:ascii="Verdana" w:hAnsi="Verdana" w:cs="Arial"/>
          <w:sz w:val="20"/>
          <w:szCs w:val="20"/>
          <w:lang w:val="es-CR"/>
        </w:rPr>
      </w:pPr>
      <w:r w:rsidRPr="00F559E6">
        <w:rPr>
          <w:rFonts w:ascii="Verdana" w:hAnsi="Verdana" w:cs="Arial"/>
          <w:sz w:val="20"/>
          <w:szCs w:val="20"/>
          <w:lang w:val="es-CR"/>
        </w:rPr>
        <w:t>adopte las medidas necesarias para que los efectos jurídicos del referido fallo condenatorio, en especial lo atinente al beneficio jubilatorio y el registro de antecedentes, queden en suspenso hasta que se emita una decisión de fondo</w:t>
      </w:r>
      <w:r w:rsidR="00775B23">
        <w:rPr>
          <w:rFonts w:ascii="Verdana" w:hAnsi="Verdana" w:cs="Arial"/>
          <w:sz w:val="20"/>
          <w:szCs w:val="20"/>
          <w:lang w:val="es-CR"/>
        </w:rPr>
        <w:t>,</w:t>
      </w:r>
      <w:r w:rsidRPr="00F559E6">
        <w:rPr>
          <w:rFonts w:ascii="Verdana" w:hAnsi="Verdana" w:cs="Arial"/>
          <w:sz w:val="20"/>
          <w:szCs w:val="20"/>
          <w:lang w:val="es-CR"/>
        </w:rPr>
        <w:t xml:space="preserve"> una vez garantizado el derecho a recurrir según lo indicado en el inciso anterior.</w:t>
      </w:r>
    </w:p>
    <w:p w14:paraId="5BFFBE3D" w14:textId="77777777" w:rsidR="008A351B" w:rsidRPr="00F559E6" w:rsidRDefault="008A351B" w:rsidP="00C962FE">
      <w:pPr>
        <w:pStyle w:val="ListParagraph"/>
        <w:spacing w:after="0" w:line="240" w:lineRule="auto"/>
        <w:jc w:val="both"/>
        <w:rPr>
          <w:rFonts w:ascii="Verdana" w:hAnsi="Verdana" w:cs="Arial"/>
          <w:sz w:val="20"/>
          <w:szCs w:val="20"/>
          <w:lang w:val="es-CR"/>
        </w:rPr>
      </w:pPr>
    </w:p>
    <w:p w14:paraId="5B5C7C5D" w14:textId="77777777" w:rsidR="00243386" w:rsidRPr="00F559E6" w:rsidRDefault="0082670E" w:rsidP="00C962FE">
      <w:pPr>
        <w:pStyle w:val="Heading3"/>
        <w:numPr>
          <w:ilvl w:val="0"/>
          <w:numId w:val="0"/>
        </w:numPr>
        <w:ind w:left="1353"/>
        <w:rPr>
          <w:rFonts w:cs="Arial"/>
          <w:b w:val="0"/>
          <w:lang w:val="es-CR"/>
        </w:rPr>
      </w:pPr>
      <w:bookmarkStart w:id="67" w:name="_Toc19533045"/>
      <w:r w:rsidRPr="0082670E">
        <w:rPr>
          <w:rFonts w:cs="Arial"/>
          <w:i w:val="0"/>
          <w:lang w:val="es-CR"/>
        </w:rPr>
        <w:t>B.2</w:t>
      </w:r>
      <w:r>
        <w:rPr>
          <w:rFonts w:cs="Arial"/>
          <w:lang w:val="es-CR"/>
        </w:rPr>
        <w:t xml:space="preserve"> </w:t>
      </w:r>
      <w:r w:rsidR="00243386" w:rsidRPr="0082670E">
        <w:rPr>
          <w:rFonts w:cs="Arial"/>
          <w:i w:val="0"/>
          <w:lang w:val="es-CR"/>
        </w:rPr>
        <w:t>Medida de satisfacción</w:t>
      </w:r>
      <w:bookmarkEnd w:id="67"/>
    </w:p>
    <w:p w14:paraId="4140F70F" w14:textId="77777777" w:rsidR="008A351B"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061BE1B1" w14:textId="3A5064FF"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F559E6">
        <w:rPr>
          <w:rFonts w:ascii="Verdana" w:hAnsi="Verdana" w:cs="Arial"/>
          <w:sz w:val="20"/>
          <w:szCs w:val="20"/>
          <w:lang w:val="es-CR"/>
        </w:rPr>
        <w:t xml:space="preserve">Los </w:t>
      </w:r>
      <w:r w:rsidRPr="00F559E6">
        <w:rPr>
          <w:rFonts w:ascii="Verdana" w:hAnsi="Verdana" w:cs="Arial"/>
          <w:b/>
          <w:i/>
          <w:sz w:val="20"/>
          <w:szCs w:val="20"/>
          <w:lang w:val="es-CR"/>
        </w:rPr>
        <w:t>representantes</w:t>
      </w:r>
      <w:r w:rsidRPr="00F559E6">
        <w:rPr>
          <w:rFonts w:ascii="Verdana" w:hAnsi="Verdana" w:cs="Arial"/>
          <w:sz w:val="20"/>
          <w:szCs w:val="20"/>
          <w:lang w:val="es-CR"/>
        </w:rPr>
        <w:t xml:space="preserve"> solicitaron la amplia circulac</w:t>
      </w:r>
      <w:r w:rsidR="00CA7586">
        <w:rPr>
          <w:rFonts w:ascii="Verdana" w:hAnsi="Verdana" w:cs="Arial"/>
          <w:sz w:val="20"/>
          <w:szCs w:val="20"/>
          <w:lang w:val="es-CR"/>
        </w:rPr>
        <w:t>ión de la sentencia judicial. Ni el</w:t>
      </w:r>
      <w:r w:rsidRPr="00F559E6">
        <w:rPr>
          <w:rFonts w:ascii="Verdana" w:hAnsi="Verdana" w:cs="Arial"/>
          <w:sz w:val="20"/>
          <w:szCs w:val="20"/>
          <w:lang w:val="es-CR"/>
        </w:rPr>
        <w:t xml:space="preserve"> </w:t>
      </w:r>
      <w:r w:rsidRPr="00F559E6">
        <w:rPr>
          <w:rFonts w:ascii="Verdana" w:hAnsi="Verdana" w:cs="Arial"/>
          <w:b/>
          <w:i/>
          <w:sz w:val="20"/>
          <w:szCs w:val="20"/>
          <w:lang w:val="es-CR"/>
        </w:rPr>
        <w:t>Estado</w:t>
      </w:r>
      <w:r w:rsidRPr="00F559E6">
        <w:rPr>
          <w:rFonts w:ascii="Verdana" w:hAnsi="Verdana" w:cs="Arial"/>
          <w:sz w:val="20"/>
          <w:szCs w:val="20"/>
          <w:lang w:val="es-CR"/>
        </w:rPr>
        <w:t xml:space="preserve"> </w:t>
      </w:r>
      <w:r w:rsidR="00CA7586">
        <w:rPr>
          <w:rFonts w:ascii="Verdana" w:hAnsi="Verdana" w:cs="Arial"/>
          <w:sz w:val="20"/>
          <w:szCs w:val="20"/>
          <w:lang w:val="es-CR"/>
        </w:rPr>
        <w:t>ni la Comisión se refirieron</w:t>
      </w:r>
      <w:r w:rsidR="008A351B">
        <w:rPr>
          <w:rFonts w:ascii="Verdana" w:hAnsi="Verdana" w:cs="Arial"/>
          <w:sz w:val="20"/>
          <w:szCs w:val="20"/>
          <w:lang w:val="es-CR"/>
        </w:rPr>
        <w:t xml:space="preserve"> a esta medida de reparación.</w:t>
      </w:r>
    </w:p>
    <w:p w14:paraId="6A0E82B2"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76ADF7F9" w14:textId="79616C7C" w:rsidR="00243386"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F559E6">
        <w:rPr>
          <w:rFonts w:ascii="Verdana" w:hAnsi="Verdana"/>
          <w:sz w:val="20"/>
          <w:szCs w:val="20"/>
        </w:rPr>
        <w:t>La Corte estima pertinente ordenar, como lo ha hecho en otros casos</w:t>
      </w:r>
      <w:r w:rsidRPr="00F559E6">
        <w:rPr>
          <w:rStyle w:val="FootnoteReference"/>
          <w:rFonts w:ascii="Verdana" w:hAnsi="Verdana"/>
          <w:sz w:val="20"/>
          <w:szCs w:val="20"/>
        </w:rPr>
        <w:footnoteReference w:id="97"/>
      </w:r>
      <w:r w:rsidRPr="00F559E6">
        <w:rPr>
          <w:rFonts w:ascii="Verdana" w:hAnsi="Verdana"/>
          <w:sz w:val="20"/>
          <w:szCs w:val="20"/>
        </w:rPr>
        <w:t>, que el Estado, en el plazo de seis meses contado a partir de la notificación de la presente Sentencia, realice las siguientes publicaciones: a) el resumen oficial de la Sentencia elaborado por la Corte, por una sola vez, en el Diario Oficial, en un diario de amplia circulación nacional y en un diario de amplia circulación en la Provincia de Mendoza, en un tamaño de letra legible y adecuado, y b) la presente Sentencia en su integridad, disponible al menos por un período de un año</w:t>
      </w:r>
      <w:r w:rsidR="00E21E3E">
        <w:rPr>
          <w:rFonts w:ascii="Verdana" w:hAnsi="Verdana"/>
          <w:sz w:val="20"/>
          <w:szCs w:val="20"/>
        </w:rPr>
        <w:t>, en los sitios web oficiales del Poder Judicial de la Provincia de Mendoza</w:t>
      </w:r>
      <w:r w:rsidRPr="00F559E6">
        <w:rPr>
          <w:rFonts w:ascii="Verdana" w:hAnsi="Verdana"/>
          <w:sz w:val="20"/>
          <w:szCs w:val="20"/>
        </w:rPr>
        <w:t xml:space="preserve">, de manera accesible al público. </w:t>
      </w:r>
    </w:p>
    <w:p w14:paraId="70D59DF2"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0B0EFFE6" w14:textId="77777777" w:rsidR="00243386"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F559E6">
        <w:rPr>
          <w:rFonts w:ascii="Verdana" w:hAnsi="Verdana"/>
          <w:sz w:val="20"/>
          <w:szCs w:val="20"/>
        </w:rPr>
        <w:t>El Estado deberá́ informar de forma inmediata a esta Corte una vez que proceda a realizar cada una de las publicaciones dispuestas, independientemente del plazo de un año para presentar su primer informe dispuesto en la parte resolutiva de esta Sentencia.</w:t>
      </w:r>
    </w:p>
    <w:p w14:paraId="6B63330E"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sz w:val="20"/>
          <w:szCs w:val="20"/>
          <w:lang w:val="es-CR"/>
        </w:rPr>
      </w:pPr>
    </w:p>
    <w:p w14:paraId="597BD885" w14:textId="77777777" w:rsidR="00243386" w:rsidRPr="00DF60B0" w:rsidRDefault="00DF60B0" w:rsidP="00C962FE">
      <w:pPr>
        <w:pStyle w:val="Heading3"/>
        <w:numPr>
          <w:ilvl w:val="0"/>
          <w:numId w:val="0"/>
        </w:numPr>
        <w:ind w:left="1353"/>
        <w:rPr>
          <w:rFonts w:cs="Arial"/>
          <w:b w:val="0"/>
          <w:i w:val="0"/>
          <w:lang w:val="es-CR"/>
        </w:rPr>
      </w:pPr>
      <w:bookmarkStart w:id="68" w:name="_Toc19533046"/>
      <w:r>
        <w:rPr>
          <w:rFonts w:cs="Arial"/>
          <w:i w:val="0"/>
          <w:lang w:val="es-CR"/>
        </w:rPr>
        <w:t xml:space="preserve">B.3 </w:t>
      </w:r>
      <w:r w:rsidR="00243386" w:rsidRPr="00DF60B0">
        <w:rPr>
          <w:rFonts w:cs="Arial"/>
          <w:i w:val="0"/>
          <w:lang w:val="es-CR"/>
        </w:rPr>
        <w:t>Garantías de no repetición</w:t>
      </w:r>
      <w:bookmarkEnd w:id="68"/>
    </w:p>
    <w:p w14:paraId="66480075"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F2E4878" w14:textId="50B385D8" w:rsidR="00671A0B" w:rsidRPr="00002A1A" w:rsidRDefault="00002A1A"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1E3851">
        <w:rPr>
          <w:rFonts w:ascii="Verdana" w:hAnsi="Verdana" w:cs="Arial"/>
          <w:sz w:val="20"/>
          <w:szCs w:val="20"/>
          <w:lang w:val="es-CR"/>
        </w:rPr>
        <w:lastRenderedPageBreak/>
        <w:t xml:space="preserve">La </w:t>
      </w:r>
      <w:r w:rsidRPr="001E3851">
        <w:rPr>
          <w:rFonts w:ascii="Verdana" w:hAnsi="Verdana" w:cs="Arial"/>
          <w:b/>
          <w:i/>
          <w:sz w:val="20"/>
          <w:szCs w:val="20"/>
          <w:lang w:val="es-CR"/>
        </w:rPr>
        <w:t xml:space="preserve">Comisión </w:t>
      </w:r>
      <w:r w:rsidRPr="001E3851">
        <w:rPr>
          <w:rFonts w:ascii="Verdana" w:hAnsi="Verdana" w:cs="Arial"/>
          <w:sz w:val="20"/>
          <w:szCs w:val="20"/>
          <w:lang w:val="es-CR"/>
        </w:rPr>
        <w:t>solicitó que se dispongan las medidas legislativas necesarias para adecuar la legislación interna relativa al recurso de casación a los estándares consagrados en el artículo 8.2.h) de la Conven</w:t>
      </w:r>
      <w:r w:rsidR="00CA7586">
        <w:rPr>
          <w:rFonts w:ascii="Verdana" w:hAnsi="Verdana" w:cs="Arial"/>
          <w:sz w:val="20"/>
          <w:szCs w:val="20"/>
          <w:lang w:val="es-CR"/>
        </w:rPr>
        <w:t xml:space="preserve">ción. Asimismo, </w:t>
      </w:r>
      <w:r w:rsidRPr="001E3851">
        <w:rPr>
          <w:rFonts w:ascii="Verdana" w:hAnsi="Verdana" w:cs="Arial"/>
          <w:sz w:val="20"/>
          <w:szCs w:val="20"/>
          <w:lang w:val="es-CR"/>
        </w:rPr>
        <w:t>solicitó que se asegure que las autoridades judiciales ejerzan un control de convencionalidad al momento de resolver los recursos contra sentencias condenatorias de forma consistente con los estándares establecidos en el Informe de Fondo. Los</w:t>
      </w:r>
      <w:r w:rsidRPr="001E3851">
        <w:rPr>
          <w:rFonts w:ascii="Verdana" w:hAnsi="Verdana" w:cs="Arial"/>
          <w:b/>
          <w:sz w:val="20"/>
          <w:szCs w:val="20"/>
          <w:lang w:val="es-CR"/>
        </w:rPr>
        <w:t xml:space="preserve"> </w:t>
      </w:r>
      <w:r w:rsidRPr="001E3851">
        <w:rPr>
          <w:rFonts w:ascii="Verdana" w:hAnsi="Verdana" w:cs="Arial"/>
          <w:b/>
          <w:i/>
          <w:sz w:val="20"/>
          <w:szCs w:val="20"/>
          <w:lang w:val="es-CR"/>
        </w:rPr>
        <w:t>representantes</w:t>
      </w:r>
      <w:r w:rsidRPr="001E3851">
        <w:rPr>
          <w:rFonts w:ascii="Verdana" w:hAnsi="Verdana" w:cs="Arial"/>
          <w:b/>
          <w:sz w:val="20"/>
          <w:szCs w:val="20"/>
          <w:lang w:val="es-CR"/>
        </w:rPr>
        <w:t xml:space="preserve"> </w:t>
      </w:r>
      <w:r w:rsidRPr="001E3851">
        <w:rPr>
          <w:rFonts w:ascii="Verdana" w:hAnsi="Verdana" w:cs="Arial"/>
          <w:sz w:val="20"/>
          <w:szCs w:val="20"/>
          <w:lang w:val="es-CR"/>
        </w:rPr>
        <w:t xml:space="preserve">solicitaron </w:t>
      </w:r>
      <w:r>
        <w:rPr>
          <w:rFonts w:ascii="Verdana" w:hAnsi="Verdana" w:cs="Arial"/>
          <w:sz w:val="20"/>
          <w:szCs w:val="20"/>
          <w:lang w:val="es-CR"/>
        </w:rPr>
        <w:t>que se ordene la realización de reformas procesales profundas dentro de la legislación</w:t>
      </w:r>
      <w:r w:rsidR="009770E7">
        <w:rPr>
          <w:rFonts w:ascii="Verdana" w:hAnsi="Verdana" w:cs="Arial"/>
          <w:sz w:val="20"/>
          <w:szCs w:val="20"/>
          <w:lang w:val="es-CR"/>
        </w:rPr>
        <w:t xml:space="preserve"> de Mendoza como de la Nacional</w:t>
      </w:r>
      <w:r>
        <w:rPr>
          <w:rFonts w:ascii="Verdana" w:hAnsi="Verdana" w:cs="Arial"/>
          <w:sz w:val="20"/>
          <w:szCs w:val="20"/>
          <w:lang w:val="es-CR"/>
        </w:rPr>
        <w:t>. Asimismo, solicitaron la aplicación</w:t>
      </w:r>
      <w:r w:rsidRPr="001E3851">
        <w:rPr>
          <w:rFonts w:ascii="Verdana" w:hAnsi="Verdana" w:cs="Arial"/>
          <w:sz w:val="20"/>
          <w:szCs w:val="20"/>
          <w:lang w:val="es-CR"/>
        </w:rPr>
        <w:t xml:space="preserve"> </w:t>
      </w:r>
      <w:r>
        <w:rPr>
          <w:rFonts w:ascii="Verdana" w:hAnsi="Verdana" w:cs="Arial"/>
          <w:sz w:val="20"/>
          <w:szCs w:val="20"/>
          <w:lang w:val="es-CR"/>
        </w:rPr>
        <w:t xml:space="preserve">del control de convencionalidad sobre la ley provincial No. 6.730 modificada por la Ley No. 9.040 y sobre la </w:t>
      </w:r>
      <w:r w:rsidRPr="000441E1">
        <w:rPr>
          <w:rFonts w:ascii="Verdana" w:hAnsi="Verdana" w:cs="Arial"/>
          <w:sz w:val="20"/>
          <w:szCs w:val="20"/>
          <w:lang w:val="es-CR"/>
        </w:rPr>
        <w:t xml:space="preserve">Acordada de la Suprema </w:t>
      </w:r>
      <w:r w:rsidRPr="00A033E6">
        <w:rPr>
          <w:rFonts w:ascii="Verdana" w:hAnsi="Verdana" w:cs="Arial"/>
          <w:sz w:val="20"/>
          <w:szCs w:val="20"/>
          <w:lang w:val="es-CR"/>
        </w:rPr>
        <w:t xml:space="preserve">Corte </w:t>
      </w:r>
      <w:r w:rsidRPr="000441E1">
        <w:rPr>
          <w:rFonts w:ascii="Verdana" w:hAnsi="Verdana" w:cs="Arial"/>
          <w:sz w:val="20"/>
          <w:szCs w:val="20"/>
          <w:lang w:val="es-CR"/>
        </w:rPr>
        <w:t xml:space="preserve">de </w:t>
      </w:r>
      <w:r w:rsidRPr="00A033E6">
        <w:rPr>
          <w:rFonts w:ascii="Verdana" w:hAnsi="Verdana" w:cs="Arial"/>
          <w:sz w:val="20"/>
          <w:szCs w:val="20"/>
          <w:lang w:val="es-CR"/>
        </w:rPr>
        <w:t>Mendoza</w:t>
      </w:r>
      <w:r>
        <w:rPr>
          <w:rFonts w:ascii="Verdana" w:hAnsi="Verdana" w:cs="Arial"/>
          <w:sz w:val="20"/>
          <w:szCs w:val="20"/>
          <w:lang w:val="es-CR"/>
        </w:rPr>
        <w:t xml:space="preserve"> en materia del </w:t>
      </w:r>
      <w:r w:rsidRPr="00002A1A">
        <w:rPr>
          <w:rFonts w:ascii="Verdana" w:hAnsi="Verdana" w:cs="Arial"/>
          <w:sz w:val="20"/>
          <w:szCs w:val="20"/>
          <w:lang w:val="es-CR"/>
        </w:rPr>
        <w:t>recurso extraordinario</w:t>
      </w:r>
      <w:r>
        <w:rPr>
          <w:rFonts w:ascii="Verdana" w:hAnsi="Verdana" w:cs="Arial"/>
          <w:sz w:val="20"/>
          <w:szCs w:val="20"/>
          <w:lang w:val="es-CR"/>
        </w:rPr>
        <w:t>, así como la normati</w:t>
      </w:r>
      <w:r w:rsidR="009770E7">
        <w:rPr>
          <w:rFonts w:ascii="Verdana" w:hAnsi="Verdana" w:cs="Arial"/>
          <w:sz w:val="20"/>
          <w:szCs w:val="20"/>
          <w:lang w:val="es-CR"/>
        </w:rPr>
        <w:t>va nacional en materia de queja.</w:t>
      </w:r>
    </w:p>
    <w:p w14:paraId="5E9C9C97" w14:textId="77777777" w:rsidR="008A351B" w:rsidRPr="001E3851" w:rsidRDefault="008A351B" w:rsidP="00C962FE">
      <w:pPr>
        <w:widowControl w:val="0"/>
        <w:tabs>
          <w:tab w:val="left" w:pos="567"/>
          <w:tab w:val="num" w:pos="12305"/>
        </w:tabs>
        <w:adjustRightInd w:val="0"/>
        <w:spacing w:after="0" w:line="240" w:lineRule="auto"/>
        <w:jc w:val="both"/>
        <w:textAlignment w:val="baseline"/>
        <w:rPr>
          <w:rFonts w:ascii="Verdana" w:hAnsi="Verdana" w:cs="Arial"/>
          <w:b/>
          <w:sz w:val="20"/>
          <w:szCs w:val="20"/>
          <w:lang w:val="es-CR"/>
        </w:rPr>
      </w:pPr>
    </w:p>
    <w:p w14:paraId="2D9F21D9" w14:textId="7CE8BCAE" w:rsidR="00671A0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cs="Arial"/>
          <w:sz w:val="20"/>
          <w:szCs w:val="20"/>
          <w:lang w:val="es-CR"/>
        </w:rPr>
        <w:t xml:space="preserve">El </w:t>
      </w:r>
      <w:r w:rsidRPr="00F559E6">
        <w:rPr>
          <w:rFonts w:ascii="Verdana" w:hAnsi="Verdana" w:cs="Arial"/>
          <w:b/>
          <w:i/>
          <w:sz w:val="20"/>
          <w:szCs w:val="20"/>
          <w:lang w:val="es-CR"/>
        </w:rPr>
        <w:t>Estado</w:t>
      </w:r>
      <w:r w:rsidRPr="00F559E6">
        <w:rPr>
          <w:rFonts w:ascii="Verdana" w:hAnsi="Verdana" w:cs="Arial"/>
          <w:sz w:val="20"/>
          <w:szCs w:val="20"/>
          <w:lang w:val="es-CR"/>
        </w:rPr>
        <w:t xml:space="preserve"> sostuvo que las garantías de no repetición solicitadas se corresponderían con una sentencia viciada de arbitrariedad, en la que todos los efectos de la misma debieran ser fulminados. Consideró que dicha situación es ajena al caso, ya que no se trata de debatir el contenido de la sentencia, sino de establecer si la misma ha sido adecuadamente revisada. En virtud de ello, reiteró que las medidas pretendidas no corresponden con las constancias fácticas y jurídicas del caso, por lo que deberán ser dispuestas por los tribunales internos competentes en caso de configurarse el supuesto error judicial. En particular, sostuvo que la supuesta necesidad de encarar reformas procesales como parte de la obligación dispuesta en el artículo 28.2 de la Convenci</w:t>
      </w:r>
      <w:r w:rsidR="009770E7">
        <w:rPr>
          <w:rFonts w:ascii="Verdana" w:hAnsi="Verdana" w:cs="Arial"/>
          <w:sz w:val="20"/>
          <w:szCs w:val="20"/>
          <w:lang w:val="es-CR"/>
        </w:rPr>
        <w:t>ón es ajena al objeto del caso.</w:t>
      </w:r>
    </w:p>
    <w:p w14:paraId="61278BD3"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B7463E6" w14:textId="3C576C8C" w:rsidR="003A0415" w:rsidRDefault="007F1865"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7F1865">
        <w:rPr>
          <w:rFonts w:ascii="Verdana" w:hAnsi="Verdana" w:cs="Arial"/>
          <w:sz w:val="20"/>
          <w:szCs w:val="20"/>
          <w:lang w:val="es-CR"/>
        </w:rPr>
        <w:t>E</w:t>
      </w:r>
      <w:r w:rsidR="001E3851" w:rsidRPr="007F1865">
        <w:rPr>
          <w:rFonts w:ascii="Verdana" w:hAnsi="Verdana" w:cs="Arial"/>
          <w:sz w:val="20"/>
          <w:szCs w:val="20"/>
          <w:lang w:val="es-CR"/>
        </w:rPr>
        <w:t xml:space="preserve">n la presente Sentencia </w:t>
      </w:r>
      <w:r w:rsidR="00243386" w:rsidRPr="007F1865">
        <w:rPr>
          <w:rFonts w:ascii="Verdana" w:hAnsi="Verdana"/>
          <w:sz w:val="20"/>
          <w:szCs w:val="20"/>
        </w:rPr>
        <w:t xml:space="preserve">este Tribunal </w:t>
      </w:r>
      <w:r w:rsidR="00CC03A1">
        <w:rPr>
          <w:rFonts w:ascii="Verdana" w:hAnsi="Verdana" w:cs="Verdana"/>
          <w:sz w:val="20"/>
          <w:szCs w:val="20"/>
          <w:lang w:val="es-CR"/>
        </w:rPr>
        <w:t>determinó</w:t>
      </w:r>
      <w:r w:rsidR="00243386" w:rsidRPr="007F1865">
        <w:rPr>
          <w:rFonts w:ascii="Verdana" w:hAnsi="Verdana"/>
          <w:sz w:val="20"/>
          <w:szCs w:val="20"/>
        </w:rPr>
        <w:t xml:space="preserve"> que </w:t>
      </w:r>
      <w:r w:rsidRPr="007F1865">
        <w:rPr>
          <w:rFonts w:ascii="Verdana" w:hAnsi="Verdana"/>
          <w:sz w:val="20"/>
          <w:szCs w:val="20"/>
        </w:rPr>
        <w:t>la</w:t>
      </w:r>
      <w:r w:rsidR="00243386" w:rsidRPr="007F1865">
        <w:rPr>
          <w:rFonts w:ascii="Verdana" w:hAnsi="Verdana"/>
          <w:sz w:val="20"/>
          <w:szCs w:val="20"/>
        </w:rPr>
        <w:t xml:space="preserve"> regulación</w:t>
      </w:r>
      <w:r w:rsidRPr="007F1865">
        <w:rPr>
          <w:rFonts w:ascii="Verdana" w:hAnsi="Verdana"/>
          <w:sz w:val="20"/>
          <w:szCs w:val="20"/>
        </w:rPr>
        <w:t xml:space="preserve"> prevista en la Ley No. 1908 constituyó</w:t>
      </w:r>
      <w:r w:rsidR="00243386" w:rsidRPr="007F1865">
        <w:rPr>
          <w:rFonts w:ascii="Verdana" w:hAnsi="Verdana"/>
          <w:sz w:val="20"/>
          <w:szCs w:val="20"/>
        </w:rPr>
        <w:t xml:space="preserve"> un incumplimiento del artículo 2 de la Convención </w:t>
      </w:r>
      <w:r w:rsidR="00F5189F" w:rsidRPr="007F1865">
        <w:rPr>
          <w:rFonts w:ascii="Verdana" w:hAnsi="Verdana"/>
          <w:sz w:val="20"/>
          <w:szCs w:val="20"/>
        </w:rPr>
        <w:t>Americana</w:t>
      </w:r>
      <w:r w:rsidR="00CA7586">
        <w:rPr>
          <w:rFonts w:ascii="Verdana" w:hAnsi="Verdana"/>
          <w:sz w:val="20"/>
          <w:szCs w:val="20"/>
        </w:rPr>
        <w:t xml:space="preserve"> (supra párr</w:t>
      </w:r>
      <w:r w:rsidR="006A799F">
        <w:rPr>
          <w:rFonts w:ascii="Verdana" w:hAnsi="Verdana"/>
          <w:sz w:val="20"/>
          <w:szCs w:val="20"/>
        </w:rPr>
        <w:t>. 56</w:t>
      </w:r>
      <w:r w:rsidRPr="007F1865">
        <w:rPr>
          <w:rFonts w:ascii="Verdana" w:hAnsi="Verdana"/>
          <w:sz w:val="20"/>
          <w:szCs w:val="20"/>
        </w:rPr>
        <w:t>)</w:t>
      </w:r>
      <w:r w:rsidR="00F5189F" w:rsidRPr="007F1865">
        <w:rPr>
          <w:rFonts w:ascii="Verdana" w:hAnsi="Verdana"/>
          <w:sz w:val="20"/>
          <w:szCs w:val="20"/>
        </w:rPr>
        <w:t>.</w:t>
      </w:r>
      <w:r>
        <w:rPr>
          <w:rFonts w:ascii="Verdana" w:hAnsi="Verdana"/>
          <w:sz w:val="20"/>
          <w:szCs w:val="20"/>
        </w:rPr>
        <w:t xml:space="preserve"> </w:t>
      </w:r>
      <w:r w:rsidR="00243386" w:rsidRPr="007F1865">
        <w:rPr>
          <w:rFonts w:ascii="Verdana" w:hAnsi="Verdana" w:cs="Arial"/>
          <w:sz w:val="20"/>
          <w:szCs w:val="20"/>
          <w:lang w:val="es-CR"/>
        </w:rPr>
        <w:t xml:space="preserve">En razón de </w:t>
      </w:r>
      <w:r>
        <w:rPr>
          <w:rFonts w:ascii="Verdana" w:hAnsi="Verdana" w:cs="Arial"/>
          <w:sz w:val="20"/>
          <w:szCs w:val="20"/>
          <w:lang w:val="es-CR"/>
        </w:rPr>
        <w:t>ello</w:t>
      </w:r>
      <w:r w:rsidR="00243386" w:rsidRPr="007F1865">
        <w:rPr>
          <w:rFonts w:ascii="Verdana" w:hAnsi="Verdana" w:cs="Arial"/>
          <w:sz w:val="20"/>
          <w:szCs w:val="20"/>
          <w:lang w:val="es-CR"/>
        </w:rPr>
        <w:t>,</w:t>
      </w:r>
      <w:r w:rsidRPr="007F1865">
        <w:rPr>
          <w:rFonts w:ascii="Verdana" w:hAnsi="Verdana" w:cs="Arial"/>
          <w:sz w:val="20"/>
          <w:szCs w:val="20"/>
          <w:lang w:val="es-CR"/>
        </w:rPr>
        <w:t xml:space="preserve"> </w:t>
      </w:r>
      <w:r w:rsidRPr="007F1865">
        <w:rPr>
          <w:rFonts w:ascii="Verdana" w:hAnsi="Verdana"/>
          <w:sz w:val="20"/>
          <w:szCs w:val="20"/>
        </w:rPr>
        <w:t xml:space="preserve">la Corte considera que, dentro de un plazo razonable, el Estado debe adecuar su ordenamiento jurídico interno de conformidad con los parámetros establecidos en esta Sentencia. </w:t>
      </w:r>
      <w:r w:rsidR="00BB2501">
        <w:rPr>
          <w:rFonts w:ascii="Verdana" w:hAnsi="Verdana"/>
          <w:sz w:val="20"/>
          <w:szCs w:val="20"/>
        </w:rPr>
        <w:t>Al respecto</w:t>
      </w:r>
      <w:r w:rsidR="003A0415">
        <w:rPr>
          <w:rFonts w:ascii="Verdana" w:hAnsi="Verdana"/>
          <w:sz w:val="20"/>
          <w:szCs w:val="20"/>
        </w:rPr>
        <w:t xml:space="preserve">, el Tribunal advierte </w:t>
      </w:r>
      <w:r w:rsidR="00BB2501" w:rsidRPr="00CC03A1">
        <w:rPr>
          <w:rFonts w:ascii="Verdana" w:hAnsi="Verdana"/>
          <w:sz w:val="20"/>
          <w:szCs w:val="20"/>
          <w:lang w:val="es-CR"/>
        </w:rPr>
        <w:t>que la legislación procesal penal que regía en la Provincia de Mendoza en la época de los hechos fue derogada por la Ley No.6.730 del año 1999, modificada por la Ley No. 9.040 publicada en el año 2018</w:t>
      </w:r>
      <w:r w:rsidR="00BB2501" w:rsidRPr="00A7522C">
        <w:rPr>
          <w:rStyle w:val="FootnoteReference"/>
          <w:rFonts w:ascii="Verdana" w:hAnsi="Verdana"/>
          <w:sz w:val="20"/>
          <w:szCs w:val="20"/>
        </w:rPr>
        <w:footnoteReference w:id="98"/>
      </w:r>
      <w:r w:rsidR="006A799F">
        <w:rPr>
          <w:rFonts w:ascii="Verdana" w:hAnsi="Verdana"/>
          <w:sz w:val="20"/>
          <w:szCs w:val="20"/>
          <w:lang w:val="es-CR"/>
        </w:rPr>
        <w:t xml:space="preserve"> (supra párr. 42</w:t>
      </w:r>
      <w:r w:rsidR="00BB2501" w:rsidRPr="00CC03A1">
        <w:rPr>
          <w:rFonts w:ascii="Verdana" w:hAnsi="Verdana"/>
          <w:sz w:val="20"/>
          <w:szCs w:val="20"/>
          <w:lang w:val="es-CR"/>
        </w:rPr>
        <w:t xml:space="preserve">). </w:t>
      </w:r>
      <w:r w:rsidR="00BB2501">
        <w:rPr>
          <w:rFonts w:ascii="Verdana" w:hAnsi="Verdana"/>
          <w:sz w:val="20"/>
          <w:szCs w:val="20"/>
          <w:lang w:val="es-CR"/>
        </w:rPr>
        <w:t>Asimismo</w:t>
      </w:r>
      <w:r w:rsidR="00BB2501" w:rsidRPr="00CC03A1">
        <w:rPr>
          <w:rFonts w:ascii="Verdana" w:hAnsi="Verdana"/>
          <w:sz w:val="20"/>
          <w:szCs w:val="20"/>
          <w:lang w:val="es-CR"/>
        </w:rPr>
        <w:t xml:space="preserve">, </w:t>
      </w:r>
      <w:r w:rsidR="00BB2501">
        <w:rPr>
          <w:rFonts w:ascii="Verdana" w:hAnsi="Verdana"/>
          <w:sz w:val="20"/>
          <w:szCs w:val="20"/>
          <w:lang w:val="es-CR"/>
        </w:rPr>
        <w:t>la Corte</w:t>
      </w:r>
      <w:r w:rsidR="00BB2501" w:rsidRPr="00CC03A1">
        <w:rPr>
          <w:rFonts w:ascii="Verdana" w:hAnsi="Verdana"/>
          <w:sz w:val="20"/>
          <w:szCs w:val="20"/>
          <w:lang w:val="es-CR"/>
        </w:rPr>
        <w:t xml:space="preserve"> advierte que el artículo 503 de la Ley No. 1.908, el cual establecía las causales de procedencia del recurso de casación en la época de los hechos</w:t>
      </w:r>
      <w:r w:rsidR="00BB2501" w:rsidRPr="00A7522C">
        <w:rPr>
          <w:rStyle w:val="FootnoteReference"/>
          <w:rFonts w:ascii="Verdana" w:hAnsi="Verdana"/>
          <w:i/>
          <w:sz w:val="20"/>
          <w:szCs w:val="20"/>
        </w:rPr>
        <w:footnoteReference w:id="99"/>
      </w:r>
      <w:r w:rsidR="00BB2501" w:rsidRPr="00CC03A1">
        <w:rPr>
          <w:rFonts w:ascii="Verdana" w:hAnsi="Verdana"/>
          <w:sz w:val="20"/>
          <w:szCs w:val="20"/>
          <w:lang w:val="es-CR"/>
        </w:rPr>
        <w:t>, y que habría sido la norma que impidió una revisión integral del fallo en virtud del cual el señor Gorigoit</w:t>
      </w:r>
      <w:r w:rsidR="006A799F">
        <w:rPr>
          <w:rFonts w:ascii="Verdana" w:hAnsi="Verdana"/>
          <w:sz w:val="20"/>
          <w:szCs w:val="20"/>
          <w:lang w:val="es-CR"/>
        </w:rPr>
        <w:t>ía fue condenado</w:t>
      </w:r>
      <w:r w:rsidR="00BB2501" w:rsidRPr="00CC03A1">
        <w:rPr>
          <w:rFonts w:ascii="Verdana" w:hAnsi="Verdana"/>
          <w:sz w:val="20"/>
          <w:szCs w:val="20"/>
          <w:lang w:val="es-CR"/>
        </w:rPr>
        <w:t>, es sustancialmente idéntico a al artículo 474</w:t>
      </w:r>
      <w:r w:rsidR="00BB2501" w:rsidRPr="00A7522C">
        <w:rPr>
          <w:rStyle w:val="FootnoteReference"/>
          <w:rFonts w:ascii="Verdana" w:hAnsi="Verdana"/>
          <w:i/>
          <w:sz w:val="20"/>
          <w:szCs w:val="20"/>
        </w:rPr>
        <w:footnoteReference w:id="100"/>
      </w:r>
      <w:r w:rsidR="00BB2501" w:rsidRPr="00CC03A1">
        <w:rPr>
          <w:rFonts w:ascii="Verdana" w:hAnsi="Verdana"/>
          <w:sz w:val="20"/>
          <w:szCs w:val="20"/>
          <w:lang w:val="es-CR"/>
        </w:rPr>
        <w:t xml:space="preserve"> de la Ley No. 6.730 del año 1999, modificada por la Ley No. 9.040 publicada en el año de 2018, </w:t>
      </w:r>
      <w:r w:rsidR="00BB2501">
        <w:rPr>
          <w:rFonts w:ascii="Verdana" w:hAnsi="Verdana"/>
          <w:sz w:val="20"/>
          <w:szCs w:val="20"/>
          <w:lang w:val="es-CR"/>
        </w:rPr>
        <w:t>el cual regula la misma cuestión y se encuentra vigente</w:t>
      </w:r>
      <w:r w:rsidR="00BB2501" w:rsidRPr="00A7522C">
        <w:rPr>
          <w:rStyle w:val="FootnoteReference"/>
          <w:rFonts w:ascii="Verdana" w:hAnsi="Verdana"/>
          <w:sz w:val="20"/>
          <w:szCs w:val="20"/>
          <w:lang w:val="es-CR"/>
        </w:rPr>
        <w:footnoteReference w:id="101"/>
      </w:r>
      <w:r w:rsidR="00BB2501" w:rsidRPr="00CC03A1">
        <w:rPr>
          <w:rFonts w:ascii="Verdana" w:hAnsi="Verdana"/>
          <w:sz w:val="20"/>
          <w:szCs w:val="20"/>
          <w:lang w:val="es-CR"/>
        </w:rPr>
        <w:t>.</w:t>
      </w:r>
    </w:p>
    <w:p w14:paraId="0C3EB2E8" w14:textId="77777777" w:rsidR="00BB2501" w:rsidRPr="00BB2501" w:rsidRDefault="00BB2501"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6270CEB7" w14:textId="1A5F7B48" w:rsidR="00BB407F" w:rsidRPr="00E30CCF" w:rsidRDefault="00BB2501"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E30CCF">
        <w:rPr>
          <w:rFonts w:ascii="Verdana" w:hAnsi="Verdana"/>
          <w:sz w:val="20"/>
          <w:szCs w:val="20"/>
        </w:rPr>
        <w:t>En relación con lo anterior</w:t>
      </w:r>
      <w:r w:rsidR="00CC03A1" w:rsidRPr="00E30CCF">
        <w:rPr>
          <w:rFonts w:ascii="Verdana" w:hAnsi="Verdana"/>
          <w:sz w:val="20"/>
          <w:szCs w:val="20"/>
        </w:rPr>
        <w:t xml:space="preserve">, la Corte nota que en el caso </w:t>
      </w:r>
      <w:r w:rsidR="00CC03A1" w:rsidRPr="00E30CCF">
        <w:rPr>
          <w:rFonts w:ascii="Verdana" w:hAnsi="Verdana" w:cs="Verdana"/>
          <w:i/>
          <w:sz w:val="20"/>
          <w:szCs w:val="20"/>
          <w:lang w:val="es-CR"/>
        </w:rPr>
        <w:t>Mendoza y otros Vs. Argentina</w:t>
      </w:r>
      <w:r w:rsidR="00BB407F" w:rsidRPr="00E30CCF">
        <w:rPr>
          <w:rFonts w:ascii="Verdana" w:hAnsi="Verdana" w:cs="Verdana"/>
          <w:sz w:val="20"/>
          <w:szCs w:val="20"/>
          <w:lang w:val="es-CR"/>
        </w:rPr>
        <w:t xml:space="preserve"> concluyó que el Estado de Argentina incumplió con su obligación contenida en el artículo 2 de la Convención Americana, en relación con los artículos 8.2.h) y 19 de la misma, en perjuicio de la víctimas del caso en virtud de que los artículos 474 del </w:t>
      </w:r>
      <w:r w:rsidR="00BB407F" w:rsidRPr="00E30CCF">
        <w:rPr>
          <w:rFonts w:ascii="Verdana" w:hAnsi="Verdana"/>
          <w:sz w:val="20"/>
          <w:szCs w:val="20"/>
        </w:rPr>
        <w:t>Código Procesal Penal de la Provincia de Mendoza y 456 del Código Procesal Penal de la Nación, respectivamente, no permitían la revisión de cuestiones fácticas y/o probatorias por un tribunal superior</w:t>
      </w:r>
      <w:r w:rsidR="00BB407F" w:rsidRPr="00E30CCF">
        <w:rPr>
          <w:rStyle w:val="FootnoteReference"/>
          <w:rFonts w:ascii="Verdana" w:hAnsi="Verdana"/>
          <w:sz w:val="20"/>
          <w:szCs w:val="20"/>
        </w:rPr>
        <w:footnoteReference w:id="102"/>
      </w:r>
      <w:r w:rsidR="00BB407F" w:rsidRPr="00E30CCF">
        <w:rPr>
          <w:rFonts w:ascii="Verdana" w:hAnsi="Verdana"/>
          <w:sz w:val="20"/>
          <w:szCs w:val="20"/>
        </w:rPr>
        <w:t xml:space="preserve">. En consecuencia, en dicho </w:t>
      </w:r>
      <w:r w:rsidR="00BB407F" w:rsidRPr="00E30CCF">
        <w:rPr>
          <w:rFonts w:ascii="Verdana" w:hAnsi="Verdana"/>
          <w:sz w:val="20"/>
          <w:szCs w:val="20"/>
        </w:rPr>
        <w:lastRenderedPageBreak/>
        <w:t>caso</w:t>
      </w:r>
      <w:r w:rsidR="00CC03A1" w:rsidRPr="00E30CCF">
        <w:rPr>
          <w:rFonts w:ascii="Verdana" w:hAnsi="Verdana" w:cs="Verdana"/>
          <w:i/>
          <w:sz w:val="20"/>
          <w:szCs w:val="20"/>
          <w:lang w:val="es-CR"/>
        </w:rPr>
        <w:t xml:space="preserve"> </w:t>
      </w:r>
      <w:r w:rsidRPr="00E30CCF">
        <w:rPr>
          <w:rFonts w:ascii="Verdana" w:hAnsi="Verdana" w:cs="Verdana"/>
          <w:sz w:val="20"/>
          <w:szCs w:val="20"/>
          <w:lang w:val="es-CR"/>
        </w:rPr>
        <w:t xml:space="preserve">se </w:t>
      </w:r>
      <w:r w:rsidR="00CC03A1" w:rsidRPr="00E30CCF">
        <w:rPr>
          <w:rFonts w:ascii="Verdana" w:hAnsi="Verdana" w:cs="Verdana"/>
          <w:sz w:val="20"/>
          <w:szCs w:val="20"/>
          <w:lang w:val="es-CR"/>
        </w:rPr>
        <w:t xml:space="preserve">ordenó al Estado que los jueces </w:t>
      </w:r>
      <w:r w:rsidRPr="00E30CCF">
        <w:rPr>
          <w:rFonts w:ascii="Verdana" w:hAnsi="Verdana" w:cs="Verdana"/>
          <w:sz w:val="20"/>
          <w:szCs w:val="20"/>
          <w:lang w:val="es-CR"/>
        </w:rPr>
        <w:t>ejerzan</w:t>
      </w:r>
      <w:r w:rsidR="00CC03A1" w:rsidRPr="00E30CCF">
        <w:rPr>
          <w:rFonts w:ascii="Verdana" w:hAnsi="Verdana" w:cs="Verdana"/>
          <w:sz w:val="20"/>
          <w:szCs w:val="20"/>
          <w:lang w:val="es-CR"/>
        </w:rPr>
        <w:t xml:space="preserve"> un control de convencionalidad a fin de garantizar el derecho de recurrir del fallo conforme al artículo 8.2.h) de la Convención Americana y a la jurisprudencia de este Tribunal. Asimismo, </w:t>
      </w:r>
      <w:r w:rsidR="00BB407F" w:rsidRPr="00E30CCF">
        <w:rPr>
          <w:rFonts w:ascii="Verdana" w:hAnsi="Verdana" w:cs="Verdana"/>
          <w:sz w:val="20"/>
          <w:szCs w:val="20"/>
          <w:lang w:val="es-CR"/>
        </w:rPr>
        <w:t xml:space="preserve">se </w:t>
      </w:r>
      <w:r w:rsidR="00CC03A1" w:rsidRPr="00E30CCF">
        <w:rPr>
          <w:rFonts w:ascii="Verdana" w:hAnsi="Verdana" w:cs="Verdana"/>
          <w:sz w:val="20"/>
          <w:szCs w:val="20"/>
          <w:lang w:val="es-CR"/>
        </w:rPr>
        <w:t>ordenó que, dentro de un plazo razonable, el Estado debe adecuar su ordenamiento jurídico interno de conformidad con los parámetros establecidos en la Sentencia</w:t>
      </w:r>
      <w:r w:rsidR="00CC03A1" w:rsidRPr="00E30CCF">
        <w:rPr>
          <w:rStyle w:val="FootnoteReference"/>
          <w:rFonts w:ascii="Verdana" w:hAnsi="Verdana" w:cs="Verdana"/>
          <w:sz w:val="20"/>
          <w:szCs w:val="20"/>
          <w:lang w:val="es-CR"/>
        </w:rPr>
        <w:footnoteReference w:id="103"/>
      </w:r>
      <w:r w:rsidR="00CC03A1" w:rsidRPr="00E30CCF">
        <w:rPr>
          <w:rFonts w:ascii="Verdana" w:hAnsi="Verdana" w:cs="Verdana"/>
          <w:sz w:val="20"/>
          <w:szCs w:val="20"/>
          <w:lang w:val="es-CR"/>
        </w:rPr>
        <w:t>.</w:t>
      </w:r>
    </w:p>
    <w:p w14:paraId="5D1B2A82" w14:textId="77777777" w:rsidR="003A421C" w:rsidRPr="003A421C" w:rsidRDefault="003A421C"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37EA9334" w14:textId="1A04A03A" w:rsidR="00243386" w:rsidRPr="003A421C" w:rsidRDefault="00BB407F"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3A421C">
        <w:rPr>
          <w:rFonts w:ascii="Verdana" w:hAnsi="Verdana" w:cs="Arial"/>
          <w:sz w:val="20"/>
          <w:szCs w:val="20"/>
          <w:lang w:val="es-CR"/>
        </w:rPr>
        <w:t>T</w:t>
      </w:r>
      <w:r w:rsidR="008E45D0" w:rsidRPr="003A421C">
        <w:rPr>
          <w:rFonts w:ascii="Verdana" w:hAnsi="Verdana"/>
          <w:sz w:val="20"/>
          <w:szCs w:val="20"/>
        </w:rPr>
        <w:t>eniendo en cuenta</w:t>
      </w:r>
      <w:r w:rsidR="00243386" w:rsidRPr="003A421C">
        <w:rPr>
          <w:rFonts w:ascii="Verdana" w:hAnsi="Verdana"/>
          <w:sz w:val="20"/>
          <w:szCs w:val="20"/>
        </w:rPr>
        <w:t xml:space="preserve"> </w:t>
      </w:r>
      <w:r w:rsidR="003A421C" w:rsidRPr="003A421C">
        <w:rPr>
          <w:rFonts w:ascii="Verdana" w:hAnsi="Verdana"/>
          <w:sz w:val="20"/>
          <w:szCs w:val="20"/>
        </w:rPr>
        <w:t>lo anteriormente mencionado,</w:t>
      </w:r>
      <w:r w:rsidR="00E30CCF">
        <w:rPr>
          <w:rFonts w:ascii="Verdana" w:hAnsi="Verdana"/>
          <w:sz w:val="20"/>
          <w:szCs w:val="20"/>
        </w:rPr>
        <w:t xml:space="preserve"> en virtud de la similitud entre el presente caso y el caso </w:t>
      </w:r>
      <w:r w:rsidR="00E30CCF">
        <w:rPr>
          <w:rFonts w:ascii="Verdana" w:hAnsi="Verdana"/>
          <w:i/>
          <w:sz w:val="20"/>
          <w:szCs w:val="20"/>
        </w:rPr>
        <w:t xml:space="preserve">Mendoza y otros Vs. Argentina </w:t>
      </w:r>
      <w:r w:rsidR="00E30CCF">
        <w:rPr>
          <w:rFonts w:ascii="Verdana" w:hAnsi="Verdana"/>
          <w:sz w:val="20"/>
          <w:szCs w:val="20"/>
        </w:rPr>
        <w:t>en lo que respecta a esta garantía de no repetición,</w:t>
      </w:r>
      <w:r w:rsidR="003A421C" w:rsidRPr="003A421C">
        <w:rPr>
          <w:rFonts w:ascii="Verdana" w:hAnsi="Verdana"/>
          <w:sz w:val="20"/>
          <w:szCs w:val="20"/>
        </w:rPr>
        <w:t xml:space="preserve"> </w:t>
      </w:r>
      <w:r w:rsidR="00E30CCF">
        <w:rPr>
          <w:rFonts w:ascii="Verdana" w:hAnsi="Verdana"/>
          <w:sz w:val="20"/>
          <w:szCs w:val="20"/>
        </w:rPr>
        <w:t>su cumplimiento</w:t>
      </w:r>
      <w:r w:rsidR="003A421C" w:rsidRPr="003A421C">
        <w:rPr>
          <w:rFonts w:ascii="Verdana" w:hAnsi="Verdana"/>
          <w:sz w:val="20"/>
          <w:szCs w:val="20"/>
        </w:rPr>
        <w:t xml:space="preserve"> será supervisado por la Corte en forma conjunta con la supervisión correspondiente al cumplimiento de la Sentencia del caso </w:t>
      </w:r>
      <w:r w:rsidR="003A421C" w:rsidRPr="00843376">
        <w:rPr>
          <w:rFonts w:ascii="Verdana" w:hAnsi="Verdana"/>
          <w:i/>
          <w:sz w:val="20"/>
          <w:szCs w:val="20"/>
        </w:rPr>
        <w:t>Mendoza y otros Vs. Argentina</w:t>
      </w:r>
      <w:r w:rsidR="008E45D0" w:rsidRPr="003A421C">
        <w:rPr>
          <w:rFonts w:ascii="Verdana" w:hAnsi="Verdana"/>
          <w:sz w:val="20"/>
          <w:szCs w:val="20"/>
        </w:rPr>
        <w:t>.</w:t>
      </w:r>
    </w:p>
    <w:p w14:paraId="7649C03D" w14:textId="77777777" w:rsidR="008A351B" w:rsidRPr="007F1865" w:rsidRDefault="008A351B" w:rsidP="00C962FE">
      <w:pPr>
        <w:widowControl w:val="0"/>
        <w:tabs>
          <w:tab w:val="left" w:pos="567"/>
          <w:tab w:val="num" w:pos="12305"/>
        </w:tabs>
        <w:adjustRightInd w:val="0"/>
        <w:spacing w:after="0" w:line="240" w:lineRule="auto"/>
        <w:jc w:val="both"/>
        <w:textAlignment w:val="baseline"/>
        <w:rPr>
          <w:rFonts w:ascii="Verdana" w:hAnsi="Verdana" w:cs="Arial"/>
          <w:b/>
          <w:sz w:val="20"/>
          <w:szCs w:val="20"/>
          <w:lang w:val="es-CR"/>
        </w:rPr>
      </w:pPr>
    </w:p>
    <w:p w14:paraId="3D1E0CDB" w14:textId="77777777" w:rsidR="00243386" w:rsidRPr="00F559E6" w:rsidRDefault="00243386" w:rsidP="00C962FE">
      <w:pPr>
        <w:pStyle w:val="Heading2"/>
        <w:rPr>
          <w:rFonts w:cs="Arial"/>
          <w:b w:val="0"/>
          <w:i w:val="0"/>
        </w:rPr>
      </w:pPr>
      <w:bookmarkStart w:id="69" w:name="_Toc19533047"/>
      <w:bookmarkEnd w:id="65"/>
      <w:r w:rsidRPr="00F559E6">
        <w:rPr>
          <w:rFonts w:cs="Arial"/>
        </w:rPr>
        <w:t>Otras medidas solicitadas</w:t>
      </w:r>
      <w:bookmarkEnd w:id="69"/>
    </w:p>
    <w:p w14:paraId="2AEBDEBF" w14:textId="77777777" w:rsidR="008A351B"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44DFF4AA" w14:textId="3460C172" w:rsidR="00F5189F"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8A351B">
        <w:rPr>
          <w:rFonts w:ascii="Verdana" w:hAnsi="Verdana" w:cs="Arial"/>
          <w:sz w:val="20"/>
          <w:szCs w:val="20"/>
          <w:lang w:val="es-CR"/>
        </w:rPr>
        <w:t xml:space="preserve">Los </w:t>
      </w:r>
      <w:r w:rsidRPr="008A351B">
        <w:rPr>
          <w:rFonts w:ascii="Verdana" w:hAnsi="Verdana" w:cs="Arial"/>
          <w:b/>
          <w:i/>
          <w:sz w:val="20"/>
          <w:szCs w:val="20"/>
          <w:lang w:val="es-CR"/>
        </w:rPr>
        <w:t>representantes</w:t>
      </w:r>
      <w:r w:rsidRPr="008A351B">
        <w:rPr>
          <w:rFonts w:ascii="Verdana" w:hAnsi="Verdana" w:cs="Arial"/>
          <w:b/>
          <w:sz w:val="20"/>
          <w:szCs w:val="20"/>
          <w:lang w:val="es-CR"/>
        </w:rPr>
        <w:t xml:space="preserve"> </w:t>
      </w:r>
      <w:r w:rsidRPr="008A351B">
        <w:rPr>
          <w:rFonts w:ascii="Verdana" w:hAnsi="Verdana" w:cs="Arial"/>
          <w:sz w:val="20"/>
          <w:szCs w:val="20"/>
          <w:lang w:val="es-CR"/>
        </w:rPr>
        <w:t>solicitaron ordenar a Argentina que: i) brinde servicio gratuito de terapia familiar al señor G</w:t>
      </w:r>
      <w:r w:rsidR="009770E7">
        <w:rPr>
          <w:rFonts w:ascii="Verdana" w:hAnsi="Verdana" w:cs="Arial"/>
          <w:sz w:val="20"/>
          <w:szCs w:val="20"/>
          <w:lang w:val="es-CR"/>
        </w:rPr>
        <w:t>origoitía y a su grupo familiar</w:t>
      </w:r>
      <w:r w:rsidRPr="008A351B">
        <w:rPr>
          <w:rFonts w:ascii="Verdana" w:hAnsi="Verdana" w:cs="Arial"/>
          <w:sz w:val="20"/>
          <w:szCs w:val="20"/>
          <w:lang w:val="es-CR"/>
        </w:rPr>
        <w:t xml:space="preserve">; ii) realice un pedido de disculpas públicas por parte del Estado en el cual se haga la entrega del texto de disculpas en una ceremonia a la que asista </w:t>
      </w:r>
      <w:r w:rsidR="009770E7">
        <w:rPr>
          <w:rFonts w:ascii="Verdana" w:hAnsi="Verdana" w:cs="Arial"/>
          <w:sz w:val="20"/>
          <w:szCs w:val="20"/>
          <w:lang w:val="es-CR"/>
        </w:rPr>
        <w:t>la familia del señor Gorigoitía</w:t>
      </w:r>
      <w:r w:rsidRPr="008A351B">
        <w:rPr>
          <w:rFonts w:ascii="Verdana" w:hAnsi="Verdana" w:cs="Arial"/>
          <w:sz w:val="20"/>
          <w:szCs w:val="20"/>
          <w:lang w:val="es-CR"/>
        </w:rPr>
        <w:t>, y iii) se brinde a Nicolás Gorigoitía una beca en materia de capacitación a realizarse en una Institución apta para sus condiciones y sujeta a la aceptac</w:t>
      </w:r>
      <w:r w:rsidR="009770E7">
        <w:rPr>
          <w:rFonts w:ascii="Verdana" w:hAnsi="Verdana" w:cs="Arial"/>
          <w:sz w:val="20"/>
          <w:szCs w:val="20"/>
          <w:lang w:val="es-CR"/>
        </w:rPr>
        <w:t>ión del mismo para su ejecución.</w:t>
      </w:r>
    </w:p>
    <w:p w14:paraId="2F97DC28"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5EBA060E" w14:textId="2D7E7670" w:rsidR="00F5189F"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cs="Arial"/>
          <w:sz w:val="20"/>
          <w:szCs w:val="20"/>
          <w:lang w:val="es-CR"/>
        </w:rPr>
        <w:t xml:space="preserve">El </w:t>
      </w:r>
      <w:r w:rsidRPr="00F559E6">
        <w:rPr>
          <w:rFonts w:ascii="Verdana" w:hAnsi="Verdana" w:cs="Arial"/>
          <w:b/>
          <w:i/>
          <w:sz w:val="20"/>
          <w:szCs w:val="20"/>
          <w:lang w:val="es-CR"/>
        </w:rPr>
        <w:t>Estado</w:t>
      </w:r>
      <w:r w:rsidRPr="00F559E6">
        <w:rPr>
          <w:rFonts w:ascii="Verdana" w:hAnsi="Verdana" w:cs="Arial"/>
          <w:sz w:val="20"/>
          <w:szCs w:val="20"/>
          <w:lang w:val="es-CR"/>
        </w:rPr>
        <w:t xml:space="preserve"> sostuvo que las medidas pretendidas no corresponden con las constancias fácticas y jurídicas del caso, por lo que deberán ser dispuestas por los tribunales internos competentes en caso de configurarse el supuesto error judicial. Asimismo, respecto al servicio de terapia familiar, indicó que es improcedente, ya que los familiares del señor Gorigoitía no revisten el carácter de víctimas en el trámite internacional. De igual forma, respecto a la solicitud de beca para Nicolás Gorigoitía, señaló que esta deviene improcedente pues este no reviste el carácter de víctim</w:t>
      </w:r>
      <w:r w:rsidR="009770E7">
        <w:rPr>
          <w:rFonts w:ascii="Verdana" w:hAnsi="Verdana" w:cs="Arial"/>
          <w:sz w:val="20"/>
          <w:szCs w:val="20"/>
          <w:lang w:val="es-CR"/>
        </w:rPr>
        <w:t>a en el trámite internacional.</w:t>
      </w:r>
    </w:p>
    <w:p w14:paraId="6CB16CB1"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2187414C" w14:textId="1F8FB676" w:rsidR="00243386"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sz w:val="20"/>
          <w:szCs w:val="20"/>
          <w:lang w:val="es-CR"/>
        </w:rPr>
        <w:t xml:space="preserve">La Corte reitera que </w:t>
      </w:r>
      <w:r w:rsidRPr="00F559E6">
        <w:rPr>
          <w:rFonts w:ascii="Verdana" w:hAnsi="Verdana"/>
          <w:sz w:val="20"/>
          <w:szCs w:val="20"/>
        </w:rPr>
        <w:t>no considerará como parte lesionada en el presente caso a la esposa y los tres hijos del señor Gorigoitía debido a que no fueron incluidos como presuntas víctimas en el Informe de Fondo (</w:t>
      </w:r>
      <w:r w:rsidRPr="00F559E6">
        <w:rPr>
          <w:rFonts w:ascii="Verdana" w:hAnsi="Verdana"/>
          <w:i/>
          <w:sz w:val="20"/>
          <w:szCs w:val="20"/>
        </w:rPr>
        <w:t>supra</w:t>
      </w:r>
      <w:r w:rsidRPr="00F559E6">
        <w:rPr>
          <w:rFonts w:ascii="Verdana" w:hAnsi="Verdana"/>
          <w:sz w:val="20"/>
          <w:szCs w:val="20"/>
        </w:rPr>
        <w:t xml:space="preserve"> párr. </w:t>
      </w:r>
      <w:r w:rsidR="006A799F">
        <w:rPr>
          <w:rFonts w:ascii="Verdana" w:hAnsi="Verdana"/>
          <w:sz w:val="20"/>
          <w:szCs w:val="20"/>
        </w:rPr>
        <w:t>22</w:t>
      </w:r>
      <w:r w:rsidRPr="00BE57AA">
        <w:rPr>
          <w:rFonts w:ascii="Verdana" w:hAnsi="Verdana"/>
          <w:sz w:val="20"/>
          <w:szCs w:val="20"/>
        </w:rPr>
        <w:t>).</w:t>
      </w:r>
      <w:r w:rsidRPr="00F559E6">
        <w:rPr>
          <w:rFonts w:ascii="Verdana" w:hAnsi="Verdana"/>
          <w:sz w:val="20"/>
          <w:szCs w:val="20"/>
        </w:rPr>
        <w:t xml:space="preserve"> </w:t>
      </w:r>
      <w:r w:rsidR="00FA511D">
        <w:rPr>
          <w:rFonts w:ascii="Verdana" w:hAnsi="Verdana"/>
          <w:sz w:val="20"/>
          <w:szCs w:val="20"/>
          <w:lang w:val="es-CR"/>
        </w:rPr>
        <w:t xml:space="preserve">Asimismo, </w:t>
      </w:r>
      <w:r w:rsidR="00FA511D" w:rsidRPr="00F559E6">
        <w:rPr>
          <w:rFonts w:ascii="Verdana" w:hAnsi="Verdana"/>
          <w:sz w:val="20"/>
          <w:szCs w:val="20"/>
        </w:rPr>
        <w:t>este</w:t>
      </w:r>
      <w:r w:rsidRPr="00F559E6">
        <w:rPr>
          <w:rFonts w:ascii="Verdana" w:hAnsi="Verdana"/>
          <w:sz w:val="20"/>
          <w:szCs w:val="20"/>
        </w:rPr>
        <w:t xml:space="preserve"> Tribunal considera que</w:t>
      </w:r>
      <w:r w:rsidR="007F1865">
        <w:rPr>
          <w:rFonts w:ascii="Verdana" w:hAnsi="Verdana"/>
          <w:sz w:val="20"/>
          <w:szCs w:val="20"/>
        </w:rPr>
        <w:t>, en relación con las medidas de reparación antes mencionadas,</w:t>
      </w:r>
      <w:r w:rsidRPr="00F559E6">
        <w:rPr>
          <w:rFonts w:ascii="Verdana" w:hAnsi="Verdana"/>
          <w:sz w:val="20"/>
          <w:szCs w:val="20"/>
        </w:rPr>
        <w:t xml:space="preserve"> la emisión de la presente Sentencia y las reparaciones ordenadas en este capítulo resultan suficientes y adecuadas para remediar las violaciones sufridas por la víctima. Por tanto, no estima necesario ordenar dichas medidas adicionales, sin perjuicio de que el Estado decida adoptarlas y otorgarlas a nivel interno.</w:t>
      </w:r>
    </w:p>
    <w:p w14:paraId="10472F42"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5CE0BDE6" w14:textId="77777777" w:rsidR="00243386" w:rsidRDefault="00243386" w:rsidP="00C962FE">
      <w:pPr>
        <w:pStyle w:val="Heading2"/>
        <w:rPr>
          <w:rFonts w:cs="Arial"/>
        </w:rPr>
      </w:pPr>
      <w:bookmarkStart w:id="70" w:name="_Toc19533048"/>
      <w:r w:rsidRPr="00F559E6">
        <w:rPr>
          <w:rFonts w:cs="Arial"/>
        </w:rPr>
        <w:t>Indemnizaciones compensatorias</w:t>
      </w:r>
      <w:bookmarkEnd w:id="70"/>
    </w:p>
    <w:p w14:paraId="34E210B9" w14:textId="77777777" w:rsidR="00DF60B0" w:rsidRPr="00DF60B0" w:rsidRDefault="00DF60B0" w:rsidP="00C962FE">
      <w:pPr>
        <w:spacing w:after="0" w:line="240" w:lineRule="auto"/>
        <w:rPr>
          <w:lang w:val="es-CR" w:eastAsia="es-CR"/>
        </w:rPr>
      </w:pPr>
    </w:p>
    <w:p w14:paraId="5FA85FD3" w14:textId="77777777" w:rsidR="00243386" w:rsidRPr="0012229F" w:rsidRDefault="0012229F" w:rsidP="00C962FE">
      <w:pPr>
        <w:pStyle w:val="Heading3"/>
        <w:numPr>
          <w:ilvl w:val="0"/>
          <w:numId w:val="0"/>
        </w:numPr>
        <w:ind w:left="1353"/>
        <w:rPr>
          <w:rFonts w:cs="Arial"/>
          <w:b w:val="0"/>
          <w:i w:val="0"/>
          <w:lang w:val="es-CR"/>
        </w:rPr>
      </w:pPr>
      <w:bookmarkStart w:id="71" w:name="_Toc19533049"/>
      <w:r w:rsidRPr="0012229F">
        <w:rPr>
          <w:rFonts w:cs="Arial"/>
          <w:i w:val="0"/>
          <w:lang w:val="es-CR"/>
        </w:rPr>
        <w:t xml:space="preserve">D.1 </w:t>
      </w:r>
      <w:r w:rsidR="00243386" w:rsidRPr="0012229F">
        <w:rPr>
          <w:rFonts w:cs="Arial"/>
          <w:i w:val="0"/>
          <w:lang w:val="es-CR"/>
        </w:rPr>
        <w:t>Daño material</w:t>
      </w:r>
      <w:bookmarkEnd w:id="71"/>
    </w:p>
    <w:p w14:paraId="66D66473" w14:textId="77777777" w:rsidR="008A351B" w:rsidRPr="008A351B" w:rsidRDefault="008A351B" w:rsidP="00C962F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5E4A63FF" w14:textId="2189AEF5"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Arial" w:hAnsi="Verdana" w:cs="Arial"/>
          <w:b/>
          <w:sz w:val="20"/>
          <w:szCs w:val="20"/>
          <w:lang w:val="es-ES"/>
        </w:rPr>
      </w:pPr>
      <w:r w:rsidRPr="00F559E6">
        <w:rPr>
          <w:rFonts w:ascii="Verdana" w:hAnsi="Verdana" w:cs="Arial"/>
          <w:sz w:val="20"/>
          <w:szCs w:val="20"/>
          <w:lang w:val="es-CR"/>
        </w:rPr>
        <w:t xml:space="preserve">La </w:t>
      </w:r>
      <w:r w:rsidRPr="00F559E6">
        <w:rPr>
          <w:rFonts w:ascii="Verdana" w:hAnsi="Verdana" w:cs="Arial"/>
          <w:b/>
          <w:i/>
          <w:sz w:val="20"/>
          <w:szCs w:val="20"/>
          <w:lang w:val="es-CR"/>
        </w:rPr>
        <w:t xml:space="preserve">Comisión </w:t>
      </w:r>
      <w:r w:rsidRPr="00F559E6">
        <w:rPr>
          <w:rFonts w:ascii="Verdana" w:hAnsi="Verdana" w:cs="Arial"/>
          <w:sz w:val="20"/>
          <w:szCs w:val="20"/>
          <w:lang w:val="es-CR"/>
        </w:rPr>
        <w:t>solicitó que se repare</w:t>
      </w:r>
      <w:r w:rsidRPr="00F559E6">
        <w:rPr>
          <w:rFonts w:ascii="Verdana" w:eastAsia="Arial" w:hAnsi="Verdana" w:cs="Arial"/>
          <w:sz w:val="20"/>
          <w:szCs w:val="20"/>
          <w:lang w:val="es-ES"/>
        </w:rPr>
        <w:t xml:space="preserve"> integralme</w:t>
      </w:r>
      <w:r w:rsidR="009770E7">
        <w:rPr>
          <w:rFonts w:ascii="Verdana" w:eastAsia="Arial" w:hAnsi="Verdana" w:cs="Arial"/>
          <w:sz w:val="20"/>
          <w:szCs w:val="20"/>
          <w:lang w:val="es-ES"/>
        </w:rPr>
        <w:t>nte el daño material ocasionado</w:t>
      </w:r>
      <w:r w:rsidRPr="00172DD1">
        <w:rPr>
          <w:rFonts w:ascii="Verdana" w:eastAsia="Arial" w:hAnsi="Verdana" w:cs="Arial"/>
          <w:sz w:val="20"/>
          <w:szCs w:val="20"/>
          <w:lang w:val="es-ES"/>
        </w:rPr>
        <w:t>.</w:t>
      </w:r>
      <w:r w:rsidR="00172DD1">
        <w:rPr>
          <w:rFonts w:ascii="Verdana" w:eastAsia="Arial" w:hAnsi="Verdana" w:cs="Arial"/>
          <w:b/>
          <w:sz w:val="20"/>
          <w:szCs w:val="20"/>
          <w:lang w:val="es-ES"/>
        </w:rPr>
        <w:t xml:space="preserve"> </w:t>
      </w:r>
      <w:r w:rsidRPr="00172DD1">
        <w:rPr>
          <w:rFonts w:ascii="Verdana" w:eastAsia="Arial" w:hAnsi="Verdana" w:cs="Arial"/>
          <w:sz w:val="20"/>
          <w:szCs w:val="20"/>
          <w:lang w:val="es-ES"/>
        </w:rPr>
        <w:t>Los</w:t>
      </w:r>
      <w:r w:rsidRPr="00172DD1">
        <w:rPr>
          <w:rFonts w:ascii="Verdana" w:eastAsia="Arial" w:hAnsi="Verdana" w:cs="Arial"/>
          <w:b/>
          <w:sz w:val="20"/>
          <w:szCs w:val="20"/>
          <w:lang w:val="es-ES"/>
        </w:rPr>
        <w:t xml:space="preserve"> </w:t>
      </w:r>
      <w:r w:rsidRPr="00172DD1">
        <w:rPr>
          <w:rFonts w:ascii="Verdana" w:eastAsia="Arial" w:hAnsi="Verdana" w:cs="Arial"/>
          <w:b/>
          <w:i/>
          <w:sz w:val="20"/>
          <w:szCs w:val="20"/>
          <w:lang w:val="es-ES"/>
        </w:rPr>
        <w:t>representantes</w:t>
      </w:r>
      <w:r w:rsidRPr="00172DD1">
        <w:rPr>
          <w:rFonts w:ascii="Verdana" w:eastAsia="Arial" w:hAnsi="Verdana" w:cs="Arial"/>
          <w:b/>
          <w:sz w:val="20"/>
          <w:szCs w:val="20"/>
          <w:lang w:val="es-ES"/>
        </w:rPr>
        <w:t xml:space="preserve"> </w:t>
      </w:r>
      <w:r w:rsidRPr="00172DD1">
        <w:rPr>
          <w:rFonts w:ascii="Verdana" w:eastAsia="Arial" w:hAnsi="Verdana" w:cs="Arial"/>
          <w:sz w:val="20"/>
          <w:szCs w:val="20"/>
          <w:lang w:val="es-ES"/>
        </w:rPr>
        <w:t xml:space="preserve">solicitaron que se tome en cuenta las dificultades económicas sufridas por el señor Gorigoitía y su familia. En tal sentido, señalaron que el proceso penal y las circunstancias del caso trastocaron para siempre las vidas de todos los miembros de la familia. Destacaron que sus familiares tuvieron que ayudarlos económicamente e incluso pedir comida al Municipio. Asimismo, indicaron que una hija dejó de estudiar para ayudar a la familia. Aunado a ello, los representantes solicitaron que se tomen en cuenta los sueldos no percibidos desde su detención hasta la edad de jubilarse, conforme a la legislación vigente a esa fecha, así como los montos que hubiera recibido de haberse jubilado. En virtud de ello, solicitaron a la Corte fijar el daño material en USD $ 70.000,00 (setenta mil dólares de los Estados Unidos de América). </w:t>
      </w:r>
    </w:p>
    <w:p w14:paraId="642E7987" w14:textId="77777777" w:rsidR="008A351B" w:rsidRPr="00172DD1" w:rsidRDefault="008A351B" w:rsidP="00C962F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66EB121D" w14:textId="0CC06D2D"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Arial" w:hAnsi="Verdana" w:cs="Arial"/>
          <w:b/>
          <w:sz w:val="20"/>
          <w:szCs w:val="20"/>
          <w:lang w:val="es-ES"/>
        </w:rPr>
      </w:pPr>
      <w:r w:rsidRPr="00F559E6">
        <w:rPr>
          <w:rFonts w:ascii="Verdana" w:eastAsia="Arial" w:hAnsi="Verdana" w:cs="Arial"/>
          <w:sz w:val="20"/>
          <w:szCs w:val="20"/>
          <w:lang w:val="es-ES"/>
        </w:rPr>
        <w:lastRenderedPageBreak/>
        <w:t>El</w:t>
      </w:r>
      <w:r w:rsidRPr="00F559E6">
        <w:rPr>
          <w:rFonts w:ascii="Verdana" w:eastAsia="Arial" w:hAnsi="Verdana" w:cs="Arial"/>
          <w:b/>
          <w:sz w:val="20"/>
          <w:szCs w:val="20"/>
          <w:lang w:val="es-ES"/>
        </w:rPr>
        <w:t xml:space="preserve"> </w:t>
      </w:r>
      <w:r w:rsidRPr="00F559E6">
        <w:rPr>
          <w:rFonts w:ascii="Verdana" w:eastAsia="Arial" w:hAnsi="Verdana" w:cs="Arial"/>
          <w:b/>
          <w:i/>
          <w:sz w:val="20"/>
          <w:szCs w:val="20"/>
          <w:lang w:val="es-ES"/>
        </w:rPr>
        <w:t>Estado</w:t>
      </w:r>
      <w:r w:rsidRPr="00F559E6">
        <w:rPr>
          <w:rFonts w:ascii="Verdana" w:eastAsia="Arial" w:hAnsi="Verdana" w:cs="Arial"/>
          <w:b/>
          <w:sz w:val="20"/>
          <w:szCs w:val="20"/>
          <w:lang w:val="es-ES"/>
        </w:rPr>
        <w:t xml:space="preserve"> </w:t>
      </w:r>
      <w:r w:rsidRPr="00F559E6">
        <w:rPr>
          <w:rFonts w:ascii="Verdana" w:eastAsia="Arial" w:hAnsi="Verdana" w:cs="Arial"/>
          <w:sz w:val="20"/>
          <w:szCs w:val="20"/>
          <w:lang w:val="es-ES"/>
        </w:rPr>
        <w:t>sostuvo que deviene improcedente la solicitud tendiente a obtener reparaciones pecuniarias basadas en el lucro cesante, integradas por el salario que debió haber percibido como agente policial y pretensiones análogas, ya que la presunta falsa de acceso al recurso impugnatorio amplio jamás podría conllevar como efecto jurídico la absolución de la condena pena</w:t>
      </w:r>
      <w:r w:rsidR="007F1865">
        <w:rPr>
          <w:rFonts w:ascii="Verdana" w:eastAsia="Arial" w:hAnsi="Verdana" w:cs="Arial"/>
          <w:sz w:val="20"/>
          <w:szCs w:val="20"/>
          <w:lang w:val="es-ES"/>
        </w:rPr>
        <w:t>l</w:t>
      </w:r>
      <w:r w:rsidRPr="00F559E6">
        <w:rPr>
          <w:rFonts w:ascii="Verdana" w:eastAsia="Arial" w:hAnsi="Verdana" w:cs="Arial"/>
          <w:sz w:val="20"/>
          <w:szCs w:val="20"/>
          <w:lang w:val="es-ES"/>
        </w:rPr>
        <w:t xml:space="preserve">, ya que la misma no ha sido arbitraria ni su contenido ha sido discutido. En tal sentido, manifestó que resulta improcedente que el resarcimiento vaya a establecerse en función de salarios no percibidos, sino que debería determinarse en equidad en función de la chance perdida, que habría imposibilitado al señor Gorigoitía ejercer el doble conforme. Además, reiteró que no sería ajustada a derecho una reparación bajo la premisa de que el presunto damnificado debería haber sido absuelto, pues para decidir sobre este extremo la competencia recae exclusivamente en los tribunales domésticos. Aunado a lo anterior, el Estado sostuvo que los representantes no aportaron respaldo documental que permita </w:t>
      </w:r>
      <w:r w:rsidR="009770E7">
        <w:rPr>
          <w:rFonts w:ascii="Verdana" w:eastAsia="Arial" w:hAnsi="Verdana" w:cs="Arial"/>
          <w:sz w:val="20"/>
          <w:szCs w:val="20"/>
          <w:lang w:val="es-ES"/>
        </w:rPr>
        <w:t>arribar a las cifras apuntadas.</w:t>
      </w:r>
    </w:p>
    <w:p w14:paraId="33EA6AFA" w14:textId="77777777" w:rsidR="008A351B" w:rsidRPr="00F559E6" w:rsidRDefault="008A351B" w:rsidP="00C962F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49F73A23" w14:textId="6AB60309" w:rsidR="00243386"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Arial" w:hAnsi="Verdana" w:cs="Arial"/>
          <w:b/>
          <w:sz w:val="20"/>
          <w:szCs w:val="20"/>
          <w:lang w:val="es-ES"/>
        </w:rPr>
      </w:pPr>
      <w:r w:rsidRPr="007F1865">
        <w:rPr>
          <w:rFonts w:ascii="Verdana" w:hAnsi="Verdana"/>
          <w:sz w:val="20"/>
          <w:szCs w:val="20"/>
        </w:rPr>
        <w:t>Este Tribunal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Pr="00F559E6">
        <w:rPr>
          <w:rStyle w:val="FootnoteReference"/>
          <w:rFonts w:ascii="Verdana" w:hAnsi="Verdana"/>
          <w:sz w:val="20"/>
          <w:szCs w:val="20"/>
        </w:rPr>
        <w:footnoteReference w:id="104"/>
      </w:r>
      <w:r w:rsidRPr="007F1865">
        <w:rPr>
          <w:rFonts w:ascii="Verdana" w:hAnsi="Verdana"/>
          <w:sz w:val="20"/>
          <w:szCs w:val="20"/>
        </w:rPr>
        <w:t xml:space="preserve">. </w:t>
      </w:r>
      <w:r w:rsidR="007F1865">
        <w:rPr>
          <w:rFonts w:ascii="Verdana" w:hAnsi="Verdana"/>
          <w:sz w:val="20"/>
          <w:szCs w:val="20"/>
        </w:rPr>
        <w:t xml:space="preserve">En el presente caso, </w:t>
      </w:r>
      <w:r w:rsidR="007F1865" w:rsidRPr="007F1865">
        <w:rPr>
          <w:rFonts w:ascii="Verdana" w:hAnsi="Verdana"/>
          <w:sz w:val="20"/>
          <w:szCs w:val="20"/>
        </w:rPr>
        <w:t>l</w:t>
      </w:r>
      <w:r w:rsidRPr="007F1865">
        <w:rPr>
          <w:rFonts w:ascii="Verdana" w:hAnsi="Verdana"/>
          <w:sz w:val="20"/>
          <w:szCs w:val="20"/>
        </w:rPr>
        <w:t xml:space="preserve">a Corte </w:t>
      </w:r>
      <w:r w:rsidR="007F1865" w:rsidRPr="007F1865">
        <w:rPr>
          <w:rFonts w:ascii="Verdana" w:hAnsi="Verdana"/>
          <w:sz w:val="20"/>
          <w:szCs w:val="20"/>
        </w:rPr>
        <w:t>determinó</w:t>
      </w:r>
      <w:r w:rsidRPr="007F1865">
        <w:rPr>
          <w:rFonts w:ascii="Verdana" w:hAnsi="Verdana"/>
          <w:sz w:val="20"/>
          <w:szCs w:val="20"/>
        </w:rPr>
        <w:t xml:space="preserve"> que se violó el derecho del señor Gorigoitía a recurrir la sentencia condenatoria en términos del artículo 8.2.h) de la Convención (</w:t>
      </w:r>
      <w:r w:rsidRPr="007F1865">
        <w:rPr>
          <w:rFonts w:ascii="Verdana" w:hAnsi="Verdana"/>
          <w:i/>
          <w:sz w:val="20"/>
          <w:szCs w:val="20"/>
        </w:rPr>
        <w:t>supra</w:t>
      </w:r>
      <w:r w:rsidR="006A799F">
        <w:rPr>
          <w:rFonts w:ascii="Verdana" w:hAnsi="Verdana"/>
          <w:sz w:val="20"/>
          <w:szCs w:val="20"/>
        </w:rPr>
        <w:t xml:space="preserve"> párrs. 47 a 53</w:t>
      </w:r>
      <w:r w:rsidRPr="007F1865">
        <w:rPr>
          <w:rFonts w:ascii="Verdana" w:hAnsi="Verdana"/>
          <w:sz w:val="20"/>
          <w:szCs w:val="20"/>
        </w:rPr>
        <w:t xml:space="preserve">). Ello implicó que se ejecutara en su contra una pena de inhabilitación absoluta a perpetuidad, impuesta en una sentencia que no se pudo ser recurrida. </w:t>
      </w:r>
      <w:r w:rsidR="007F1865">
        <w:rPr>
          <w:rFonts w:ascii="Verdana" w:hAnsi="Verdana"/>
          <w:sz w:val="20"/>
          <w:szCs w:val="20"/>
        </w:rPr>
        <w:t xml:space="preserve">Sin embargo, en el presente caso no </w:t>
      </w:r>
      <w:r w:rsidR="00D3501C">
        <w:rPr>
          <w:rFonts w:ascii="Verdana" w:hAnsi="Verdana"/>
          <w:sz w:val="20"/>
          <w:szCs w:val="20"/>
        </w:rPr>
        <w:t xml:space="preserve">es posible establecer </w:t>
      </w:r>
      <w:r w:rsidR="00010512">
        <w:rPr>
          <w:rFonts w:ascii="Verdana" w:hAnsi="Verdana"/>
          <w:sz w:val="20"/>
          <w:szCs w:val="20"/>
        </w:rPr>
        <w:t>con certeza</w:t>
      </w:r>
      <w:r w:rsidR="00D3501C">
        <w:rPr>
          <w:rFonts w:ascii="Verdana" w:hAnsi="Verdana"/>
          <w:sz w:val="20"/>
          <w:szCs w:val="20"/>
        </w:rPr>
        <w:t xml:space="preserve"> </w:t>
      </w:r>
      <w:r w:rsidR="00010512">
        <w:rPr>
          <w:rFonts w:ascii="Verdana" w:hAnsi="Verdana"/>
          <w:sz w:val="20"/>
          <w:szCs w:val="20"/>
        </w:rPr>
        <w:t>cómo la violación al artículo</w:t>
      </w:r>
      <w:r w:rsidR="00D3501C">
        <w:rPr>
          <w:rFonts w:ascii="Verdana" w:hAnsi="Verdana"/>
          <w:sz w:val="20"/>
          <w:szCs w:val="20"/>
        </w:rPr>
        <w:t xml:space="preserve"> 8.2.h) de la Convención Americana</w:t>
      </w:r>
      <w:r w:rsidR="00010512">
        <w:rPr>
          <w:rFonts w:ascii="Verdana" w:hAnsi="Verdana"/>
          <w:sz w:val="20"/>
          <w:szCs w:val="20"/>
        </w:rPr>
        <w:t xml:space="preserve"> trajo como consecuencia</w:t>
      </w:r>
      <w:r w:rsidR="00DC1341">
        <w:rPr>
          <w:rFonts w:ascii="Verdana" w:hAnsi="Verdana"/>
          <w:sz w:val="20"/>
          <w:szCs w:val="20"/>
        </w:rPr>
        <w:t xml:space="preserve"> un daño emergente o lucro cesante en perjuicio del señor Gorigoitía</w:t>
      </w:r>
      <w:r w:rsidR="00D3501C">
        <w:rPr>
          <w:rFonts w:ascii="Verdana" w:hAnsi="Verdana"/>
          <w:sz w:val="20"/>
          <w:szCs w:val="20"/>
        </w:rPr>
        <w:t xml:space="preserve">. </w:t>
      </w:r>
      <w:r w:rsidRPr="007F1865">
        <w:rPr>
          <w:rFonts w:ascii="Verdana" w:hAnsi="Verdana"/>
          <w:sz w:val="20"/>
          <w:szCs w:val="20"/>
        </w:rPr>
        <w:t>En virtud de lo anterior, la Corte</w:t>
      </w:r>
      <w:r w:rsidR="00D3501C">
        <w:rPr>
          <w:rFonts w:ascii="Verdana" w:hAnsi="Verdana"/>
          <w:sz w:val="20"/>
          <w:szCs w:val="20"/>
        </w:rPr>
        <w:t xml:space="preserve"> no</w:t>
      </w:r>
      <w:r w:rsidRPr="007F1865">
        <w:rPr>
          <w:rFonts w:ascii="Verdana" w:hAnsi="Verdana"/>
          <w:sz w:val="20"/>
          <w:szCs w:val="20"/>
        </w:rPr>
        <w:t xml:space="preserve"> estima </w:t>
      </w:r>
      <w:r w:rsidR="00DC1341">
        <w:rPr>
          <w:rFonts w:ascii="Verdana" w:hAnsi="Verdana"/>
          <w:sz w:val="20"/>
          <w:szCs w:val="20"/>
        </w:rPr>
        <w:t>procedente</w:t>
      </w:r>
      <w:r w:rsidRPr="007F1865">
        <w:rPr>
          <w:rFonts w:ascii="Verdana" w:hAnsi="Verdana"/>
          <w:sz w:val="20"/>
          <w:szCs w:val="20"/>
        </w:rPr>
        <w:t xml:space="preserve"> disponer una indemnización </w:t>
      </w:r>
      <w:r w:rsidR="00DC1341">
        <w:rPr>
          <w:rFonts w:ascii="Verdana" w:hAnsi="Verdana"/>
          <w:sz w:val="20"/>
          <w:szCs w:val="20"/>
        </w:rPr>
        <w:t xml:space="preserve">material </w:t>
      </w:r>
      <w:r w:rsidRPr="007F1865">
        <w:rPr>
          <w:rFonts w:ascii="Verdana" w:hAnsi="Verdana"/>
          <w:sz w:val="20"/>
          <w:szCs w:val="20"/>
        </w:rPr>
        <w:t>a favor del señor Gorigoitía</w:t>
      </w:r>
      <w:r w:rsidRPr="007F1865">
        <w:rPr>
          <w:rFonts w:ascii="Verdana" w:eastAsia="Arial" w:hAnsi="Verdana" w:cs="Arial"/>
          <w:sz w:val="20"/>
          <w:szCs w:val="20"/>
          <w:lang w:val="es-ES"/>
        </w:rPr>
        <w:t>.</w:t>
      </w:r>
    </w:p>
    <w:p w14:paraId="7BFB8739" w14:textId="77777777" w:rsidR="008A351B" w:rsidRPr="007F1865" w:rsidRDefault="008A351B" w:rsidP="00C962FE">
      <w:pPr>
        <w:widowControl w:val="0"/>
        <w:tabs>
          <w:tab w:val="left" w:pos="567"/>
          <w:tab w:val="num" w:pos="12305"/>
        </w:tabs>
        <w:adjustRightInd w:val="0"/>
        <w:spacing w:after="0" w:line="240" w:lineRule="auto"/>
        <w:jc w:val="both"/>
        <w:textAlignment w:val="baseline"/>
        <w:rPr>
          <w:rFonts w:ascii="Verdana" w:eastAsia="Arial" w:hAnsi="Verdana" w:cs="Arial"/>
          <w:b/>
          <w:sz w:val="20"/>
          <w:szCs w:val="20"/>
          <w:lang w:val="es-ES"/>
        </w:rPr>
      </w:pPr>
    </w:p>
    <w:p w14:paraId="2C7E2DC7" w14:textId="77777777" w:rsidR="00243386" w:rsidRPr="00251AB4" w:rsidRDefault="00251AB4" w:rsidP="00C962FE">
      <w:pPr>
        <w:pStyle w:val="Heading3"/>
        <w:numPr>
          <w:ilvl w:val="0"/>
          <w:numId w:val="0"/>
        </w:numPr>
        <w:ind w:left="1353"/>
        <w:rPr>
          <w:rFonts w:cs="Arial"/>
          <w:i w:val="0"/>
          <w:lang w:val="es-CR"/>
        </w:rPr>
      </w:pPr>
      <w:bookmarkStart w:id="72" w:name="_Toc19533050"/>
      <w:r>
        <w:rPr>
          <w:rFonts w:cs="Arial"/>
          <w:i w:val="0"/>
          <w:lang w:val="es-CR"/>
        </w:rPr>
        <w:t xml:space="preserve">D.2 </w:t>
      </w:r>
      <w:r w:rsidR="00243386" w:rsidRPr="00251AB4">
        <w:rPr>
          <w:rFonts w:cs="Arial"/>
          <w:i w:val="0"/>
          <w:lang w:val="es-CR"/>
        </w:rPr>
        <w:t>Daño inmaterial</w:t>
      </w:r>
      <w:bookmarkEnd w:id="72"/>
    </w:p>
    <w:p w14:paraId="70021BAA" w14:textId="77777777" w:rsidR="008A351B" w:rsidRPr="008A351B" w:rsidRDefault="008A351B" w:rsidP="00C962F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0EBE7919" w14:textId="3B082E90"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Arial" w:hAnsi="Verdana" w:cs="Arial"/>
          <w:b/>
          <w:sz w:val="20"/>
          <w:szCs w:val="20"/>
          <w:lang w:val="es-ES"/>
        </w:rPr>
      </w:pPr>
      <w:r w:rsidRPr="00DC1341">
        <w:rPr>
          <w:rFonts w:ascii="Verdana" w:hAnsi="Verdana" w:cs="Arial"/>
          <w:sz w:val="20"/>
          <w:szCs w:val="20"/>
          <w:lang w:val="es-CR"/>
        </w:rPr>
        <w:t xml:space="preserve">La </w:t>
      </w:r>
      <w:r w:rsidRPr="00DC1341">
        <w:rPr>
          <w:rFonts w:ascii="Verdana" w:hAnsi="Verdana" w:cs="Arial"/>
          <w:b/>
          <w:i/>
          <w:sz w:val="20"/>
          <w:szCs w:val="20"/>
          <w:lang w:val="es-CR"/>
        </w:rPr>
        <w:t xml:space="preserve">Comisión </w:t>
      </w:r>
      <w:r w:rsidRPr="00DC1341">
        <w:rPr>
          <w:rFonts w:ascii="Verdana" w:hAnsi="Verdana" w:cs="Arial"/>
          <w:sz w:val="20"/>
          <w:szCs w:val="20"/>
          <w:lang w:val="es-CR"/>
        </w:rPr>
        <w:t>solicitó que se repare</w:t>
      </w:r>
      <w:r w:rsidRPr="00DC1341">
        <w:rPr>
          <w:rFonts w:ascii="Verdana" w:eastAsia="Arial" w:hAnsi="Verdana" w:cs="Arial"/>
          <w:sz w:val="20"/>
          <w:szCs w:val="20"/>
          <w:lang w:val="es-ES"/>
        </w:rPr>
        <w:t xml:space="preserve"> integralmente</w:t>
      </w:r>
      <w:r w:rsidR="009770E7">
        <w:rPr>
          <w:rFonts w:ascii="Verdana" w:eastAsia="Arial" w:hAnsi="Verdana" w:cs="Arial"/>
          <w:sz w:val="20"/>
          <w:szCs w:val="20"/>
          <w:lang w:val="es-ES"/>
        </w:rPr>
        <w:t xml:space="preserve"> el daño inmaterial ocasionado.</w:t>
      </w:r>
      <w:r w:rsidR="00DC1341" w:rsidRPr="00DC1341">
        <w:rPr>
          <w:rFonts w:ascii="Verdana" w:eastAsia="Arial" w:hAnsi="Verdana" w:cs="Arial"/>
          <w:b/>
          <w:sz w:val="20"/>
          <w:szCs w:val="20"/>
          <w:lang w:val="es-ES"/>
        </w:rPr>
        <w:t xml:space="preserve"> </w:t>
      </w:r>
      <w:r w:rsidRPr="00DC1341">
        <w:rPr>
          <w:rFonts w:ascii="Verdana" w:eastAsia="Arial" w:hAnsi="Verdana" w:cs="Arial"/>
          <w:sz w:val="20"/>
          <w:szCs w:val="20"/>
          <w:lang w:val="es-ES"/>
        </w:rPr>
        <w:t xml:space="preserve">Los </w:t>
      </w:r>
      <w:r w:rsidRPr="00DC1341">
        <w:rPr>
          <w:rFonts w:ascii="Verdana" w:eastAsia="Arial" w:hAnsi="Verdana" w:cs="Arial"/>
          <w:b/>
          <w:i/>
          <w:sz w:val="20"/>
          <w:szCs w:val="20"/>
          <w:lang w:val="es-ES"/>
        </w:rPr>
        <w:t>representantes</w:t>
      </w:r>
      <w:r w:rsidRPr="00DC1341">
        <w:rPr>
          <w:rFonts w:ascii="Verdana" w:eastAsia="Arial" w:hAnsi="Verdana" w:cs="Arial"/>
          <w:b/>
          <w:sz w:val="20"/>
          <w:szCs w:val="20"/>
          <w:lang w:val="es-ES"/>
        </w:rPr>
        <w:t xml:space="preserve"> </w:t>
      </w:r>
      <w:r w:rsidRPr="00DC1341">
        <w:rPr>
          <w:rFonts w:ascii="Verdana" w:eastAsia="Arial" w:hAnsi="Verdana" w:cs="Arial"/>
          <w:sz w:val="20"/>
          <w:szCs w:val="20"/>
          <w:lang w:val="es-ES"/>
        </w:rPr>
        <w:t xml:space="preserve">solicitaron que se contemple el daño en su totalidad. En tal sentido, señalaron que la familia del señor Gorigoitía, compuesta por su esposa y tres hijos, vivió el impacto del proceso arbitrario, en particular por: i) el escarnio público del delito ocasionado por un miembro de la Policía de Mendoza, ii) el traslado al mismo lugar de detención que estaba destinado a presos comunes, donde fue visitado durante años, iii) la desilusión del proceso penal, iv) el fin del estado policial, y v) enfrentar problemas de salud producto de un ACV sufrido en enero de 2017. En virtud de ello, solicitaron a la Corte fijar el daño inmaterial en USD $ 40.000,00 (cuarenta mil dólares de los Estados Unidos de América). El </w:t>
      </w:r>
      <w:r w:rsidRPr="00DC1341">
        <w:rPr>
          <w:rFonts w:ascii="Verdana" w:eastAsia="Arial" w:hAnsi="Verdana" w:cs="Arial"/>
          <w:b/>
          <w:i/>
          <w:sz w:val="20"/>
          <w:szCs w:val="20"/>
          <w:lang w:val="es-ES"/>
        </w:rPr>
        <w:t>Estado</w:t>
      </w:r>
      <w:r w:rsidRPr="00DC1341">
        <w:rPr>
          <w:rFonts w:ascii="Verdana" w:eastAsia="Arial" w:hAnsi="Verdana" w:cs="Arial"/>
          <w:sz w:val="20"/>
          <w:szCs w:val="20"/>
          <w:lang w:val="es-ES"/>
        </w:rPr>
        <w:t xml:space="preserve"> objetó la totalidad de las reparaciones pecuniarias solicitadas, por considerar que estas no siguen el criterio de razonabilidad, resultan exorbitantes y no se hallan avalad</w:t>
      </w:r>
      <w:r w:rsidR="009770E7">
        <w:rPr>
          <w:rFonts w:ascii="Verdana" w:eastAsia="Arial" w:hAnsi="Verdana" w:cs="Arial"/>
          <w:sz w:val="20"/>
          <w:szCs w:val="20"/>
          <w:lang w:val="es-ES"/>
        </w:rPr>
        <w:t>as por constancias fehacientes.</w:t>
      </w:r>
    </w:p>
    <w:p w14:paraId="1AFDC317" w14:textId="77777777" w:rsidR="008A351B" w:rsidRPr="00DC1341" w:rsidRDefault="008A351B" w:rsidP="00C962FE">
      <w:pPr>
        <w:widowControl w:val="0"/>
        <w:tabs>
          <w:tab w:val="left" w:pos="567"/>
          <w:tab w:val="num" w:pos="12305"/>
        </w:tabs>
        <w:adjustRightInd w:val="0"/>
        <w:spacing w:after="0" w:line="240" w:lineRule="auto"/>
        <w:jc w:val="both"/>
        <w:textAlignment w:val="baseline"/>
        <w:rPr>
          <w:rFonts w:ascii="Verdana" w:eastAsia="Arial" w:hAnsi="Verdana" w:cs="Arial"/>
          <w:b/>
          <w:sz w:val="20"/>
          <w:szCs w:val="20"/>
          <w:lang w:val="es-ES"/>
        </w:rPr>
      </w:pPr>
    </w:p>
    <w:p w14:paraId="591DBF50" w14:textId="60B52E9B" w:rsidR="00243386" w:rsidRPr="00DB5ABD"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eastAsia="Arial" w:hAnsi="Verdana" w:cs="Arial"/>
          <w:b/>
          <w:sz w:val="20"/>
          <w:szCs w:val="20"/>
          <w:lang w:val="es-ES"/>
        </w:rPr>
      </w:pPr>
      <w:r w:rsidRPr="00DB5ABD">
        <w:rPr>
          <w:rFonts w:ascii="Verdana" w:hAnsi="Verdana"/>
          <w:sz w:val="20"/>
          <w:szCs w:val="20"/>
        </w:rPr>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DB5ABD">
        <w:rPr>
          <w:rStyle w:val="FootnoteReference"/>
          <w:rFonts w:ascii="Verdana" w:hAnsi="Verdana"/>
          <w:sz w:val="20"/>
          <w:szCs w:val="20"/>
        </w:rPr>
        <w:footnoteReference w:id="105"/>
      </w:r>
      <w:r w:rsidRPr="00DB5ABD">
        <w:rPr>
          <w:rFonts w:ascii="Verdana" w:hAnsi="Verdana"/>
          <w:sz w:val="20"/>
          <w:szCs w:val="20"/>
        </w:rPr>
        <w:t>.</w:t>
      </w:r>
      <w:r w:rsidR="00DC1341" w:rsidRPr="00DB5ABD">
        <w:rPr>
          <w:rFonts w:ascii="Verdana" w:hAnsi="Verdana"/>
          <w:sz w:val="20"/>
          <w:szCs w:val="20"/>
        </w:rPr>
        <w:t xml:space="preserve"> </w:t>
      </w:r>
      <w:r w:rsidRPr="00DB5ABD">
        <w:rPr>
          <w:rFonts w:ascii="Verdana" w:hAnsi="Verdana"/>
          <w:sz w:val="20"/>
          <w:szCs w:val="20"/>
        </w:rPr>
        <w:t xml:space="preserve">Teniendo en cuenta lo afirmado por </w:t>
      </w:r>
      <w:r w:rsidRPr="00DB5ABD">
        <w:rPr>
          <w:rFonts w:ascii="Verdana" w:hAnsi="Verdana"/>
          <w:sz w:val="20"/>
          <w:szCs w:val="20"/>
        </w:rPr>
        <w:lastRenderedPageBreak/>
        <w:t>los representantes, así como lo declarado por el señor Gorigoitía en la audiencia pública,</w:t>
      </w:r>
      <w:r w:rsidR="00802B50" w:rsidRPr="00DB5ABD">
        <w:rPr>
          <w:rFonts w:ascii="Verdana" w:hAnsi="Verdana"/>
          <w:sz w:val="20"/>
          <w:szCs w:val="20"/>
        </w:rPr>
        <w:t xml:space="preserve"> quien es la única víctima en el presente caso,</w:t>
      </w:r>
      <w:r w:rsidRPr="00DB5ABD">
        <w:rPr>
          <w:rFonts w:ascii="Verdana" w:hAnsi="Verdana"/>
          <w:sz w:val="20"/>
          <w:szCs w:val="20"/>
        </w:rPr>
        <w:t xml:space="preserve"> la Corte estima pertinente ordenar, en equidad, el pago de </w:t>
      </w:r>
      <w:r w:rsidRPr="00DB5ABD">
        <w:rPr>
          <w:rFonts w:ascii="Verdana" w:eastAsia="Arial" w:hAnsi="Verdana" w:cs="Arial"/>
          <w:sz w:val="20"/>
          <w:szCs w:val="20"/>
          <w:lang w:val="es-ES"/>
        </w:rPr>
        <w:t xml:space="preserve">USD $ </w:t>
      </w:r>
      <w:r w:rsidR="0064020F" w:rsidRPr="00DB5ABD">
        <w:rPr>
          <w:rFonts w:ascii="Verdana" w:eastAsia="Arial" w:hAnsi="Verdana" w:cs="Arial"/>
          <w:sz w:val="20"/>
          <w:szCs w:val="20"/>
          <w:lang w:val="es-ES"/>
        </w:rPr>
        <w:t>3</w:t>
      </w:r>
      <w:r w:rsidRPr="00DB5ABD">
        <w:rPr>
          <w:rFonts w:ascii="Verdana" w:eastAsia="Arial" w:hAnsi="Verdana" w:cs="Arial"/>
          <w:sz w:val="20"/>
          <w:szCs w:val="20"/>
          <w:lang w:val="es-ES"/>
        </w:rPr>
        <w:t>0.000,00 (</w:t>
      </w:r>
      <w:r w:rsidR="0064020F" w:rsidRPr="00DB5ABD">
        <w:rPr>
          <w:rFonts w:ascii="Verdana" w:eastAsia="Arial" w:hAnsi="Verdana" w:cs="Arial"/>
          <w:sz w:val="20"/>
          <w:szCs w:val="20"/>
          <w:lang w:val="es-ES"/>
        </w:rPr>
        <w:t>treinta</w:t>
      </w:r>
      <w:r w:rsidRPr="00DB5ABD">
        <w:rPr>
          <w:rFonts w:ascii="Verdana" w:eastAsia="Arial" w:hAnsi="Verdana" w:cs="Arial"/>
          <w:sz w:val="20"/>
          <w:szCs w:val="20"/>
          <w:lang w:val="es-ES"/>
        </w:rPr>
        <w:t xml:space="preserve"> mil dólares de los Estados Unidos de América) al señor Gorigoitía p</w:t>
      </w:r>
      <w:r w:rsidR="008A351B" w:rsidRPr="00DB5ABD">
        <w:rPr>
          <w:rFonts w:ascii="Verdana" w:eastAsia="Arial" w:hAnsi="Verdana" w:cs="Arial"/>
          <w:sz w:val="20"/>
          <w:szCs w:val="20"/>
          <w:lang w:val="es-ES"/>
        </w:rPr>
        <w:t>or concepto de daño inmaterial.</w:t>
      </w:r>
    </w:p>
    <w:p w14:paraId="5F6F23D5" w14:textId="77777777" w:rsidR="008A351B" w:rsidRPr="00DC1341" w:rsidRDefault="008A351B" w:rsidP="00C962FE">
      <w:pPr>
        <w:widowControl w:val="0"/>
        <w:tabs>
          <w:tab w:val="left" w:pos="567"/>
          <w:tab w:val="num" w:pos="12305"/>
        </w:tabs>
        <w:adjustRightInd w:val="0"/>
        <w:spacing w:after="0" w:line="240" w:lineRule="auto"/>
        <w:jc w:val="both"/>
        <w:textAlignment w:val="baseline"/>
        <w:rPr>
          <w:rFonts w:ascii="Verdana" w:eastAsia="Arial" w:hAnsi="Verdana" w:cs="Arial"/>
          <w:b/>
          <w:sz w:val="20"/>
          <w:szCs w:val="20"/>
          <w:lang w:val="es-ES"/>
        </w:rPr>
      </w:pPr>
    </w:p>
    <w:p w14:paraId="654140A5" w14:textId="77777777" w:rsidR="00243386" w:rsidRPr="00F559E6" w:rsidRDefault="00243386" w:rsidP="00C962FE">
      <w:pPr>
        <w:pStyle w:val="Heading2"/>
        <w:rPr>
          <w:rFonts w:cs="Arial"/>
          <w:b w:val="0"/>
          <w:i w:val="0"/>
        </w:rPr>
      </w:pPr>
      <w:bookmarkStart w:id="73" w:name="_Toc19533051"/>
      <w:r w:rsidRPr="00F559E6">
        <w:rPr>
          <w:rFonts w:cs="Arial"/>
        </w:rPr>
        <w:t>Costas y gastos</w:t>
      </w:r>
      <w:bookmarkEnd w:id="73"/>
    </w:p>
    <w:p w14:paraId="281BEDB9"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1359D8F4" w14:textId="67990E20"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cs="Arial"/>
          <w:sz w:val="20"/>
          <w:szCs w:val="20"/>
          <w:lang w:val="es-ES"/>
        </w:rPr>
        <w:t xml:space="preserve">Los </w:t>
      </w:r>
      <w:r w:rsidRPr="00F559E6">
        <w:rPr>
          <w:rFonts w:ascii="Verdana" w:hAnsi="Verdana" w:cs="Arial"/>
          <w:b/>
          <w:i/>
          <w:sz w:val="20"/>
          <w:szCs w:val="20"/>
          <w:lang w:val="es-ES"/>
        </w:rPr>
        <w:t>representantes</w:t>
      </w:r>
      <w:r w:rsidRPr="00F559E6">
        <w:rPr>
          <w:rFonts w:ascii="Verdana" w:hAnsi="Verdana" w:cs="Arial"/>
          <w:sz w:val="20"/>
          <w:szCs w:val="20"/>
          <w:lang w:val="es-ES"/>
        </w:rPr>
        <w:t xml:space="preserve"> solicitaron el pago de USD $5.000,00 (cinco mil dólares de los Estados Unidos de América) por concepto de gastos, tomando en cuenta los pasajes, estadía y gastos de litigio durante 20 años. En tal sentido, manifestaron carecer de la documentación que respalde dichos gastos. Asimismo, solicitaron por parte del Estado el pago de USD $25.000,00 (veinticinco mil dólares de los Estados Unidos de América) por concepto de los honorarios profesionales de los abogados Carlos Varela Álvarez, Pablo Donnángelo y Alejandro Acosta. </w:t>
      </w:r>
      <w:r w:rsidRPr="00F559E6">
        <w:rPr>
          <w:rFonts w:ascii="Verdana" w:hAnsi="Verdana" w:cs="Arial"/>
          <w:sz w:val="20"/>
          <w:szCs w:val="20"/>
          <w:lang w:val="es-CR"/>
        </w:rPr>
        <w:t xml:space="preserve">El </w:t>
      </w:r>
      <w:r w:rsidRPr="00F559E6">
        <w:rPr>
          <w:rFonts w:ascii="Verdana" w:hAnsi="Verdana" w:cs="Arial"/>
          <w:b/>
          <w:i/>
          <w:sz w:val="20"/>
          <w:szCs w:val="20"/>
          <w:lang w:val="es-CR"/>
        </w:rPr>
        <w:t>Estado</w:t>
      </w:r>
      <w:r w:rsidRPr="00F559E6">
        <w:rPr>
          <w:rFonts w:ascii="Verdana" w:hAnsi="Verdana" w:cs="Arial"/>
          <w:sz w:val="20"/>
          <w:szCs w:val="20"/>
          <w:lang w:val="es-CR"/>
        </w:rPr>
        <w:t xml:space="preserve"> objetó los montos pretendidos por considerarlos desproporcionados, exorbitantes e injustificados. Asimismo, el Estado destacó que no se </w:t>
      </w:r>
      <w:r w:rsidR="009770E7">
        <w:rPr>
          <w:rFonts w:ascii="Verdana" w:hAnsi="Verdana" w:cs="Arial"/>
          <w:sz w:val="20"/>
          <w:szCs w:val="20"/>
          <w:lang w:val="es-CR"/>
        </w:rPr>
        <w:t>adjuntó respaldo de los mismos.</w:t>
      </w:r>
    </w:p>
    <w:p w14:paraId="293A2269"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8E4C867" w14:textId="49F342B6" w:rsidR="00F5189F"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sz w:val="20"/>
          <w:szCs w:val="20"/>
        </w:rPr>
        <w:t>La Corte reitera que, conforme a su jurisprudencia</w:t>
      </w:r>
      <w:r w:rsidRPr="00F559E6">
        <w:rPr>
          <w:rStyle w:val="FootnoteReference"/>
          <w:rFonts w:ascii="Verdana" w:hAnsi="Verdana"/>
          <w:sz w:val="20"/>
          <w:szCs w:val="20"/>
        </w:rPr>
        <w:footnoteReference w:id="106"/>
      </w:r>
      <w:r w:rsidRPr="00F559E6">
        <w:rPr>
          <w:rFonts w:ascii="Verdana" w:hAnsi="Verdana"/>
          <w:sz w:val="20"/>
          <w:szCs w:val="20"/>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F559E6">
        <w:rPr>
          <w:rStyle w:val="FootnoteReference"/>
          <w:rFonts w:ascii="Verdana" w:hAnsi="Verdana"/>
          <w:sz w:val="20"/>
          <w:szCs w:val="20"/>
        </w:rPr>
        <w:footnoteReference w:id="107"/>
      </w:r>
      <w:r w:rsidR="008A351B">
        <w:rPr>
          <w:rFonts w:ascii="Verdana" w:hAnsi="Verdana"/>
          <w:sz w:val="20"/>
          <w:szCs w:val="20"/>
        </w:rPr>
        <w:t>.</w:t>
      </w:r>
    </w:p>
    <w:p w14:paraId="0E576611"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BE9075C" w14:textId="77777777" w:rsidR="00F5189F"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sz w:val="20"/>
          <w:szCs w:val="20"/>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F559E6">
        <w:rPr>
          <w:rStyle w:val="FootnoteReference"/>
          <w:rFonts w:ascii="Verdana" w:hAnsi="Verdana"/>
          <w:sz w:val="20"/>
          <w:szCs w:val="20"/>
        </w:rPr>
        <w:footnoteReference w:id="108"/>
      </w:r>
      <w:r w:rsidRPr="00F559E6">
        <w:rPr>
          <w:rFonts w:ascii="Verdana" w:hAnsi="Verdana"/>
          <w:sz w:val="20"/>
          <w:szCs w:val="20"/>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F559E6">
        <w:rPr>
          <w:rStyle w:val="FootnoteReference"/>
          <w:rFonts w:ascii="Verdana" w:hAnsi="Verdana"/>
          <w:sz w:val="20"/>
          <w:szCs w:val="20"/>
        </w:rPr>
        <w:footnoteReference w:id="109"/>
      </w:r>
      <w:r w:rsidRPr="00F559E6">
        <w:rPr>
          <w:rFonts w:ascii="Verdana" w:hAnsi="Verdana"/>
          <w:sz w:val="20"/>
          <w:szCs w:val="20"/>
        </w:rPr>
        <w:t>.</w:t>
      </w:r>
    </w:p>
    <w:p w14:paraId="2F499401"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35CC3CA6" w14:textId="6837C737" w:rsidR="00243386" w:rsidRPr="008A351B"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F559E6">
        <w:rPr>
          <w:rFonts w:ascii="Verdana" w:hAnsi="Verdana"/>
          <w:sz w:val="20"/>
          <w:szCs w:val="20"/>
        </w:rPr>
        <w:t xml:space="preserve">En el presente caso, el Tribunal observa que no consta en el expediente respaldo probatorio preciso en relación con las costas y gastos en los cuales incurrió el señor Gorigoitía o sus representantes respecto a la tramitación del caso ante la Comisión y la Corte. Sin embargo, la Corte considera que tales trámites necesariamente implicaron erogaciones pecuniarias, por lo </w:t>
      </w:r>
      <w:r w:rsidRPr="00F559E6">
        <w:rPr>
          <w:rFonts w:ascii="Verdana" w:hAnsi="Verdana"/>
          <w:sz w:val="20"/>
          <w:szCs w:val="20"/>
        </w:rPr>
        <w:lastRenderedPageBreak/>
        <w:t xml:space="preserve">que determina que el Estado debe entregar a los representantes la cantidad de </w:t>
      </w:r>
      <w:r w:rsidRPr="00843376">
        <w:rPr>
          <w:rFonts w:ascii="Verdana" w:hAnsi="Verdana"/>
          <w:sz w:val="20"/>
          <w:szCs w:val="20"/>
        </w:rPr>
        <w:t>US$ 15.000,00</w:t>
      </w:r>
      <w:r w:rsidRPr="00F559E6">
        <w:rPr>
          <w:rFonts w:ascii="Verdana" w:hAnsi="Verdana"/>
          <w:sz w:val="20"/>
          <w:szCs w:val="20"/>
        </w:rPr>
        <w:t xml:space="preserve"> (quince mil dólares de los Estados Unidos de América) por concepto de costas y gastos</w:t>
      </w:r>
      <w:r w:rsidR="00C14F2F">
        <w:rPr>
          <w:rFonts w:ascii="Verdana" w:hAnsi="Verdana"/>
          <w:sz w:val="20"/>
          <w:szCs w:val="20"/>
        </w:rPr>
        <w:t>, cantidad que deberá dividirse entre los representantes</w:t>
      </w:r>
      <w:r w:rsidRPr="00F559E6">
        <w:rPr>
          <w:rFonts w:ascii="Verdana" w:hAnsi="Verdana"/>
          <w:sz w:val="20"/>
          <w:szCs w:val="20"/>
        </w:rPr>
        <w:t>. Dicha cantidad deberá ser entregada directamente a los representantes. En la etapa de supervisión de cumplimiento de la presente Sentencia, la Corte podrá disponer que el Estado reembolse a la víctima o sus representantes los gastos razonables en que incurran en dicha etapa procesal</w:t>
      </w:r>
      <w:r w:rsidRPr="00F559E6">
        <w:rPr>
          <w:rStyle w:val="FootnoteReference"/>
          <w:rFonts w:ascii="Verdana" w:hAnsi="Verdana"/>
          <w:sz w:val="20"/>
          <w:szCs w:val="20"/>
        </w:rPr>
        <w:footnoteReference w:id="110"/>
      </w:r>
      <w:r w:rsidR="008A351B">
        <w:rPr>
          <w:rFonts w:ascii="Verdana" w:hAnsi="Verdana"/>
          <w:sz w:val="20"/>
          <w:szCs w:val="20"/>
        </w:rPr>
        <w:t>.</w:t>
      </w:r>
    </w:p>
    <w:p w14:paraId="41F73A37" w14:textId="77777777" w:rsidR="008A351B" w:rsidRPr="00F559E6" w:rsidRDefault="008A351B" w:rsidP="00C962FE">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73F7941" w14:textId="77777777" w:rsidR="00243386" w:rsidRPr="00F559E6" w:rsidRDefault="00243386" w:rsidP="00C962FE">
      <w:pPr>
        <w:pStyle w:val="Heading2"/>
        <w:rPr>
          <w:rFonts w:cs="Arial"/>
          <w:b w:val="0"/>
          <w:i w:val="0"/>
        </w:rPr>
      </w:pPr>
      <w:bookmarkStart w:id="74" w:name="_Toc19533052"/>
      <w:r w:rsidRPr="00F559E6">
        <w:rPr>
          <w:rFonts w:cs="Arial"/>
        </w:rPr>
        <w:t>Reintegro al Fondo de Asistencia Legal de Víctimas</w:t>
      </w:r>
      <w:bookmarkEnd w:id="74"/>
      <w:r w:rsidRPr="00F559E6">
        <w:rPr>
          <w:rFonts w:cs="Arial"/>
        </w:rPr>
        <w:tab/>
      </w:r>
    </w:p>
    <w:p w14:paraId="097A7E80"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591BA15B" w14:textId="77777777"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8A351B">
        <w:rPr>
          <w:rFonts w:ascii="Verdana" w:hAnsi="Verdana" w:cs="Arial"/>
          <w:sz w:val="20"/>
          <w:szCs w:val="20"/>
          <w:lang w:val="es-CR"/>
        </w:rPr>
        <w:t xml:space="preserve">En el presente caso, mediante nota de Secretaría de 11 de febrero de 2019, la Corte resolvió declarar procedente la solicitud realizada para acogerse al Fondo de Asistencia Legal de Víctimas. Asimismo, mediante la Resolución de convocatoria a audiencia de 20 de marzo de 2019, el Presidente dispuso que </w:t>
      </w:r>
      <w:r w:rsidRPr="008A351B">
        <w:rPr>
          <w:rFonts w:ascii="Verdana" w:hAnsi="Verdana"/>
          <w:sz w:val="20"/>
          <w:szCs w:val="20"/>
        </w:rPr>
        <w:t>la asistencia económica estaría asignada para cubrir los gastos de viaje y estadía necesarios para que el señor Oscar Gorigoitía compareciera ante el Tribunal a rendir su declaración en la audiencia pública celebrada en el presente caso. Asimismo, en dicha Resolución la Presidencia determinó que los gastos razonables de formalización y envío de los affidávits de dos declaraciones ofrecida por los representantes, según lo determinen éstos, podrían ser cubiertos con recursos del Fondo de Asistencia Legal de Víctimas.</w:t>
      </w:r>
    </w:p>
    <w:p w14:paraId="5A74DC2F" w14:textId="77777777" w:rsidR="008A351B" w:rsidRPr="008A351B" w:rsidRDefault="008A351B" w:rsidP="00C962FE">
      <w:pPr>
        <w:widowControl w:val="0"/>
        <w:tabs>
          <w:tab w:val="left" w:pos="567"/>
        </w:tabs>
        <w:adjustRightInd w:val="0"/>
        <w:spacing w:after="0" w:line="240" w:lineRule="auto"/>
        <w:jc w:val="both"/>
        <w:textAlignment w:val="baseline"/>
        <w:rPr>
          <w:rFonts w:ascii="Verdana" w:hAnsi="Verdana"/>
          <w:sz w:val="20"/>
          <w:szCs w:val="20"/>
        </w:rPr>
      </w:pPr>
    </w:p>
    <w:p w14:paraId="140A0BE2" w14:textId="5024D640"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El </w:t>
      </w:r>
      <w:r w:rsidR="00AF0B74">
        <w:rPr>
          <w:rFonts w:ascii="Verdana" w:hAnsi="Verdana"/>
          <w:sz w:val="20"/>
          <w:szCs w:val="20"/>
        </w:rPr>
        <w:t>10</w:t>
      </w:r>
      <w:r w:rsidRPr="00F559E6">
        <w:rPr>
          <w:rFonts w:ascii="Verdana" w:hAnsi="Verdana"/>
          <w:sz w:val="20"/>
          <w:szCs w:val="20"/>
        </w:rPr>
        <w:t xml:space="preserve"> de </w:t>
      </w:r>
      <w:r w:rsidR="00AF0B74">
        <w:rPr>
          <w:rFonts w:ascii="Verdana" w:hAnsi="Verdana"/>
          <w:sz w:val="20"/>
          <w:szCs w:val="20"/>
        </w:rPr>
        <w:t>junio</w:t>
      </w:r>
      <w:r w:rsidRPr="00F559E6">
        <w:rPr>
          <w:rFonts w:ascii="Verdana" w:hAnsi="Verdana"/>
          <w:sz w:val="20"/>
          <w:szCs w:val="20"/>
        </w:rPr>
        <w:t xml:space="preserve"> de 2019 fue remitido al Estado un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USD </w:t>
      </w:r>
      <w:r w:rsidRPr="00AF0B74">
        <w:rPr>
          <w:rFonts w:ascii="Verdana" w:hAnsi="Verdana"/>
          <w:sz w:val="20"/>
          <w:szCs w:val="20"/>
        </w:rPr>
        <w:t>$</w:t>
      </w:r>
      <w:r w:rsidR="00AF0B74" w:rsidRPr="00AF0B74">
        <w:rPr>
          <w:rFonts w:ascii="Verdana" w:hAnsi="Verdana"/>
          <w:sz w:val="20"/>
          <w:szCs w:val="20"/>
        </w:rPr>
        <w:t>9</w:t>
      </w:r>
      <w:r w:rsidR="00AF0B74">
        <w:rPr>
          <w:rFonts w:ascii="Verdana" w:hAnsi="Verdana"/>
          <w:sz w:val="20"/>
          <w:szCs w:val="20"/>
        </w:rPr>
        <w:t>87.36</w:t>
      </w:r>
      <w:r w:rsidRPr="00F559E6">
        <w:rPr>
          <w:rFonts w:ascii="Verdana" w:hAnsi="Verdana"/>
          <w:sz w:val="20"/>
          <w:szCs w:val="20"/>
        </w:rPr>
        <w:t xml:space="preserve"> (</w:t>
      </w:r>
      <w:r w:rsidR="00AF0B74">
        <w:rPr>
          <w:rFonts w:ascii="Verdana" w:hAnsi="Verdana"/>
          <w:sz w:val="20"/>
          <w:szCs w:val="20"/>
        </w:rPr>
        <w:t xml:space="preserve">novecientos ochenta y siete dólares con treinta y seis centavos </w:t>
      </w:r>
      <w:r w:rsidRPr="00F559E6">
        <w:rPr>
          <w:rFonts w:ascii="Verdana" w:hAnsi="Verdana"/>
          <w:sz w:val="20"/>
          <w:szCs w:val="20"/>
        </w:rPr>
        <w:t xml:space="preserve">de </w:t>
      </w:r>
      <w:r w:rsidR="008A351B">
        <w:rPr>
          <w:rFonts w:ascii="Verdana" w:hAnsi="Verdana"/>
          <w:sz w:val="20"/>
          <w:szCs w:val="20"/>
        </w:rPr>
        <w:t>los Estados Unidos de América).</w:t>
      </w:r>
      <w:r w:rsidR="00AF0B74">
        <w:rPr>
          <w:rFonts w:ascii="Verdana" w:hAnsi="Verdana"/>
          <w:sz w:val="20"/>
          <w:szCs w:val="20"/>
        </w:rPr>
        <w:t xml:space="preserve"> El Estado no presentó observaciones sobre dichas erogaciones.</w:t>
      </w:r>
    </w:p>
    <w:p w14:paraId="6C847D5F" w14:textId="77777777" w:rsidR="00192244" w:rsidRPr="00F559E6" w:rsidRDefault="00192244" w:rsidP="00C962FE">
      <w:pPr>
        <w:spacing w:after="0" w:line="240" w:lineRule="auto"/>
        <w:jc w:val="both"/>
        <w:rPr>
          <w:rFonts w:ascii="Verdana" w:hAnsi="Verdana"/>
          <w:sz w:val="20"/>
          <w:szCs w:val="20"/>
        </w:rPr>
      </w:pPr>
    </w:p>
    <w:p w14:paraId="41C5D638" w14:textId="22DD77F2"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En razón de las violaciones declaradas en la presente Sentencia y del cumplimiento de los requisitos para acogerse al Fondo de Asistencia de la Corte, este Tribunal ordena al Estado el reintegro a dicho Fondo de la cantidad de USD </w:t>
      </w:r>
      <w:r w:rsidR="00AF0B74" w:rsidRPr="00AF0B74">
        <w:rPr>
          <w:rFonts w:ascii="Verdana" w:hAnsi="Verdana"/>
          <w:sz w:val="20"/>
          <w:szCs w:val="20"/>
        </w:rPr>
        <w:t>$9</w:t>
      </w:r>
      <w:r w:rsidR="00AF0B74">
        <w:rPr>
          <w:rFonts w:ascii="Verdana" w:hAnsi="Verdana"/>
          <w:sz w:val="20"/>
          <w:szCs w:val="20"/>
        </w:rPr>
        <w:t>87.36</w:t>
      </w:r>
      <w:r w:rsidR="00AF0B74" w:rsidRPr="00F559E6">
        <w:rPr>
          <w:rFonts w:ascii="Verdana" w:hAnsi="Verdana"/>
          <w:sz w:val="20"/>
          <w:szCs w:val="20"/>
        </w:rPr>
        <w:t xml:space="preserve"> (</w:t>
      </w:r>
      <w:r w:rsidR="00AF0B74">
        <w:rPr>
          <w:rFonts w:ascii="Verdana" w:hAnsi="Verdana"/>
          <w:sz w:val="20"/>
          <w:szCs w:val="20"/>
        </w:rPr>
        <w:t xml:space="preserve">novecientos ochenta y siete dólares con treinta y seis centavos </w:t>
      </w:r>
      <w:r w:rsidR="00AF0B74" w:rsidRPr="00F559E6">
        <w:rPr>
          <w:rFonts w:ascii="Verdana" w:hAnsi="Verdana"/>
          <w:sz w:val="20"/>
          <w:szCs w:val="20"/>
        </w:rPr>
        <w:t xml:space="preserve">de </w:t>
      </w:r>
      <w:r w:rsidR="00AF0B74">
        <w:rPr>
          <w:rFonts w:ascii="Verdana" w:hAnsi="Verdana"/>
          <w:sz w:val="20"/>
          <w:szCs w:val="20"/>
        </w:rPr>
        <w:t>los Estados Unidos de América)</w:t>
      </w:r>
      <w:r w:rsidRPr="00F559E6">
        <w:rPr>
          <w:rFonts w:ascii="Verdana" w:hAnsi="Verdana"/>
          <w:sz w:val="20"/>
          <w:szCs w:val="20"/>
        </w:rPr>
        <w:t xml:space="preserve"> por los gastos incurridos. Este monto deberá ser reintegrado en el plazo de seis meses, contados a partir de la notificación de la presenta Sentencia.</w:t>
      </w:r>
    </w:p>
    <w:p w14:paraId="041EF959"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5DB7FDC1" w14:textId="77777777" w:rsidR="00243386" w:rsidRPr="00F559E6" w:rsidRDefault="00243386" w:rsidP="00C962FE">
      <w:pPr>
        <w:pStyle w:val="Heading2"/>
        <w:rPr>
          <w:rFonts w:cs="Arial"/>
          <w:b w:val="0"/>
          <w:i w:val="0"/>
        </w:rPr>
      </w:pPr>
      <w:bookmarkStart w:id="75" w:name="_Toc19533053"/>
      <w:r w:rsidRPr="00F559E6">
        <w:rPr>
          <w:rFonts w:cs="Arial"/>
        </w:rPr>
        <w:t>Modalidad de cumplimiento de los pagos ordenados</w:t>
      </w:r>
      <w:bookmarkEnd w:id="75"/>
    </w:p>
    <w:p w14:paraId="1E87579D" w14:textId="77777777" w:rsidR="00192244" w:rsidRPr="00192244"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768EC607" w14:textId="4D4738EB" w:rsidR="0024338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El Estado deberá efectuar el pago de las indemnizaciones por concepto de daño inmaterial y el reintegro de costas y gastos establecidos en la presente Sentencia directamente a las personas indicadas en la misma, dentro del plazo de un año contado a partir de la notificación de la presente Sentencia.</w:t>
      </w:r>
    </w:p>
    <w:p w14:paraId="3E3FBCE9"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5E4FF07B" w14:textId="49E4FD42"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 xml:space="preserve">En caso de que </w:t>
      </w:r>
      <w:r w:rsidR="00AF0B74">
        <w:rPr>
          <w:rFonts w:ascii="Verdana" w:hAnsi="Verdana"/>
          <w:sz w:val="20"/>
          <w:szCs w:val="20"/>
        </w:rPr>
        <w:t>el beneficiario</w:t>
      </w:r>
      <w:r w:rsidRPr="00F559E6">
        <w:rPr>
          <w:rFonts w:ascii="Verdana" w:hAnsi="Verdana"/>
          <w:sz w:val="20"/>
          <w:szCs w:val="20"/>
        </w:rPr>
        <w:t xml:space="preserve"> ha</w:t>
      </w:r>
      <w:r w:rsidR="00AF0B74">
        <w:rPr>
          <w:rFonts w:ascii="Verdana" w:hAnsi="Verdana"/>
          <w:sz w:val="20"/>
          <w:szCs w:val="20"/>
        </w:rPr>
        <w:t>ya fallecido o fallezca</w:t>
      </w:r>
      <w:r w:rsidR="00257882">
        <w:rPr>
          <w:rFonts w:ascii="Verdana" w:hAnsi="Verdana"/>
          <w:sz w:val="20"/>
          <w:szCs w:val="20"/>
        </w:rPr>
        <w:t xml:space="preserve"> antes de que le</w:t>
      </w:r>
      <w:r w:rsidRPr="00F559E6">
        <w:rPr>
          <w:rFonts w:ascii="Verdana" w:hAnsi="Verdana"/>
          <w:sz w:val="20"/>
          <w:szCs w:val="20"/>
        </w:rPr>
        <w:t xml:space="preserve"> sea entregada la cantidad respectiva, esta se entregará directamente a sus derechohabientes, conforme al derecho interno aplicable.</w:t>
      </w:r>
    </w:p>
    <w:p w14:paraId="25140731"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3BC974ED" w14:textId="77777777"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2A011747"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3A97848F" w14:textId="77777777"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lastRenderedPageBreak/>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argentina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1C7654EC"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61C54155" w14:textId="3B9EE720" w:rsidR="00F5189F"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Las cantidades asignadas en la presente Sentencia como indemnización por daños inmateriales, y como reintegro de costas y gastos, deberán ser entregadas a las personas indicadas en forma íntegra, conforme a lo establecido en esta Sentencia, sin reducciones derivadas de eventuales cargas fiscales.</w:t>
      </w:r>
    </w:p>
    <w:p w14:paraId="56DAB1DF" w14:textId="77777777" w:rsidR="00192244" w:rsidRPr="00F559E6" w:rsidRDefault="00192244" w:rsidP="00C962FE">
      <w:pPr>
        <w:widowControl w:val="0"/>
        <w:tabs>
          <w:tab w:val="left" w:pos="567"/>
        </w:tabs>
        <w:adjustRightInd w:val="0"/>
        <w:spacing w:after="0" w:line="240" w:lineRule="auto"/>
        <w:jc w:val="both"/>
        <w:textAlignment w:val="baseline"/>
        <w:rPr>
          <w:rFonts w:ascii="Verdana" w:hAnsi="Verdana"/>
          <w:sz w:val="20"/>
          <w:szCs w:val="20"/>
        </w:rPr>
      </w:pPr>
    </w:p>
    <w:p w14:paraId="67683C7C" w14:textId="77777777" w:rsidR="00243386" w:rsidRPr="00F559E6" w:rsidRDefault="00243386" w:rsidP="002767A8">
      <w:pPr>
        <w:widowControl w:val="0"/>
        <w:numPr>
          <w:ilvl w:val="0"/>
          <w:numId w:val="11"/>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F559E6">
        <w:rPr>
          <w:rFonts w:ascii="Verdana" w:hAnsi="Verdana"/>
          <w:sz w:val="20"/>
          <w:szCs w:val="20"/>
        </w:rPr>
        <w:t>En caso de que el Estado incurriera en mora, incluyendo en el reintegro de los gastos al Fondo de Asistencia Legal de Víctimas, deberá pagar un interés sobre la cantidad adeudada correspondiente al interés bancario moratorio en Argentina.</w:t>
      </w:r>
    </w:p>
    <w:p w14:paraId="24E53C63" w14:textId="77777777" w:rsidR="00AF2EBB" w:rsidRDefault="00AF2EBB" w:rsidP="00C962FE">
      <w:pPr>
        <w:widowControl w:val="0"/>
        <w:tabs>
          <w:tab w:val="left" w:pos="567"/>
        </w:tabs>
        <w:adjustRightInd w:val="0"/>
        <w:spacing w:after="0" w:line="240" w:lineRule="auto"/>
        <w:jc w:val="both"/>
        <w:textAlignment w:val="baseline"/>
        <w:rPr>
          <w:rFonts w:ascii="Verdana" w:hAnsi="Verdana"/>
          <w:sz w:val="20"/>
          <w:szCs w:val="20"/>
        </w:rPr>
      </w:pPr>
    </w:p>
    <w:p w14:paraId="5C31A9B3" w14:textId="77777777" w:rsidR="00D90394" w:rsidRDefault="00D90394" w:rsidP="00C962FE">
      <w:pPr>
        <w:widowControl w:val="0"/>
        <w:tabs>
          <w:tab w:val="left" w:pos="567"/>
        </w:tabs>
        <w:adjustRightInd w:val="0"/>
        <w:spacing w:after="0" w:line="240" w:lineRule="auto"/>
        <w:jc w:val="both"/>
        <w:textAlignment w:val="baseline"/>
        <w:rPr>
          <w:rFonts w:ascii="Verdana" w:hAnsi="Verdana"/>
          <w:sz w:val="20"/>
          <w:szCs w:val="20"/>
        </w:rPr>
      </w:pPr>
    </w:p>
    <w:p w14:paraId="037DDB22" w14:textId="77777777" w:rsidR="00BE57AA" w:rsidRPr="003A459E" w:rsidRDefault="00BE57AA" w:rsidP="00825C06">
      <w:pPr>
        <w:pStyle w:val="Heading1"/>
        <w:rPr>
          <w:b w:val="0"/>
        </w:rPr>
      </w:pPr>
      <w:bookmarkStart w:id="76" w:name="_Toc19533054"/>
      <w:r w:rsidRPr="003A459E">
        <w:t>X</w:t>
      </w:r>
      <w:bookmarkEnd w:id="76"/>
    </w:p>
    <w:p w14:paraId="0E4C5BCE" w14:textId="77777777" w:rsidR="00BE57AA" w:rsidRPr="003A459E" w:rsidRDefault="00BE57AA" w:rsidP="00825C06">
      <w:pPr>
        <w:pStyle w:val="Heading1"/>
        <w:rPr>
          <w:b w:val="0"/>
        </w:rPr>
      </w:pPr>
      <w:bookmarkStart w:id="77" w:name="_Toc19533055"/>
      <w:r w:rsidRPr="003A459E">
        <w:t>PUNTOS RESOLUTIVOS</w:t>
      </w:r>
      <w:bookmarkEnd w:id="77"/>
    </w:p>
    <w:p w14:paraId="226AA702" w14:textId="77777777" w:rsidR="00BE57AA" w:rsidRPr="003A459E" w:rsidRDefault="00BE57AA" w:rsidP="00C962FE">
      <w:pPr>
        <w:spacing w:after="0" w:line="240" w:lineRule="auto"/>
        <w:jc w:val="both"/>
        <w:rPr>
          <w:rFonts w:ascii="Verdana" w:hAnsi="Verdana"/>
          <w:b/>
          <w:sz w:val="20"/>
          <w:szCs w:val="20"/>
        </w:rPr>
      </w:pPr>
    </w:p>
    <w:p w14:paraId="7095C1E7" w14:textId="0CD56D78" w:rsidR="00BE57AA" w:rsidRPr="00BF0B14" w:rsidRDefault="00BF0B14" w:rsidP="00C962FE">
      <w:pPr>
        <w:spacing w:after="0" w:line="240" w:lineRule="auto"/>
        <w:jc w:val="both"/>
        <w:rPr>
          <w:rFonts w:ascii="Verdana" w:hAnsi="Verdana"/>
          <w:sz w:val="20"/>
          <w:szCs w:val="20"/>
        </w:rPr>
      </w:pPr>
      <w:r w:rsidRPr="00BF0B14">
        <w:rPr>
          <w:rFonts w:ascii="Verdana" w:hAnsi="Verdana"/>
          <w:sz w:val="20"/>
          <w:szCs w:val="20"/>
        </w:rPr>
        <w:t>Por tanto</w:t>
      </w:r>
      <w:r w:rsidR="00BE57AA" w:rsidRPr="00BF0B14">
        <w:rPr>
          <w:rFonts w:ascii="Verdana" w:hAnsi="Verdana"/>
          <w:sz w:val="20"/>
          <w:szCs w:val="20"/>
        </w:rPr>
        <w:t xml:space="preserve">, </w:t>
      </w:r>
    </w:p>
    <w:p w14:paraId="3C3CB461" w14:textId="77777777" w:rsidR="00BE57AA" w:rsidRPr="003A459E" w:rsidRDefault="00BE57AA" w:rsidP="00C962FE">
      <w:pPr>
        <w:spacing w:after="0" w:line="240" w:lineRule="auto"/>
        <w:jc w:val="both"/>
        <w:rPr>
          <w:rFonts w:ascii="Verdana" w:hAnsi="Verdana"/>
          <w:b/>
          <w:sz w:val="20"/>
          <w:szCs w:val="20"/>
        </w:rPr>
      </w:pPr>
    </w:p>
    <w:p w14:paraId="29CD8B8A" w14:textId="493BBEEA" w:rsidR="00BF0B14" w:rsidRDefault="00BE57AA" w:rsidP="00C962FE">
      <w:pPr>
        <w:spacing w:after="0" w:line="240" w:lineRule="auto"/>
        <w:jc w:val="both"/>
        <w:rPr>
          <w:rFonts w:ascii="Verdana" w:hAnsi="Verdana"/>
          <w:b/>
          <w:sz w:val="20"/>
          <w:szCs w:val="20"/>
        </w:rPr>
      </w:pPr>
      <w:r w:rsidRPr="003A459E">
        <w:rPr>
          <w:rFonts w:ascii="Verdana" w:hAnsi="Verdana"/>
          <w:b/>
          <w:sz w:val="20"/>
          <w:szCs w:val="20"/>
        </w:rPr>
        <w:t xml:space="preserve">LA CORTE </w:t>
      </w:r>
    </w:p>
    <w:p w14:paraId="1417FF3C" w14:textId="44F7D007" w:rsidR="00BF0B14" w:rsidRDefault="00BF0B14" w:rsidP="00C962FE">
      <w:pPr>
        <w:spacing w:after="0" w:line="240" w:lineRule="auto"/>
        <w:jc w:val="both"/>
        <w:rPr>
          <w:rFonts w:ascii="Verdana" w:hAnsi="Verdana"/>
          <w:b/>
          <w:sz w:val="20"/>
          <w:szCs w:val="20"/>
        </w:rPr>
      </w:pPr>
    </w:p>
    <w:p w14:paraId="71F48836" w14:textId="3887A81E" w:rsidR="00BF0B14" w:rsidRDefault="00BF0B14" w:rsidP="00C962FE">
      <w:pPr>
        <w:spacing w:after="0" w:line="240" w:lineRule="auto"/>
        <w:jc w:val="both"/>
        <w:rPr>
          <w:rFonts w:ascii="Verdana" w:hAnsi="Verdana"/>
          <w:b/>
          <w:sz w:val="20"/>
          <w:szCs w:val="20"/>
        </w:rPr>
      </w:pPr>
      <w:r>
        <w:rPr>
          <w:rFonts w:ascii="Verdana" w:hAnsi="Verdana"/>
          <w:b/>
          <w:sz w:val="20"/>
          <w:szCs w:val="20"/>
        </w:rPr>
        <w:t>DECIDE,</w:t>
      </w:r>
    </w:p>
    <w:p w14:paraId="47494CE2" w14:textId="24A011AA" w:rsidR="00BF0B14" w:rsidRDefault="00BF0B14" w:rsidP="00C962FE">
      <w:pPr>
        <w:spacing w:after="0" w:line="240" w:lineRule="auto"/>
        <w:jc w:val="both"/>
        <w:rPr>
          <w:rFonts w:ascii="Verdana" w:hAnsi="Verdana"/>
          <w:b/>
          <w:sz w:val="20"/>
          <w:szCs w:val="20"/>
        </w:rPr>
      </w:pPr>
    </w:p>
    <w:p w14:paraId="2BD2700A" w14:textId="73D9A797" w:rsidR="00BF0B14" w:rsidRDefault="00BF0B14" w:rsidP="00C962FE">
      <w:pPr>
        <w:spacing w:after="0" w:line="240" w:lineRule="auto"/>
        <w:jc w:val="both"/>
        <w:rPr>
          <w:rFonts w:ascii="Verdana" w:hAnsi="Verdana"/>
          <w:sz w:val="20"/>
          <w:szCs w:val="20"/>
        </w:rPr>
      </w:pPr>
      <w:r w:rsidRPr="00DB5ABD">
        <w:rPr>
          <w:rFonts w:ascii="Verdana" w:hAnsi="Verdana"/>
          <w:sz w:val="20"/>
          <w:szCs w:val="20"/>
        </w:rPr>
        <w:t>Por</w:t>
      </w:r>
      <w:r>
        <w:rPr>
          <w:rFonts w:ascii="Verdana" w:hAnsi="Verdana"/>
          <w:sz w:val="20"/>
          <w:szCs w:val="20"/>
        </w:rPr>
        <w:t xml:space="preserve"> </w:t>
      </w:r>
      <w:r w:rsidR="00DB5ABD">
        <w:rPr>
          <w:rFonts w:ascii="Verdana" w:hAnsi="Verdana"/>
          <w:sz w:val="20"/>
          <w:szCs w:val="20"/>
        </w:rPr>
        <w:t>unanimidad,</w:t>
      </w:r>
    </w:p>
    <w:p w14:paraId="509752D0" w14:textId="600DD04A" w:rsidR="00BF0B14" w:rsidRDefault="00BF0B14" w:rsidP="00C962FE">
      <w:pPr>
        <w:spacing w:after="0" w:line="240" w:lineRule="auto"/>
        <w:jc w:val="both"/>
        <w:rPr>
          <w:rFonts w:ascii="Verdana" w:hAnsi="Verdana"/>
          <w:sz w:val="20"/>
          <w:szCs w:val="20"/>
        </w:rPr>
      </w:pPr>
    </w:p>
    <w:p w14:paraId="4008F40F" w14:textId="40DCBB57" w:rsidR="00BF0B14" w:rsidRPr="00DB5ABD" w:rsidRDefault="00BF0B14" w:rsidP="002767A8">
      <w:pPr>
        <w:pStyle w:val="ListParagraph"/>
        <w:numPr>
          <w:ilvl w:val="3"/>
          <w:numId w:val="16"/>
        </w:numPr>
        <w:tabs>
          <w:tab w:val="left" w:pos="567"/>
        </w:tabs>
        <w:spacing w:after="0" w:line="240" w:lineRule="auto"/>
        <w:ind w:left="0" w:firstLine="0"/>
        <w:jc w:val="both"/>
        <w:rPr>
          <w:rFonts w:ascii="Verdana" w:hAnsi="Verdana"/>
          <w:sz w:val="20"/>
          <w:szCs w:val="20"/>
          <w:lang w:eastAsia="es-ES_tradnl"/>
        </w:rPr>
      </w:pPr>
      <w:r w:rsidRPr="00DB5ABD">
        <w:rPr>
          <w:rFonts w:ascii="Verdana" w:hAnsi="Verdana"/>
          <w:sz w:val="20"/>
          <w:szCs w:val="20"/>
          <w:lang w:eastAsia="es-ES_tradnl"/>
        </w:rPr>
        <w:t xml:space="preserve">Desestimar la excepción preliminar interpuesta por el Estado relativa a la falta de competencia de la Corte para realizar </w:t>
      </w:r>
      <w:r w:rsidR="00A524D4">
        <w:rPr>
          <w:rFonts w:ascii="Verdana" w:hAnsi="Verdana"/>
          <w:sz w:val="20"/>
          <w:szCs w:val="20"/>
          <w:lang w:eastAsia="es-ES_tradnl"/>
        </w:rPr>
        <w:t>el</w:t>
      </w:r>
      <w:r w:rsidRPr="00DB5ABD">
        <w:rPr>
          <w:rFonts w:ascii="Verdana" w:hAnsi="Verdana"/>
          <w:sz w:val="20"/>
          <w:szCs w:val="20"/>
          <w:lang w:eastAsia="es-ES_tradnl"/>
        </w:rPr>
        <w:t xml:space="preserve"> control de convencionalidad</w:t>
      </w:r>
      <w:r w:rsidR="00A524D4">
        <w:rPr>
          <w:rFonts w:ascii="Verdana" w:hAnsi="Verdana"/>
          <w:sz w:val="20"/>
          <w:szCs w:val="20"/>
          <w:lang w:eastAsia="es-ES_tradnl"/>
        </w:rPr>
        <w:t xml:space="preserve"> solicitado</w:t>
      </w:r>
      <w:r w:rsidRPr="00DB5ABD">
        <w:rPr>
          <w:rFonts w:ascii="Verdana" w:hAnsi="Verdana"/>
          <w:sz w:val="20"/>
          <w:szCs w:val="20"/>
          <w:lang w:eastAsia="es-ES_tradnl"/>
        </w:rPr>
        <w:t>, en los términos de los párrafos 19 a 21 de la presente Sentencia.</w:t>
      </w:r>
    </w:p>
    <w:p w14:paraId="485B7FBF" w14:textId="77777777" w:rsidR="00BF0B14" w:rsidRDefault="00BF0B14" w:rsidP="00C962FE">
      <w:pPr>
        <w:spacing w:after="0" w:line="240" w:lineRule="auto"/>
        <w:jc w:val="both"/>
        <w:rPr>
          <w:rFonts w:ascii="Verdana" w:hAnsi="Verdana"/>
          <w:b/>
          <w:sz w:val="20"/>
          <w:szCs w:val="20"/>
        </w:rPr>
      </w:pPr>
    </w:p>
    <w:p w14:paraId="7FE0B1A5" w14:textId="529F67BC" w:rsidR="00BE57AA" w:rsidRPr="003A459E" w:rsidRDefault="00BE57AA" w:rsidP="00C962FE">
      <w:pPr>
        <w:spacing w:after="0" w:line="240" w:lineRule="auto"/>
        <w:jc w:val="both"/>
        <w:rPr>
          <w:rFonts w:ascii="Verdana" w:hAnsi="Verdana"/>
          <w:b/>
          <w:sz w:val="20"/>
          <w:szCs w:val="20"/>
        </w:rPr>
      </w:pPr>
      <w:r w:rsidRPr="003A459E">
        <w:rPr>
          <w:rFonts w:ascii="Verdana" w:hAnsi="Verdana"/>
          <w:b/>
          <w:sz w:val="20"/>
          <w:szCs w:val="20"/>
        </w:rPr>
        <w:t xml:space="preserve">DECLARA: </w:t>
      </w:r>
    </w:p>
    <w:p w14:paraId="6A0C00EC" w14:textId="77777777" w:rsidR="00BE57AA" w:rsidRPr="003A459E" w:rsidRDefault="00BE57AA" w:rsidP="00C962FE">
      <w:pPr>
        <w:spacing w:after="0" w:line="240" w:lineRule="auto"/>
        <w:jc w:val="both"/>
        <w:rPr>
          <w:rFonts w:ascii="Verdana" w:hAnsi="Verdana"/>
          <w:sz w:val="20"/>
          <w:szCs w:val="20"/>
        </w:rPr>
      </w:pPr>
    </w:p>
    <w:p w14:paraId="698C52D8" w14:textId="790A7F51" w:rsidR="00BE57AA" w:rsidRPr="003A459E" w:rsidRDefault="00BE57AA" w:rsidP="00C962FE">
      <w:pPr>
        <w:spacing w:after="0" w:line="240" w:lineRule="auto"/>
        <w:jc w:val="both"/>
        <w:rPr>
          <w:rFonts w:ascii="Verdana" w:hAnsi="Verdana"/>
          <w:sz w:val="20"/>
          <w:szCs w:val="20"/>
        </w:rPr>
      </w:pPr>
      <w:r w:rsidRPr="003A459E">
        <w:rPr>
          <w:rFonts w:ascii="Verdana" w:hAnsi="Verdana"/>
          <w:sz w:val="20"/>
          <w:szCs w:val="20"/>
        </w:rPr>
        <w:t xml:space="preserve">Por </w:t>
      </w:r>
      <w:r w:rsidR="00DB5ABD">
        <w:rPr>
          <w:rFonts w:ascii="Verdana" w:hAnsi="Verdana"/>
          <w:sz w:val="20"/>
          <w:szCs w:val="20"/>
        </w:rPr>
        <w:t>unanimidad,</w:t>
      </w:r>
      <w:r w:rsidR="00DB5ABD" w:rsidRPr="003A459E">
        <w:rPr>
          <w:rFonts w:ascii="Verdana" w:hAnsi="Verdana"/>
          <w:sz w:val="20"/>
          <w:szCs w:val="20"/>
        </w:rPr>
        <w:t xml:space="preserve"> </w:t>
      </w:r>
      <w:r w:rsidRPr="003A459E">
        <w:rPr>
          <w:rFonts w:ascii="Verdana" w:hAnsi="Verdana"/>
          <w:sz w:val="20"/>
          <w:szCs w:val="20"/>
        </w:rPr>
        <w:t>que</w:t>
      </w:r>
      <w:r w:rsidR="00DB5ABD">
        <w:rPr>
          <w:rFonts w:ascii="Verdana" w:hAnsi="Verdana"/>
          <w:sz w:val="20"/>
          <w:szCs w:val="20"/>
        </w:rPr>
        <w:t>:</w:t>
      </w:r>
    </w:p>
    <w:p w14:paraId="47532500" w14:textId="77777777" w:rsidR="00BE57AA" w:rsidRPr="003A459E" w:rsidRDefault="00BE57AA" w:rsidP="00C962FE">
      <w:pPr>
        <w:spacing w:after="0" w:line="240" w:lineRule="auto"/>
        <w:jc w:val="both"/>
        <w:rPr>
          <w:rFonts w:ascii="Verdana" w:hAnsi="Verdana"/>
          <w:sz w:val="20"/>
          <w:szCs w:val="20"/>
        </w:rPr>
      </w:pPr>
    </w:p>
    <w:p w14:paraId="43078F44" w14:textId="36221B0B" w:rsidR="00DB5ABD" w:rsidRDefault="00BE57AA" w:rsidP="002767A8">
      <w:pPr>
        <w:pStyle w:val="ListParagraph"/>
        <w:numPr>
          <w:ilvl w:val="3"/>
          <w:numId w:val="16"/>
        </w:numPr>
        <w:spacing w:after="0" w:line="240" w:lineRule="auto"/>
        <w:ind w:left="0" w:firstLine="0"/>
        <w:jc w:val="both"/>
        <w:rPr>
          <w:rFonts w:ascii="Verdana" w:hAnsi="Verdana" w:cs="Verdana"/>
          <w:sz w:val="20"/>
          <w:szCs w:val="20"/>
        </w:rPr>
      </w:pPr>
      <w:r w:rsidRPr="00DB5ABD">
        <w:rPr>
          <w:rFonts w:ascii="Verdana" w:hAnsi="Verdana"/>
          <w:sz w:val="20"/>
          <w:szCs w:val="20"/>
        </w:rPr>
        <w:t>E</w:t>
      </w:r>
      <w:r w:rsidRPr="00DB5ABD">
        <w:rPr>
          <w:rFonts w:ascii="Verdana" w:hAnsi="Verdana" w:cs="Verdana"/>
          <w:sz w:val="20"/>
          <w:szCs w:val="20"/>
        </w:rPr>
        <w:t xml:space="preserve">l Estado es responsable por la violación al derecho a recurrir </w:t>
      </w:r>
      <w:r w:rsidR="006B4D61" w:rsidRPr="00DB5ABD">
        <w:rPr>
          <w:rFonts w:ascii="Verdana" w:hAnsi="Verdana" w:cs="Verdana"/>
          <w:sz w:val="20"/>
          <w:szCs w:val="20"/>
        </w:rPr>
        <w:t>el fallo contenido en el artículo 8.2.h</w:t>
      </w:r>
      <w:r w:rsidR="001E07BF">
        <w:rPr>
          <w:rFonts w:ascii="Verdana" w:hAnsi="Verdana" w:cs="Verdana"/>
          <w:sz w:val="20"/>
          <w:szCs w:val="20"/>
        </w:rPr>
        <w:t>)</w:t>
      </w:r>
      <w:r w:rsidRPr="00DB5ABD">
        <w:rPr>
          <w:rFonts w:ascii="Verdana" w:hAnsi="Verdana" w:cs="Verdana"/>
          <w:sz w:val="20"/>
          <w:szCs w:val="20"/>
        </w:rPr>
        <w:t xml:space="preserve"> de la Convención</w:t>
      </w:r>
      <w:r w:rsidR="006B4D61" w:rsidRPr="00DB5ABD">
        <w:rPr>
          <w:rFonts w:ascii="Verdana" w:hAnsi="Verdana" w:cs="Verdana"/>
          <w:sz w:val="20"/>
          <w:szCs w:val="20"/>
        </w:rPr>
        <w:t xml:space="preserve"> Americana</w:t>
      </w:r>
      <w:r w:rsidRPr="00DB5ABD">
        <w:rPr>
          <w:rFonts w:ascii="Verdana" w:hAnsi="Verdana" w:cs="Verdana"/>
          <w:sz w:val="20"/>
          <w:szCs w:val="20"/>
        </w:rPr>
        <w:t xml:space="preserve">, en relación con el artículo 1.1 del </w:t>
      </w:r>
      <w:r w:rsidR="006B4D61" w:rsidRPr="00DB5ABD">
        <w:rPr>
          <w:rFonts w:ascii="Verdana" w:hAnsi="Verdana" w:cs="Verdana"/>
          <w:sz w:val="20"/>
          <w:szCs w:val="20"/>
        </w:rPr>
        <w:t>mismo instrumento</w:t>
      </w:r>
      <w:r w:rsidRPr="00DB5ABD">
        <w:rPr>
          <w:rFonts w:ascii="Verdana" w:hAnsi="Verdana" w:cs="Verdana"/>
          <w:sz w:val="20"/>
          <w:szCs w:val="20"/>
        </w:rPr>
        <w:t xml:space="preserve">, en perjuicio del señor </w:t>
      </w:r>
      <w:r w:rsidRPr="00DB5ABD">
        <w:rPr>
          <w:rFonts w:ascii="Verdana" w:hAnsi="Verdana" w:cs="Arial"/>
          <w:color w:val="1A1A1A"/>
          <w:sz w:val="20"/>
          <w:szCs w:val="20"/>
          <w:lang w:val="es-CR" w:eastAsia="es-CR"/>
        </w:rPr>
        <w:t>Oscar Raúl Gorigoitía</w:t>
      </w:r>
      <w:r w:rsidRPr="00DB5ABD">
        <w:rPr>
          <w:rFonts w:ascii="Verdana" w:hAnsi="Verdana" w:cs="Verdana"/>
          <w:sz w:val="20"/>
          <w:szCs w:val="20"/>
        </w:rPr>
        <w:t>, en los términos de los párrafos 47 a 53 de la presente Sentencia.</w:t>
      </w:r>
    </w:p>
    <w:p w14:paraId="10F3F05C" w14:textId="77777777" w:rsidR="00DB5ABD" w:rsidRDefault="00DB5ABD" w:rsidP="00C962FE">
      <w:pPr>
        <w:pStyle w:val="ListParagraph"/>
        <w:spacing w:after="0" w:line="240" w:lineRule="auto"/>
        <w:ind w:left="0"/>
        <w:jc w:val="both"/>
        <w:rPr>
          <w:rFonts w:ascii="Verdana" w:hAnsi="Verdana" w:cs="Verdana"/>
          <w:sz w:val="20"/>
          <w:szCs w:val="20"/>
        </w:rPr>
      </w:pPr>
    </w:p>
    <w:p w14:paraId="6A2C4513" w14:textId="77777777" w:rsidR="00DB5ABD" w:rsidRDefault="00DB5ABD" w:rsidP="002767A8">
      <w:pPr>
        <w:pStyle w:val="ListParagraph"/>
        <w:numPr>
          <w:ilvl w:val="3"/>
          <w:numId w:val="16"/>
        </w:numPr>
        <w:spacing w:after="0" w:line="240" w:lineRule="auto"/>
        <w:ind w:left="0" w:firstLine="0"/>
        <w:jc w:val="both"/>
        <w:rPr>
          <w:rFonts w:ascii="Verdana" w:hAnsi="Verdana" w:cs="Verdana"/>
          <w:sz w:val="20"/>
          <w:szCs w:val="20"/>
        </w:rPr>
      </w:pPr>
      <w:r w:rsidRPr="00DB5ABD">
        <w:rPr>
          <w:rFonts w:ascii="Verdana" w:hAnsi="Verdana" w:cs="Verdana"/>
          <w:sz w:val="20"/>
          <w:szCs w:val="20"/>
        </w:rPr>
        <w:t>El Estado es responsable por la violación al deber de adoptar disposiciones del derecho interno, establecido en el artículo 2 de la Convención Americana, en relación con el artículo 8.2.h) del referido instrumento, en los términos de los párrafos 55 y 56 de la presente Sentencia.</w:t>
      </w:r>
    </w:p>
    <w:p w14:paraId="2AFC2E2F" w14:textId="77777777" w:rsidR="00DB5ABD" w:rsidRPr="00DB5ABD" w:rsidRDefault="00DB5ABD" w:rsidP="00C962FE">
      <w:pPr>
        <w:pStyle w:val="ListParagraph"/>
        <w:spacing w:line="240" w:lineRule="auto"/>
        <w:rPr>
          <w:rFonts w:ascii="Verdana" w:eastAsiaTheme="minorHAnsi" w:hAnsi="Verdana" w:cs="Verdana"/>
          <w:sz w:val="20"/>
          <w:szCs w:val="20"/>
          <w:lang w:val="es-CO"/>
        </w:rPr>
      </w:pPr>
    </w:p>
    <w:p w14:paraId="3F3EEC0E" w14:textId="7D39A899" w:rsidR="00DB5ABD" w:rsidRPr="00DB5ABD" w:rsidRDefault="00DB5ABD" w:rsidP="00C962FE">
      <w:pPr>
        <w:pStyle w:val="ListParagraph"/>
        <w:spacing w:after="0" w:line="240" w:lineRule="auto"/>
        <w:ind w:left="0"/>
        <w:jc w:val="both"/>
        <w:rPr>
          <w:rFonts w:ascii="Verdana" w:hAnsi="Verdana" w:cs="Verdana"/>
          <w:sz w:val="20"/>
          <w:szCs w:val="20"/>
        </w:rPr>
      </w:pPr>
      <w:r w:rsidRPr="00DB5ABD">
        <w:rPr>
          <w:rFonts w:ascii="Verdana" w:eastAsiaTheme="minorHAnsi" w:hAnsi="Verdana" w:cs="Verdana"/>
          <w:sz w:val="20"/>
          <w:szCs w:val="20"/>
          <w:lang w:val="es-CO"/>
        </w:rPr>
        <w:t xml:space="preserve">4. </w:t>
      </w:r>
      <w:r w:rsidRPr="00DB5ABD">
        <w:rPr>
          <w:rFonts w:ascii="Verdana" w:eastAsiaTheme="minorHAnsi" w:hAnsi="Verdana" w:cs="Verdana"/>
          <w:sz w:val="20"/>
          <w:szCs w:val="20"/>
          <w:lang w:val="es-CO"/>
        </w:rPr>
        <w:tab/>
        <w:t xml:space="preserve">El Estado no </w:t>
      </w:r>
      <w:r w:rsidRPr="00DB5ABD">
        <w:rPr>
          <w:rFonts w:ascii="Verdana" w:hAnsi="Verdana" w:cs="Verdana"/>
          <w:sz w:val="20"/>
          <w:szCs w:val="20"/>
        </w:rPr>
        <w:t xml:space="preserve">es responsable por la violación al derecho a la protección judicial en términos del artículo 25 de la Convención Americana, en relación con el artículo 1.1 del referido instrumento, en los términos del párrafo 54 de la presente Sentencia. </w:t>
      </w:r>
    </w:p>
    <w:p w14:paraId="5660F979" w14:textId="77777777" w:rsidR="00BE57AA" w:rsidRPr="003A459E" w:rsidRDefault="00BE57AA" w:rsidP="00C962FE">
      <w:pPr>
        <w:pStyle w:val="ListParagraph"/>
        <w:widowControl w:val="0"/>
        <w:tabs>
          <w:tab w:val="left" w:pos="567"/>
        </w:tabs>
        <w:adjustRightInd w:val="0"/>
        <w:spacing w:after="0" w:line="240" w:lineRule="auto"/>
        <w:ind w:left="0"/>
        <w:jc w:val="both"/>
        <w:textAlignment w:val="baseline"/>
        <w:rPr>
          <w:rFonts w:ascii="Verdana" w:hAnsi="Verdana" w:cs="Verdana"/>
          <w:sz w:val="20"/>
          <w:szCs w:val="20"/>
          <w:lang w:val="es-CO"/>
        </w:rPr>
      </w:pPr>
    </w:p>
    <w:p w14:paraId="614F7E48" w14:textId="0E46E581" w:rsidR="00BE57AA" w:rsidRPr="003A459E" w:rsidRDefault="00D90394" w:rsidP="00C962FE">
      <w:pPr>
        <w:pStyle w:val="ListParagraph"/>
        <w:widowControl w:val="0"/>
        <w:tabs>
          <w:tab w:val="left" w:pos="567"/>
        </w:tabs>
        <w:adjustRightInd w:val="0"/>
        <w:spacing w:after="0" w:line="240" w:lineRule="auto"/>
        <w:ind w:left="0"/>
        <w:jc w:val="both"/>
        <w:textAlignment w:val="baseline"/>
        <w:rPr>
          <w:rFonts w:ascii="Verdana" w:hAnsi="Verdana" w:cs="Arial"/>
          <w:sz w:val="20"/>
          <w:szCs w:val="20"/>
        </w:rPr>
      </w:pPr>
      <w:r>
        <w:rPr>
          <w:rFonts w:ascii="Verdana" w:hAnsi="Verdana" w:cs="Verdana"/>
          <w:sz w:val="20"/>
          <w:szCs w:val="20"/>
        </w:rPr>
        <w:t>5</w:t>
      </w:r>
      <w:r w:rsidR="00BE57AA" w:rsidRPr="003A459E">
        <w:rPr>
          <w:rFonts w:ascii="Verdana" w:hAnsi="Verdana" w:cs="Verdana"/>
          <w:sz w:val="20"/>
          <w:szCs w:val="20"/>
        </w:rPr>
        <w:t xml:space="preserve">. </w:t>
      </w:r>
      <w:r w:rsidR="006B4D61">
        <w:rPr>
          <w:rFonts w:ascii="Verdana" w:hAnsi="Verdana" w:cs="Verdana"/>
          <w:sz w:val="20"/>
          <w:szCs w:val="20"/>
        </w:rPr>
        <w:tab/>
      </w:r>
      <w:r w:rsidR="006B4D61">
        <w:rPr>
          <w:rFonts w:ascii="Verdana" w:hAnsi="Verdana" w:cs="Verdana"/>
          <w:sz w:val="20"/>
          <w:szCs w:val="20"/>
        </w:rPr>
        <w:tab/>
      </w:r>
      <w:r w:rsidR="00BE57AA" w:rsidRPr="003A459E">
        <w:rPr>
          <w:rFonts w:ascii="Verdana" w:hAnsi="Verdana" w:cs="Verdana"/>
          <w:sz w:val="20"/>
          <w:szCs w:val="20"/>
        </w:rPr>
        <w:t>El Estado no es responsable por la violación a la cláusula federal dispuesta por el artículo 28 de la Convención</w:t>
      </w:r>
      <w:r w:rsidR="00B62132">
        <w:rPr>
          <w:rFonts w:ascii="Verdana" w:hAnsi="Verdana" w:cs="Verdana"/>
          <w:sz w:val="20"/>
          <w:szCs w:val="20"/>
        </w:rPr>
        <w:t xml:space="preserve"> Americana</w:t>
      </w:r>
      <w:r w:rsidR="00BE57AA" w:rsidRPr="003A459E">
        <w:rPr>
          <w:rFonts w:ascii="Verdana" w:hAnsi="Verdana" w:cs="Verdana"/>
          <w:sz w:val="20"/>
          <w:szCs w:val="20"/>
        </w:rPr>
        <w:t xml:space="preserve">, en los términos del </w:t>
      </w:r>
      <w:r w:rsidR="00BE57AA" w:rsidRPr="00B62132">
        <w:rPr>
          <w:rFonts w:ascii="Verdana" w:hAnsi="Verdana" w:cs="Verdana"/>
          <w:sz w:val="20"/>
          <w:szCs w:val="20"/>
        </w:rPr>
        <w:t>párra</w:t>
      </w:r>
      <w:r w:rsidR="006B4D61" w:rsidRPr="00B62132">
        <w:rPr>
          <w:rFonts w:ascii="Verdana" w:hAnsi="Verdana" w:cs="Verdana"/>
          <w:sz w:val="20"/>
          <w:szCs w:val="20"/>
        </w:rPr>
        <w:t>fo 57</w:t>
      </w:r>
      <w:r w:rsidR="006B4D61">
        <w:rPr>
          <w:rFonts w:ascii="Verdana" w:hAnsi="Verdana" w:cs="Verdana"/>
          <w:sz w:val="20"/>
          <w:szCs w:val="20"/>
        </w:rPr>
        <w:t xml:space="preserve"> de la presente Sentencia.</w:t>
      </w:r>
    </w:p>
    <w:p w14:paraId="41AC7C81" w14:textId="77777777" w:rsidR="00BE57AA" w:rsidRPr="003A459E" w:rsidRDefault="00BE57AA" w:rsidP="00C962FE">
      <w:pPr>
        <w:spacing w:after="0" w:line="240" w:lineRule="auto"/>
        <w:jc w:val="both"/>
        <w:rPr>
          <w:rFonts w:ascii="Verdana" w:hAnsi="Verdana" w:cs="Arial"/>
          <w:sz w:val="20"/>
          <w:szCs w:val="20"/>
        </w:rPr>
      </w:pPr>
    </w:p>
    <w:p w14:paraId="11312D5E" w14:textId="77777777" w:rsidR="00BE57AA" w:rsidRPr="003A459E" w:rsidRDefault="00BE57AA" w:rsidP="00C962FE">
      <w:pPr>
        <w:spacing w:after="0" w:line="240" w:lineRule="auto"/>
        <w:jc w:val="both"/>
        <w:rPr>
          <w:rFonts w:ascii="Verdana" w:hAnsi="Verdana"/>
          <w:b/>
          <w:sz w:val="20"/>
          <w:szCs w:val="20"/>
        </w:rPr>
      </w:pPr>
      <w:r w:rsidRPr="003A459E">
        <w:rPr>
          <w:rFonts w:ascii="Verdana" w:hAnsi="Verdana"/>
          <w:b/>
          <w:sz w:val="20"/>
          <w:szCs w:val="20"/>
        </w:rPr>
        <w:lastRenderedPageBreak/>
        <w:t xml:space="preserve">Y DISPONE: </w:t>
      </w:r>
    </w:p>
    <w:p w14:paraId="26A63416" w14:textId="77777777" w:rsidR="00BE57AA" w:rsidRPr="00895E05" w:rsidRDefault="00BE57AA" w:rsidP="00C962FE">
      <w:pPr>
        <w:spacing w:after="0" w:line="240" w:lineRule="auto"/>
        <w:jc w:val="both"/>
        <w:rPr>
          <w:rFonts w:ascii="Verdana" w:hAnsi="Verdana"/>
          <w:sz w:val="8"/>
          <w:szCs w:val="8"/>
        </w:rPr>
      </w:pPr>
    </w:p>
    <w:p w14:paraId="5128E7AA" w14:textId="77777777" w:rsidR="00BE57AA" w:rsidRPr="003A459E" w:rsidRDefault="00BE57AA" w:rsidP="00C962FE">
      <w:pPr>
        <w:spacing w:after="0" w:line="240" w:lineRule="auto"/>
        <w:jc w:val="both"/>
        <w:rPr>
          <w:rFonts w:ascii="Verdana" w:hAnsi="Verdana"/>
          <w:sz w:val="20"/>
          <w:szCs w:val="20"/>
        </w:rPr>
      </w:pPr>
      <w:r w:rsidRPr="003A459E">
        <w:rPr>
          <w:rFonts w:ascii="Verdana" w:hAnsi="Verdana"/>
          <w:sz w:val="20"/>
          <w:szCs w:val="20"/>
        </w:rPr>
        <w:t xml:space="preserve">Por unanimidad, que </w:t>
      </w:r>
    </w:p>
    <w:p w14:paraId="294C3D06" w14:textId="77777777" w:rsidR="00BE57AA" w:rsidRPr="00895E05" w:rsidRDefault="00BE57AA" w:rsidP="00C962FE">
      <w:pPr>
        <w:spacing w:after="0" w:line="240" w:lineRule="auto"/>
        <w:jc w:val="both"/>
        <w:rPr>
          <w:rFonts w:ascii="Verdana" w:hAnsi="Verdana"/>
          <w:sz w:val="8"/>
          <w:szCs w:val="8"/>
        </w:rPr>
      </w:pPr>
    </w:p>
    <w:p w14:paraId="6CCDE7F8" w14:textId="13E3AD83" w:rsidR="00BE57AA" w:rsidRPr="003A459E" w:rsidRDefault="00D90394" w:rsidP="00C962FE">
      <w:pPr>
        <w:spacing w:after="0" w:line="240" w:lineRule="auto"/>
        <w:jc w:val="both"/>
        <w:rPr>
          <w:rFonts w:ascii="Verdana" w:hAnsi="Verdana" w:cs="Arial"/>
          <w:sz w:val="20"/>
          <w:szCs w:val="20"/>
          <w:lang w:val="es-CR"/>
        </w:rPr>
      </w:pPr>
      <w:r>
        <w:rPr>
          <w:rFonts w:ascii="Verdana" w:hAnsi="Verdana"/>
          <w:sz w:val="20"/>
          <w:szCs w:val="20"/>
        </w:rPr>
        <w:t>6</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 xml:space="preserve">El Estado debe, dentro del plazo de seis meses a partir de la notificación de la presente Sentencia, adoptar las </w:t>
      </w:r>
      <w:r w:rsidR="00BE57AA" w:rsidRPr="003A459E">
        <w:rPr>
          <w:rFonts w:ascii="Verdana" w:hAnsi="Verdana" w:cs="Arial"/>
          <w:sz w:val="20"/>
          <w:szCs w:val="20"/>
          <w:lang w:val="es-CR"/>
        </w:rPr>
        <w:t xml:space="preserve">medidas necesarias para garantizar al señor </w:t>
      </w:r>
      <w:r w:rsidR="00BE57AA" w:rsidRPr="003A459E">
        <w:rPr>
          <w:rFonts w:ascii="Verdana" w:hAnsi="Verdana" w:cs="Arial"/>
          <w:color w:val="1A1A1A"/>
          <w:sz w:val="20"/>
          <w:szCs w:val="20"/>
          <w:lang w:val="es-CR" w:eastAsia="es-CR"/>
        </w:rPr>
        <w:t xml:space="preserve">Oscar Raúl </w:t>
      </w:r>
      <w:r w:rsidR="00BE57AA" w:rsidRPr="003A459E">
        <w:rPr>
          <w:rFonts w:ascii="Verdana" w:hAnsi="Verdana" w:cs="Arial"/>
          <w:sz w:val="20"/>
          <w:szCs w:val="20"/>
          <w:lang w:val="es-CR"/>
        </w:rPr>
        <w:t>Gorigoitía el derecho de recurrir el fallo condenatorio emitido por la Cámara Primera del Crimen de Mendoza el 12 de se</w:t>
      </w:r>
      <w:r w:rsidR="00CA7586">
        <w:rPr>
          <w:rFonts w:ascii="Verdana" w:hAnsi="Verdana" w:cs="Arial"/>
          <w:sz w:val="20"/>
          <w:szCs w:val="20"/>
          <w:lang w:val="es-CR"/>
        </w:rPr>
        <w:t>ptiembre de 1997, en términos de lo dispuesto en el párrafo 66 de la presente Sentencia</w:t>
      </w:r>
      <w:r w:rsidR="00BE57AA" w:rsidRPr="003A459E">
        <w:rPr>
          <w:rFonts w:ascii="Verdana" w:hAnsi="Verdana" w:cs="Arial"/>
          <w:sz w:val="20"/>
          <w:szCs w:val="20"/>
          <w:lang w:val="es-CR"/>
        </w:rPr>
        <w:t>.</w:t>
      </w:r>
    </w:p>
    <w:p w14:paraId="3248F84D" w14:textId="77777777" w:rsidR="00BE57AA" w:rsidRPr="003A459E" w:rsidRDefault="00BE57AA" w:rsidP="00C962FE">
      <w:pPr>
        <w:spacing w:after="0" w:line="240" w:lineRule="auto"/>
        <w:jc w:val="both"/>
        <w:rPr>
          <w:rFonts w:ascii="Verdana" w:hAnsi="Verdana" w:cs="Arial"/>
          <w:sz w:val="20"/>
          <w:szCs w:val="20"/>
          <w:lang w:val="es-CR"/>
        </w:rPr>
      </w:pPr>
    </w:p>
    <w:p w14:paraId="346A6855" w14:textId="5329A2B0" w:rsidR="00BE57AA" w:rsidRPr="003A459E" w:rsidRDefault="00D90394" w:rsidP="00C962FE">
      <w:pPr>
        <w:spacing w:after="0" w:line="240" w:lineRule="auto"/>
        <w:jc w:val="both"/>
        <w:rPr>
          <w:rFonts w:ascii="Verdana" w:hAnsi="Verdana" w:cs="Arial"/>
          <w:sz w:val="20"/>
          <w:szCs w:val="20"/>
          <w:lang w:val="es-CR"/>
        </w:rPr>
      </w:pPr>
      <w:r>
        <w:rPr>
          <w:rFonts w:ascii="Verdana" w:hAnsi="Verdana" w:cs="Arial"/>
          <w:sz w:val="20"/>
          <w:szCs w:val="20"/>
          <w:lang w:val="es-CR"/>
        </w:rPr>
        <w:t>7</w:t>
      </w:r>
      <w:r w:rsidR="00BE57AA" w:rsidRPr="003A459E">
        <w:rPr>
          <w:rFonts w:ascii="Verdana" w:hAnsi="Verdana" w:cs="Arial"/>
          <w:sz w:val="20"/>
          <w:szCs w:val="20"/>
          <w:lang w:val="es-CR"/>
        </w:rPr>
        <w:t xml:space="preserve">. </w:t>
      </w:r>
      <w:r w:rsidR="00DB2DE3">
        <w:rPr>
          <w:rFonts w:ascii="Verdana" w:hAnsi="Verdana" w:cs="Arial"/>
          <w:sz w:val="20"/>
          <w:szCs w:val="20"/>
          <w:lang w:val="es-CR"/>
        </w:rPr>
        <w:tab/>
      </w:r>
      <w:r w:rsidR="00BE57AA" w:rsidRPr="003A459E">
        <w:rPr>
          <w:rFonts w:ascii="Verdana" w:hAnsi="Verdana" w:cs="Arial"/>
          <w:sz w:val="20"/>
          <w:szCs w:val="20"/>
          <w:lang w:val="es-CR"/>
        </w:rPr>
        <w:t xml:space="preserve">El Estado debe, </w:t>
      </w:r>
      <w:r w:rsidR="00DB5ABD" w:rsidRPr="00F559E6">
        <w:rPr>
          <w:rFonts w:ascii="Verdana" w:hAnsi="Verdana" w:cs="Arial"/>
          <w:sz w:val="20"/>
          <w:szCs w:val="20"/>
          <w:lang w:val="es-CR"/>
        </w:rPr>
        <w:t>adopt</w:t>
      </w:r>
      <w:r w:rsidR="00DB5ABD">
        <w:rPr>
          <w:rFonts w:ascii="Verdana" w:hAnsi="Verdana" w:cs="Arial"/>
          <w:sz w:val="20"/>
          <w:szCs w:val="20"/>
          <w:lang w:val="es-CR"/>
        </w:rPr>
        <w:t>ar</w:t>
      </w:r>
      <w:r w:rsidR="00DB5ABD" w:rsidRPr="00F559E6">
        <w:rPr>
          <w:rFonts w:ascii="Verdana" w:hAnsi="Verdana" w:cs="Arial"/>
          <w:sz w:val="20"/>
          <w:szCs w:val="20"/>
          <w:lang w:val="es-CR"/>
        </w:rPr>
        <w:t xml:space="preserve"> las medidas necesarias para que los efectos jurídicos del referido fallo condenatorio queden en suspenso hasta que se emita una decisión de fondo</w:t>
      </w:r>
      <w:r w:rsidR="00DB5ABD">
        <w:rPr>
          <w:rFonts w:ascii="Verdana" w:hAnsi="Verdana" w:cs="Arial"/>
          <w:sz w:val="20"/>
          <w:szCs w:val="20"/>
          <w:lang w:val="es-CR"/>
        </w:rPr>
        <w:t>,</w:t>
      </w:r>
      <w:r w:rsidR="00BE57AA" w:rsidRPr="003A459E">
        <w:rPr>
          <w:rFonts w:ascii="Verdana" w:hAnsi="Verdana" w:cs="Arial"/>
          <w:sz w:val="20"/>
          <w:szCs w:val="20"/>
          <w:lang w:val="es-CR"/>
        </w:rPr>
        <w:t xml:space="preserve"> </w:t>
      </w:r>
      <w:r w:rsidR="00DB2DE3">
        <w:rPr>
          <w:rFonts w:ascii="Verdana" w:hAnsi="Verdana" w:cs="Arial"/>
          <w:sz w:val="20"/>
          <w:szCs w:val="20"/>
          <w:lang w:val="es-CR"/>
        </w:rPr>
        <w:t>en términos de los dispuesto en el párrafo 66 de la presente Sentencia.</w:t>
      </w:r>
    </w:p>
    <w:p w14:paraId="18526589" w14:textId="77777777" w:rsidR="00DB5ABD" w:rsidRPr="003A459E" w:rsidRDefault="00DB5ABD" w:rsidP="00C962FE">
      <w:pPr>
        <w:spacing w:after="0" w:line="240" w:lineRule="auto"/>
        <w:jc w:val="both"/>
        <w:rPr>
          <w:rFonts w:ascii="Verdana" w:hAnsi="Verdana" w:cs="Arial"/>
          <w:sz w:val="20"/>
          <w:szCs w:val="20"/>
          <w:lang w:val="es-CR"/>
        </w:rPr>
      </w:pPr>
    </w:p>
    <w:p w14:paraId="0B84C79E" w14:textId="6B7FFF0C" w:rsidR="00BE57AA" w:rsidRPr="003A459E" w:rsidRDefault="00D90394" w:rsidP="00C962FE">
      <w:pPr>
        <w:spacing w:after="0" w:line="240" w:lineRule="auto"/>
        <w:jc w:val="both"/>
        <w:rPr>
          <w:rFonts w:ascii="Verdana" w:hAnsi="Verdana" w:cs="Arial"/>
          <w:sz w:val="20"/>
          <w:szCs w:val="20"/>
          <w:lang w:val="es-CR"/>
        </w:rPr>
      </w:pPr>
      <w:r>
        <w:rPr>
          <w:rFonts w:ascii="Verdana" w:hAnsi="Verdana" w:cs="Arial"/>
          <w:sz w:val="20"/>
          <w:szCs w:val="20"/>
          <w:lang w:val="es-CR"/>
        </w:rPr>
        <w:t>8</w:t>
      </w:r>
      <w:r w:rsidR="00BE57AA" w:rsidRPr="003A459E">
        <w:rPr>
          <w:rFonts w:ascii="Verdana" w:hAnsi="Verdana" w:cs="Arial"/>
          <w:sz w:val="20"/>
          <w:szCs w:val="20"/>
          <w:lang w:val="es-CR"/>
        </w:rPr>
        <w:t xml:space="preserve">. </w:t>
      </w:r>
      <w:r w:rsidR="00DB2DE3">
        <w:rPr>
          <w:rFonts w:ascii="Verdana" w:hAnsi="Verdana" w:cs="Arial"/>
          <w:sz w:val="20"/>
          <w:szCs w:val="20"/>
          <w:lang w:val="es-CR"/>
        </w:rPr>
        <w:tab/>
      </w:r>
      <w:r w:rsidR="00BE57AA" w:rsidRPr="003A459E">
        <w:rPr>
          <w:rFonts w:ascii="Verdana" w:hAnsi="Verdana" w:cs="Arial"/>
          <w:sz w:val="20"/>
          <w:szCs w:val="20"/>
          <w:lang w:val="es-CR"/>
        </w:rPr>
        <w:t xml:space="preserve">El Estado debe realizar las publicaciones indicadas en el párrafo 68 de esta Sentencia, en los términos señalados en el mismo. </w:t>
      </w:r>
    </w:p>
    <w:p w14:paraId="7FEAB204" w14:textId="77777777" w:rsidR="00BE57AA" w:rsidRPr="003A459E" w:rsidRDefault="00BE57AA" w:rsidP="00C962FE">
      <w:pPr>
        <w:spacing w:after="0" w:line="240" w:lineRule="auto"/>
        <w:jc w:val="both"/>
        <w:rPr>
          <w:rFonts w:ascii="Verdana" w:hAnsi="Verdana"/>
          <w:sz w:val="20"/>
          <w:szCs w:val="20"/>
        </w:rPr>
      </w:pPr>
    </w:p>
    <w:p w14:paraId="69BC3771" w14:textId="570ABA53" w:rsidR="00BE57AA" w:rsidRDefault="00D90394" w:rsidP="00C962FE">
      <w:pPr>
        <w:spacing w:after="0" w:line="240" w:lineRule="auto"/>
        <w:jc w:val="both"/>
        <w:rPr>
          <w:rFonts w:ascii="Verdana" w:hAnsi="Verdana"/>
          <w:sz w:val="20"/>
          <w:szCs w:val="20"/>
        </w:rPr>
      </w:pPr>
      <w:r>
        <w:rPr>
          <w:rFonts w:ascii="Verdana" w:hAnsi="Verdana"/>
          <w:sz w:val="20"/>
          <w:szCs w:val="20"/>
        </w:rPr>
        <w:t>9</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 xml:space="preserve">El Estado debe, dentro de un plazo razonable, adecuar su ordenamiento jurídico interno a los parámetros establecidos en esta Sentencia sobre el derecho de recurrir del fallo ante el juez o tribunal superior, en los términos de </w:t>
      </w:r>
      <w:r w:rsidR="00E30CCF">
        <w:rPr>
          <w:rFonts w:ascii="Verdana" w:hAnsi="Verdana"/>
          <w:sz w:val="20"/>
          <w:szCs w:val="20"/>
        </w:rPr>
        <w:t>lo dispuesto en el párrafo 72</w:t>
      </w:r>
      <w:r w:rsidR="00BE57AA" w:rsidRPr="003A459E">
        <w:rPr>
          <w:rFonts w:ascii="Verdana" w:hAnsi="Verdana"/>
          <w:sz w:val="20"/>
          <w:szCs w:val="20"/>
        </w:rPr>
        <w:t xml:space="preserve"> de la presente Sentencia. </w:t>
      </w:r>
    </w:p>
    <w:p w14:paraId="74A7CAC8" w14:textId="77777777" w:rsidR="00BE57AA" w:rsidRPr="003A459E" w:rsidRDefault="00BE57AA" w:rsidP="00C962FE">
      <w:pPr>
        <w:spacing w:after="0" w:line="240" w:lineRule="auto"/>
        <w:jc w:val="both"/>
        <w:rPr>
          <w:rFonts w:ascii="Verdana" w:hAnsi="Verdana"/>
          <w:sz w:val="20"/>
          <w:szCs w:val="20"/>
        </w:rPr>
      </w:pPr>
    </w:p>
    <w:p w14:paraId="641B479A" w14:textId="06B41920" w:rsidR="00BE57AA" w:rsidRPr="003A459E" w:rsidRDefault="00D90394" w:rsidP="00C962FE">
      <w:pPr>
        <w:widowControl w:val="0"/>
        <w:tabs>
          <w:tab w:val="left" w:pos="567"/>
        </w:tabs>
        <w:adjustRightInd w:val="0"/>
        <w:spacing w:after="0" w:line="240" w:lineRule="auto"/>
        <w:jc w:val="both"/>
        <w:textAlignment w:val="baseline"/>
        <w:rPr>
          <w:rFonts w:ascii="Verdana" w:hAnsi="Verdana"/>
          <w:sz w:val="20"/>
          <w:szCs w:val="20"/>
        </w:rPr>
      </w:pPr>
      <w:r>
        <w:rPr>
          <w:rFonts w:ascii="Verdana" w:hAnsi="Verdana"/>
          <w:sz w:val="20"/>
          <w:szCs w:val="20"/>
        </w:rPr>
        <w:t>10</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 xml:space="preserve">El Estado debe pagar las cantidades fijadas en los párrafos 82 y 86 de </w:t>
      </w:r>
      <w:r w:rsidR="00DB2DE3">
        <w:rPr>
          <w:rFonts w:ascii="Verdana" w:hAnsi="Verdana"/>
          <w:sz w:val="20"/>
          <w:szCs w:val="20"/>
        </w:rPr>
        <w:t>la presente</w:t>
      </w:r>
      <w:r w:rsidR="00BE57AA" w:rsidRPr="003A459E">
        <w:rPr>
          <w:rFonts w:ascii="Verdana" w:hAnsi="Verdana"/>
          <w:sz w:val="20"/>
          <w:szCs w:val="20"/>
        </w:rPr>
        <w:t xml:space="preserve"> Sentencia, por concepto de indemnización por daño </w:t>
      </w:r>
      <w:r w:rsidR="00DE00F1">
        <w:rPr>
          <w:rFonts w:ascii="Verdana" w:hAnsi="Verdana"/>
          <w:sz w:val="20"/>
          <w:szCs w:val="20"/>
        </w:rPr>
        <w:t>in</w:t>
      </w:r>
      <w:r w:rsidR="00BE57AA" w:rsidRPr="003A459E">
        <w:rPr>
          <w:rFonts w:ascii="Verdana" w:hAnsi="Verdana"/>
          <w:sz w:val="20"/>
          <w:szCs w:val="20"/>
        </w:rPr>
        <w:t xml:space="preserve">material y reintegro de costas y gastos, respectivamente. </w:t>
      </w:r>
    </w:p>
    <w:p w14:paraId="0596BCFC" w14:textId="77777777" w:rsidR="00BE57AA" w:rsidRPr="003A459E" w:rsidRDefault="00BE57AA" w:rsidP="00C962FE">
      <w:pPr>
        <w:widowControl w:val="0"/>
        <w:tabs>
          <w:tab w:val="left" w:pos="567"/>
        </w:tabs>
        <w:adjustRightInd w:val="0"/>
        <w:spacing w:after="0" w:line="240" w:lineRule="auto"/>
        <w:jc w:val="both"/>
        <w:textAlignment w:val="baseline"/>
        <w:rPr>
          <w:rFonts w:ascii="Verdana" w:hAnsi="Verdana"/>
          <w:sz w:val="20"/>
          <w:szCs w:val="20"/>
        </w:rPr>
      </w:pPr>
    </w:p>
    <w:p w14:paraId="02DCC174" w14:textId="3C57C366" w:rsidR="00BE57AA" w:rsidRPr="003A459E" w:rsidRDefault="00D90394" w:rsidP="00C962FE">
      <w:pPr>
        <w:widowControl w:val="0"/>
        <w:tabs>
          <w:tab w:val="left" w:pos="567"/>
        </w:tabs>
        <w:adjustRightInd w:val="0"/>
        <w:spacing w:after="0" w:line="240" w:lineRule="auto"/>
        <w:jc w:val="both"/>
        <w:textAlignment w:val="baseline"/>
        <w:rPr>
          <w:rFonts w:ascii="Verdana" w:hAnsi="Verdana"/>
          <w:sz w:val="20"/>
          <w:szCs w:val="20"/>
        </w:rPr>
      </w:pPr>
      <w:r>
        <w:rPr>
          <w:rFonts w:ascii="Verdana" w:hAnsi="Verdana"/>
          <w:sz w:val="20"/>
          <w:szCs w:val="20"/>
        </w:rPr>
        <w:t>11</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El Estado debe, dentro del plazo de seis meses a partir de la notifica</w:t>
      </w:r>
      <w:r w:rsidR="006B4D61">
        <w:rPr>
          <w:rFonts w:ascii="Verdana" w:hAnsi="Verdana"/>
          <w:sz w:val="20"/>
          <w:szCs w:val="20"/>
        </w:rPr>
        <w:t xml:space="preserve">ción de la presente Sentencia, </w:t>
      </w:r>
      <w:r w:rsidR="00BE57AA" w:rsidRPr="003A459E">
        <w:rPr>
          <w:rFonts w:ascii="Verdana" w:hAnsi="Verdana"/>
          <w:sz w:val="20"/>
          <w:szCs w:val="20"/>
        </w:rPr>
        <w:t xml:space="preserve">reintegrar al Fondo de Asistencia Legal de Víctimas la cantidad establecida en el párrafo 89 de </w:t>
      </w:r>
      <w:r w:rsidR="00DB2DE3">
        <w:rPr>
          <w:rFonts w:ascii="Verdana" w:hAnsi="Verdana"/>
          <w:sz w:val="20"/>
          <w:szCs w:val="20"/>
        </w:rPr>
        <w:t>la presente</w:t>
      </w:r>
      <w:r w:rsidR="00BE57AA" w:rsidRPr="003A459E">
        <w:rPr>
          <w:rFonts w:ascii="Verdana" w:hAnsi="Verdana"/>
          <w:sz w:val="20"/>
          <w:szCs w:val="20"/>
        </w:rPr>
        <w:t xml:space="preserve"> Sentencia.</w:t>
      </w:r>
    </w:p>
    <w:p w14:paraId="69F63191" w14:textId="77777777" w:rsidR="00BE57AA" w:rsidRPr="003A459E" w:rsidRDefault="00BE57AA" w:rsidP="00C962FE">
      <w:pPr>
        <w:widowControl w:val="0"/>
        <w:tabs>
          <w:tab w:val="left" w:pos="567"/>
        </w:tabs>
        <w:adjustRightInd w:val="0"/>
        <w:spacing w:after="0" w:line="240" w:lineRule="auto"/>
        <w:jc w:val="both"/>
        <w:textAlignment w:val="baseline"/>
        <w:rPr>
          <w:rFonts w:ascii="Verdana" w:hAnsi="Verdana"/>
          <w:sz w:val="20"/>
          <w:szCs w:val="20"/>
        </w:rPr>
      </w:pPr>
    </w:p>
    <w:p w14:paraId="24D86AE3" w14:textId="775D6FE3" w:rsidR="00BE57AA" w:rsidRPr="003A459E" w:rsidRDefault="00D90394" w:rsidP="00C962FE">
      <w:pPr>
        <w:widowControl w:val="0"/>
        <w:tabs>
          <w:tab w:val="left" w:pos="567"/>
        </w:tabs>
        <w:adjustRightInd w:val="0"/>
        <w:spacing w:after="0" w:line="240" w:lineRule="auto"/>
        <w:jc w:val="both"/>
        <w:textAlignment w:val="baseline"/>
        <w:rPr>
          <w:rFonts w:ascii="Verdana" w:hAnsi="Verdana"/>
          <w:sz w:val="20"/>
          <w:szCs w:val="20"/>
        </w:rPr>
      </w:pPr>
      <w:r>
        <w:rPr>
          <w:rFonts w:ascii="Verdana" w:hAnsi="Verdana"/>
          <w:sz w:val="20"/>
          <w:szCs w:val="20"/>
        </w:rPr>
        <w:t>12</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 xml:space="preserve">El Estado debe, dentro del plazo de un año a partir de la notificación de esta Sentencia, rendir a la Corte un informe sobre las medidas adoptadas para cumplir con la misma. </w:t>
      </w:r>
    </w:p>
    <w:p w14:paraId="1D893D77" w14:textId="77777777" w:rsidR="00BE57AA" w:rsidRPr="003A459E" w:rsidRDefault="00BE57AA" w:rsidP="00C962FE">
      <w:pPr>
        <w:widowControl w:val="0"/>
        <w:tabs>
          <w:tab w:val="left" w:pos="567"/>
        </w:tabs>
        <w:adjustRightInd w:val="0"/>
        <w:spacing w:after="0" w:line="240" w:lineRule="auto"/>
        <w:jc w:val="both"/>
        <w:textAlignment w:val="baseline"/>
        <w:rPr>
          <w:rFonts w:ascii="Verdana" w:hAnsi="Verdana"/>
          <w:sz w:val="20"/>
          <w:szCs w:val="20"/>
        </w:rPr>
      </w:pPr>
    </w:p>
    <w:p w14:paraId="3507BE25" w14:textId="4251402E" w:rsidR="00BE57AA" w:rsidRPr="003A459E" w:rsidRDefault="00D90394" w:rsidP="00C962FE">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r>
        <w:rPr>
          <w:rFonts w:ascii="Verdana" w:hAnsi="Verdana"/>
          <w:sz w:val="20"/>
          <w:szCs w:val="20"/>
        </w:rPr>
        <w:t>13</w:t>
      </w:r>
      <w:r w:rsidR="00BE57AA" w:rsidRPr="003A459E">
        <w:rPr>
          <w:rFonts w:ascii="Verdana" w:hAnsi="Verdana"/>
          <w:sz w:val="20"/>
          <w:szCs w:val="20"/>
        </w:rPr>
        <w:t xml:space="preserve">. </w:t>
      </w:r>
      <w:r w:rsidR="00DB2DE3">
        <w:rPr>
          <w:rFonts w:ascii="Verdana" w:hAnsi="Verdana"/>
          <w:sz w:val="20"/>
          <w:szCs w:val="20"/>
        </w:rPr>
        <w:tab/>
      </w:r>
      <w:r w:rsidR="00BE57AA" w:rsidRPr="003A459E">
        <w:rPr>
          <w:rFonts w:ascii="Verdana" w:hAnsi="Verdana"/>
          <w:sz w:val="20"/>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con ocasión del mismo. </w:t>
      </w:r>
    </w:p>
    <w:p w14:paraId="051668F6" w14:textId="77777777" w:rsidR="00BE57AA" w:rsidRPr="003A459E" w:rsidRDefault="00BE57AA" w:rsidP="00C962FE">
      <w:pPr>
        <w:spacing w:after="0" w:line="240" w:lineRule="auto"/>
        <w:jc w:val="both"/>
        <w:rPr>
          <w:rFonts w:ascii="Verdana" w:hAnsi="Verdana"/>
          <w:sz w:val="20"/>
          <w:szCs w:val="20"/>
          <w:lang w:val="es-ES"/>
        </w:rPr>
      </w:pPr>
    </w:p>
    <w:p w14:paraId="0626A5EC" w14:textId="37A9DB78" w:rsidR="005D57F1" w:rsidRDefault="00BE57AA" w:rsidP="00895E05">
      <w:pPr>
        <w:rPr>
          <w:rFonts w:ascii="Verdana" w:hAnsi="Verdana"/>
          <w:sz w:val="20"/>
          <w:szCs w:val="20"/>
          <w:lang w:val="es-ES"/>
        </w:rPr>
      </w:pPr>
      <w:r w:rsidRPr="00BE57AA">
        <w:rPr>
          <w:rFonts w:ascii="Verdana" w:hAnsi="Verdana"/>
          <w:sz w:val="20"/>
          <w:szCs w:val="20"/>
          <w:lang w:val="es-ES"/>
        </w:rPr>
        <w:t xml:space="preserve">Redactada en </w:t>
      </w:r>
      <w:r w:rsidR="00DB5ABD">
        <w:rPr>
          <w:rFonts w:ascii="Verdana" w:hAnsi="Verdana"/>
          <w:sz w:val="20"/>
          <w:szCs w:val="20"/>
          <w:lang w:val="es-ES"/>
        </w:rPr>
        <w:t>Barranquilla</w:t>
      </w:r>
      <w:r w:rsidRPr="00BE57AA">
        <w:rPr>
          <w:rFonts w:ascii="Verdana" w:hAnsi="Verdana"/>
          <w:sz w:val="20"/>
          <w:szCs w:val="20"/>
          <w:lang w:val="es-ES"/>
        </w:rPr>
        <w:t xml:space="preserve">, República de </w:t>
      </w:r>
      <w:r w:rsidR="005A137B">
        <w:rPr>
          <w:rFonts w:ascii="Verdana" w:hAnsi="Verdana"/>
          <w:sz w:val="20"/>
          <w:szCs w:val="20"/>
          <w:lang w:val="es-ES"/>
        </w:rPr>
        <w:t>Colombia</w:t>
      </w:r>
      <w:r w:rsidRPr="00BE57AA">
        <w:rPr>
          <w:rFonts w:ascii="Verdana" w:hAnsi="Verdana"/>
          <w:sz w:val="20"/>
          <w:szCs w:val="20"/>
          <w:lang w:val="es-ES"/>
        </w:rPr>
        <w:t xml:space="preserve">, </w:t>
      </w:r>
      <w:r w:rsidRPr="006B4D61">
        <w:rPr>
          <w:rFonts w:ascii="Verdana" w:hAnsi="Verdana"/>
          <w:sz w:val="20"/>
          <w:szCs w:val="20"/>
          <w:lang w:val="es-ES"/>
        </w:rPr>
        <w:t xml:space="preserve">el </w:t>
      </w:r>
      <w:r w:rsidR="00D90394">
        <w:rPr>
          <w:rFonts w:ascii="Verdana" w:hAnsi="Verdana"/>
          <w:sz w:val="20"/>
          <w:szCs w:val="20"/>
          <w:lang w:val="es-ES"/>
        </w:rPr>
        <w:t>2</w:t>
      </w:r>
      <w:r w:rsidRPr="006B4D61">
        <w:rPr>
          <w:rFonts w:ascii="Verdana" w:hAnsi="Verdana"/>
          <w:sz w:val="20"/>
          <w:szCs w:val="20"/>
          <w:lang w:val="es-ES"/>
        </w:rPr>
        <w:t xml:space="preserve"> de </w:t>
      </w:r>
      <w:r w:rsidR="006B4D61" w:rsidRPr="006B4D61">
        <w:rPr>
          <w:rFonts w:ascii="Verdana" w:hAnsi="Verdana"/>
          <w:sz w:val="20"/>
          <w:szCs w:val="20"/>
          <w:lang w:val="es-ES"/>
        </w:rPr>
        <w:t>septiembre</w:t>
      </w:r>
      <w:r w:rsidRPr="006B4D61">
        <w:rPr>
          <w:rFonts w:ascii="Verdana" w:hAnsi="Verdana"/>
          <w:sz w:val="20"/>
          <w:szCs w:val="20"/>
          <w:lang w:val="es-ES"/>
        </w:rPr>
        <w:t xml:space="preserve"> de 2019.</w:t>
      </w:r>
    </w:p>
    <w:p w14:paraId="0A0BDBB7" w14:textId="77777777" w:rsidR="005D57F1" w:rsidRPr="005D57F1" w:rsidRDefault="005D57F1" w:rsidP="005D57F1">
      <w:pPr>
        <w:spacing w:after="0" w:line="240" w:lineRule="auto"/>
        <w:jc w:val="both"/>
        <w:rPr>
          <w:rFonts w:ascii="Verdana" w:eastAsia="Times" w:hAnsi="Verdana" w:cs="Times New Roman"/>
          <w:strike/>
          <w:sz w:val="20"/>
          <w:szCs w:val="20"/>
          <w:lang w:val="es-ES"/>
        </w:rPr>
      </w:pPr>
    </w:p>
    <w:p w14:paraId="03F8A6A5" w14:textId="77777777" w:rsidR="005D57F1" w:rsidRPr="005D57F1" w:rsidRDefault="005D57F1" w:rsidP="005D57F1">
      <w:pPr>
        <w:spacing w:after="0" w:line="240" w:lineRule="auto"/>
        <w:jc w:val="both"/>
        <w:rPr>
          <w:rFonts w:ascii="Verdana" w:eastAsia="Times" w:hAnsi="Verdana" w:cs="Times New Roman"/>
          <w:strike/>
          <w:sz w:val="20"/>
          <w:szCs w:val="20"/>
          <w:lang w:val="es-ES"/>
        </w:rPr>
      </w:pPr>
    </w:p>
    <w:p w14:paraId="751DAD07" w14:textId="77777777" w:rsidR="005D57F1" w:rsidRPr="005D57F1" w:rsidRDefault="005D57F1" w:rsidP="005D57F1">
      <w:pPr>
        <w:spacing w:after="0" w:line="240" w:lineRule="auto"/>
        <w:jc w:val="both"/>
        <w:rPr>
          <w:rFonts w:ascii="Verdana" w:eastAsia="Times" w:hAnsi="Verdana" w:cs="Times New Roman"/>
          <w:sz w:val="20"/>
          <w:szCs w:val="20"/>
          <w:lang w:val="es-ES"/>
        </w:rPr>
      </w:pPr>
      <w:r w:rsidRPr="005D57F1">
        <w:rPr>
          <w:rFonts w:ascii="Verdana" w:eastAsia="Times" w:hAnsi="Verdana" w:cs="Times New Roman"/>
          <w:sz w:val="20"/>
          <w:szCs w:val="20"/>
          <w:lang w:val="es-ES"/>
        </w:rPr>
        <w:t xml:space="preserve">Corte IDH. </w:t>
      </w:r>
      <w:r w:rsidRPr="005D57F1">
        <w:rPr>
          <w:rFonts w:ascii="Verdana" w:eastAsia="Times" w:hAnsi="Verdana" w:cs="Times New Roman"/>
          <w:i/>
          <w:sz w:val="20"/>
          <w:szCs w:val="20"/>
          <w:lang w:val="es-ES"/>
        </w:rPr>
        <w:t xml:space="preserve">Caso </w:t>
      </w:r>
      <w:r w:rsidRPr="005D57F1">
        <w:rPr>
          <w:rFonts w:ascii="Verdana" w:eastAsia="Times" w:hAnsi="Verdana" w:cs="Times New Roman"/>
          <w:i/>
          <w:iCs/>
          <w:sz w:val="20"/>
          <w:szCs w:val="20"/>
          <w:lang w:val="es-CR"/>
        </w:rPr>
        <w:t>Gorigoitía Vs. Argentina.</w:t>
      </w:r>
      <w:r w:rsidRPr="005D57F1">
        <w:rPr>
          <w:rFonts w:ascii="Verdana" w:eastAsia="Times" w:hAnsi="Verdana" w:cs="Times New Roman"/>
          <w:iCs/>
          <w:sz w:val="20"/>
          <w:szCs w:val="20"/>
          <w:lang w:val="es-CR"/>
        </w:rPr>
        <w:t xml:space="preserve"> </w:t>
      </w:r>
      <w:r w:rsidRPr="005D57F1">
        <w:rPr>
          <w:rFonts w:ascii="Verdana" w:eastAsia="Times" w:hAnsi="Verdana" w:cs="Times New Roman"/>
          <w:i/>
          <w:sz w:val="20"/>
          <w:szCs w:val="20"/>
          <w:lang w:val="es-CR"/>
        </w:rPr>
        <w:t>Excepción Preliminar,</w:t>
      </w:r>
      <w:r w:rsidRPr="005D57F1">
        <w:rPr>
          <w:rFonts w:ascii="Verdana" w:eastAsia="Times" w:hAnsi="Verdana" w:cs="Times New Roman"/>
          <w:sz w:val="20"/>
          <w:szCs w:val="20"/>
          <w:lang w:val="es-ES"/>
        </w:rPr>
        <w:t xml:space="preserve"> </w:t>
      </w:r>
      <w:r w:rsidRPr="005D57F1">
        <w:rPr>
          <w:rFonts w:ascii="Verdana" w:eastAsia="Times" w:hAnsi="Verdana" w:cs="Times New Roman"/>
          <w:i/>
          <w:iCs/>
          <w:sz w:val="20"/>
          <w:szCs w:val="20"/>
          <w:lang w:val="es-ES"/>
        </w:rPr>
        <w:t>Fondo, Reparaciones y Costas</w:t>
      </w:r>
      <w:r w:rsidRPr="005D57F1">
        <w:rPr>
          <w:rFonts w:ascii="Verdana" w:eastAsia="Times" w:hAnsi="Verdana" w:cs="Times New Roman"/>
          <w:sz w:val="20"/>
          <w:szCs w:val="20"/>
          <w:lang w:val="es-ES"/>
        </w:rPr>
        <w:t>. Sentencia de 2 de septiembre de 2019.</w:t>
      </w:r>
    </w:p>
    <w:p w14:paraId="0E83E260"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74904806"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5E281580"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42CDAB23"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672B3D2C"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00D6AA90"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 xml:space="preserve">  Eduardo Ferrer Mac-Gregor Poisot</w:t>
      </w:r>
      <w:r w:rsidRPr="005D57F1">
        <w:rPr>
          <w:rFonts w:ascii="Verdana" w:eastAsia="Times" w:hAnsi="Verdana" w:cs="Times New Roman"/>
          <w:sz w:val="20"/>
          <w:szCs w:val="20"/>
          <w:lang w:val="pt-BR"/>
        </w:rPr>
        <w:tab/>
        <w:t xml:space="preserve">      </w:t>
      </w:r>
    </w:p>
    <w:p w14:paraId="465A072A"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Presidente</w:t>
      </w:r>
    </w:p>
    <w:p w14:paraId="06D1C096"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37D5EFC4"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255C11AA" w14:textId="77777777" w:rsidR="005D57F1" w:rsidRPr="005D57F1" w:rsidRDefault="005D57F1" w:rsidP="005D57F1">
      <w:pPr>
        <w:spacing w:after="0" w:line="240" w:lineRule="auto"/>
        <w:rPr>
          <w:rFonts w:ascii="Verdana" w:eastAsia="Times" w:hAnsi="Verdana" w:cs="Times New Roman"/>
          <w:sz w:val="20"/>
          <w:szCs w:val="20"/>
          <w:lang w:val="pt-BR"/>
        </w:rPr>
      </w:pPr>
    </w:p>
    <w:p w14:paraId="581E69F8" w14:textId="77777777" w:rsidR="005D57F1" w:rsidRPr="005D57F1" w:rsidRDefault="005D57F1" w:rsidP="005D57F1">
      <w:pPr>
        <w:spacing w:after="0" w:line="240" w:lineRule="auto"/>
        <w:rPr>
          <w:rFonts w:ascii="Verdana" w:eastAsia="Times" w:hAnsi="Verdana" w:cs="Times New Roman"/>
          <w:sz w:val="20"/>
          <w:szCs w:val="20"/>
          <w:lang w:val="pt-BR"/>
        </w:rPr>
      </w:pPr>
    </w:p>
    <w:p w14:paraId="21D42650" w14:textId="77777777" w:rsidR="005D57F1" w:rsidRPr="005D57F1" w:rsidRDefault="005D57F1" w:rsidP="005D57F1">
      <w:pPr>
        <w:spacing w:after="0" w:line="240" w:lineRule="auto"/>
        <w:rPr>
          <w:rFonts w:ascii="Verdana" w:eastAsia="Times" w:hAnsi="Verdana" w:cs="Times New Roman"/>
          <w:sz w:val="20"/>
          <w:szCs w:val="20"/>
          <w:lang w:val="pt-BR"/>
        </w:rPr>
      </w:pPr>
    </w:p>
    <w:p w14:paraId="62CE8F05" w14:textId="77777777" w:rsidR="005D57F1" w:rsidRPr="005D57F1" w:rsidRDefault="005D57F1" w:rsidP="005D57F1">
      <w:pPr>
        <w:spacing w:after="0" w:line="240" w:lineRule="auto"/>
        <w:rPr>
          <w:rFonts w:ascii="Verdana" w:eastAsia="Times" w:hAnsi="Verdana" w:cs="Times New Roman"/>
          <w:sz w:val="20"/>
          <w:szCs w:val="20"/>
          <w:lang w:val="pt-BR"/>
        </w:rPr>
      </w:pPr>
      <w:r w:rsidRPr="005D57F1">
        <w:rPr>
          <w:rFonts w:ascii="Verdana" w:eastAsia="Times" w:hAnsi="Verdana" w:cs="Times New Roman"/>
          <w:sz w:val="20"/>
          <w:szCs w:val="20"/>
          <w:lang w:val="pt-BR"/>
        </w:rPr>
        <w:t xml:space="preserve">Eduardo Vio Grossi </w:t>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t>Humberto A. Sierra Porto</w:t>
      </w:r>
    </w:p>
    <w:p w14:paraId="2951A95B" w14:textId="77777777" w:rsidR="005D57F1" w:rsidRPr="005D57F1" w:rsidRDefault="005D57F1" w:rsidP="005D57F1">
      <w:pPr>
        <w:spacing w:after="0" w:line="240" w:lineRule="auto"/>
        <w:rPr>
          <w:rFonts w:ascii="Verdana" w:eastAsia="Times" w:hAnsi="Verdana" w:cs="Times New Roman"/>
          <w:sz w:val="20"/>
          <w:szCs w:val="20"/>
          <w:lang w:val="pt-BR"/>
        </w:rPr>
      </w:pPr>
    </w:p>
    <w:p w14:paraId="3CDAC92C" w14:textId="77777777" w:rsidR="005D57F1" w:rsidRPr="005D57F1" w:rsidRDefault="005D57F1" w:rsidP="005D57F1">
      <w:pPr>
        <w:spacing w:after="0" w:line="240" w:lineRule="auto"/>
        <w:rPr>
          <w:rFonts w:ascii="Verdana" w:eastAsia="Times" w:hAnsi="Verdana" w:cs="Times New Roman"/>
          <w:sz w:val="20"/>
          <w:szCs w:val="20"/>
          <w:lang w:val="pt-BR"/>
        </w:rPr>
      </w:pPr>
    </w:p>
    <w:p w14:paraId="306470E8" w14:textId="77777777" w:rsidR="005D57F1" w:rsidRPr="005D57F1" w:rsidRDefault="005D57F1" w:rsidP="005D57F1">
      <w:pPr>
        <w:spacing w:after="0" w:line="240" w:lineRule="auto"/>
        <w:rPr>
          <w:rFonts w:ascii="Verdana" w:eastAsia="Times" w:hAnsi="Verdana" w:cs="Times New Roman"/>
          <w:sz w:val="20"/>
          <w:szCs w:val="20"/>
          <w:lang w:val="pt-BR"/>
        </w:rPr>
      </w:pPr>
    </w:p>
    <w:p w14:paraId="184C388B" w14:textId="77777777" w:rsidR="005D57F1" w:rsidRPr="005D57F1" w:rsidRDefault="005D57F1" w:rsidP="005D57F1">
      <w:pPr>
        <w:spacing w:after="0" w:line="240" w:lineRule="auto"/>
        <w:rPr>
          <w:rFonts w:ascii="Verdana" w:eastAsia="Times" w:hAnsi="Verdana" w:cs="Times New Roman"/>
          <w:sz w:val="20"/>
          <w:szCs w:val="20"/>
          <w:lang w:val="pt-BR"/>
        </w:rPr>
      </w:pPr>
    </w:p>
    <w:p w14:paraId="3F21F22E" w14:textId="77777777" w:rsidR="005D57F1" w:rsidRPr="005D57F1" w:rsidRDefault="005D57F1" w:rsidP="005D57F1">
      <w:pPr>
        <w:spacing w:after="0" w:line="240" w:lineRule="auto"/>
        <w:rPr>
          <w:rFonts w:ascii="Verdana" w:eastAsia="Times" w:hAnsi="Verdana" w:cs="Times New Roman"/>
          <w:sz w:val="20"/>
          <w:szCs w:val="20"/>
          <w:lang w:val="pt-BR"/>
        </w:rPr>
      </w:pPr>
      <w:r w:rsidRPr="005D57F1">
        <w:rPr>
          <w:rFonts w:ascii="Verdana" w:eastAsia="Times" w:hAnsi="Verdana" w:cs="Times New Roman"/>
          <w:sz w:val="20"/>
          <w:szCs w:val="20"/>
          <w:lang w:val="pt-BR"/>
        </w:rPr>
        <w:t>Elizabeth Odio Benito</w:t>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t>L. Patricio Pazmiño Freire</w:t>
      </w:r>
    </w:p>
    <w:p w14:paraId="1454A5B5" w14:textId="77777777" w:rsidR="005D57F1" w:rsidRPr="005D57F1" w:rsidRDefault="005D57F1" w:rsidP="005D57F1">
      <w:pPr>
        <w:spacing w:after="0" w:line="240" w:lineRule="auto"/>
        <w:rPr>
          <w:rFonts w:ascii="Verdana" w:eastAsia="Times" w:hAnsi="Verdana" w:cs="Times New Roman"/>
          <w:sz w:val="20"/>
          <w:szCs w:val="20"/>
          <w:lang w:val="pt-BR"/>
        </w:rPr>
      </w:pPr>
    </w:p>
    <w:p w14:paraId="0E65BFD0" w14:textId="77777777" w:rsidR="005D57F1" w:rsidRPr="005D57F1" w:rsidRDefault="005D57F1" w:rsidP="005D57F1">
      <w:pPr>
        <w:spacing w:after="0" w:line="240" w:lineRule="auto"/>
        <w:rPr>
          <w:rFonts w:ascii="Verdana" w:eastAsia="Times" w:hAnsi="Verdana" w:cs="Times New Roman"/>
          <w:sz w:val="20"/>
          <w:szCs w:val="20"/>
          <w:lang w:val="pt-BR"/>
        </w:rPr>
      </w:pPr>
      <w:r w:rsidRPr="005D57F1">
        <w:rPr>
          <w:rFonts w:ascii="Verdana" w:eastAsia="Times" w:hAnsi="Verdana" w:cs="Times New Roman"/>
          <w:sz w:val="20"/>
          <w:szCs w:val="20"/>
          <w:lang w:val="pt-BR"/>
        </w:rPr>
        <w:t xml:space="preserve">                                                   </w:t>
      </w:r>
    </w:p>
    <w:p w14:paraId="707C44BC" w14:textId="77777777" w:rsidR="005D57F1" w:rsidRPr="005D57F1" w:rsidRDefault="005D57F1" w:rsidP="005D57F1">
      <w:pPr>
        <w:spacing w:after="0" w:line="240" w:lineRule="auto"/>
        <w:rPr>
          <w:rFonts w:ascii="Verdana" w:eastAsia="Times" w:hAnsi="Verdana" w:cs="Times New Roman"/>
          <w:sz w:val="20"/>
          <w:szCs w:val="20"/>
          <w:lang w:val="pt-BR"/>
        </w:rPr>
      </w:pPr>
    </w:p>
    <w:p w14:paraId="6A65C6A6" w14:textId="77777777" w:rsidR="005D57F1" w:rsidRPr="005D57F1" w:rsidRDefault="005D57F1" w:rsidP="005D57F1">
      <w:pPr>
        <w:spacing w:after="0" w:line="240" w:lineRule="auto"/>
        <w:rPr>
          <w:rFonts w:ascii="Verdana" w:eastAsia="Times" w:hAnsi="Verdana" w:cs="Times New Roman"/>
          <w:sz w:val="20"/>
          <w:szCs w:val="20"/>
          <w:lang w:val="pt-BR"/>
        </w:rPr>
      </w:pPr>
    </w:p>
    <w:p w14:paraId="5D82ACF0" w14:textId="77777777" w:rsidR="005D57F1" w:rsidRPr="005D57F1" w:rsidRDefault="005D57F1" w:rsidP="005D57F1">
      <w:pPr>
        <w:spacing w:after="0" w:line="240" w:lineRule="auto"/>
        <w:rPr>
          <w:rFonts w:ascii="Verdana" w:eastAsia="Times" w:hAnsi="Verdana" w:cs="Times New Roman"/>
          <w:sz w:val="20"/>
          <w:szCs w:val="20"/>
          <w:lang w:val="pt-BR"/>
        </w:rPr>
      </w:pPr>
    </w:p>
    <w:p w14:paraId="79315CD5"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75C35BED"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Ricardo C. Pérez Manrique</w:t>
      </w:r>
    </w:p>
    <w:p w14:paraId="62AA795F"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40FF2F77"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18CCCF09"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042F47D7"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24E3C618"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51334908"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Pablo Saavedra Alessandri</w:t>
      </w:r>
    </w:p>
    <w:p w14:paraId="3785883B"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Secretario</w:t>
      </w:r>
    </w:p>
    <w:p w14:paraId="18C80E7C"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4DE076B9"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37378295" w14:textId="77777777" w:rsidR="005D57F1" w:rsidRPr="005D57F1" w:rsidRDefault="005D57F1" w:rsidP="005D57F1">
      <w:pPr>
        <w:spacing w:after="0" w:line="240" w:lineRule="auto"/>
        <w:jc w:val="both"/>
        <w:rPr>
          <w:rFonts w:ascii="Verdana" w:eastAsia="Times" w:hAnsi="Verdana" w:cs="Times New Roman"/>
          <w:sz w:val="20"/>
          <w:szCs w:val="20"/>
          <w:lang w:val="pt-BR"/>
        </w:rPr>
      </w:pPr>
      <w:r w:rsidRPr="005D57F1">
        <w:rPr>
          <w:rFonts w:ascii="Verdana" w:eastAsia="Times" w:hAnsi="Verdana" w:cs="Times New Roman"/>
          <w:sz w:val="20"/>
          <w:szCs w:val="20"/>
          <w:lang w:val="pt-BR"/>
        </w:rPr>
        <w:t>Comuníquese y ejecútese,</w:t>
      </w:r>
    </w:p>
    <w:p w14:paraId="67994CC4" w14:textId="77777777" w:rsidR="005D57F1" w:rsidRPr="005D57F1" w:rsidRDefault="005D57F1" w:rsidP="005D57F1">
      <w:pPr>
        <w:spacing w:after="0" w:line="240" w:lineRule="auto"/>
        <w:rPr>
          <w:rFonts w:ascii="Verdana" w:eastAsia="Times" w:hAnsi="Verdana" w:cs="Times New Roman"/>
          <w:sz w:val="20"/>
          <w:szCs w:val="20"/>
          <w:lang w:val="pt-BR"/>
        </w:rPr>
      </w:pPr>
    </w:p>
    <w:p w14:paraId="7F22F5B5"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7B392047" w14:textId="77777777" w:rsidR="005D57F1" w:rsidRPr="005D57F1" w:rsidRDefault="005D57F1" w:rsidP="005D57F1">
      <w:pPr>
        <w:spacing w:after="0" w:line="240" w:lineRule="auto"/>
        <w:jc w:val="center"/>
        <w:rPr>
          <w:rFonts w:ascii="Verdana" w:eastAsia="Times" w:hAnsi="Verdana" w:cs="Times New Roman"/>
          <w:sz w:val="20"/>
          <w:szCs w:val="20"/>
          <w:lang w:val="pt-BR"/>
        </w:rPr>
      </w:pPr>
    </w:p>
    <w:p w14:paraId="599849FD" w14:textId="77777777" w:rsidR="005D57F1" w:rsidRPr="005D57F1" w:rsidRDefault="005D57F1" w:rsidP="005D57F1">
      <w:pPr>
        <w:spacing w:after="0" w:line="240" w:lineRule="auto"/>
        <w:jc w:val="right"/>
        <w:rPr>
          <w:rFonts w:ascii="Verdana" w:eastAsia="Times" w:hAnsi="Verdana" w:cs="Times New Roman"/>
          <w:sz w:val="20"/>
          <w:szCs w:val="20"/>
          <w:lang w:val="pt-BR"/>
        </w:rPr>
      </w:pPr>
    </w:p>
    <w:p w14:paraId="425B550A" w14:textId="77777777" w:rsidR="005D57F1" w:rsidRPr="005D57F1" w:rsidRDefault="005D57F1" w:rsidP="005D57F1">
      <w:pPr>
        <w:spacing w:after="0" w:line="240" w:lineRule="auto"/>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 xml:space="preserve">  </w:t>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r>
      <w:r w:rsidRPr="005D57F1">
        <w:rPr>
          <w:rFonts w:ascii="Verdana" w:eastAsia="Times" w:hAnsi="Verdana" w:cs="Times New Roman"/>
          <w:sz w:val="20"/>
          <w:szCs w:val="20"/>
          <w:lang w:val="pt-BR"/>
        </w:rPr>
        <w:tab/>
        <w:t>Eduardo Ferrer Mac-Gregor Poisot</w:t>
      </w:r>
      <w:r w:rsidRPr="005D57F1">
        <w:rPr>
          <w:rFonts w:ascii="Verdana" w:eastAsia="Times" w:hAnsi="Verdana" w:cs="Times New Roman"/>
          <w:sz w:val="20"/>
          <w:szCs w:val="20"/>
          <w:lang w:val="pt-BR"/>
        </w:rPr>
        <w:tab/>
        <w:t xml:space="preserve">      </w:t>
      </w:r>
    </w:p>
    <w:p w14:paraId="44DA2A36" w14:textId="77777777" w:rsidR="005D57F1" w:rsidRPr="005D57F1" w:rsidRDefault="005D57F1" w:rsidP="005D57F1">
      <w:pPr>
        <w:spacing w:after="0" w:line="240" w:lineRule="auto"/>
        <w:ind w:left="3600" w:firstLine="720"/>
        <w:jc w:val="center"/>
        <w:rPr>
          <w:rFonts w:ascii="Verdana" w:eastAsia="Times" w:hAnsi="Verdana" w:cs="Times New Roman"/>
          <w:sz w:val="20"/>
          <w:szCs w:val="20"/>
          <w:lang w:val="pt-BR"/>
        </w:rPr>
      </w:pPr>
      <w:r w:rsidRPr="005D57F1">
        <w:rPr>
          <w:rFonts w:ascii="Verdana" w:eastAsia="Times" w:hAnsi="Verdana" w:cs="Times New Roman"/>
          <w:sz w:val="20"/>
          <w:szCs w:val="20"/>
          <w:lang w:val="pt-BR"/>
        </w:rPr>
        <w:t xml:space="preserve">               Presidente</w:t>
      </w:r>
    </w:p>
    <w:p w14:paraId="009241B2"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05EF089C"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3E29EBF7"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694E36E8"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789D4A81" w14:textId="77777777" w:rsidR="005D57F1" w:rsidRPr="005D57F1" w:rsidRDefault="005D57F1" w:rsidP="005D57F1">
      <w:pPr>
        <w:spacing w:after="0" w:line="240" w:lineRule="auto"/>
        <w:jc w:val="both"/>
        <w:rPr>
          <w:rFonts w:ascii="Verdana" w:eastAsia="Times" w:hAnsi="Verdana" w:cs="Times New Roman"/>
          <w:sz w:val="20"/>
          <w:szCs w:val="20"/>
          <w:lang w:val="pt-BR"/>
        </w:rPr>
      </w:pPr>
    </w:p>
    <w:p w14:paraId="45402A1A" w14:textId="77777777" w:rsidR="005D57F1" w:rsidRPr="005D57F1" w:rsidRDefault="005D57F1" w:rsidP="005D57F1">
      <w:pPr>
        <w:spacing w:after="0" w:line="240" w:lineRule="auto"/>
        <w:jc w:val="both"/>
        <w:rPr>
          <w:rFonts w:ascii="Verdana" w:eastAsia="Times" w:hAnsi="Verdana" w:cs="Times New Roman"/>
          <w:sz w:val="20"/>
          <w:szCs w:val="20"/>
          <w:lang w:val="pt-BR"/>
        </w:rPr>
      </w:pPr>
      <w:r w:rsidRPr="005D57F1">
        <w:rPr>
          <w:rFonts w:ascii="Verdana" w:eastAsia="Times" w:hAnsi="Verdana" w:cs="Times New Roman"/>
          <w:sz w:val="20"/>
          <w:szCs w:val="20"/>
          <w:lang w:val="pt-BR"/>
        </w:rPr>
        <w:t>Pablo Saavedra Alessandri</w:t>
      </w:r>
    </w:p>
    <w:p w14:paraId="499C0F5F" w14:textId="77777777" w:rsidR="005D57F1" w:rsidRPr="005D57F1" w:rsidRDefault="005D57F1" w:rsidP="005D57F1">
      <w:pPr>
        <w:spacing w:after="0" w:line="240" w:lineRule="auto"/>
        <w:rPr>
          <w:rFonts w:ascii="Times" w:eastAsia="Times" w:hAnsi="Times" w:cs="Times New Roman"/>
          <w:sz w:val="24"/>
          <w:szCs w:val="20"/>
          <w:lang w:val="es-ES"/>
        </w:rPr>
      </w:pPr>
      <w:r w:rsidRPr="005D57F1">
        <w:rPr>
          <w:rFonts w:ascii="Verdana" w:eastAsia="Times" w:hAnsi="Verdana" w:cs="Times New Roman"/>
          <w:sz w:val="20"/>
          <w:szCs w:val="20"/>
          <w:lang w:val="pt-BR"/>
        </w:rPr>
        <w:t xml:space="preserve">          </w:t>
      </w:r>
      <w:r w:rsidRPr="005D57F1">
        <w:rPr>
          <w:rFonts w:ascii="Verdana" w:eastAsia="Times" w:hAnsi="Verdana" w:cs="Times New Roman"/>
          <w:sz w:val="20"/>
          <w:szCs w:val="20"/>
          <w:lang w:val="es-ES"/>
        </w:rPr>
        <w:t>Secretario</w:t>
      </w:r>
    </w:p>
    <w:p w14:paraId="13978A85" w14:textId="77777777" w:rsidR="00C006CC" w:rsidRPr="005D57F1" w:rsidRDefault="00C006CC" w:rsidP="00895E05">
      <w:pPr>
        <w:rPr>
          <w:rFonts w:ascii="Verdana" w:eastAsia="Times New Roman" w:hAnsi="Verdana" w:cs="Verdana"/>
          <w:b/>
          <w:bCs/>
          <w:caps/>
          <w:snapToGrid w:val="0"/>
          <w:sz w:val="20"/>
          <w:szCs w:val="20"/>
          <w:lang w:val="es-ES"/>
        </w:rPr>
      </w:pPr>
    </w:p>
    <w:sectPr w:rsidR="00C006CC" w:rsidRPr="005D57F1" w:rsidSect="00BF5893">
      <w:headerReference w:type="default" r:id="rId12"/>
      <w:footerReference w:type="default" r:id="rId13"/>
      <w:headerReference w:type="first" r:id="rId14"/>
      <w:pgSz w:w="12240" w:h="15840"/>
      <w:pgMar w:top="1247" w:right="1191" w:bottom="1191"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F3A6" w14:textId="77777777" w:rsidR="0070530A" w:rsidRDefault="0070530A" w:rsidP="001C05D8">
      <w:pPr>
        <w:spacing w:after="0" w:line="240" w:lineRule="auto"/>
      </w:pPr>
      <w:r>
        <w:separator/>
      </w:r>
    </w:p>
  </w:endnote>
  <w:endnote w:type="continuationSeparator" w:id="0">
    <w:p w14:paraId="48295579" w14:textId="77777777" w:rsidR="0070530A" w:rsidRDefault="0070530A" w:rsidP="001C05D8">
      <w:pPr>
        <w:spacing w:after="0" w:line="240" w:lineRule="auto"/>
      </w:pPr>
      <w:r>
        <w:continuationSeparator/>
      </w:r>
    </w:p>
  </w:endnote>
  <w:endnote w:type="continuationNotice" w:id="1">
    <w:p w14:paraId="27955C41" w14:textId="77777777" w:rsidR="0070530A" w:rsidRDefault="00705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Italic">
    <w:altName w:val="Segoe UI Historic"/>
    <w:charset w:val="00"/>
    <w:family w:val="auto"/>
    <w:pitch w:val="variable"/>
    <w:sig w:usb0="00000001"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24uhu">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4D"/>
    <w:family w:val="swiss"/>
    <w:notTrueType/>
    <w:pitch w:val="default"/>
    <w:sig w:usb0="03000000"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77061"/>
      <w:docPartObj>
        <w:docPartGallery w:val="Page Numbers (Bottom of Page)"/>
        <w:docPartUnique/>
      </w:docPartObj>
    </w:sdtPr>
    <w:sdtEndPr>
      <w:rPr>
        <w:noProof/>
      </w:rPr>
    </w:sdtEndPr>
    <w:sdtContent>
      <w:p w14:paraId="73BFBE9A" w14:textId="00D06568" w:rsidR="0051368E" w:rsidRDefault="0051368E">
        <w:pPr>
          <w:pStyle w:val="Footer"/>
          <w:jc w:val="center"/>
        </w:pPr>
        <w:r w:rsidRPr="0006475E">
          <w:rPr>
            <w:rFonts w:ascii="Verdana" w:hAnsi="Verdana"/>
            <w:sz w:val="20"/>
            <w:szCs w:val="20"/>
          </w:rPr>
          <w:fldChar w:fldCharType="begin"/>
        </w:r>
        <w:r w:rsidRPr="0006475E">
          <w:rPr>
            <w:rFonts w:ascii="Verdana" w:hAnsi="Verdana"/>
            <w:sz w:val="20"/>
            <w:szCs w:val="20"/>
          </w:rPr>
          <w:instrText xml:space="preserve"> PAGE   \* MERGEFORMAT </w:instrText>
        </w:r>
        <w:r w:rsidRPr="0006475E">
          <w:rPr>
            <w:rFonts w:ascii="Verdana" w:hAnsi="Verdana"/>
            <w:sz w:val="20"/>
            <w:szCs w:val="20"/>
          </w:rPr>
          <w:fldChar w:fldCharType="separate"/>
        </w:r>
        <w:r w:rsidR="00B702F4">
          <w:rPr>
            <w:rFonts w:ascii="Verdana" w:hAnsi="Verdana"/>
            <w:noProof/>
            <w:sz w:val="20"/>
            <w:szCs w:val="20"/>
          </w:rPr>
          <w:t>30</w:t>
        </w:r>
        <w:r w:rsidRPr="0006475E">
          <w:rPr>
            <w:rFonts w:ascii="Verdana" w:hAnsi="Verdana"/>
            <w:noProof/>
            <w:sz w:val="20"/>
            <w:szCs w:val="20"/>
          </w:rPr>
          <w:fldChar w:fldCharType="end"/>
        </w:r>
      </w:p>
    </w:sdtContent>
  </w:sdt>
  <w:p w14:paraId="3130ED40" w14:textId="77777777" w:rsidR="0051368E" w:rsidRDefault="0051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0D547" w14:textId="77777777" w:rsidR="0070530A" w:rsidRDefault="0070530A" w:rsidP="001C05D8">
      <w:pPr>
        <w:spacing w:after="0" w:line="240" w:lineRule="auto"/>
      </w:pPr>
      <w:r>
        <w:separator/>
      </w:r>
    </w:p>
  </w:footnote>
  <w:footnote w:type="continuationSeparator" w:id="0">
    <w:p w14:paraId="7A92AF0F" w14:textId="77777777" w:rsidR="0070530A" w:rsidRDefault="0070530A" w:rsidP="001C05D8">
      <w:pPr>
        <w:spacing w:after="0" w:line="240" w:lineRule="auto"/>
      </w:pPr>
      <w:r>
        <w:continuationSeparator/>
      </w:r>
    </w:p>
  </w:footnote>
  <w:footnote w:type="continuationNotice" w:id="1">
    <w:p w14:paraId="49E71F2E" w14:textId="77777777" w:rsidR="0070530A" w:rsidRDefault="0070530A">
      <w:pPr>
        <w:spacing w:after="0" w:line="240" w:lineRule="auto"/>
      </w:pPr>
    </w:p>
  </w:footnote>
  <w:footnote w:id="2">
    <w:p w14:paraId="2B17AFE9" w14:textId="77777777" w:rsidR="0051368E" w:rsidRPr="003541DB" w:rsidRDefault="0051368E" w:rsidP="00C16366">
      <w:pPr>
        <w:pStyle w:val="FootnoteText"/>
        <w:jc w:val="both"/>
        <w:rPr>
          <w:rFonts w:ascii="Verdana" w:hAnsi="Verdana" w:cs="Times"/>
          <w:sz w:val="16"/>
          <w:szCs w:val="16"/>
        </w:rPr>
      </w:pPr>
      <w:r w:rsidRPr="003541DB">
        <w:rPr>
          <w:rStyle w:val="FootnoteReference"/>
          <w:rFonts w:ascii="Verdana" w:hAnsi="Verdana"/>
          <w:sz w:val="16"/>
          <w:szCs w:val="16"/>
          <w:lang w:val="es-CR"/>
        </w:rPr>
        <w:t>*</w:t>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sz w:val="16"/>
          <w:szCs w:val="16"/>
        </w:rPr>
        <w:t>El Juez Eugenio Raúl Zaffaroni, de nacionalidad argentina, no participó en la tramitación del presente caso ni en la deliberación y firma de esta Sentencia, de conformidad con lo dispuesto en los artículos 19.1 y 19.2 del Reglamento de la Corte.</w:t>
      </w:r>
    </w:p>
  </w:footnote>
  <w:footnote w:id="3">
    <w:p w14:paraId="46C44C8B"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t xml:space="preserve">El mismo fue notificado a las partes el 6 de septiembre de 2013. </w:t>
      </w:r>
    </w:p>
  </w:footnote>
  <w:footnote w:id="4">
    <w:p w14:paraId="27EF6533" w14:textId="1A40AB0A" w:rsidR="0051368E" w:rsidRPr="003541DB" w:rsidRDefault="0051368E" w:rsidP="00C16366">
      <w:pPr>
        <w:pStyle w:val="FootnoteText"/>
        <w:jc w:val="both"/>
        <w:rPr>
          <w:rFonts w:ascii="Verdana" w:eastAsiaTheme="minorHAnsi" w:hAnsi="Verdana" w:cs="Times New Roman"/>
          <w:color w:val="262626"/>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eastAsia="Verdana" w:hAnsi="Verdana" w:cs="Verdana"/>
          <w:i/>
          <w:sz w:val="16"/>
          <w:szCs w:val="16"/>
          <w:lang w:val="es-ES" w:eastAsia="es-CR"/>
        </w:rPr>
        <w:t xml:space="preserve">Conclusiones. – </w:t>
      </w:r>
      <w:r w:rsidRPr="003541DB">
        <w:rPr>
          <w:rFonts w:ascii="Verdana" w:eastAsia="Verdana" w:hAnsi="Verdana" w:cs="Verdana"/>
          <w:sz w:val="16"/>
          <w:szCs w:val="16"/>
          <w:lang w:val="es-ES" w:eastAsia="es-CR"/>
        </w:rPr>
        <w:t>La Comisión concluyó que el Estado era responsable por la violación de los derechos a recurrir el fallo y la protección judicial</w:t>
      </w:r>
      <w:r w:rsidRPr="003541DB">
        <w:rPr>
          <w:rFonts w:ascii="Verdana" w:eastAsia="Times New Roman" w:hAnsi="Verdana" w:cs="Times New Roman"/>
          <w:sz w:val="16"/>
          <w:szCs w:val="16"/>
          <w:lang w:val="es-ES" w:eastAsia="es-CR"/>
        </w:rPr>
        <w:t xml:space="preserve"> consagrados en los artículos 8.2.h) y 25.1 de la Convención Americana en relación con las obligaciones establecidas en los artículos 1.1 y 2 del mismo instrumento, en perjuicio de Oscar Raúl Gorigoitía. </w:t>
      </w:r>
      <w:r w:rsidRPr="003541DB">
        <w:rPr>
          <w:rFonts w:ascii="Verdana" w:eastAsia="Verdana" w:hAnsi="Verdana" w:cs="Verdana"/>
          <w:i/>
          <w:sz w:val="16"/>
          <w:szCs w:val="16"/>
          <w:lang w:val="es-ES" w:eastAsia="es-CR"/>
        </w:rPr>
        <w:t xml:space="preserve">Recomendaciones. – </w:t>
      </w:r>
      <w:r w:rsidRPr="003541DB">
        <w:rPr>
          <w:rFonts w:ascii="Verdana" w:eastAsia="Verdana" w:hAnsi="Verdana" w:cs="Verdana"/>
          <w:sz w:val="16"/>
          <w:szCs w:val="16"/>
          <w:lang w:val="es-ES" w:eastAsia="es-CR"/>
        </w:rPr>
        <w:t>En consecuencia, la Comisión hizo al Estado una serie de recomendaciones:</w:t>
      </w:r>
      <w:r w:rsidRPr="003541DB">
        <w:rPr>
          <w:rFonts w:ascii="Verdana" w:eastAsiaTheme="minorHAnsi" w:hAnsi="Verdana" w:cs="Times New Roman"/>
          <w:color w:val="151515"/>
          <w:sz w:val="16"/>
          <w:szCs w:val="16"/>
          <w:lang w:val="es-ES"/>
        </w:rPr>
        <w:t xml:space="preserve"> i) disponer las medidas necesarias para que, en caso de ser su voluntad, el señor Gorigoitía pueda interponer un recurso mediante el cual obtenga una revisión amplia de la sentencia condenatoria; ii) reparar integralmente las violaciones declaradas en el Informe, incluyendo el daño material e inmaterial, y iii) disponer las medidas legislativas necesarias para adecuar la legislación interna relativa al recurso de casación a los estándares establecidos en el Informe sobre el derecho consagrado en el artículo 8.2.h) de la Convención Americana. Asimismo, y de manera independiente a la adecuación normativa, asegurar que las autoridades judiciales ejerzan un control de convencionalidad al momento de resolver los recursos contra sentencias condenatorias, de forma consistente con los estándares establecidos en el Informe de Fondo. </w:t>
      </w:r>
    </w:p>
  </w:footnote>
  <w:footnote w:id="5">
    <w:p w14:paraId="260A137F"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lang w:val="es-CR"/>
        </w:rPr>
        <w:footnoteRef/>
      </w:r>
      <w:r w:rsidRPr="003541DB">
        <w:rPr>
          <w:rFonts w:ascii="Verdana" w:hAnsi="Verdana"/>
          <w:sz w:val="16"/>
          <w:szCs w:val="16"/>
          <w:lang w:val="es-CR"/>
        </w:rPr>
        <w:t xml:space="preserve"> </w:t>
      </w:r>
      <w:r w:rsidRPr="003541DB">
        <w:rPr>
          <w:rFonts w:ascii="Verdana" w:hAnsi="Verdana"/>
          <w:sz w:val="16"/>
          <w:szCs w:val="16"/>
          <w:lang w:val="es-CR"/>
        </w:rPr>
        <w:tab/>
        <w:t>La Comisión designó, como sus delegados ante la Corte, al Secretario Ejecutivo Paulo Abrão y al Comisionado Luis Ernesto Vargas Silva.</w:t>
      </w:r>
    </w:p>
  </w:footnote>
  <w:footnote w:id="6">
    <w:p w14:paraId="6B9AAAED" w14:textId="60E64BD1"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 xml:space="preserve">La diferencia de fechas se da por el envío de documentos vía </w:t>
      </w:r>
      <w:r w:rsidRPr="003541DB">
        <w:rPr>
          <w:rFonts w:ascii="Verdana" w:hAnsi="Verdana"/>
          <w:i/>
          <w:sz w:val="16"/>
          <w:szCs w:val="16"/>
        </w:rPr>
        <w:t>Courier.</w:t>
      </w:r>
      <w:r w:rsidRPr="003541DB">
        <w:rPr>
          <w:rFonts w:ascii="Verdana" w:hAnsi="Verdana"/>
          <w:sz w:val="16"/>
          <w:szCs w:val="16"/>
        </w:rPr>
        <w:t xml:space="preserve"> </w:t>
      </w:r>
    </w:p>
  </w:footnote>
  <w:footnote w:id="7">
    <w:p w14:paraId="279C445B" w14:textId="79A7E8AB"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lang w:val="es-CR"/>
        </w:rPr>
        <w:footnoteRef/>
      </w:r>
      <w:r w:rsidRPr="003541DB">
        <w:rPr>
          <w:rFonts w:ascii="Verdana" w:hAnsi="Verdana"/>
          <w:sz w:val="16"/>
          <w:szCs w:val="16"/>
          <w:lang w:val="es-CR"/>
        </w:rPr>
        <w:t xml:space="preserve"> </w:t>
      </w:r>
      <w:r w:rsidRPr="003541DB">
        <w:rPr>
          <w:rFonts w:ascii="Verdana" w:hAnsi="Verdana"/>
          <w:sz w:val="16"/>
          <w:szCs w:val="16"/>
          <w:lang w:val="es-CR"/>
        </w:rPr>
        <w:tab/>
        <w:t>Mediante comunicación de 17 de mayo de 2018 el Estado designó como Agentes al señor Alberto Javier Salgado, Directo de Contencioso Internacional en Materia de Derechos Humanos del Ministerio de Relaciones Exteriores y Culto, en carácter de agente titular, y al señor Ramiro Cristóbal Badia, Director Nacional de Asuntos Internacionales en Materia de Derechos Humanos de la Secretaría de Derechos Humanos y Pluralismo Cultural de la Nación, en carácter de agente alterno.</w:t>
      </w:r>
    </w:p>
  </w:footnote>
  <w:footnote w:id="8">
    <w:p w14:paraId="6F5C40D3"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lang w:val="es-CR"/>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 xml:space="preserve">Cfr. </w:t>
      </w:r>
      <w:r w:rsidRPr="003541DB">
        <w:rPr>
          <w:rStyle w:val="Strong"/>
          <w:rFonts w:ascii="Verdana" w:hAnsi="Verdana"/>
          <w:b w:val="0"/>
          <w:i/>
          <w:color w:val="000000"/>
          <w:sz w:val="16"/>
          <w:szCs w:val="16"/>
          <w:shd w:val="clear" w:color="auto" w:fill="FFFFFF"/>
        </w:rPr>
        <w:t xml:space="preserve">Caso Gorigoitia Vs. Argentina. Convocatoria a audiencia. </w:t>
      </w:r>
      <w:r w:rsidRPr="003541DB">
        <w:rPr>
          <w:rStyle w:val="Strong"/>
          <w:rFonts w:ascii="Verdana" w:hAnsi="Verdana"/>
          <w:b w:val="0"/>
          <w:color w:val="000000"/>
          <w:sz w:val="16"/>
          <w:szCs w:val="16"/>
          <w:shd w:val="clear" w:color="auto" w:fill="FFFFFF"/>
        </w:rPr>
        <w:t>Resolución del Presidente de la Corte Interamericana de Derechos Humanos de 20 de marzo de 2019</w:t>
      </w:r>
      <w:r w:rsidRPr="003541DB">
        <w:rPr>
          <w:rStyle w:val="Strong"/>
          <w:rFonts w:ascii="Verdana" w:hAnsi="Verdana"/>
          <w:b w:val="0"/>
          <w:i/>
          <w:color w:val="000000"/>
          <w:sz w:val="16"/>
          <w:szCs w:val="16"/>
          <w:shd w:val="clear" w:color="auto" w:fill="FFFFFF"/>
        </w:rPr>
        <w:t>.</w:t>
      </w:r>
      <w:r w:rsidRPr="003541DB">
        <w:rPr>
          <w:rFonts w:ascii="Verdana" w:hAnsi="Verdana"/>
          <w:sz w:val="16"/>
          <w:szCs w:val="16"/>
          <w:lang w:val="es-CR"/>
        </w:rPr>
        <w:t xml:space="preserve"> Disponible en:</w:t>
      </w:r>
    </w:p>
    <w:p w14:paraId="30F70D15" w14:textId="6409AECA" w:rsidR="0051368E" w:rsidRPr="003541DB" w:rsidRDefault="0070530A" w:rsidP="00C16366">
      <w:pPr>
        <w:pStyle w:val="FootnoteText"/>
        <w:jc w:val="both"/>
        <w:rPr>
          <w:rFonts w:ascii="Verdana" w:hAnsi="Verdana"/>
          <w:sz w:val="16"/>
          <w:szCs w:val="16"/>
          <w:lang w:val="es-CR"/>
        </w:rPr>
      </w:pPr>
      <w:hyperlink r:id="rId1" w:history="1">
        <w:r w:rsidR="0051368E" w:rsidRPr="003541DB">
          <w:rPr>
            <w:rStyle w:val="Hyperlink"/>
            <w:rFonts w:ascii="Verdana" w:hAnsi="Verdana"/>
            <w:sz w:val="16"/>
            <w:szCs w:val="16"/>
          </w:rPr>
          <w:t>http://www.corteidh.or.cr/docs/asuntos/gorigoitia_20_03_19.pdf</w:t>
        </w:r>
      </w:hyperlink>
      <w:r w:rsidR="0051368E" w:rsidRPr="003541DB">
        <w:rPr>
          <w:rFonts w:ascii="Verdana" w:hAnsi="Verdana"/>
          <w:sz w:val="16"/>
          <w:szCs w:val="16"/>
          <w:lang w:val="es-CR"/>
        </w:rPr>
        <w:t xml:space="preserve"> </w:t>
      </w:r>
    </w:p>
  </w:footnote>
  <w:footnote w:id="9">
    <w:p w14:paraId="10BDB70C" w14:textId="225CD2A9"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A esta audiencia comparecieron: a) por la Comisión Interamericana:</w:t>
      </w:r>
      <w:r w:rsidRPr="003541DB">
        <w:rPr>
          <w:rFonts w:ascii="Verdana" w:hAnsi="Verdana"/>
          <w:sz w:val="16"/>
          <w:szCs w:val="16"/>
          <w:lang w:eastAsia="es-ES"/>
        </w:rPr>
        <w:t xml:space="preserve"> el asesor Erick Acuña Pereda</w:t>
      </w:r>
      <w:r w:rsidRPr="003541DB">
        <w:rPr>
          <w:rFonts w:ascii="Verdana" w:hAnsi="Verdana"/>
          <w:sz w:val="16"/>
          <w:szCs w:val="16"/>
        </w:rPr>
        <w:t xml:space="preserve">; b) por la representación de la presunta víctima: los señores Carlos Varela Álvarez, Alejandro Acosta y Pablo Donnangelo, y c) por el Estado de Argentina: los señores Ramiro Cristóbal Badía, Director Nacional de Asuntos Jurídicos Internacionales en Materia de Derechos Humanos de la Secretaría de Derechos Humanos y Pluralismo Cultural de la Nación; Gonzalo Bueno, </w:t>
      </w:r>
      <w:r w:rsidRPr="003541DB">
        <w:rPr>
          <w:rFonts w:ascii="Verdana" w:hAnsi="Verdana" w:cs="24uhu"/>
          <w:sz w:val="16"/>
          <w:szCs w:val="16"/>
          <w:lang w:val="es-CR" w:eastAsia="es-CR"/>
        </w:rPr>
        <w:t>Asesor Legal de la Dirección de Contencioso Internacional en Materia de Derechos Humanos del Ministerio de Relaciones Exteriores y Culto; Alfredo Vitolo, Asesor Legal de la Secretaría de Derechos Humanos y Pluralismo Cultural de la Nación del Ministerio de Justicia y Derechos Humanos de la Nación; Octavio Sillitti, Asesor Legal de la Secretaría de Derechos Humanos y Pluralismo Cultural de la Nación del Ministerio de Justicia y Derechos Humanos de la Nación; Gianni Venier, Ministro de Seguridad de la Provincia de Mendoza, y  Adriana Bertolatti, Asesora Legal del Ministerio de Seguridad de la Provincia de Mendoza.</w:t>
      </w:r>
    </w:p>
  </w:footnote>
  <w:footnote w:id="10">
    <w:p w14:paraId="30B78305" w14:textId="0604925C" w:rsidR="0051368E" w:rsidRPr="003541DB" w:rsidRDefault="0051368E" w:rsidP="0051368E">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El escrito firmado por María Fabiola Cantú versa sobre la falta de adecuación de la legislación procesal de la provincia de Mendoza, Argentina, a los parámetros internacionales sobre doble conforme.</w:t>
      </w:r>
    </w:p>
  </w:footnote>
  <w:footnote w:id="11">
    <w:p w14:paraId="69711DEC" w14:textId="3556E54E" w:rsidR="0051368E" w:rsidRPr="003541DB" w:rsidRDefault="0051368E" w:rsidP="00B07750">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00B07750" w:rsidRPr="003541DB">
        <w:rPr>
          <w:rFonts w:ascii="Verdana" w:hAnsi="Verdana"/>
          <w:sz w:val="16"/>
          <w:szCs w:val="16"/>
        </w:rPr>
        <w:t>El escrito de firmado por C. Ignacio de Casas versa sobre los estándares del doble conforme en el Sistema Interamericano.</w:t>
      </w:r>
    </w:p>
  </w:footnote>
  <w:footnote w:id="12">
    <w:p w14:paraId="592407B9"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El escrito firmado por Paola Karelin Cahuana Quincho en su carácter de Representante de dicha institución, versa sobre la garantía del doble conforme en la jurisprudencia de la Corte.</w:t>
      </w:r>
    </w:p>
  </w:footnote>
  <w:footnote w:id="13">
    <w:p w14:paraId="56491F2B"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El escrito firmado por Indiana Guerrero, en su carácter de Presidenta de dicha asociación, versa sobre la adecuación de la legislación argentina a la luz de la Convención Americana.</w:t>
      </w:r>
    </w:p>
  </w:footnote>
  <w:footnote w:id="14">
    <w:p w14:paraId="4E3DA217" w14:textId="05D40EFE"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El escrito firmado por Gisela de León, Directora Jurídica de CEJIL; María Noel Leoni, Directora del Programa del Cono Sur y Bolivia de CEJIL; Juan Pablo Gomara, Secretario del Área de Rec. Ext. CSJN y Organizaciones Internacionales y la Defensoría de Casación Penal de la Provincia de Buenos Aires, y Mario Luis Coriolano, Defensor ante el Tribunal de Casación Penal de la Provincia de Buenos Aires, versa sobre el estado de protección del derecho a recurrir los fallos ante un juez superior en Argentina.</w:t>
      </w:r>
    </w:p>
  </w:footnote>
  <w:footnote w:id="15">
    <w:p w14:paraId="2D8034A8" w14:textId="046BDDD7" w:rsidR="0051368E" w:rsidRPr="003541DB" w:rsidRDefault="0051368E" w:rsidP="00C16366">
      <w:pPr>
        <w:spacing w:after="0" w:line="240" w:lineRule="auto"/>
        <w:jc w:val="both"/>
        <w:rPr>
          <w:rFonts w:ascii="Verdana" w:hAnsi="Verdana"/>
          <w:sz w:val="16"/>
          <w:szCs w:val="16"/>
          <w:lang w:val="es-ES"/>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i/>
          <w:sz w:val="16"/>
          <w:szCs w:val="16"/>
        </w:rPr>
        <w:t>Cfr. Caso Cepeda Vargas Vs. Colombia. Excepciones Preliminares, Fondo, Reparaciones y Costas.</w:t>
      </w:r>
      <w:r w:rsidRPr="003541DB">
        <w:rPr>
          <w:rFonts w:ascii="Verdana" w:hAnsi="Verdana"/>
          <w:sz w:val="16"/>
          <w:szCs w:val="16"/>
        </w:rPr>
        <w:t xml:space="preserve"> Sentencia de 26 de mayo de 2010. Serie C No. 213,</w:t>
      </w:r>
      <w:r w:rsidRPr="003541DB">
        <w:rPr>
          <w:rFonts w:ascii="Verdana" w:hAnsi="Verdana"/>
          <w:i/>
          <w:sz w:val="16"/>
          <w:szCs w:val="16"/>
        </w:rPr>
        <w:t xml:space="preserve"> </w:t>
      </w:r>
      <w:r w:rsidRPr="003541DB">
        <w:rPr>
          <w:rFonts w:ascii="Verdana" w:hAnsi="Verdana"/>
          <w:sz w:val="16"/>
          <w:szCs w:val="16"/>
        </w:rPr>
        <w:t xml:space="preserve">párr. 35, y </w:t>
      </w:r>
      <w:r w:rsidRPr="003541DB">
        <w:rPr>
          <w:rFonts w:ascii="Verdana" w:hAnsi="Verdana"/>
          <w:i/>
          <w:sz w:val="16"/>
          <w:szCs w:val="16"/>
        </w:rPr>
        <w:t>Caso Pueblo Indígena Xucuru y sus miembros Vs. Brasil. Excepciones Preliminares, Fondo, Reparaciones y Costas.</w:t>
      </w:r>
      <w:r w:rsidRPr="003541DB">
        <w:rPr>
          <w:rFonts w:ascii="Verdana" w:hAnsi="Verdana"/>
          <w:sz w:val="16"/>
          <w:szCs w:val="16"/>
        </w:rPr>
        <w:t xml:space="preserve"> Sentencia de 5 de febrero de 2018. Serie C No. 346, párr. 20.</w:t>
      </w:r>
    </w:p>
  </w:footnote>
  <w:footnote w:id="16">
    <w:p w14:paraId="2A70E4E1" w14:textId="79F9F205" w:rsidR="0051368E" w:rsidRPr="003541DB" w:rsidRDefault="0051368E" w:rsidP="00C16366">
      <w:pPr>
        <w:spacing w:after="0" w:line="240" w:lineRule="auto"/>
        <w:jc w:val="both"/>
        <w:rPr>
          <w:rFonts w:ascii="Verdana" w:hAnsi="Verdana"/>
          <w:sz w:val="16"/>
          <w:szCs w:val="16"/>
          <w:lang w:val="es-ES"/>
        </w:rPr>
      </w:pPr>
      <w:r w:rsidRPr="003541DB">
        <w:rPr>
          <w:rStyle w:val="FootnoteReference"/>
          <w:rFonts w:ascii="Verdana" w:hAnsi="Verdana"/>
          <w:sz w:val="16"/>
          <w:szCs w:val="16"/>
        </w:rPr>
        <w:footnoteRef/>
      </w:r>
      <w:r w:rsidRPr="003541DB">
        <w:rPr>
          <w:rFonts w:ascii="Verdana" w:hAnsi="Verdana"/>
          <w:sz w:val="16"/>
          <w:szCs w:val="16"/>
          <w:lang w:val="es-GT"/>
        </w:rPr>
        <w:tab/>
      </w:r>
      <w:r w:rsidRPr="003541DB">
        <w:rPr>
          <w:rFonts w:ascii="Verdana" w:hAnsi="Verdana"/>
          <w:i/>
          <w:sz w:val="16"/>
          <w:szCs w:val="16"/>
          <w:lang w:val="es-GT"/>
        </w:rPr>
        <w:t xml:space="preserve">Cfr. </w:t>
      </w:r>
      <w:r w:rsidRPr="003541DB">
        <w:rPr>
          <w:rFonts w:ascii="Verdana" w:hAnsi="Verdana"/>
          <w:i/>
          <w:iCs/>
          <w:sz w:val="16"/>
          <w:szCs w:val="16"/>
          <w:lang w:val="es-GT" w:eastAsia="es-ES_tradnl"/>
        </w:rPr>
        <w:t>Caso Las Palmeras Vs. Colombia. Excepciones Preliminares.</w:t>
      </w:r>
      <w:r w:rsidRPr="003541DB">
        <w:rPr>
          <w:rFonts w:ascii="Verdana" w:hAnsi="Verdana"/>
          <w:iCs/>
          <w:sz w:val="16"/>
          <w:szCs w:val="16"/>
          <w:lang w:val="es-GT" w:eastAsia="es-ES_tradnl"/>
        </w:rPr>
        <w:t xml:space="preserve"> </w:t>
      </w:r>
      <w:r w:rsidRPr="003541DB">
        <w:rPr>
          <w:rFonts w:ascii="Verdana" w:hAnsi="Verdana"/>
          <w:sz w:val="16"/>
          <w:szCs w:val="16"/>
          <w:lang w:val="es-GT" w:eastAsia="es-ES_tradnl"/>
        </w:rPr>
        <w:t xml:space="preserve">Sentencia de 4 de febrero de 2000. Serie C No. 67, párr. 32, </w:t>
      </w:r>
      <w:r w:rsidRPr="003541DB">
        <w:rPr>
          <w:rFonts w:ascii="Verdana" w:hAnsi="Verdana"/>
          <w:sz w:val="16"/>
          <w:szCs w:val="16"/>
          <w:lang w:val="es-ES"/>
        </w:rPr>
        <w:t xml:space="preserve">y </w:t>
      </w:r>
      <w:r w:rsidRPr="003541DB">
        <w:rPr>
          <w:rFonts w:ascii="Verdana" w:hAnsi="Verdana"/>
          <w:i/>
          <w:sz w:val="16"/>
          <w:szCs w:val="16"/>
        </w:rPr>
        <w:t>Caso Pueblo Indígena Xucuru y sus miembros Vs. Brasil. Excepciones Preliminares, Fondo, Reparaciones y Costas.</w:t>
      </w:r>
      <w:r w:rsidRPr="003541DB">
        <w:rPr>
          <w:rFonts w:ascii="Verdana" w:hAnsi="Verdana"/>
          <w:sz w:val="16"/>
          <w:szCs w:val="16"/>
        </w:rPr>
        <w:t xml:space="preserve"> Sentencia de 5 de febrero de 2018. Serie C No. 346, párr. 20.</w:t>
      </w:r>
    </w:p>
  </w:footnote>
  <w:footnote w:id="17">
    <w:p w14:paraId="57C2C3CB" w14:textId="22CB4259" w:rsidR="0051368E" w:rsidRPr="003541DB" w:rsidRDefault="0051368E" w:rsidP="00C16366">
      <w:pPr>
        <w:spacing w:after="0" w:line="240" w:lineRule="auto"/>
        <w:jc w:val="both"/>
        <w:rPr>
          <w:rFonts w:ascii="Verdana" w:hAnsi="Verdana"/>
          <w:sz w:val="16"/>
          <w:szCs w:val="16"/>
          <w:lang w:val="es-ES"/>
        </w:rPr>
      </w:pPr>
      <w:r w:rsidRPr="003541DB">
        <w:rPr>
          <w:rStyle w:val="FootnoteReference"/>
          <w:rFonts w:ascii="Verdana" w:hAnsi="Verdana"/>
          <w:sz w:val="16"/>
          <w:szCs w:val="16"/>
        </w:rPr>
        <w:footnoteRef/>
      </w:r>
      <w:r w:rsidRPr="003541DB">
        <w:rPr>
          <w:rFonts w:ascii="Verdana" w:hAnsi="Verdana"/>
          <w:sz w:val="16"/>
          <w:szCs w:val="16"/>
          <w:lang w:val="es-GT"/>
        </w:rPr>
        <w:t xml:space="preserve"> </w:t>
      </w:r>
      <w:r w:rsidRPr="003541DB">
        <w:rPr>
          <w:rFonts w:ascii="Verdana" w:hAnsi="Verdana"/>
          <w:sz w:val="16"/>
          <w:szCs w:val="16"/>
          <w:lang w:val="es-GT"/>
        </w:rPr>
        <w:tab/>
      </w:r>
      <w:r w:rsidRPr="003541DB">
        <w:rPr>
          <w:rFonts w:ascii="Verdana" w:hAnsi="Verdana"/>
          <w:i/>
          <w:sz w:val="16"/>
          <w:szCs w:val="16"/>
          <w:lang w:val="es-GT"/>
        </w:rPr>
        <w:t xml:space="preserve">Cfr. Caso Castañeda Gutman Vs. México. Excepciones Preliminares, Fondo, Reparaciones y Costas. </w:t>
      </w:r>
      <w:r w:rsidRPr="003541DB">
        <w:rPr>
          <w:rFonts w:ascii="Verdana" w:hAnsi="Verdana"/>
          <w:sz w:val="16"/>
          <w:szCs w:val="16"/>
          <w:lang w:val="es-GT"/>
        </w:rPr>
        <w:t xml:space="preserve">Sentencia de 6 de agosto de 2008. Serie C No. 184, </w:t>
      </w:r>
      <w:r w:rsidRPr="003541DB">
        <w:rPr>
          <w:rFonts w:ascii="Verdana" w:hAnsi="Verdana"/>
          <w:sz w:val="16"/>
          <w:szCs w:val="16"/>
          <w:lang w:val="es-ES"/>
        </w:rPr>
        <w:t>párr. 39, y</w:t>
      </w:r>
      <w:r w:rsidRPr="003541DB">
        <w:rPr>
          <w:rFonts w:ascii="Verdana" w:hAnsi="Verdana"/>
          <w:sz w:val="16"/>
          <w:szCs w:val="16"/>
          <w:lang w:val="es-GT"/>
        </w:rPr>
        <w:t xml:space="preserve"> </w:t>
      </w:r>
      <w:r w:rsidRPr="003541DB">
        <w:rPr>
          <w:rStyle w:val="Strong"/>
          <w:rFonts w:ascii="Verdana" w:hAnsi="Verdana"/>
          <w:b w:val="0"/>
          <w:i/>
          <w:color w:val="000000"/>
          <w:sz w:val="16"/>
          <w:szCs w:val="16"/>
          <w:shd w:val="clear" w:color="auto" w:fill="FFFFFF"/>
        </w:rPr>
        <w:t>Caso Herzog y otros Vs. Brasil</w:t>
      </w:r>
      <w:r w:rsidRPr="003541DB">
        <w:rPr>
          <w:rFonts w:ascii="Verdana" w:hAnsi="Verdana"/>
          <w:i/>
          <w:iCs/>
          <w:sz w:val="16"/>
          <w:szCs w:val="16"/>
          <w:lang w:val="es-GT" w:eastAsia="es-ES_tradnl"/>
        </w:rPr>
        <w:t xml:space="preserve">. Excepciones Preliminares, Fondo, Reparaciones y Costas. </w:t>
      </w:r>
      <w:r w:rsidRPr="003541DB">
        <w:rPr>
          <w:rFonts w:ascii="Verdana" w:hAnsi="Verdana"/>
          <w:iCs/>
          <w:sz w:val="16"/>
          <w:szCs w:val="16"/>
          <w:lang w:val="es-GT" w:eastAsia="es-ES_tradnl"/>
        </w:rPr>
        <w:t>Sentencia de 15 de marzo de 2018. Serie C No. 353, párr. 80.</w:t>
      </w:r>
    </w:p>
  </w:footnote>
  <w:footnote w:id="18">
    <w:p w14:paraId="6DBFB3DB" w14:textId="16E1B2DB" w:rsidR="0051368E" w:rsidRPr="003541DB" w:rsidRDefault="0051368E" w:rsidP="00C16366">
      <w:pPr>
        <w:pStyle w:val="FootnoteText"/>
        <w:jc w:val="both"/>
        <w:rPr>
          <w:rFonts w:ascii="Verdana" w:hAnsi="Verdana"/>
          <w:b/>
          <w:sz w:val="16"/>
          <w:szCs w:val="16"/>
          <w:lang w:val="es-ES_tradnl" w:eastAsia="es-ES"/>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b/>
          <w:i/>
          <w:sz w:val="16"/>
          <w:szCs w:val="16"/>
        </w:rPr>
        <w:t xml:space="preserve"> </w:t>
      </w:r>
      <w:r w:rsidRPr="003541DB">
        <w:rPr>
          <w:rStyle w:val="Strong"/>
          <w:rFonts w:ascii="Verdana" w:hAnsi="Verdana"/>
          <w:b w:val="0"/>
          <w:i/>
          <w:color w:val="000000"/>
          <w:sz w:val="16"/>
          <w:szCs w:val="16"/>
          <w:shd w:val="clear" w:color="auto" w:fill="FFFFFF"/>
        </w:rPr>
        <w:t>Caso Genie Lacayo Vs. Nicaragua. Excepciones Preliminares.</w:t>
      </w:r>
      <w:r w:rsidRPr="003541DB">
        <w:rPr>
          <w:rStyle w:val="Strong"/>
          <w:rFonts w:ascii="Verdana" w:hAnsi="Verdana"/>
          <w:b w:val="0"/>
          <w:color w:val="000000"/>
          <w:sz w:val="16"/>
          <w:szCs w:val="16"/>
          <w:shd w:val="clear" w:color="auto" w:fill="FFFFFF"/>
        </w:rPr>
        <w:t xml:space="preserve"> Sentencia de 27 de enero de 1995. Serie C No. 21, párr. 50, y </w:t>
      </w:r>
      <w:r w:rsidRPr="003541DB">
        <w:rPr>
          <w:rStyle w:val="Strong"/>
          <w:rFonts w:ascii="Verdana" w:hAnsi="Verdana"/>
          <w:b w:val="0"/>
          <w:i/>
          <w:color w:val="000000"/>
          <w:sz w:val="16"/>
          <w:szCs w:val="16"/>
          <w:shd w:val="clear" w:color="auto" w:fill="FFFFFF"/>
        </w:rPr>
        <w:t>Caso Terrones Silva y otros Vs. Perú. Excepciones Preliminares, Fondo, Reparaciones y Costas</w:t>
      </w:r>
      <w:r w:rsidRPr="003541DB">
        <w:rPr>
          <w:rStyle w:val="Strong"/>
          <w:rFonts w:ascii="Verdana" w:hAnsi="Verdana"/>
          <w:b w:val="0"/>
          <w:color w:val="000000"/>
          <w:sz w:val="16"/>
          <w:szCs w:val="16"/>
          <w:shd w:val="clear" w:color="auto" w:fill="FFFFFF"/>
        </w:rPr>
        <w:t>. Sentencia de 26 de septiembre de 2018. Serie C No. 360, párr. 219.</w:t>
      </w:r>
    </w:p>
  </w:footnote>
  <w:footnote w:id="19">
    <w:p w14:paraId="6ABDAD2B" w14:textId="484F1EFC" w:rsidR="0051368E" w:rsidRPr="003541DB" w:rsidRDefault="0051368E" w:rsidP="00C16366">
      <w:pPr>
        <w:pStyle w:val="FootnoteText"/>
        <w:jc w:val="both"/>
        <w:rPr>
          <w:rFonts w:ascii="Verdana" w:eastAsiaTheme="minorHAnsi" w:hAnsi="Verdana" w:cs="Verdana"/>
          <w:i/>
          <w:sz w:val="16"/>
          <w:szCs w:val="16"/>
          <w:lang w:val="es-ES"/>
        </w:rPr>
      </w:pPr>
      <w:r w:rsidRPr="003541DB">
        <w:rPr>
          <w:rStyle w:val="FootnoteReference"/>
          <w:rFonts w:ascii="Verdan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cs="Verdana-Italic"/>
          <w:i/>
          <w:iCs/>
          <w:sz w:val="16"/>
          <w:szCs w:val="16"/>
          <w:lang w:val="es-ES"/>
        </w:rPr>
        <w:t>Cfr. Caso de las Masacres de Ituango Vs. Colombia. Excepción Preliminar, Fondo, Reparaciones y Costas</w:t>
      </w:r>
      <w:r w:rsidRPr="003541DB">
        <w:rPr>
          <w:rFonts w:ascii="Verdana" w:hAnsi="Verdana" w:cs="Verdana"/>
          <w:sz w:val="16"/>
          <w:szCs w:val="16"/>
          <w:lang w:val="es-ES"/>
        </w:rPr>
        <w:t xml:space="preserve">. Sentencia de 1 de julio de 2006. Serie C No. 148, párr. 98, y </w:t>
      </w:r>
      <w:r w:rsidRPr="003541DB">
        <w:rPr>
          <w:rStyle w:val="Strong"/>
          <w:rFonts w:ascii="Verdana" w:hAnsi="Verdana"/>
          <w:b w:val="0"/>
          <w:i/>
          <w:color w:val="000000"/>
          <w:sz w:val="16"/>
          <w:szCs w:val="16"/>
          <w:shd w:val="clear" w:color="auto" w:fill="FFFFFF"/>
        </w:rPr>
        <w:t>Caso Martínez Coronado Vs. Guatemala. Fondo, Reparaciones y Costas</w:t>
      </w:r>
      <w:r w:rsidRPr="003541DB">
        <w:rPr>
          <w:rStyle w:val="Strong"/>
          <w:rFonts w:ascii="Verdana" w:hAnsi="Verdana"/>
          <w:b w:val="0"/>
          <w:color w:val="000000"/>
          <w:sz w:val="16"/>
          <w:szCs w:val="16"/>
          <w:shd w:val="clear" w:color="auto" w:fill="FFFFFF"/>
        </w:rPr>
        <w:t>. Sentencia de 10 de mayo de 2019. Serie C No. 376, párr. 18.</w:t>
      </w:r>
    </w:p>
  </w:footnote>
  <w:footnote w:id="20">
    <w:p w14:paraId="09A94C8D" w14:textId="11A997C9"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Fonts w:ascii="Verdana" w:hAnsi="Verdana"/>
          <w:bCs/>
          <w:i/>
          <w:sz w:val="16"/>
          <w:szCs w:val="16"/>
          <w:lang w:val="es-ES"/>
        </w:rPr>
        <w:t>Caso Masacres de Río Negro Vs. Guatemala. Excepción Preliminar, Fondo, Reparaciones y Costas</w:t>
      </w:r>
      <w:r w:rsidRPr="003541DB">
        <w:rPr>
          <w:rFonts w:ascii="Verdana" w:hAnsi="Verdana"/>
          <w:bCs/>
          <w:sz w:val="16"/>
          <w:szCs w:val="16"/>
          <w:lang w:val="es-ES"/>
        </w:rPr>
        <w:t xml:space="preserve">. Sentencia de 4 de septiembre de 2012. Serie C No. 250, párr. 48, y </w:t>
      </w:r>
      <w:r w:rsidRPr="003541DB">
        <w:rPr>
          <w:rStyle w:val="Strong"/>
          <w:rFonts w:ascii="Verdana" w:hAnsi="Verdana"/>
          <w:b w:val="0"/>
          <w:i/>
          <w:color w:val="000000"/>
          <w:sz w:val="16"/>
          <w:szCs w:val="16"/>
          <w:shd w:val="clear" w:color="auto" w:fill="FFFFFF"/>
        </w:rPr>
        <w:t>Caso Martínez Coronado Vs. Guatemala. Fondo, Reparaciones y Costas</w:t>
      </w:r>
      <w:r w:rsidRPr="003541DB">
        <w:rPr>
          <w:rStyle w:val="Strong"/>
          <w:rFonts w:ascii="Verdana" w:hAnsi="Verdana"/>
          <w:b w:val="0"/>
          <w:color w:val="000000"/>
          <w:sz w:val="16"/>
          <w:szCs w:val="16"/>
          <w:shd w:val="clear" w:color="auto" w:fill="FFFFFF"/>
        </w:rPr>
        <w:t xml:space="preserve">. Sentencia de 10 de mayo de 2019. Serie C No. 376, párr. 18. </w:t>
      </w:r>
    </w:p>
  </w:footnote>
  <w:footnote w:id="21">
    <w:p w14:paraId="56207A3C" w14:textId="249234E4" w:rsidR="0051368E" w:rsidRPr="003541DB" w:rsidRDefault="0051368E" w:rsidP="00C16366">
      <w:pPr>
        <w:pStyle w:val="FootnoteText"/>
        <w:jc w:val="both"/>
        <w:rPr>
          <w:rFonts w:ascii="Verdana" w:hAnsi="Verdana"/>
          <w:sz w:val="16"/>
          <w:szCs w:val="16"/>
          <w:lang w:eastAsia="es-ES"/>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Artículo 57.2 del Reglamento.</w:t>
      </w:r>
    </w:p>
  </w:footnote>
  <w:footnote w:id="22">
    <w:p w14:paraId="36FE40F1"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t>En la audiencia pública, la Corte escuchó la declaración de la presunta víctima, Oscar Raúl Gorigoitía.</w:t>
      </w:r>
    </w:p>
  </w:footnote>
  <w:footnote w:id="23">
    <w:p w14:paraId="530E1BAA"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La Corte recibió los dictámenes periciales rendidos ante fedatario público de los señores Oscar Dimas, Fernando De La Rúa y Mario Alberto Juliano.</w:t>
      </w:r>
    </w:p>
  </w:footnote>
  <w:footnote w:id="24">
    <w:p w14:paraId="5F4838D9" w14:textId="7D0CBE32"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En su escrito de sometimiento del caso, la Comisión solicitó el traslado de estos peritajes “[e]n virtud de que estas cuestiones afectan de manera relevante el orden público interamericano”.</w:t>
      </w:r>
    </w:p>
  </w:footnote>
  <w:footnote w:id="25">
    <w:p w14:paraId="70B9D2D7" w14:textId="5FEC7FBD"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w:t>
      </w:r>
      <w:r w:rsidRPr="003541DB">
        <w:rPr>
          <w:rFonts w:ascii="Verdana" w:hAnsi="Verdana"/>
          <w:i/>
          <w:sz w:val="16"/>
          <w:szCs w:val="16"/>
        </w:rPr>
        <w:t xml:space="preserve"> </w:t>
      </w:r>
      <w:r w:rsidRPr="003541DB">
        <w:rPr>
          <w:rFonts w:ascii="Verdana" w:hAnsi="Verdana"/>
          <w:sz w:val="16"/>
          <w:szCs w:val="16"/>
        </w:rPr>
        <w:t xml:space="preserve">Poder Judicial de Mendoza, Expediente N° 16.073 “F. c/ Gorigoitía Oscar Raúl p/ Homicidio Simple” y su acumulada, Sala de Acuerdos de Cámara Primera del Crimen, 12 de septiembre de 1997 (expediente de prueba, folios 14 y 51). </w:t>
      </w:r>
      <w:r w:rsidRPr="003541DB">
        <w:rPr>
          <w:rFonts w:ascii="Verdana" w:hAnsi="Verdana"/>
          <w:sz w:val="16"/>
          <w:szCs w:val="16"/>
          <w:lang w:val="es-ES"/>
        </w:rPr>
        <w:t>La muerte del señor Gómez Romagnoli ocurrió en el contexto de una persecución policial ocurrida el 31 de agosto de 1996. El señor Gómez Romagnoli se encontraba en su vehículo cuando un sargento lo interrogó acerca de si tenía algún problema. Acto seguido, el señor Gómez Romagnoli se dio a la fuga, por lo que comenzó a ser perseguido por distintos vehículos policiales que se fueron sumando a lo largo de la persecución. En el trayecto se efectuaron disparos de arma de fuego. Uno de esos disparos, proveniente del arma reglamentaria del señor Gorigoitía, impactó al señor Gómez causándole la muerte. Todo el personal policial que intervino en la persecución quedó detenido e incomunicado por orden del Juez de Instrucción, quien se hizo presente en la Subcomisaría.</w:t>
      </w:r>
    </w:p>
  </w:footnote>
  <w:footnote w:id="26">
    <w:p w14:paraId="23DA8588" w14:textId="51D101BD"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 xml:space="preserve">Sentencia del Poder Judicial de Mendoza, Expediente N° 16.073 “F. c/ Gorigoitía Oscar Raúl p/ Homicidio Simple” y su acumulada, Sala de Acuerdos de Cámara Primera del Crimen, 12 de septiembre de 1997 (expediente de prueba, folio 2). </w:t>
      </w:r>
      <w:r w:rsidRPr="003541DB">
        <w:rPr>
          <w:rFonts w:ascii="Verdana" w:hAnsi="Verdana"/>
          <w:sz w:val="16"/>
          <w:szCs w:val="16"/>
          <w:lang w:val="es-ES"/>
        </w:rPr>
        <w:t>En la resolución el juez indicó que “la muerte de la víctima por el disparo de un arma de fuego, el secuestro del proyectil que la ocasiona, la determinación que ese proyectil fue disparado por el arma del encausado, el informe que demuestra que otro disparo también fue efectuado con la misma pistola y las declaraciones de los policías que vieron disparar a Gorigoitía contra el automóvil de Gómez, desde un ángulo que se comparece con los impactos encontrados en el rodado, conforman sin duda, un plexo probatorio que permite tener al justiciable como probable autor de la muerte de Gómez”.</w:t>
      </w:r>
    </w:p>
  </w:footnote>
  <w:footnote w:id="27">
    <w:p w14:paraId="4512F83E" w14:textId="0EED61C9"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73.872/1 “F. c/ Gorigoitía, Oscar”, 6 de septiembre de 1996 (expediente de prueba, folios 124 y 131). En concreto manifestó que “[…] un policía de 20 años de antigüedad, conoce las características de esta arma, su alcance y los daños que es capaz de provocar, porque claro está, es previamente instruido, capacitado, para su utilización”. En el mismo sentido agregó que el señor Gorigoitía, “[…] además de conocer el arma que portaba, el Sargento Ayudante integra la Compañía Motorizada, lo que lo hace conocedor también de los peligros que implica disparar cuando se encuentra a bordo de un vehículo que está en movimiento”.</w:t>
      </w:r>
    </w:p>
  </w:footnote>
  <w:footnote w:id="28">
    <w:p w14:paraId="362B9763"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73.872/1 “F. c/ Gorigoitía, Oscar”, 6 de septiembre de 1996 (expediente de prueba, folio 125).</w:t>
      </w:r>
    </w:p>
  </w:footnote>
  <w:footnote w:id="29">
    <w:p w14:paraId="1A5DBE6B"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73.872/1 “F. c/ Gorigoitía, Oscar”, 6 de septiembre de 1996 (expediente de prueba, folio 130).</w:t>
      </w:r>
    </w:p>
  </w:footnote>
  <w:footnote w:id="30">
    <w:p w14:paraId="195ECAE4"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folios 4 y104).</w:t>
      </w:r>
    </w:p>
  </w:footnote>
  <w:footnote w:id="31">
    <w:p w14:paraId="649A5342"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101).</w:t>
      </w:r>
    </w:p>
  </w:footnote>
  <w:footnote w:id="32">
    <w:p w14:paraId="0F79014B"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4).</w:t>
      </w:r>
    </w:p>
  </w:footnote>
  <w:footnote w:id="33">
    <w:p w14:paraId="30334675"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folios 13 y 14).</w:t>
      </w:r>
    </w:p>
  </w:footnote>
  <w:footnote w:id="34">
    <w:p w14:paraId="3A22B06D"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86).</w:t>
      </w:r>
    </w:p>
  </w:footnote>
  <w:footnote w:id="35">
    <w:p w14:paraId="5FD708BB" w14:textId="77777777" w:rsidR="0051368E" w:rsidRPr="003541DB" w:rsidRDefault="0051368E" w:rsidP="00C16366">
      <w:pPr>
        <w:pStyle w:val="FootnoteText"/>
        <w:contextualSpacing/>
        <w:jc w:val="both"/>
        <w:rPr>
          <w:rFonts w:ascii="Verdana" w:hAnsi="Verdana"/>
          <w:sz w:val="16"/>
          <w:szCs w:val="16"/>
          <w:vertAlign w:val="superscript"/>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86).</w:t>
      </w:r>
    </w:p>
  </w:footnote>
  <w:footnote w:id="36">
    <w:p w14:paraId="5776E48B"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i/>
          <w:sz w:val="16"/>
          <w:szCs w:val="16"/>
        </w:rPr>
        <w:t xml:space="preserve"> </w:t>
      </w:r>
      <w:r w:rsidRPr="003541DB">
        <w:rPr>
          <w:rFonts w:ascii="Verdana" w:hAnsi="Verdana"/>
          <w:i/>
          <w:sz w:val="16"/>
          <w:szCs w:val="16"/>
        </w:rPr>
        <w:tab/>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89).</w:t>
      </w:r>
    </w:p>
  </w:footnote>
  <w:footnote w:id="37">
    <w:p w14:paraId="072A96F2"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86).</w:t>
      </w:r>
    </w:p>
  </w:footnote>
  <w:footnote w:id="38">
    <w:p w14:paraId="07ED6B5A" w14:textId="0EDEF170"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 16.073 “F. c/ Gorigoitía Oscar Raúl p/ Homicidio Simple” y su acumulada, Sala de Acuerdos de Cámara Primera del Crimen, 12 de septiembre de 1997 (expediente de prueba, folio 87).</w:t>
      </w:r>
    </w:p>
  </w:footnote>
  <w:footnote w:id="39">
    <w:p w14:paraId="3A3C2055"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Recurso de Casación Penal, presentado ante la Cámara Primera del Crimen de Mendoza, 29 de septiembre de 1997 (expediente de prueba, folios 134 y ss).</w:t>
      </w:r>
    </w:p>
  </w:footnote>
  <w:footnote w:id="40">
    <w:p w14:paraId="2FB11F0B"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de Casación Penal, interpuesto por Adolfo V. MORENO, defensor de Oscar Raúl Gorigoitía, el 29 de septiembre de 1997, ante la Cámara Primera del Crimen de Mendoza (expediente de prueba, folio 150).</w:t>
      </w:r>
    </w:p>
  </w:footnote>
  <w:footnote w:id="41">
    <w:p w14:paraId="3900AB62"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de Casación Penal, interpuesto por Adolfo V. MORENO, defensor de Oscar Raúl Gorigoitía, el 29 de septiembre de 1997, ante la Cámara Primera del Crimen de Mendoza (expediente de prueba, folio 151).</w:t>
      </w:r>
    </w:p>
  </w:footnote>
  <w:footnote w:id="42">
    <w:p w14:paraId="69BBA5E4" w14:textId="19E10438"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de Casación Penal, interpuesto por Adolfo V. MORENO, defensor de Oscar Raúl Gorigoitía, el 29 de septiembre de 1997, ante la Cámara Primera del Crimen de Mendoza (expediente de prueba, folio 151).</w:t>
      </w:r>
    </w:p>
  </w:footnote>
  <w:footnote w:id="43">
    <w:p w14:paraId="5ED80D1E" w14:textId="77777777"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de Casación Penal, interpuesto por Adolfo V. MORENO, defensor de Oscar Raúl Gorigoitía, el 29 de septiembre de 1997, ante la Cámara Primera del Crimen de Mendoza (expediente de prueba, folio 152).</w:t>
      </w:r>
    </w:p>
  </w:footnote>
  <w:footnote w:id="44">
    <w:p w14:paraId="217C2A51" w14:textId="05777412" w:rsidR="0051368E" w:rsidRPr="003541DB" w:rsidRDefault="0051368E" w:rsidP="00C16366">
      <w:pPr>
        <w:pStyle w:val="FootnoteText"/>
        <w:contextualSpacing/>
        <w:jc w:val="both"/>
        <w:rPr>
          <w:rFonts w:ascii="Verdana" w:hAnsi="Verdana"/>
          <w:sz w:val="16"/>
          <w:szCs w:val="16"/>
        </w:rPr>
      </w:pPr>
      <w:r w:rsidRPr="003541DB">
        <w:rPr>
          <w:rFonts w:ascii="Verdana" w:hAnsi="Verdana"/>
          <w:sz w:val="16"/>
          <w:szCs w:val="16"/>
          <w:vertAlign w:val="superscript"/>
        </w:rPr>
        <w:t>.</w:t>
      </w:r>
      <w:r w:rsidRPr="003541DB">
        <w:rPr>
          <w:rFonts w:ascii="Verdana" w:hAnsi="Verdana"/>
          <w:sz w:val="16"/>
          <w:szCs w:val="16"/>
          <w:vertAlign w:val="superscript"/>
        </w:rPr>
        <w:footnoteRef/>
      </w:r>
      <w:r w:rsidRPr="003541DB">
        <w:rPr>
          <w:rFonts w:ascii="Verdana" w:hAnsi="Verdana"/>
          <w:sz w:val="16"/>
          <w:szCs w:val="16"/>
          <w:vertAlign w:val="superscript"/>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de Casación Penal, interpuesto por Adolfo V. MORENO, defensor de Oscar Raúl Gorigoitía, el 29 de septiembre de 1997, ante la Cámara Primera del Crimen de Mendoza (expediente de prueba, folio 154).</w:t>
      </w:r>
    </w:p>
  </w:footnote>
  <w:footnote w:id="45">
    <w:p w14:paraId="337026EA" w14:textId="77777777" w:rsidR="0051368E" w:rsidRPr="003541DB" w:rsidRDefault="0051368E" w:rsidP="00C16366">
      <w:pPr>
        <w:spacing w:after="0" w:line="240" w:lineRule="auto"/>
        <w:contextualSpacing/>
        <w:jc w:val="both"/>
        <w:rPr>
          <w:rFonts w:ascii="Verdana" w:hAnsi="Verdana"/>
          <w:sz w:val="16"/>
          <w:szCs w:val="16"/>
        </w:rPr>
      </w:pPr>
      <w:r w:rsidRPr="003541DB">
        <w:rPr>
          <w:rFonts w:ascii="Verdana" w:hAnsi="Verdana"/>
          <w:sz w:val="16"/>
          <w:szCs w:val="16"/>
          <w:vertAlign w:val="superscript"/>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del Poder Judicial de Mendoza, Expediente No. 16.093 y Acum. Ac. Civil y F.c/Gorigoitía Guerrero, Oscar R. p/Homicidio”, 29 de septiembre de 1997 (expediente de prueba, folio 903).</w:t>
      </w:r>
    </w:p>
  </w:footnote>
  <w:footnote w:id="46">
    <w:p w14:paraId="7091AF67" w14:textId="19A99F4E"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159).</w:t>
      </w:r>
    </w:p>
  </w:footnote>
  <w:footnote w:id="47">
    <w:p w14:paraId="2002FECD"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159).</w:t>
      </w:r>
    </w:p>
  </w:footnote>
  <w:footnote w:id="48">
    <w:p w14:paraId="2DF5C608"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159)</w:t>
      </w:r>
    </w:p>
  </w:footnote>
  <w:footnote w:id="49">
    <w:p w14:paraId="48BAE64A"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160).</w:t>
      </w:r>
    </w:p>
  </w:footnote>
  <w:footnote w:id="50">
    <w:p w14:paraId="4521865D"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160).</w:t>
      </w:r>
    </w:p>
  </w:footnote>
  <w:footnote w:id="51">
    <w:p w14:paraId="322C83B0"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161)</w:t>
      </w:r>
    </w:p>
  </w:footnote>
  <w:footnote w:id="52">
    <w:p w14:paraId="70C4D1F9"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161).</w:t>
      </w:r>
    </w:p>
  </w:footnote>
  <w:footnote w:id="53">
    <w:p w14:paraId="49B831E5"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del Poder de Mendoza, Expediente No. 63.145: “F. c/ Gorigoitía Guerrero, Oscar” Corte Suprema de Justicia de Mendoza, 19 de diciembre de 1997, (expediente de prueba, folio 161).</w:t>
      </w:r>
    </w:p>
  </w:footnote>
  <w:footnote w:id="54">
    <w:p w14:paraId="3A5F0285"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Recurso Extraordinario, interpuesto por Adolfo V. MORENO, defensor de Oscar Raúl Gorigoitía, el 24 de febrero de 1998, ante la Suprema Corte de Justicia de Mendoza (expediente de prueba, folio 176).</w:t>
      </w:r>
    </w:p>
  </w:footnote>
  <w:footnote w:id="55">
    <w:p w14:paraId="69F08A78"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Extraordinario, interpuesto por Adolfo V. MORENO, defensor de Oscar Raúl Gorigoitía, el 24 de febrero de 1998, ante la Suprema Corte de Justicia de Mendoza (expediente de prueba, folio 176).</w:t>
      </w:r>
    </w:p>
  </w:footnote>
  <w:footnote w:id="56">
    <w:p w14:paraId="4BFD1BD9"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i/>
          <w:sz w:val="16"/>
          <w:szCs w:val="16"/>
        </w:rPr>
        <w:t xml:space="preserve"> </w:t>
      </w:r>
      <w:r w:rsidRPr="003541DB">
        <w:rPr>
          <w:rFonts w:ascii="Verdana" w:hAnsi="Verdana"/>
          <w:i/>
          <w:sz w:val="16"/>
          <w:szCs w:val="16"/>
        </w:rPr>
        <w:tab/>
        <w:t>Cfr.</w:t>
      </w:r>
      <w:r w:rsidRPr="003541DB">
        <w:rPr>
          <w:rFonts w:ascii="Verdana" w:hAnsi="Verdana"/>
          <w:sz w:val="16"/>
          <w:szCs w:val="16"/>
        </w:rPr>
        <w:t xml:space="preserve"> Recurso Extraordinario, interpuesto por Adolfo V. MORENO, defensor de Oscar Raúl Gorigoitía, el 24 de febrero de 1998, ante la Suprema Corte de Justicia de Mendoza (expediente de prueba, folio 185).</w:t>
      </w:r>
    </w:p>
  </w:footnote>
  <w:footnote w:id="57">
    <w:p w14:paraId="48223025"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Recurso Extraordinario, interpuesto por Adolfo V. MORENO, defensor de Oscar Raúl Gorigoitía, el 24 de febrero de 1998, ante la Suprema Corte de Justicia de Mendoza (expediente de prueba, folio 185).</w:t>
      </w:r>
    </w:p>
  </w:footnote>
  <w:footnote w:id="58">
    <w:p w14:paraId="629DCCE3"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Recurso Extraordinario, interpuesto por Adolfo V. MORENO, defensor de Oscar Raúl Gorigoitía, el 24 de febrero de 1998, ante la Suprema Corte de Justicia de Mendoza (expediente de prueba, folio 187).</w:t>
      </w:r>
    </w:p>
  </w:footnote>
  <w:footnote w:id="59">
    <w:p w14:paraId="5ACA0B50"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Extraordinario, interpuesto por Adolfo V. MORENO, defensor de Oscar Raúl Gorigoitía, el 24 de febrero de 1998, ante la Suprema Corte de Justicia de Mendoza (expediente de prueba, folios 189 y 190).</w:t>
      </w:r>
    </w:p>
  </w:footnote>
  <w:footnote w:id="60">
    <w:p w14:paraId="1420D6A7"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Recurso Extraordinario, interpuesto por Adolfo V. MORENO, defensor de Oscar Raúl Gorigoitía, el 24 de febrero de 1998, ante la Suprema Corte de Justicia de Mendoza (expediente de prueba, folio 195).</w:t>
      </w:r>
    </w:p>
  </w:footnote>
  <w:footnote w:id="61">
    <w:p w14:paraId="4AD78F4C" w14:textId="602F4EED"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Procuración General de la Suprema Corte de Justicia de Mendoza. Contestación al Recurso extraordinario ante la Corte Suprema de Justicia de la Nación, 11 de marzo de 1998 (expediente de prueba, folio 200).</w:t>
      </w:r>
    </w:p>
  </w:footnote>
  <w:footnote w:id="62">
    <w:p w14:paraId="4AA12D27" w14:textId="11F3B92F"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Procuración General de la Suprema Corte de Justicia de Mendoza. Contestación al Recurso extraordinario ante la Corte Suprema de Justicia de la Nación, 11 de marzo de 1998 (expediente de prueba, folio 201).</w:t>
      </w:r>
    </w:p>
  </w:footnote>
  <w:footnote w:id="63">
    <w:p w14:paraId="244E0324" w14:textId="77777777" w:rsidR="0051368E" w:rsidRPr="003541DB" w:rsidRDefault="0051368E" w:rsidP="00C16366">
      <w:pPr>
        <w:pStyle w:val="FootnoteText"/>
        <w:contextualSpacing/>
        <w:jc w:val="both"/>
        <w:rPr>
          <w:rFonts w:ascii="Verdana" w:hAnsi="Verdana"/>
          <w:sz w:val="16"/>
          <w:szCs w:val="16"/>
          <w:lang w:val="es-A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w:t>
      </w:r>
      <w:r w:rsidRPr="003541DB">
        <w:rPr>
          <w:rFonts w:ascii="Verdana" w:hAnsi="Verdana"/>
          <w:sz w:val="16"/>
          <w:szCs w:val="16"/>
        </w:rPr>
        <w:t xml:space="preserve"> Sentencia de la</w:t>
      </w:r>
      <w:r w:rsidRPr="003541DB">
        <w:rPr>
          <w:rFonts w:ascii="Verdana" w:hAnsi="Verdana"/>
          <w:i/>
          <w:sz w:val="16"/>
          <w:szCs w:val="16"/>
        </w:rPr>
        <w:t xml:space="preserve"> </w:t>
      </w:r>
      <w:r w:rsidRPr="003541DB">
        <w:rPr>
          <w:rFonts w:ascii="Verdana" w:hAnsi="Verdana"/>
          <w:sz w:val="16"/>
          <w:szCs w:val="16"/>
          <w:lang w:val="es-AR"/>
        </w:rPr>
        <w:t xml:space="preserve">Suprema Corte de Justicia de la Provincia de Mendoza, Expte. No. 62.145: “Actor civil y Fiscal c/ Gorigoitía Guerrero, Oscar Raúl”, 31 de marzo de 1998 </w:t>
      </w:r>
      <w:r w:rsidRPr="003541DB">
        <w:rPr>
          <w:rFonts w:ascii="Verdana" w:hAnsi="Verdana"/>
          <w:sz w:val="16"/>
          <w:szCs w:val="16"/>
        </w:rPr>
        <w:t xml:space="preserve">(expediente de prueba, </w:t>
      </w:r>
      <w:r w:rsidRPr="003541DB">
        <w:rPr>
          <w:rFonts w:ascii="Verdana" w:hAnsi="Verdana"/>
          <w:sz w:val="16"/>
          <w:szCs w:val="16"/>
          <w:lang w:val="es-AR"/>
        </w:rPr>
        <w:t>folio 205).</w:t>
      </w:r>
    </w:p>
  </w:footnote>
  <w:footnote w:id="64">
    <w:p w14:paraId="5FDB4AFA" w14:textId="77777777" w:rsidR="0051368E" w:rsidRPr="003541DB" w:rsidRDefault="0051368E" w:rsidP="00C16366">
      <w:pPr>
        <w:pStyle w:val="FootnoteText"/>
        <w:contextualSpacing/>
        <w:jc w:val="both"/>
        <w:rPr>
          <w:rFonts w:ascii="Verdana" w:hAnsi="Verdana"/>
          <w:sz w:val="16"/>
          <w:szCs w:val="16"/>
          <w:lang w:val="es-A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 la</w:t>
      </w:r>
      <w:r w:rsidRPr="003541DB">
        <w:rPr>
          <w:rFonts w:ascii="Verdana" w:hAnsi="Verdana"/>
          <w:i/>
          <w:sz w:val="16"/>
          <w:szCs w:val="16"/>
        </w:rPr>
        <w:t xml:space="preserve"> </w:t>
      </w:r>
      <w:r w:rsidRPr="003541DB">
        <w:rPr>
          <w:rFonts w:ascii="Verdana" w:hAnsi="Verdana"/>
          <w:sz w:val="16"/>
          <w:szCs w:val="16"/>
          <w:lang w:val="es-AR"/>
        </w:rPr>
        <w:t xml:space="preserve">Suprema Corte de Justicia de la Provincia de Mendoza, Expte. No. 62.145: “Actor civil y Fiscal c/ Gorigoitía Guerrero, Oscar Raúl”, 31 de marzo de 1998 </w:t>
      </w:r>
      <w:r w:rsidRPr="003541DB">
        <w:rPr>
          <w:rFonts w:ascii="Verdana" w:hAnsi="Verdana"/>
          <w:sz w:val="16"/>
          <w:szCs w:val="16"/>
        </w:rPr>
        <w:t xml:space="preserve">(expediente de prueba, </w:t>
      </w:r>
      <w:r w:rsidRPr="003541DB">
        <w:rPr>
          <w:rFonts w:ascii="Verdana" w:hAnsi="Verdana"/>
          <w:sz w:val="16"/>
          <w:szCs w:val="16"/>
          <w:lang w:val="es-AR"/>
        </w:rPr>
        <w:t xml:space="preserve">folio 206). </w:t>
      </w:r>
    </w:p>
  </w:footnote>
  <w:footnote w:id="65">
    <w:p w14:paraId="7AD83CEC" w14:textId="77777777"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 la</w:t>
      </w:r>
      <w:r w:rsidRPr="003541DB">
        <w:rPr>
          <w:rFonts w:ascii="Verdana" w:hAnsi="Verdana"/>
          <w:i/>
          <w:sz w:val="16"/>
          <w:szCs w:val="16"/>
        </w:rPr>
        <w:t xml:space="preserve"> </w:t>
      </w:r>
      <w:r w:rsidRPr="003541DB">
        <w:rPr>
          <w:rFonts w:ascii="Verdana" w:hAnsi="Verdana"/>
          <w:sz w:val="16"/>
          <w:szCs w:val="16"/>
        </w:rPr>
        <w:t>Suprema Corte de Justicia de la Provincia de Mendoza, Expte. No. 62.145: “Actor civil y Fiscal c/ Gorigoitía Guerrero, Oscar Raúl”, 31 de marzo de 1998 (expediente de prueba, folio 206).</w:t>
      </w:r>
    </w:p>
  </w:footnote>
  <w:footnote w:id="66">
    <w:p w14:paraId="54A61D59" w14:textId="77777777" w:rsidR="0051368E" w:rsidRPr="003541DB" w:rsidRDefault="0051368E" w:rsidP="00C16366">
      <w:pPr>
        <w:pStyle w:val="FootnoteText"/>
        <w:contextualSpacing/>
        <w:jc w:val="both"/>
        <w:rPr>
          <w:rFonts w:ascii="Verdana" w:hAnsi="Verdana"/>
          <w:sz w:val="16"/>
          <w:szCs w:val="16"/>
          <w:lang w:val="es-A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lang w:val="es-AR"/>
        </w:rPr>
        <w:t xml:space="preserve">Recurso de Queja </w:t>
      </w:r>
      <w:r w:rsidRPr="003541DB">
        <w:rPr>
          <w:rFonts w:ascii="Verdana" w:hAnsi="Verdana"/>
          <w:sz w:val="16"/>
          <w:szCs w:val="16"/>
        </w:rPr>
        <w:t>interpuesto por Adolfo V. MORENO, defensor de Oscar Raúl Gorigoitía, el</w:t>
      </w:r>
      <w:r w:rsidRPr="003541DB">
        <w:rPr>
          <w:rFonts w:ascii="Verdana" w:hAnsi="Verdana"/>
          <w:sz w:val="16"/>
          <w:szCs w:val="16"/>
          <w:lang w:val="es-AR"/>
        </w:rPr>
        <w:t xml:space="preserve"> 23 de abril de 1998, ante Corte Suprema de Justicia de la Nación</w:t>
      </w:r>
      <w:r w:rsidRPr="003541DB">
        <w:rPr>
          <w:rFonts w:ascii="Verdana" w:hAnsi="Verdana"/>
          <w:sz w:val="16"/>
          <w:szCs w:val="16"/>
        </w:rPr>
        <w:t xml:space="preserve"> (expediente de prueba,</w:t>
      </w:r>
      <w:r w:rsidRPr="003541DB">
        <w:rPr>
          <w:rFonts w:ascii="Verdana" w:hAnsi="Verdana"/>
          <w:sz w:val="16"/>
          <w:szCs w:val="16"/>
          <w:lang w:val="es-AR"/>
        </w:rPr>
        <w:t xml:space="preserve"> folio 208).</w:t>
      </w:r>
    </w:p>
  </w:footnote>
  <w:footnote w:id="67">
    <w:p w14:paraId="03C0C3AA" w14:textId="4E1406CE" w:rsidR="0051368E" w:rsidRPr="003541DB" w:rsidRDefault="0051368E" w:rsidP="00C16366">
      <w:pPr>
        <w:pStyle w:val="FootnoteText"/>
        <w:contextualSpacing/>
        <w:jc w:val="both"/>
        <w:rPr>
          <w:rFonts w:ascii="Verdana" w:hAnsi="Verdana"/>
          <w:sz w:val="16"/>
          <w:szCs w:val="16"/>
          <w:lang w:val="es-A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 la</w:t>
      </w:r>
      <w:r w:rsidRPr="003541DB">
        <w:rPr>
          <w:rFonts w:ascii="Verdana" w:hAnsi="Verdana"/>
          <w:i/>
          <w:sz w:val="16"/>
          <w:szCs w:val="16"/>
        </w:rPr>
        <w:t xml:space="preserve"> </w:t>
      </w:r>
      <w:r w:rsidRPr="003541DB">
        <w:rPr>
          <w:rFonts w:ascii="Verdana" w:hAnsi="Verdana"/>
          <w:sz w:val="16"/>
          <w:szCs w:val="16"/>
          <w:lang w:val="es-AR"/>
        </w:rPr>
        <w:t xml:space="preserve">Corte Suprema de Justicia de la Nación, F115. XXXIV. Recurso de Hecho, Fiscal y actor civil c/ Gorigoitía, Oscar Raúl, 6 de agosto de 1998 </w:t>
      </w:r>
      <w:r w:rsidRPr="003541DB">
        <w:rPr>
          <w:rFonts w:ascii="Verdana" w:hAnsi="Verdana"/>
          <w:sz w:val="16"/>
          <w:szCs w:val="16"/>
        </w:rPr>
        <w:t xml:space="preserve">(expediente de prueba, folio </w:t>
      </w:r>
      <w:r w:rsidRPr="003541DB">
        <w:rPr>
          <w:rFonts w:ascii="Verdana" w:hAnsi="Verdana"/>
          <w:sz w:val="16"/>
          <w:szCs w:val="16"/>
          <w:lang w:val="es-AR"/>
        </w:rPr>
        <w:t>214).</w:t>
      </w:r>
    </w:p>
  </w:footnote>
  <w:footnote w:id="68">
    <w:p w14:paraId="54049694"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Código Procesal Penal de la Provincia de Mendoza Ley No. 1.908 del año 1950. Art. 503. Procedencia del recurso. El recurso de casación podrá ser interpuesto por los siguientes motivos: 1) inobservancia o errónea aplicación de la ley sustantiva. 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w:t>
      </w:r>
    </w:p>
  </w:footnote>
  <w:footnote w:id="69">
    <w:p w14:paraId="4F119CE8" w14:textId="2EBBF94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El Código Procesal Penal de la Provincia Mendoza, Ley No. 6.730 publicada el 30 de noviembre de 1999 reguló en su artículo 474, la procedencia del recurso de casación y con ello, quedó derogado el artículo 503 del Código Procesal Penal de la Provincia de Mendoza, Ley No. 1.908, del año 1950.</w:t>
      </w:r>
    </w:p>
  </w:footnote>
  <w:footnote w:id="70">
    <w:p w14:paraId="765C5EAF" w14:textId="3FE5B18E" w:rsidR="0051368E" w:rsidRPr="003541DB" w:rsidRDefault="0051368E" w:rsidP="00C16366">
      <w:pPr>
        <w:pStyle w:val="FootnoteText"/>
        <w:contextualSpacing/>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Sentencia de la Corte Suprema de Justicia de la Nación del 20 de septiembre de 2005 en la causa “Casal, Matías Eugenio y otros s/ robo simple en grado de tentativa”. En dicho fallo se estableció que “</w:t>
      </w:r>
      <w:r w:rsidRPr="003541DB">
        <w:rPr>
          <w:rFonts w:ascii="Verdana" w:hAnsi="Verdana"/>
          <w:sz w:val="16"/>
          <w:szCs w:val="16"/>
          <w:lang w:val="es-ES"/>
        </w:rPr>
        <w:t>(…) en síntesis, cabe entender que el art. 456 del Código Procesal Penal de la Nación debe entenderse en el sentido de que habilita a una revisión amplia de la sentencia, todo lo extensa que sea posible al máximo esfuerzo de revisión de los jueces de casación, conforme a las posibilidades y constancias de cada caso particular y sin magnificar las cuestiones reservadas a la inmediación, sólo inevitables por imperio de la oralidad conforme a la naturaleza de las cosas”.</w:t>
      </w:r>
    </w:p>
  </w:footnote>
  <w:footnote w:id="71">
    <w:p w14:paraId="50A962FF"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sz w:val="16"/>
          <w:szCs w:val="16"/>
        </w:rPr>
        <w:t>Código Procesal Penal de la Provincia de Mendoza Ley No. 6.730 del año 1999. Art. 474. Motivos. El recurso de casación podrá ser interpuesto por los siguientes motivos: 1) Inobservancia o errónea aplicación de la Ley sustantiva. 2) Inobservancia de las normas que este Código establece bajo pena de inadmisibilidad, caducidad o nulidad, siempre que, con excepción de los casos de nulidad absoluta, el recurrente hubiera reclamado oportunamente la subsanación del defecto, si era posible, o hubiera hecho protesta de recurrir en casación.</w:t>
      </w:r>
    </w:p>
  </w:footnote>
  <w:footnote w:id="72">
    <w:p w14:paraId="0D47C18F"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La Ley No. 9.040, crea el Fuero Penal Colegiado, en el Poder Judicial de la Provincia de Mendoza, fue publicada el 1 de febrero de 2018 transformó a las Cámaras del Crimen, como la Primera Cámara, y los juzgados, como el Juzgado de Instrucción, en tribunales y juzgados colegiados penales, respectivamente y replantearon sus competencias.</w:t>
      </w:r>
    </w:p>
  </w:footnote>
  <w:footnote w:id="73">
    <w:p w14:paraId="07EECD48" w14:textId="610C7645" w:rsidR="0051368E" w:rsidRPr="003541DB" w:rsidRDefault="0051368E">
      <w:pPr>
        <w:pStyle w:val="FootnoteText"/>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sz w:val="16"/>
          <w:szCs w:val="16"/>
          <w:lang w:val="es-CR"/>
        </w:rPr>
        <w:t>Artículos 8.2.h), 25, 1.1, 2 y 28 de la Convención.</w:t>
      </w:r>
    </w:p>
  </w:footnote>
  <w:footnote w:id="74">
    <w:p w14:paraId="3EBCED4A"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Style w:val="Strong"/>
          <w:rFonts w:ascii="Verdana" w:hAnsi="Verdana"/>
          <w:b w:val="0"/>
          <w:i/>
          <w:color w:val="000000"/>
          <w:sz w:val="16"/>
          <w:szCs w:val="16"/>
          <w:shd w:val="clear" w:color="auto" w:fill="FFFFFF"/>
        </w:rPr>
        <w:t>Caso Herrera Ulloa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 de julio de 2004. Serie C No. 107</w:t>
      </w:r>
      <w:r w:rsidRPr="003541DB">
        <w:rPr>
          <w:rFonts w:ascii="Verdana" w:hAnsi="Verdana"/>
          <w:b/>
          <w:i/>
          <w:sz w:val="16"/>
          <w:szCs w:val="16"/>
          <w:lang w:val="es-CR"/>
        </w:rPr>
        <w:t>,</w:t>
      </w:r>
      <w:r w:rsidRPr="003541DB">
        <w:rPr>
          <w:rFonts w:ascii="Verdana" w:hAnsi="Verdana"/>
          <w:b/>
          <w:sz w:val="16"/>
          <w:szCs w:val="16"/>
          <w:lang w:val="es-CR"/>
        </w:rPr>
        <w:t xml:space="preserve"> </w:t>
      </w:r>
      <w:r w:rsidRPr="003541DB">
        <w:rPr>
          <w:rFonts w:ascii="Verdana" w:hAnsi="Verdana"/>
          <w:sz w:val="16"/>
          <w:szCs w:val="16"/>
          <w:lang w:val="es-CR"/>
        </w:rPr>
        <w:t>párr. 158, y</w:t>
      </w:r>
      <w:r w:rsidRPr="003541DB">
        <w:rPr>
          <w:rFonts w:ascii="Verdana" w:hAnsi="Verdana"/>
          <w:b/>
          <w:i/>
          <w:sz w:val="16"/>
          <w:szCs w:val="16"/>
          <w:lang w:val="es-CR"/>
        </w:rPr>
        <w:t xml:space="preserve"> </w:t>
      </w:r>
      <w:r w:rsidRPr="003541DB">
        <w:rPr>
          <w:rStyle w:val="Strong"/>
          <w:rFonts w:ascii="Verdana" w:hAnsi="Verdana"/>
          <w:b w:val="0"/>
          <w:i/>
          <w:color w:val="000000"/>
          <w:sz w:val="16"/>
          <w:szCs w:val="16"/>
          <w:shd w:val="clear" w:color="auto" w:fill="FFFFFF"/>
        </w:rPr>
        <w:t>Caso Amrhein y otros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25 de abril de 2018. Serie C No. 354, párr. 255.</w:t>
      </w:r>
    </w:p>
  </w:footnote>
  <w:footnote w:id="75">
    <w:p w14:paraId="70E814BC"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Fonts w:ascii="Verdana" w:hAnsi="Verdana"/>
          <w:i/>
          <w:sz w:val="16"/>
          <w:szCs w:val="16"/>
          <w:lang w:val="es-CR"/>
        </w:rPr>
        <w:t>Caso Mohamed Vs. Argentina. Excepción Preliminar, Fondo, Reparaciones y Costas</w:t>
      </w:r>
      <w:r w:rsidRPr="003541DB">
        <w:rPr>
          <w:rFonts w:ascii="Verdana" w:hAnsi="Verdana"/>
          <w:sz w:val="16"/>
          <w:szCs w:val="16"/>
          <w:lang w:val="es-CR"/>
        </w:rPr>
        <w:t xml:space="preserve">. Sentencia de 23 noviembre de 2012. Serie C No. 255, párrs. 92 y 93 y </w:t>
      </w:r>
      <w:r w:rsidRPr="003541DB">
        <w:rPr>
          <w:rStyle w:val="Strong"/>
          <w:rFonts w:ascii="Verdana" w:hAnsi="Verdana"/>
          <w:b w:val="0"/>
          <w:i/>
          <w:color w:val="000000"/>
          <w:sz w:val="16"/>
          <w:szCs w:val="16"/>
          <w:shd w:val="clear" w:color="auto" w:fill="FFFFFF"/>
        </w:rPr>
        <w:t>Caso Amrhein y otros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25 de abril de 2018. Serie C No. 354, párr. 255.</w:t>
      </w:r>
    </w:p>
  </w:footnote>
  <w:footnote w:id="76">
    <w:p w14:paraId="12705CDF" w14:textId="77777777" w:rsidR="0051368E" w:rsidRPr="003541DB" w:rsidRDefault="0051368E" w:rsidP="00C16366">
      <w:pPr>
        <w:pStyle w:val="FootnoteText"/>
        <w:jc w:val="both"/>
        <w:rPr>
          <w:rFonts w:ascii="Verdana" w:hAnsi="Verdana"/>
          <w:b/>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Fonts w:ascii="Verdana" w:hAnsi="Verdana"/>
          <w:i/>
          <w:sz w:val="16"/>
          <w:szCs w:val="16"/>
          <w:lang w:val="es-CR"/>
        </w:rPr>
        <w:t xml:space="preserve">Caso Baena Ricardo y otros Vs. Panamá. Fondo, Reparaciones y Costas. </w:t>
      </w:r>
      <w:r w:rsidRPr="003541DB">
        <w:rPr>
          <w:rFonts w:ascii="Verdana" w:hAnsi="Verdana"/>
          <w:sz w:val="16"/>
          <w:szCs w:val="16"/>
          <w:lang w:val="es-CR"/>
        </w:rPr>
        <w:t xml:space="preserve">Sentencia de 2 de febrero de 2001. Serie C No. 72, párr. 107, y </w:t>
      </w:r>
      <w:r w:rsidRPr="003541DB">
        <w:rPr>
          <w:rStyle w:val="Strong"/>
          <w:rFonts w:ascii="Verdana" w:hAnsi="Verdana"/>
          <w:b w:val="0"/>
          <w:i/>
          <w:color w:val="000000"/>
          <w:sz w:val="16"/>
          <w:szCs w:val="16"/>
          <w:shd w:val="clear" w:color="auto" w:fill="FFFFFF"/>
        </w:rPr>
        <w:t>Caso Amrhein y otros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25 de abril de 2018. Serie C No. 354, párr. 255.</w:t>
      </w:r>
    </w:p>
  </w:footnote>
  <w:footnote w:id="77">
    <w:p w14:paraId="7BA79220" w14:textId="77777777" w:rsidR="0051368E" w:rsidRPr="003541DB" w:rsidRDefault="0051368E" w:rsidP="00C16366">
      <w:pPr>
        <w:pStyle w:val="FootnoteText"/>
        <w:jc w:val="both"/>
        <w:rPr>
          <w:rFonts w:ascii="Verdana" w:hAnsi="Verdana"/>
          <w:b/>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 xml:space="preserve">Cfr. </w:t>
      </w:r>
      <w:r w:rsidRPr="003541DB">
        <w:rPr>
          <w:rStyle w:val="Strong"/>
          <w:rFonts w:ascii="Verdana" w:hAnsi="Verdana"/>
          <w:b w:val="0"/>
          <w:i/>
          <w:color w:val="000000"/>
          <w:sz w:val="16"/>
          <w:szCs w:val="16"/>
          <w:shd w:val="clear" w:color="auto" w:fill="FFFFFF"/>
        </w:rPr>
        <w:t>Caso Zegarra Marín Vs. Perú. Excepciones Preliminares, Fondo, Reparaciones y Costas.</w:t>
      </w:r>
      <w:r w:rsidRPr="003541DB">
        <w:rPr>
          <w:rStyle w:val="Strong"/>
          <w:rFonts w:ascii="Verdana" w:hAnsi="Verdana"/>
          <w:b w:val="0"/>
          <w:color w:val="000000"/>
          <w:sz w:val="16"/>
          <w:szCs w:val="16"/>
          <w:shd w:val="clear" w:color="auto" w:fill="FFFFFF"/>
        </w:rPr>
        <w:t xml:space="preserve"> Sentencia de 15 de febrero de 2017. Serie C No. 331</w:t>
      </w:r>
      <w:r w:rsidRPr="003541DB">
        <w:rPr>
          <w:rFonts w:ascii="Verdana" w:hAnsi="Verdana"/>
          <w:i/>
          <w:sz w:val="16"/>
          <w:szCs w:val="16"/>
          <w:lang w:val="es-CR"/>
        </w:rPr>
        <w:t>,</w:t>
      </w:r>
      <w:r w:rsidRPr="003541DB">
        <w:rPr>
          <w:rFonts w:ascii="Verdana" w:hAnsi="Verdana"/>
          <w:sz w:val="16"/>
          <w:szCs w:val="16"/>
          <w:lang w:val="es-CR"/>
        </w:rPr>
        <w:t xml:space="preserve"> párr. 171, y </w:t>
      </w:r>
      <w:r w:rsidRPr="003541DB">
        <w:rPr>
          <w:rStyle w:val="Strong"/>
          <w:rFonts w:ascii="Verdana" w:hAnsi="Verdana"/>
          <w:b w:val="0"/>
          <w:i/>
          <w:color w:val="000000"/>
          <w:sz w:val="16"/>
          <w:szCs w:val="16"/>
          <w:shd w:val="clear" w:color="auto" w:fill="FFFFFF"/>
        </w:rPr>
        <w:t>Caso Amrhein y otros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25 de abril de 2018. Serie C No. 354, párr. 256.</w:t>
      </w:r>
    </w:p>
  </w:footnote>
  <w:footnote w:id="78">
    <w:p w14:paraId="51EFC2DD" w14:textId="77777777" w:rsidR="0051368E" w:rsidRPr="003541DB" w:rsidRDefault="0051368E" w:rsidP="00C16366">
      <w:pPr>
        <w:pStyle w:val="FootnoteText"/>
        <w:jc w:val="both"/>
        <w:rPr>
          <w:rFonts w:ascii="Verdana" w:hAnsi="Verdana"/>
          <w:sz w:val="16"/>
          <w:szCs w:val="16"/>
          <w:lang w:val="pt-PT"/>
        </w:rPr>
      </w:pPr>
      <w:r w:rsidRPr="003541DB">
        <w:rPr>
          <w:rStyle w:val="FootnoteReference"/>
          <w:rFonts w:ascii="Verdana" w:eastAsiaTheme="majorEastAsia" w:hAnsi="Verdana"/>
          <w:spacing w:val="-4"/>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Style w:val="Strong"/>
          <w:rFonts w:ascii="Verdana" w:hAnsi="Verdana"/>
          <w:b w:val="0"/>
          <w:i/>
          <w:color w:val="000000"/>
          <w:sz w:val="16"/>
          <w:szCs w:val="16"/>
          <w:shd w:val="clear" w:color="auto" w:fill="FFFFFF"/>
        </w:rPr>
        <w:t>Caso Herrera Ulloa Vs. Costa Rica. Excepciones Preliminares, Fondo, Reparaciones y Costas.</w:t>
      </w:r>
      <w:r w:rsidRPr="003541DB">
        <w:rPr>
          <w:rStyle w:val="Strong"/>
          <w:rFonts w:ascii="Verdana" w:hAnsi="Verdana"/>
          <w:b w:val="0"/>
          <w:color w:val="000000"/>
          <w:sz w:val="16"/>
          <w:szCs w:val="16"/>
          <w:shd w:val="clear" w:color="auto" w:fill="FFFFFF"/>
        </w:rPr>
        <w:t xml:space="preserve"> Sentencia de 2 de julio de 2004. Serie C No. 107</w:t>
      </w:r>
      <w:r w:rsidRPr="003541DB">
        <w:rPr>
          <w:rFonts w:ascii="Verdana" w:hAnsi="Verdana"/>
          <w:i/>
          <w:sz w:val="16"/>
          <w:szCs w:val="16"/>
          <w:lang w:val="es-CR"/>
        </w:rPr>
        <w:t>,</w:t>
      </w:r>
      <w:r w:rsidRPr="003541DB">
        <w:rPr>
          <w:rFonts w:ascii="Verdana" w:hAnsi="Verdana"/>
          <w:sz w:val="16"/>
          <w:szCs w:val="16"/>
          <w:lang w:val="es-CR"/>
        </w:rPr>
        <w:t xml:space="preserve"> párrs.</w:t>
      </w:r>
      <w:r w:rsidRPr="003541DB">
        <w:rPr>
          <w:rFonts w:ascii="Verdana" w:eastAsia="Times New Roman" w:hAnsi="Verdana"/>
          <w:sz w:val="16"/>
          <w:szCs w:val="16"/>
          <w:lang w:val="es-CR"/>
        </w:rPr>
        <w:t xml:space="preserve"> </w:t>
      </w:r>
      <w:r w:rsidRPr="003541DB">
        <w:rPr>
          <w:rFonts w:ascii="Verdana" w:hAnsi="Verdana"/>
          <w:sz w:val="16"/>
          <w:szCs w:val="16"/>
          <w:lang w:val="es-CR"/>
        </w:rPr>
        <w:t xml:space="preserve">161, 164 y 165 y </w:t>
      </w:r>
      <w:r w:rsidRPr="003541DB">
        <w:rPr>
          <w:rFonts w:ascii="Verdana" w:hAnsi="Verdana"/>
          <w:bCs/>
          <w:i/>
          <w:sz w:val="16"/>
          <w:szCs w:val="16"/>
        </w:rPr>
        <w:t>Caso Zegarra Marín Vs. Perú. Excepciones Preliminares, Fondo, Reparaciones y Costas.</w:t>
      </w:r>
      <w:r w:rsidRPr="003541DB">
        <w:rPr>
          <w:rFonts w:ascii="Verdana" w:hAnsi="Verdana"/>
          <w:bCs/>
          <w:sz w:val="16"/>
          <w:szCs w:val="16"/>
        </w:rPr>
        <w:t xml:space="preserve"> Sentencia de 15 de febrero de 2017. Serie C No. 331</w:t>
      </w:r>
      <w:r w:rsidRPr="003541DB">
        <w:rPr>
          <w:rFonts w:ascii="Verdana" w:hAnsi="Verdana"/>
          <w:i/>
          <w:sz w:val="16"/>
          <w:szCs w:val="16"/>
          <w:lang w:val="es-CR"/>
        </w:rPr>
        <w:t>,</w:t>
      </w:r>
      <w:r w:rsidRPr="003541DB">
        <w:rPr>
          <w:rFonts w:ascii="Verdana" w:hAnsi="Verdana"/>
          <w:sz w:val="16"/>
          <w:szCs w:val="16"/>
          <w:lang w:val="es-CR"/>
        </w:rPr>
        <w:t xml:space="preserve"> párr. 172.</w:t>
      </w:r>
    </w:p>
  </w:footnote>
  <w:footnote w:id="79">
    <w:p w14:paraId="76138CB9"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Fonts w:ascii="Verdana" w:hAnsi="Verdana"/>
          <w:i/>
          <w:sz w:val="16"/>
          <w:szCs w:val="16"/>
          <w:lang w:val="es-CR"/>
        </w:rPr>
        <w:t>Cfr.</w:t>
      </w:r>
      <w:r w:rsidRPr="003541DB">
        <w:rPr>
          <w:rFonts w:ascii="Verdana" w:hAnsi="Verdana"/>
          <w:sz w:val="16"/>
          <w:szCs w:val="16"/>
          <w:lang w:val="es-CR"/>
        </w:rPr>
        <w:t xml:space="preserve"> </w:t>
      </w:r>
      <w:r w:rsidRPr="003541DB">
        <w:rPr>
          <w:rFonts w:ascii="Verdana" w:hAnsi="Verdana"/>
          <w:bCs/>
          <w:i/>
          <w:sz w:val="16"/>
          <w:szCs w:val="16"/>
          <w:lang w:val="es-CR"/>
        </w:rPr>
        <w:t>Caso Mendoza y otros Vs. Argentina. Excepciones Preliminares, Fondo y Reparaciones</w:t>
      </w:r>
      <w:r w:rsidRPr="003541DB">
        <w:rPr>
          <w:rFonts w:ascii="Verdana" w:hAnsi="Verdana"/>
          <w:bCs/>
          <w:sz w:val="16"/>
          <w:szCs w:val="16"/>
          <w:lang w:val="es-CR"/>
        </w:rPr>
        <w:t xml:space="preserve">. Sentencia de 14 de mayo de 2013. Serie C No. 26, párr. 253 </w:t>
      </w:r>
      <w:r w:rsidRPr="003541DB">
        <w:rPr>
          <w:rFonts w:ascii="Verdana" w:hAnsi="Verdana"/>
          <w:sz w:val="16"/>
          <w:szCs w:val="16"/>
          <w:lang w:val="es-CR"/>
        </w:rPr>
        <w:t xml:space="preserve">y </w:t>
      </w:r>
      <w:r w:rsidRPr="003541DB">
        <w:rPr>
          <w:rFonts w:ascii="Verdana" w:hAnsi="Verdana"/>
          <w:i/>
          <w:sz w:val="16"/>
          <w:szCs w:val="16"/>
          <w:lang w:val="es-CR"/>
        </w:rPr>
        <w:t>Caso Mohamed Vs. Argentina. Excepción Preliminar, Fondo, Reparaciones y Costas</w:t>
      </w:r>
      <w:r w:rsidRPr="003541DB">
        <w:rPr>
          <w:rFonts w:ascii="Verdana" w:hAnsi="Verdana"/>
          <w:sz w:val="16"/>
          <w:szCs w:val="16"/>
          <w:lang w:val="es-CR"/>
        </w:rPr>
        <w:t>. Sentencia de 23 noviembre de 2012. Serie C No. 255, párr. 159</w:t>
      </w:r>
      <w:r w:rsidRPr="003541DB">
        <w:rPr>
          <w:rFonts w:ascii="Verdana" w:hAnsi="Verdana"/>
          <w:bCs/>
          <w:sz w:val="16"/>
          <w:szCs w:val="16"/>
        </w:rPr>
        <w:t>.</w:t>
      </w:r>
    </w:p>
  </w:footnote>
  <w:footnote w:id="80">
    <w:p w14:paraId="670A7962"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Fonts w:ascii="Verdana" w:hAnsi="Verdana"/>
          <w:i/>
          <w:sz w:val="16"/>
          <w:szCs w:val="16"/>
          <w:lang w:val="es-CR"/>
        </w:rPr>
        <w:t xml:space="preserve">Cfr. </w:t>
      </w:r>
      <w:r w:rsidRPr="003541DB">
        <w:rPr>
          <w:rFonts w:ascii="Verdana" w:hAnsi="Verdana"/>
          <w:sz w:val="16"/>
          <w:szCs w:val="16"/>
          <w:lang w:val="es-CR"/>
        </w:rPr>
        <w:t xml:space="preserve">Peritaje de Alberto Bovino (transmitido del caso </w:t>
      </w:r>
      <w:r w:rsidRPr="003541DB">
        <w:rPr>
          <w:rFonts w:ascii="Verdana" w:hAnsi="Verdana"/>
          <w:i/>
          <w:sz w:val="16"/>
          <w:szCs w:val="16"/>
          <w:lang w:val="es-CR"/>
        </w:rPr>
        <w:t>Mendoza y otros Vs. Argentina.</w:t>
      </w:r>
      <w:r w:rsidRPr="003541DB">
        <w:rPr>
          <w:rFonts w:ascii="Verdana" w:eastAsia="Times New Roman" w:hAnsi="Verdana"/>
          <w:bCs/>
          <w:i/>
          <w:sz w:val="16"/>
          <w:szCs w:val="16"/>
          <w:lang w:val="es-CR"/>
        </w:rPr>
        <w:t xml:space="preserve"> </w:t>
      </w:r>
      <w:r w:rsidRPr="003541DB">
        <w:rPr>
          <w:rFonts w:ascii="Verdana" w:hAnsi="Verdana"/>
          <w:bCs/>
          <w:i/>
          <w:sz w:val="16"/>
          <w:szCs w:val="16"/>
          <w:lang w:val="es-CR"/>
        </w:rPr>
        <w:t>Excepciones Preliminares, Fondo y Reparaciones</w:t>
      </w:r>
      <w:r w:rsidRPr="003541DB">
        <w:rPr>
          <w:rFonts w:ascii="Verdana" w:hAnsi="Verdana"/>
          <w:bCs/>
          <w:sz w:val="16"/>
          <w:szCs w:val="16"/>
          <w:lang w:val="es-CR"/>
        </w:rPr>
        <w:t>. Sentencia de 14 de mayo de 2013. Serie C No. 26</w:t>
      </w:r>
      <w:r w:rsidRPr="003541DB">
        <w:rPr>
          <w:rFonts w:ascii="Verdana" w:hAnsi="Verdana"/>
          <w:sz w:val="16"/>
          <w:szCs w:val="16"/>
          <w:lang w:val="es-CR"/>
        </w:rPr>
        <w:t xml:space="preserve"> párr. 253).</w:t>
      </w:r>
    </w:p>
  </w:footnote>
  <w:footnote w:id="81">
    <w:p w14:paraId="4AA33901"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t>El artículo 2 de la Convención establece: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82">
    <w:p w14:paraId="72CEC4B6"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eastAsiaTheme="majorEastAsia" w:hAnsi="Verdana"/>
          <w:sz w:val="16"/>
          <w:szCs w:val="16"/>
        </w:rPr>
        <w:footnoteRef/>
      </w:r>
      <w:r w:rsidRPr="003541DB">
        <w:rPr>
          <w:rFonts w:ascii="Verdana" w:hAnsi="Verdana"/>
          <w:sz w:val="16"/>
          <w:szCs w:val="16"/>
          <w:lang w:val="es-CR"/>
        </w:rPr>
        <w:t xml:space="preserve"> </w:t>
      </w:r>
      <w:r w:rsidRPr="003541DB">
        <w:rPr>
          <w:rFonts w:ascii="Verdana" w:hAnsi="Verdana"/>
          <w:sz w:val="16"/>
          <w:szCs w:val="16"/>
          <w:lang w:val="es-CR"/>
        </w:rPr>
        <w:tab/>
      </w:r>
      <w:r w:rsidRPr="003541DB">
        <w:rPr>
          <w:rFonts w:ascii="Verdana" w:hAnsi="Verdana"/>
          <w:i/>
          <w:sz w:val="16"/>
          <w:szCs w:val="16"/>
          <w:lang w:val="es-CR"/>
        </w:rPr>
        <w:t xml:space="preserve">Cfr. Caso Castillo Petruzzi y otros Vs. Perú. Fondo, Reparaciones y Costas. </w:t>
      </w:r>
      <w:r w:rsidRPr="003541DB">
        <w:rPr>
          <w:rFonts w:ascii="Verdana" w:hAnsi="Verdana"/>
          <w:sz w:val="16"/>
          <w:szCs w:val="16"/>
          <w:lang w:val="es-CR"/>
        </w:rPr>
        <w:t>Sentencia de 30 de mayo de 1999. Serie C No. 52</w:t>
      </w:r>
      <w:r w:rsidRPr="003541DB">
        <w:rPr>
          <w:rFonts w:ascii="Verdana" w:hAnsi="Verdana"/>
          <w:i/>
          <w:sz w:val="16"/>
          <w:szCs w:val="16"/>
          <w:lang w:val="es-CR"/>
        </w:rPr>
        <w:t xml:space="preserve">, </w:t>
      </w:r>
      <w:r w:rsidRPr="003541DB">
        <w:rPr>
          <w:rFonts w:ascii="Verdana" w:hAnsi="Verdana"/>
          <w:sz w:val="16"/>
          <w:szCs w:val="16"/>
          <w:lang w:val="es-CR"/>
        </w:rPr>
        <w:t>párr. 207</w:t>
      </w:r>
      <w:r w:rsidRPr="003541DB">
        <w:rPr>
          <w:rFonts w:ascii="Verdana" w:hAnsi="Verdana"/>
          <w:i/>
          <w:sz w:val="16"/>
          <w:szCs w:val="16"/>
          <w:lang w:val="es-CR"/>
        </w:rPr>
        <w:t xml:space="preserve"> y Caso Mendoza y otros Vs. Argentina. Excepciones Preliminares, Fondo y Reparaciones. </w:t>
      </w:r>
      <w:r w:rsidRPr="003541DB">
        <w:rPr>
          <w:rFonts w:ascii="Verdana" w:hAnsi="Verdana"/>
          <w:sz w:val="16"/>
          <w:szCs w:val="16"/>
          <w:lang w:val="es-CR"/>
        </w:rPr>
        <w:t>Sentencia de 14 de mayo de 2013. Serie C No. 26, párr. 293.</w:t>
      </w:r>
    </w:p>
  </w:footnote>
  <w:footnote w:id="83">
    <w:p w14:paraId="015D62CC"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Fonts w:ascii="Verdana" w:hAnsi="Verdana"/>
          <w:i/>
          <w:iCs/>
          <w:sz w:val="16"/>
          <w:szCs w:val="16"/>
        </w:rPr>
        <w:t>Cfr. Caso Almonacid Arellano</w:t>
      </w:r>
      <w:r w:rsidRPr="003541DB">
        <w:rPr>
          <w:rFonts w:ascii="Verdana" w:hAnsi="Verdana"/>
          <w:sz w:val="16"/>
          <w:szCs w:val="16"/>
        </w:rPr>
        <w:t xml:space="preserve"> </w:t>
      </w:r>
      <w:r w:rsidRPr="003541DB">
        <w:rPr>
          <w:rFonts w:ascii="Verdana" w:hAnsi="Verdana"/>
          <w:i/>
          <w:iCs/>
          <w:sz w:val="16"/>
          <w:szCs w:val="16"/>
        </w:rPr>
        <w:t>y otros Vs. Chile</w:t>
      </w:r>
      <w:r w:rsidRPr="003541DB">
        <w:rPr>
          <w:rFonts w:ascii="Verdana" w:hAnsi="Verdana"/>
          <w:sz w:val="16"/>
          <w:szCs w:val="16"/>
        </w:rPr>
        <w:t xml:space="preserve">. </w:t>
      </w:r>
      <w:r w:rsidRPr="003541DB">
        <w:rPr>
          <w:rFonts w:ascii="Verdana" w:hAnsi="Verdana"/>
          <w:i/>
          <w:iCs/>
          <w:sz w:val="16"/>
          <w:szCs w:val="16"/>
        </w:rPr>
        <w:t>Excepciones Preliminares, Fondo, Reparaciones y costas</w:t>
      </w:r>
      <w:r w:rsidRPr="003541DB">
        <w:rPr>
          <w:rFonts w:ascii="Verdana" w:hAnsi="Verdana"/>
          <w:sz w:val="16"/>
          <w:szCs w:val="16"/>
        </w:rPr>
        <w:t xml:space="preserve">. Sentencia de 26 de septiembre de 2006. Serie C No. 154, párr. 124 y </w:t>
      </w:r>
      <w:r w:rsidRPr="003541DB">
        <w:rPr>
          <w:rStyle w:val="Strong"/>
          <w:rFonts w:ascii="Verdana" w:hAnsi="Verdana"/>
          <w:b w:val="0"/>
          <w:i/>
          <w:color w:val="000000"/>
          <w:sz w:val="16"/>
          <w:szCs w:val="16"/>
          <w:shd w:val="clear" w:color="auto" w:fill="FFFFFF"/>
        </w:rPr>
        <w:t>Caso Órdenes Guerra y otros Vs. Chile. Fondo, Reparaciones y Costas.</w:t>
      </w:r>
      <w:r w:rsidRPr="003541DB">
        <w:rPr>
          <w:rStyle w:val="Strong"/>
          <w:rFonts w:ascii="Verdana" w:hAnsi="Verdana"/>
          <w:b w:val="0"/>
          <w:color w:val="000000"/>
          <w:sz w:val="16"/>
          <w:szCs w:val="16"/>
          <w:shd w:val="clear" w:color="auto" w:fill="FFFFFF"/>
        </w:rPr>
        <w:t xml:space="preserve"> Sentencia de 29 de noviembre de 2018. Serie C No. 372, párr. 135.</w:t>
      </w:r>
    </w:p>
  </w:footnote>
  <w:footnote w:id="84">
    <w:p w14:paraId="76A3D624"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Style w:val="Strong"/>
          <w:rFonts w:ascii="Verdana" w:hAnsi="Verdana"/>
          <w:b w:val="0"/>
          <w:i/>
          <w:color w:val="000000"/>
          <w:sz w:val="16"/>
          <w:szCs w:val="16"/>
          <w:shd w:val="clear" w:color="auto" w:fill="FFFFFF"/>
        </w:rPr>
        <w:t>Caso Radilla Pacheco Vs. México. Excepciones Preliminares, Fondo, Reparaciones y Costas.</w:t>
      </w:r>
      <w:r w:rsidRPr="003541DB">
        <w:rPr>
          <w:rStyle w:val="Strong"/>
          <w:rFonts w:ascii="Verdana" w:hAnsi="Verdana"/>
          <w:b w:val="0"/>
          <w:color w:val="000000"/>
          <w:sz w:val="16"/>
          <w:szCs w:val="16"/>
          <w:shd w:val="clear" w:color="auto" w:fill="FFFFFF"/>
        </w:rPr>
        <w:t xml:space="preserve"> Sentencia de 23 de noviembre de 2009. Serie C No. 209, párr. 340, y </w:t>
      </w:r>
      <w:r w:rsidRPr="003541DB">
        <w:rPr>
          <w:rStyle w:val="Strong"/>
          <w:rFonts w:ascii="Verdana" w:hAnsi="Verdana"/>
          <w:b w:val="0"/>
          <w:i/>
          <w:color w:val="000000"/>
          <w:sz w:val="16"/>
          <w:szCs w:val="16"/>
          <w:shd w:val="clear" w:color="auto" w:fill="FFFFFF"/>
        </w:rPr>
        <w:t>Caso Andrade Salmón Vs. Bolivia. Fondo, Reparaciones y Costas.</w:t>
      </w:r>
      <w:r w:rsidRPr="003541DB">
        <w:rPr>
          <w:rStyle w:val="Strong"/>
          <w:rFonts w:ascii="Verdana" w:hAnsi="Verdana"/>
          <w:b w:val="0"/>
          <w:color w:val="000000"/>
          <w:sz w:val="16"/>
          <w:szCs w:val="16"/>
          <w:shd w:val="clear" w:color="auto" w:fill="FFFFFF"/>
        </w:rPr>
        <w:t xml:space="preserve"> Sentencia de 1 de diciembre de 2016. Serie C No. 330, párr. 93.</w:t>
      </w:r>
    </w:p>
  </w:footnote>
  <w:footnote w:id="85">
    <w:p w14:paraId="065B1F77"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Style w:val="Strong"/>
          <w:rFonts w:ascii="Verdana" w:hAnsi="Verdana"/>
          <w:b w:val="0"/>
          <w:i/>
          <w:color w:val="000000"/>
          <w:sz w:val="16"/>
          <w:szCs w:val="16"/>
          <w:shd w:val="clear" w:color="auto" w:fill="FFFFFF"/>
        </w:rPr>
        <w:t>Caso Garrido y Baigorria Vs. Argentina. Reparaciones y Costas.</w:t>
      </w:r>
      <w:r w:rsidRPr="003541DB">
        <w:rPr>
          <w:rStyle w:val="Strong"/>
          <w:rFonts w:ascii="Verdana" w:hAnsi="Verdana"/>
          <w:b w:val="0"/>
          <w:color w:val="000000"/>
          <w:sz w:val="16"/>
          <w:szCs w:val="16"/>
          <w:shd w:val="clear" w:color="auto" w:fill="FFFFFF"/>
        </w:rPr>
        <w:t xml:space="preserve"> Sentencia de 27 de agosto de 1998. Serie C No. 39., párr. 46.</w:t>
      </w:r>
    </w:p>
  </w:footnote>
  <w:footnote w:id="86">
    <w:p w14:paraId="7610A502"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Fonts w:ascii="Verdana" w:hAnsi="Verdana"/>
          <w:bCs/>
          <w:i/>
          <w:sz w:val="16"/>
          <w:szCs w:val="16"/>
        </w:rPr>
        <w:t xml:space="preserve">Caso Escher y otros Vs. Brasil. Excepciones Preliminares, Fondo, Reparaciones y Costas. </w:t>
      </w:r>
      <w:r w:rsidRPr="003541DB">
        <w:rPr>
          <w:rFonts w:ascii="Verdana" w:hAnsi="Verdana"/>
          <w:bCs/>
          <w:sz w:val="16"/>
          <w:szCs w:val="16"/>
        </w:rPr>
        <w:t>Sentencia de 6 de julio de 2009. Serie C No. 200</w:t>
      </w:r>
      <w:r w:rsidRPr="003541DB">
        <w:rPr>
          <w:rFonts w:ascii="Verdana" w:hAnsi="Verdana"/>
          <w:sz w:val="16"/>
          <w:szCs w:val="16"/>
        </w:rPr>
        <w:t>, párr. 220.</w:t>
      </w:r>
    </w:p>
  </w:footnote>
  <w:footnote w:id="87">
    <w:p w14:paraId="4FF1F73E" w14:textId="3C4FB1E0" w:rsidR="0051368E" w:rsidRPr="003541DB" w:rsidRDefault="0051368E">
      <w:pPr>
        <w:pStyle w:val="FootnoteText"/>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t>Aplicación del artículo 63.1 de la Convención.</w:t>
      </w:r>
    </w:p>
  </w:footnote>
  <w:footnote w:id="88">
    <w:p w14:paraId="77973E3A"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ab/>
      </w:r>
      <w:r w:rsidRPr="003541DB">
        <w:rPr>
          <w:rFonts w:ascii="Verdana" w:hAnsi="Verdana"/>
          <w:i/>
          <w:sz w:val="16"/>
          <w:szCs w:val="16"/>
        </w:rPr>
        <w:t>Cfr. Caso Velásquez Rodríguez Vs. Honduras. Reparaciones y Costas</w:t>
      </w:r>
      <w:r w:rsidRPr="003541DB">
        <w:rPr>
          <w:rFonts w:ascii="Verdana" w:hAnsi="Verdana"/>
          <w:sz w:val="16"/>
          <w:szCs w:val="16"/>
        </w:rPr>
        <w:t xml:space="preserve">. Sentencia de 21 de julio de 1989. Serie C No. 7, párr. 26,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90.</w:t>
      </w:r>
    </w:p>
  </w:footnote>
  <w:footnote w:id="89">
    <w:p w14:paraId="003B24B2"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Velásquez Rodríguez Vs. Honduras. Reparaciones y Costas</w:t>
      </w:r>
      <w:r w:rsidRPr="003541DB">
        <w:rPr>
          <w:rFonts w:ascii="Verdana" w:hAnsi="Verdana"/>
          <w:sz w:val="16"/>
          <w:szCs w:val="16"/>
        </w:rPr>
        <w:t xml:space="preserve">. Sentencia de 21 de julio de 1989. Serie C No. 7, párr. 26,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91.</w:t>
      </w:r>
    </w:p>
  </w:footnote>
  <w:footnote w:id="90">
    <w:p w14:paraId="77FB6A3F"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Velásquez Rodríguez Vs. Honduras. Reparaciones y Costas</w:t>
      </w:r>
      <w:r w:rsidRPr="003541DB">
        <w:rPr>
          <w:rFonts w:ascii="Verdana" w:hAnsi="Verdana"/>
          <w:sz w:val="16"/>
          <w:szCs w:val="16"/>
        </w:rPr>
        <w:t xml:space="preserve">. Sentencia de 21 de julio de 1989. Serie C No. 7, párr. 26,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91.</w:t>
      </w:r>
    </w:p>
  </w:footnote>
  <w:footnote w:id="91">
    <w:p w14:paraId="0327EBD4" w14:textId="2C49B444"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de la Masacre de Las Dos Erres Vs. Guatemala, Excepción Preliminar, Fondo, Reparaciones y Costas</w:t>
      </w:r>
      <w:r w:rsidRPr="003541DB">
        <w:rPr>
          <w:rFonts w:ascii="Verdana" w:hAnsi="Verdana"/>
          <w:sz w:val="16"/>
          <w:szCs w:val="16"/>
        </w:rPr>
        <w:t xml:space="preserve">. Sentencia de 24 de noviembre de 2009. Serie C No. 211, párr. 226,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91. </w:t>
      </w:r>
    </w:p>
  </w:footnote>
  <w:footnote w:id="92">
    <w:p w14:paraId="2D8EC5F6" w14:textId="57127AF2"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ab/>
      </w:r>
      <w:r w:rsidRPr="003541DB">
        <w:rPr>
          <w:rFonts w:ascii="Verdana" w:hAnsi="Verdana"/>
          <w:i/>
          <w:sz w:val="16"/>
          <w:szCs w:val="16"/>
        </w:rPr>
        <w:t>Cfr. Caso Ticona Estrada y otros Vs. Bolivia. Fondo, Reparaciones y Costas</w:t>
      </w:r>
      <w:r w:rsidRPr="003541DB">
        <w:rPr>
          <w:rFonts w:ascii="Verdana" w:hAnsi="Verdana"/>
          <w:sz w:val="16"/>
          <w:szCs w:val="16"/>
        </w:rPr>
        <w:t xml:space="preserve">. Sentencia de 27 de noviembre de 2008. Serie C No. 191, párr. 110,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92.</w:t>
      </w:r>
    </w:p>
  </w:footnote>
  <w:footnote w:id="93">
    <w:p w14:paraId="594D2CB5" w14:textId="22955CB6"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Andrade Salmón Vs. Bolivia. Fondo, Reparaciones y Costas</w:t>
      </w:r>
      <w:r w:rsidRPr="003541DB">
        <w:rPr>
          <w:rFonts w:ascii="Verdana" w:hAnsi="Verdana"/>
          <w:sz w:val="16"/>
          <w:szCs w:val="16"/>
        </w:rPr>
        <w:t xml:space="preserve">. Sentencia de 1 de diciembre de 2016. Serie C No. 330, párr. 189,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93.</w:t>
      </w:r>
    </w:p>
  </w:footnote>
  <w:footnote w:id="94">
    <w:p w14:paraId="00B91165" w14:textId="7B038508"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Neira Alegría y otros Vs. Perú. Reparaciones y Costas</w:t>
      </w:r>
      <w:r w:rsidRPr="003541DB">
        <w:rPr>
          <w:rFonts w:ascii="Verdana" w:hAnsi="Verdana"/>
          <w:sz w:val="16"/>
          <w:szCs w:val="16"/>
        </w:rPr>
        <w:t xml:space="preserve">. Sentencia de 19 de septiembre de 1996. Serie C No. 29, párr. 56,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94.</w:t>
      </w:r>
    </w:p>
  </w:footnote>
  <w:footnote w:id="95">
    <w:p w14:paraId="78D20EA7" w14:textId="71254181"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i/>
          <w:sz w:val="16"/>
          <w:szCs w:val="16"/>
        </w:rPr>
        <w:t>Cfr. Caso Castillo Petruzzi y otros Vs. Perú. Fondo, Reparaciones y Costas</w:t>
      </w:r>
      <w:r w:rsidRPr="003541DB">
        <w:rPr>
          <w:rFonts w:ascii="Verdana" w:hAnsi="Verdana"/>
          <w:sz w:val="16"/>
          <w:szCs w:val="16"/>
        </w:rPr>
        <w:t xml:space="preserve">. Sentencia de 30 de mayo de 1999. Serie C No. 52, párr. 90, y </w:t>
      </w:r>
      <w:r w:rsidRPr="003541DB">
        <w:rPr>
          <w:rFonts w:ascii="Verdana" w:hAnsi="Verdana"/>
          <w:i/>
          <w:sz w:val="16"/>
          <w:szCs w:val="16"/>
        </w:rPr>
        <w:t>Caso Zegarra Marín Vs. Perú. Interpretación de la Sentencia de Excepciones Preliminares, Fondo, Reparaciones y Costas</w:t>
      </w:r>
      <w:r w:rsidRPr="003541DB">
        <w:rPr>
          <w:rFonts w:ascii="Verdana" w:hAnsi="Verdana"/>
          <w:sz w:val="16"/>
          <w:szCs w:val="16"/>
        </w:rPr>
        <w:t>. Sentencia de 8 de febrero de 2018. Serie C No. 347, párr. 17.</w:t>
      </w:r>
      <w:r w:rsidRPr="003541DB" w:rsidDel="006A6221">
        <w:rPr>
          <w:rFonts w:ascii="Verdana" w:hAnsi="Verdana"/>
          <w:sz w:val="16"/>
          <w:szCs w:val="16"/>
        </w:rPr>
        <w:t xml:space="preserve"> </w:t>
      </w:r>
    </w:p>
  </w:footnote>
  <w:footnote w:id="96">
    <w:p w14:paraId="2D890E43" w14:textId="13DAC042"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i/>
          <w:sz w:val="16"/>
          <w:szCs w:val="16"/>
        </w:rPr>
        <w:t>Cfr. Caso Juan Humberto Sánchez Vs. Honduras. Excepciones Preliminares, Fondo, Reparaciones y Costas</w:t>
      </w:r>
      <w:r w:rsidRPr="003541DB">
        <w:rPr>
          <w:rFonts w:ascii="Verdana" w:hAnsi="Verdana"/>
          <w:sz w:val="16"/>
          <w:szCs w:val="16"/>
        </w:rPr>
        <w:t xml:space="preserve">. Sentencia de 7 de junio de 2003. Serie C No. 99, párr. 120, y </w:t>
      </w:r>
      <w:r w:rsidRPr="003541DB">
        <w:rPr>
          <w:rFonts w:ascii="Verdana" w:hAnsi="Verdana"/>
          <w:i/>
          <w:sz w:val="16"/>
          <w:szCs w:val="16"/>
        </w:rPr>
        <w:t>Caso Mohamed Vs. Argentina. Excepción Preliminar, Fondo, Reparaciones y Costas</w:t>
      </w:r>
      <w:r w:rsidRPr="003541DB">
        <w:rPr>
          <w:rFonts w:ascii="Verdana" w:hAnsi="Verdana"/>
          <w:sz w:val="16"/>
          <w:szCs w:val="16"/>
        </w:rPr>
        <w:t xml:space="preserve">. Sentencia de 23 noviembre de 2012. Serie C No. 255, párr. 151. </w:t>
      </w:r>
    </w:p>
  </w:footnote>
  <w:footnote w:id="97">
    <w:p w14:paraId="7DF4E1E6"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i/>
          <w:sz w:val="16"/>
          <w:szCs w:val="16"/>
        </w:rPr>
        <w:t>Cfr., inter alia</w:t>
      </w:r>
      <w:r w:rsidRPr="003541DB">
        <w:rPr>
          <w:rFonts w:ascii="Verdana" w:hAnsi="Verdana"/>
          <w:sz w:val="16"/>
          <w:szCs w:val="16"/>
        </w:rPr>
        <w:t xml:space="preserve">, </w:t>
      </w:r>
      <w:r w:rsidRPr="003541DB">
        <w:rPr>
          <w:rFonts w:ascii="Verdana" w:hAnsi="Verdana"/>
          <w:i/>
          <w:sz w:val="16"/>
          <w:szCs w:val="16"/>
        </w:rPr>
        <w:t>Caso Cantoral Benavides Vs. Perú. Reparaciones y Costas</w:t>
      </w:r>
      <w:r w:rsidRPr="003541DB">
        <w:rPr>
          <w:rFonts w:ascii="Verdana" w:hAnsi="Verdana"/>
          <w:sz w:val="16"/>
          <w:szCs w:val="16"/>
        </w:rPr>
        <w:t xml:space="preserve">. Sentencia de 3 de diciembre de 2001. Serie C No. 88, párr. 79; </w:t>
      </w:r>
      <w:r w:rsidRPr="003541DB">
        <w:rPr>
          <w:rFonts w:ascii="Verdana" w:hAnsi="Verdana"/>
          <w:i/>
          <w:sz w:val="16"/>
          <w:szCs w:val="16"/>
        </w:rPr>
        <w:t>Caso Mémoli Vs. Argentina. Excepciones Preliminares, Fondo, Reparaciones y Costas.</w:t>
      </w:r>
      <w:r w:rsidRPr="003541DB">
        <w:rPr>
          <w:rFonts w:ascii="Verdana" w:hAnsi="Verdana"/>
          <w:sz w:val="16"/>
          <w:szCs w:val="16"/>
        </w:rPr>
        <w:t xml:space="preserve"> Sentencia de 22 de agosto de 2013. Serie C No. 265, párr. 207; </w:t>
      </w:r>
      <w:r w:rsidRPr="003541DB">
        <w:rPr>
          <w:rFonts w:ascii="Verdana" w:hAnsi="Verdana"/>
          <w:i/>
          <w:sz w:val="16"/>
          <w:szCs w:val="16"/>
        </w:rPr>
        <w:t>Caso Andrade Salmón Vs. Bolivia. Fondo, Reparaciones y Costas.</w:t>
      </w:r>
      <w:r w:rsidRPr="003541DB">
        <w:rPr>
          <w:rFonts w:ascii="Verdana" w:hAnsi="Verdana"/>
          <w:sz w:val="16"/>
          <w:szCs w:val="16"/>
        </w:rPr>
        <w:t xml:space="preserve"> Sentencia de 1 de diciembre de 2016. Serie C No. 330, párr. 197; </w:t>
      </w:r>
      <w:r w:rsidRPr="003541DB">
        <w:rPr>
          <w:rFonts w:ascii="Verdana" w:hAnsi="Verdana"/>
          <w:i/>
          <w:sz w:val="16"/>
          <w:szCs w:val="16"/>
        </w:rPr>
        <w:t>Caso Favela Nova Brasília Vs. Brasil. Excepciones Preliminares, Fondo, Reparaciones y Costas</w:t>
      </w:r>
      <w:r w:rsidRPr="003541DB">
        <w:rPr>
          <w:rFonts w:ascii="Verdana" w:hAnsi="Verdana"/>
          <w:sz w:val="16"/>
          <w:szCs w:val="16"/>
        </w:rPr>
        <w:t xml:space="preserve">. Sentencia de 16 de febrero de 2017. Serie C No. 333, párr. 300; </w:t>
      </w:r>
      <w:r w:rsidRPr="003541DB">
        <w:rPr>
          <w:rFonts w:ascii="Verdana" w:hAnsi="Verdana"/>
          <w:i/>
          <w:sz w:val="16"/>
          <w:szCs w:val="16"/>
        </w:rPr>
        <w:t>Caso López Soto y otros Vs. Venezuela. Fondo, Reparaciones y Costas</w:t>
      </w:r>
      <w:r w:rsidRPr="003541DB">
        <w:rPr>
          <w:rFonts w:ascii="Verdana" w:hAnsi="Verdana"/>
          <w:sz w:val="16"/>
          <w:szCs w:val="16"/>
        </w:rPr>
        <w:t xml:space="preserve">. Sentencia de 26 de septiembre de 2018. Serie C No. 362, párr. 299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 98.</w:t>
      </w:r>
    </w:p>
  </w:footnote>
  <w:footnote w:id="98">
    <w:p w14:paraId="7F2D5AB9" w14:textId="77777777"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Con ello se transformó a las Cámaras del Crimen y a los juzgados en materia penal, en tribunales y juzgados colegiados penales, respectivamente y replantearon sus competencias.</w:t>
      </w:r>
    </w:p>
  </w:footnote>
  <w:footnote w:id="99">
    <w:p w14:paraId="09FE6139"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Fonts w:ascii="Verdana" w:hAnsi="Verdana"/>
          <w:sz w:val="16"/>
          <w:szCs w:val="16"/>
          <w:lang w:val="es-CO"/>
        </w:rPr>
        <w:t>Artículo 503 - El recurso de casación podrá ser interpuesto por los siguientes motivos: 1) Inobservancia o errónea aplicación de la ley sustantiva. 2) Inobservancia de las normas que este código establece bajo pena de inadmisibilidad, caducidad o nulidad, siempre que, con excepción de los casos de nulidad absoluta, el recurrente haya reclamado oportunamente la subsanación del defecto, si era posible, o hecho protesta de recurrir en casación.</w:t>
      </w:r>
      <w:r w:rsidRPr="003541DB">
        <w:rPr>
          <w:rFonts w:ascii="Verdana" w:hAnsi="Verdana"/>
          <w:sz w:val="16"/>
          <w:szCs w:val="16"/>
          <w:lang w:val="es-CR"/>
        </w:rPr>
        <w:t xml:space="preserve"> </w:t>
      </w:r>
    </w:p>
  </w:footnote>
  <w:footnote w:id="100">
    <w:p w14:paraId="7EE47E7A" w14:textId="77777777" w:rsidR="0051368E" w:rsidRPr="003541DB" w:rsidRDefault="0051368E" w:rsidP="00C16366">
      <w:pPr>
        <w:pStyle w:val="FootnoteText"/>
        <w:jc w:val="both"/>
        <w:rPr>
          <w:rFonts w:ascii="Verdana" w:hAnsi="Verdana"/>
          <w:sz w:val="16"/>
          <w:szCs w:val="16"/>
          <w:lang w:val="es-CR"/>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CR"/>
        </w:rPr>
        <w:tab/>
      </w:r>
      <w:r w:rsidRPr="003541DB">
        <w:rPr>
          <w:rFonts w:ascii="Verdana" w:hAnsi="Verdana"/>
          <w:bCs/>
          <w:sz w:val="16"/>
          <w:szCs w:val="16"/>
          <w:lang w:val="es-CO"/>
        </w:rPr>
        <w:t>Artículo. 474.-</w:t>
      </w:r>
      <w:r w:rsidRPr="003541DB">
        <w:rPr>
          <w:rFonts w:ascii="Verdana" w:hAnsi="Verdana"/>
          <w:sz w:val="16"/>
          <w:szCs w:val="16"/>
          <w:lang w:val="es-CO"/>
        </w:rPr>
        <w:t> Motivos. El recurso de casación podrá ser interpuesto por los siguientes motivos:1) Inobservancia o errónea aplicación de la ley sustantiva. 2) Inobservancia de las normas que este código establece bajo pena de inadmisibilidad, caducidad o nulidad, siempre que, con excepción de los casos de nulidad absoluta, el recurrente hubiera reclamado oportunamente la subsanación del defecto, si era posible, o hubiera hecho protesta de recurrir en casación.</w:t>
      </w:r>
    </w:p>
  </w:footnote>
  <w:footnote w:id="101">
    <w:p w14:paraId="1ED5060F" w14:textId="48399A21"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 xml:space="preserve">Cuyo contenido sigue regulado en el </w:t>
      </w:r>
      <w:r w:rsidRPr="003541DB">
        <w:rPr>
          <w:rFonts w:ascii="Verdana" w:hAnsi="Verdana"/>
          <w:sz w:val="16"/>
          <w:szCs w:val="16"/>
          <w:lang w:val="es-CR"/>
        </w:rPr>
        <w:t>artículo 474 de la Ley No. 6.730.</w:t>
      </w:r>
    </w:p>
  </w:footnote>
  <w:footnote w:id="102">
    <w:p w14:paraId="274E71DA" w14:textId="2654F9E0"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i/>
          <w:sz w:val="16"/>
          <w:szCs w:val="16"/>
        </w:rPr>
        <w:tab/>
        <w:t xml:space="preserve">Cfr. </w:t>
      </w:r>
      <w:r w:rsidRPr="003541DB">
        <w:rPr>
          <w:rStyle w:val="Strong"/>
          <w:rFonts w:ascii="Verdana" w:hAnsi="Verdana"/>
          <w:b w:val="0"/>
          <w:i/>
          <w:color w:val="000000"/>
          <w:sz w:val="16"/>
          <w:szCs w:val="16"/>
          <w:shd w:val="clear" w:color="auto" w:fill="FFFFFF"/>
        </w:rPr>
        <w:t>Caso Mendoza y otros Vs. Argentina. Excepciones Preliminares, Fondo y Reparaciones.</w:t>
      </w:r>
      <w:r w:rsidRPr="003541DB">
        <w:rPr>
          <w:rStyle w:val="Strong"/>
          <w:rFonts w:ascii="Verdana" w:hAnsi="Verdana"/>
          <w:b w:val="0"/>
          <w:color w:val="000000"/>
          <w:sz w:val="16"/>
          <w:szCs w:val="16"/>
          <w:shd w:val="clear" w:color="auto" w:fill="FFFFFF"/>
        </w:rPr>
        <w:t xml:space="preserve"> Sentencia de 14 de mayo de 2013. Serie C No. 260, Punto Resolutivo 22 y párrs. 301-303.</w:t>
      </w:r>
    </w:p>
  </w:footnote>
  <w:footnote w:id="103">
    <w:p w14:paraId="433CF898" w14:textId="1A5DDEA6" w:rsidR="0051368E" w:rsidRPr="003541DB" w:rsidRDefault="0051368E" w:rsidP="00C16366">
      <w:pPr>
        <w:pStyle w:val="FootnoteText"/>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 xml:space="preserve">Cfr. </w:t>
      </w:r>
      <w:r w:rsidRPr="003541DB">
        <w:rPr>
          <w:rStyle w:val="Strong"/>
          <w:rFonts w:ascii="Verdana" w:hAnsi="Verdana"/>
          <w:b w:val="0"/>
          <w:i/>
          <w:color w:val="000000"/>
          <w:sz w:val="16"/>
          <w:szCs w:val="16"/>
          <w:shd w:val="clear" w:color="auto" w:fill="FFFFFF"/>
        </w:rPr>
        <w:t>Caso Mendoza y otros Vs. Argentina. Excepciones Preliminares, Fondo y Reparaciones.</w:t>
      </w:r>
      <w:r w:rsidRPr="003541DB">
        <w:rPr>
          <w:rStyle w:val="Strong"/>
          <w:rFonts w:ascii="Verdana" w:hAnsi="Verdana"/>
          <w:b w:val="0"/>
          <w:color w:val="000000"/>
          <w:sz w:val="16"/>
          <w:szCs w:val="16"/>
          <w:shd w:val="clear" w:color="auto" w:fill="FFFFFF"/>
        </w:rPr>
        <w:t xml:space="preserve"> Sentencia de 14 de mayo de 2013. Serie C No. 260, Punto Resolutivo 22 y párr. 332.</w:t>
      </w:r>
    </w:p>
  </w:footnote>
  <w:footnote w:id="104">
    <w:p w14:paraId="1514EC92"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 xml:space="preserve">Cfr. </w:t>
      </w:r>
      <w:r w:rsidRPr="003541DB">
        <w:rPr>
          <w:rFonts w:ascii="Verdana" w:hAnsi="Verdana"/>
          <w:i/>
          <w:sz w:val="16"/>
          <w:szCs w:val="16"/>
        </w:rPr>
        <w:t>Caso Bámaca Velásquez Vs. Guatemala. Reparaciones y Costas.</w:t>
      </w:r>
      <w:r w:rsidRPr="003541DB">
        <w:rPr>
          <w:rFonts w:ascii="Verdana" w:hAnsi="Verdana"/>
          <w:sz w:val="16"/>
          <w:szCs w:val="16"/>
        </w:rPr>
        <w:t xml:space="preserve"> Sentencia de 22 de febrero de 2002. Serie C No. 91, párr. 43 y </w:t>
      </w:r>
      <w:r w:rsidRPr="003541DB">
        <w:rPr>
          <w:rFonts w:ascii="Verdana" w:hAnsi="Verdana"/>
          <w:i/>
          <w:sz w:val="16"/>
          <w:szCs w:val="16"/>
        </w:rPr>
        <w:t>Caso Martínez Coronado Vs. Guatemala. Fondo, Reparaciones y Costas</w:t>
      </w:r>
      <w:r w:rsidRPr="003541DB">
        <w:rPr>
          <w:rFonts w:ascii="Verdana" w:hAnsi="Verdana"/>
          <w:sz w:val="16"/>
          <w:szCs w:val="16"/>
        </w:rPr>
        <w:t>. Sentencia de 10 de mayo de 2019. Serie C No. 376, párr.. 92.</w:t>
      </w:r>
    </w:p>
  </w:footnote>
  <w:footnote w:id="105">
    <w:p w14:paraId="5EC44C8B" w14:textId="1E08D8C6"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i/>
          <w:sz w:val="16"/>
          <w:szCs w:val="16"/>
        </w:rPr>
        <w:t>Cfr. Caso de los “Niños de la Calle” (Villagrán Morales y otros) Vs. Guatemala. Reparaciones y Costas.</w:t>
      </w:r>
      <w:r w:rsidRPr="003541DB">
        <w:rPr>
          <w:rFonts w:ascii="Verdana" w:hAnsi="Verdana"/>
          <w:sz w:val="16"/>
          <w:szCs w:val="16"/>
        </w:rPr>
        <w:t xml:space="preserve"> Sentencia de 26 de mayo de 2001. Serie C No. 77, párr. 84, y </w:t>
      </w:r>
      <w:r w:rsidRPr="003541DB">
        <w:rPr>
          <w:rFonts w:ascii="Verdana" w:hAnsi="Verdana"/>
          <w:i/>
          <w:sz w:val="16"/>
          <w:szCs w:val="16"/>
        </w:rPr>
        <w:t>Caso Martínez Coronado Vs. Guatemala. Fondo, Reparaciones y Costas.</w:t>
      </w:r>
      <w:r w:rsidRPr="003541DB">
        <w:rPr>
          <w:rFonts w:ascii="Verdana" w:hAnsi="Verdana"/>
          <w:sz w:val="16"/>
          <w:szCs w:val="16"/>
        </w:rPr>
        <w:t xml:space="preserve"> Sentencia de 10 de mayo de 2019. Serie C No. 376, párr.114.</w:t>
      </w:r>
    </w:p>
  </w:footnote>
  <w:footnote w:id="106">
    <w:p w14:paraId="2BB9507B" w14:textId="1518F722"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Garrido y Baigorria Vs. Argentina. Reparaciones y Costas</w:t>
      </w:r>
      <w:r w:rsidRPr="003541DB">
        <w:rPr>
          <w:rFonts w:ascii="Verdana" w:hAnsi="Verdana"/>
          <w:sz w:val="16"/>
          <w:szCs w:val="16"/>
        </w:rPr>
        <w:t xml:space="preserve">. Sentencia de 27 de agosto de 1998. Serie C No. 39, párr. 79 </w:t>
      </w:r>
      <w:r w:rsidRPr="003541DB">
        <w:rPr>
          <w:rFonts w:ascii="Verdana" w:hAnsi="Verdana"/>
          <w:i/>
          <w:sz w:val="16"/>
          <w:szCs w:val="16"/>
        </w:rPr>
        <w:t xml:space="preserve">y Caso Omeara Carrascal y otros Vs. Colombia. Fondo, Reparaciones y Costas. </w:t>
      </w:r>
      <w:r w:rsidRPr="003541DB">
        <w:rPr>
          <w:rFonts w:ascii="Verdana" w:hAnsi="Verdana"/>
          <w:sz w:val="16"/>
          <w:szCs w:val="16"/>
        </w:rPr>
        <w:t>Sentencia de 21 de noviembre de 2018. Serie C No. 368, párr. 342.</w:t>
      </w:r>
    </w:p>
  </w:footnote>
  <w:footnote w:id="107">
    <w:p w14:paraId="7F514C4E"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hAnsi="Verdana"/>
          <w:i/>
          <w:sz w:val="16"/>
          <w:szCs w:val="16"/>
        </w:rPr>
        <w:t>Cfr. Caso Garrido y Baigorria Vs. Argentina. Reparaciones y Costas</w:t>
      </w:r>
      <w:r w:rsidRPr="003541DB">
        <w:rPr>
          <w:rFonts w:ascii="Verdana" w:hAnsi="Verdana"/>
          <w:sz w:val="16"/>
          <w:szCs w:val="16"/>
        </w:rPr>
        <w:t xml:space="preserve">. Sentencia de 27 de agosto de 1998. Serie C No. 39, párr. 82 y </w:t>
      </w:r>
      <w:r w:rsidRPr="003541DB">
        <w:rPr>
          <w:rFonts w:ascii="Verdana" w:hAnsi="Verdana"/>
          <w:i/>
          <w:sz w:val="16"/>
          <w:szCs w:val="16"/>
        </w:rPr>
        <w:t xml:space="preserve">Caso Omeara Carrascal y otros Vs. Colombia. Fondo, Reparaciones y Costas. </w:t>
      </w:r>
      <w:r w:rsidRPr="003541DB">
        <w:rPr>
          <w:rFonts w:ascii="Verdana" w:hAnsi="Verdana"/>
          <w:sz w:val="16"/>
          <w:szCs w:val="16"/>
        </w:rPr>
        <w:t>Sentencia de 21 de noviembre de 2018. Serie C No. 368, párr. 342.</w:t>
      </w:r>
    </w:p>
  </w:footnote>
  <w:footnote w:id="108">
    <w:p w14:paraId="6CE9536E"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r>
      <w:r w:rsidRPr="003541DB">
        <w:rPr>
          <w:rFonts w:ascii="Verdana" w:eastAsia="Verdana" w:hAnsi="Verdana" w:cs="Verdana"/>
          <w:i/>
          <w:sz w:val="16"/>
          <w:szCs w:val="16"/>
          <w:lang w:val="es-ES"/>
        </w:rPr>
        <w:t xml:space="preserve">Cfr. Caso Chaparro Álvarez y Lapo Íñiguez Vs. Ecuador. Excepciones Preliminares, Fondo, Reparaciones y Costas. </w:t>
      </w:r>
      <w:r w:rsidRPr="003541DB">
        <w:rPr>
          <w:rFonts w:ascii="Verdana" w:eastAsia="Verdana" w:hAnsi="Verdana" w:cs="Verdana"/>
          <w:iCs/>
          <w:sz w:val="16"/>
          <w:szCs w:val="16"/>
          <w:lang w:val="es-ES"/>
        </w:rPr>
        <w:t>Sentencia de 21 de noviembre de 2007. Serie C No. 170</w:t>
      </w:r>
      <w:r w:rsidRPr="003541DB">
        <w:rPr>
          <w:rFonts w:ascii="Verdana" w:eastAsia="Verdana" w:hAnsi="Verdana" w:cs="Verdana"/>
          <w:sz w:val="16"/>
          <w:szCs w:val="16"/>
          <w:lang w:val="es-ES"/>
        </w:rPr>
        <w:t xml:space="preserve">, párr. 275 y </w:t>
      </w:r>
      <w:r w:rsidRPr="003541DB">
        <w:rPr>
          <w:rFonts w:ascii="Verdana" w:eastAsia="Verdana" w:hAnsi="Verdana" w:cs="Verdana"/>
          <w:i/>
          <w:sz w:val="16"/>
          <w:szCs w:val="16"/>
          <w:lang w:val="es-ES"/>
        </w:rPr>
        <w:t>Caso Mujeres Víctimas de Tortura Sexual en Atenco Vs. México. Excepción Preliminar, Fondo, Reparaciones y Costas</w:t>
      </w:r>
      <w:r w:rsidRPr="003541DB">
        <w:rPr>
          <w:rFonts w:ascii="Verdana" w:eastAsia="Verdana" w:hAnsi="Verdana" w:cs="Verdana"/>
          <w:sz w:val="16"/>
          <w:szCs w:val="16"/>
          <w:lang w:val="es-ES"/>
        </w:rPr>
        <w:t>. Sentencia de 28 de noviembre de 2018. Serie C No. 371, párr. 379.</w:t>
      </w:r>
    </w:p>
  </w:footnote>
  <w:footnote w:id="109">
    <w:p w14:paraId="4E328FFB" w14:textId="4A0E707A"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rPr>
        <w:tab/>
        <w:t>Cfr</w:t>
      </w:r>
      <w:r w:rsidRPr="003541DB">
        <w:rPr>
          <w:rFonts w:ascii="Verdana" w:hAnsi="Verdana"/>
          <w:i/>
          <w:sz w:val="16"/>
          <w:szCs w:val="16"/>
        </w:rPr>
        <w:t>. Caso Chaparro Álvarez y Lapo Íñiguez Vs. Ecuador. Excepciones Preliminares, Fondo, Reparaciones y Costas</w:t>
      </w:r>
      <w:r w:rsidRPr="003541DB">
        <w:rPr>
          <w:rFonts w:ascii="Verdana" w:hAnsi="Verdana"/>
          <w:sz w:val="16"/>
          <w:szCs w:val="16"/>
        </w:rPr>
        <w:t xml:space="preserve">. Sentencia de 21 de noviembre de 2007. Serie C No. 170, párr. 277 y </w:t>
      </w:r>
      <w:r w:rsidRPr="003541DB">
        <w:rPr>
          <w:rFonts w:ascii="Verdana" w:hAnsi="Verdana"/>
          <w:i/>
          <w:sz w:val="16"/>
          <w:szCs w:val="16"/>
        </w:rPr>
        <w:t>Caso Isaza Uribe y otros Vs. Colombia. Fondo, Reparaciones y Costas.</w:t>
      </w:r>
      <w:r w:rsidRPr="003541DB">
        <w:rPr>
          <w:rFonts w:ascii="Verdana" w:hAnsi="Verdana"/>
          <w:sz w:val="16"/>
          <w:szCs w:val="16"/>
        </w:rPr>
        <w:t xml:space="preserve"> Sentencia de 20 de noviembre de 2018, párr. 211. </w:t>
      </w:r>
    </w:p>
  </w:footnote>
  <w:footnote w:id="110">
    <w:p w14:paraId="04CA751E" w14:textId="77777777" w:rsidR="0051368E" w:rsidRPr="003541DB" w:rsidRDefault="0051368E" w:rsidP="00C16366">
      <w:pPr>
        <w:spacing w:after="0" w:line="240" w:lineRule="auto"/>
        <w:jc w:val="both"/>
        <w:rPr>
          <w:rFonts w:ascii="Verdana" w:hAnsi="Verdana"/>
          <w:sz w:val="16"/>
          <w:szCs w:val="16"/>
        </w:rPr>
      </w:pPr>
      <w:r w:rsidRPr="003541DB">
        <w:rPr>
          <w:rStyle w:val="FootnoteReference"/>
          <w:rFonts w:ascii="Verdana" w:hAnsi="Verdana"/>
          <w:sz w:val="16"/>
          <w:szCs w:val="16"/>
        </w:rPr>
        <w:footnoteRef/>
      </w:r>
      <w:r w:rsidRPr="003541DB">
        <w:rPr>
          <w:rFonts w:ascii="Verdana" w:hAnsi="Verdana"/>
          <w:sz w:val="16"/>
          <w:szCs w:val="16"/>
        </w:rPr>
        <w:t xml:space="preserve"> </w:t>
      </w:r>
      <w:r w:rsidRPr="003541DB">
        <w:rPr>
          <w:rFonts w:ascii="Verdana" w:hAnsi="Verdana"/>
          <w:sz w:val="16"/>
          <w:szCs w:val="16"/>
          <w:lang w:val="es-ES"/>
        </w:rPr>
        <w:tab/>
      </w:r>
      <w:r w:rsidRPr="003541DB">
        <w:rPr>
          <w:rFonts w:ascii="Verdana" w:hAnsi="Verdana"/>
          <w:sz w:val="16"/>
          <w:szCs w:val="16"/>
        </w:rPr>
        <w:t>Cfr</w:t>
      </w:r>
      <w:r w:rsidRPr="003541DB">
        <w:rPr>
          <w:rFonts w:ascii="Verdana" w:hAnsi="Verdana"/>
          <w:i/>
          <w:sz w:val="16"/>
          <w:szCs w:val="16"/>
        </w:rPr>
        <w:t>. Caso Gudiel Álvarez y otros (Diario Militar) Vs. Guatemala. Interpretación de la Sentencia de Fondo, Reparaciones y Costas</w:t>
      </w:r>
      <w:r w:rsidRPr="003541DB">
        <w:rPr>
          <w:rFonts w:ascii="Verdana" w:hAnsi="Verdana"/>
          <w:sz w:val="16"/>
          <w:szCs w:val="16"/>
        </w:rPr>
        <w:t xml:space="preserve">. Sentencia de 19 de agosto de 2013. Serie C No. 262, párr. 62 y </w:t>
      </w:r>
      <w:r w:rsidRPr="003541DB">
        <w:rPr>
          <w:rStyle w:val="Hyperlink"/>
          <w:rFonts w:ascii="Verdana" w:hAnsi="Verdana"/>
          <w:i/>
          <w:color w:val="000000" w:themeColor="text1"/>
          <w:sz w:val="16"/>
          <w:szCs w:val="16"/>
          <w:u w:val="none"/>
        </w:rPr>
        <w:t>Caso Duque Vs. Colombia. Excepciones Preliminares, Fondo, Reparaciones y Costas</w:t>
      </w:r>
      <w:r w:rsidRPr="003541DB">
        <w:rPr>
          <w:rStyle w:val="Hyperlink"/>
          <w:rFonts w:ascii="Verdana" w:hAnsi="Verdana"/>
          <w:color w:val="000000" w:themeColor="text1"/>
          <w:sz w:val="16"/>
          <w:szCs w:val="16"/>
          <w:u w:val="none"/>
        </w:rPr>
        <w:t>. Sentencia de 26 de febrero de 2016. Serie C No. 310., párr. 227</w:t>
      </w:r>
      <w:r w:rsidRPr="003541DB">
        <w:rPr>
          <w:rFonts w:ascii="Verdana" w:hAnsi="Verdana"/>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833F" w14:textId="21690BE1" w:rsidR="0051368E" w:rsidRPr="003155BE" w:rsidRDefault="0051368E" w:rsidP="00FE4657">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15D1" w14:textId="77777777" w:rsidR="0051368E" w:rsidRPr="00F83241" w:rsidRDefault="0051368E" w:rsidP="00FE4657">
    <w:pPr>
      <w:pStyle w:val="Header"/>
      <w:tabs>
        <w:tab w:val="center" w:pos="8931"/>
        <w:tab w:val="left" w:pos="9498"/>
        <w:tab w:val="left" w:pos="9639"/>
        <w:tab w:val="right" w:pos="10065"/>
      </w:tabs>
      <w:jc w:val="right"/>
      <w:rPr>
        <w:rFonts w:ascii="Verdana" w:hAnsi="Verdana"/>
        <w:i/>
        <w:sz w:val="16"/>
        <w:szCs w:val="16"/>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76C"/>
    <w:multiLevelType w:val="hybridMultilevel"/>
    <w:tmpl w:val="0B40E2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E30BBC"/>
    <w:multiLevelType w:val="hybridMultilevel"/>
    <w:tmpl w:val="DAB00F72"/>
    <w:lvl w:ilvl="0" w:tplc="0F3CB792">
      <w:start w:val="1"/>
      <w:numFmt w:val="decimal"/>
      <w:pStyle w:val="Heading9"/>
      <w:lvlText w:val="B.2.%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48E27BF"/>
    <w:multiLevelType w:val="hybridMultilevel"/>
    <w:tmpl w:val="C1A8BF66"/>
    <w:lvl w:ilvl="0" w:tplc="2AE2873E">
      <w:start w:val="1"/>
      <w:numFmt w:val="decimal"/>
      <w:pStyle w:val="Heading8"/>
      <w:lvlText w:val="D.6.%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6A7656C"/>
    <w:multiLevelType w:val="hybridMultilevel"/>
    <w:tmpl w:val="BF9C5CAE"/>
    <w:lvl w:ilvl="0" w:tplc="D8469324">
      <w:start w:val="1"/>
      <w:numFmt w:val="decimal"/>
      <w:pStyle w:val="Heading3"/>
      <w:lvlText w:val="A.%1"/>
      <w:lvlJc w:val="left"/>
      <w:pPr>
        <w:ind w:left="1353" w:hanging="360"/>
      </w:pPr>
      <w:rPr>
        <w:rFonts w:hint="default"/>
        <w:b/>
        <w:i w:val="0"/>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Heading5"/>
      <w:lvlText w:val="A.1.%2."/>
      <w:lvlJc w:val="left"/>
      <w:pPr>
        <w:ind w:left="347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3A8C5AAE"/>
    <w:multiLevelType w:val="hybridMultilevel"/>
    <w:tmpl w:val="C32E5DF8"/>
    <w:lvl w:ilvl="0" w:tplc="722EF180">
      <w:start w:val="1"/>
      <w:numFmt w:val="upperLetter"/>
      <w:pStyle w:val="Title"/>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84F45A4"/>
    <w:multiLevelType w:val="hybridMultilevel"/>
    <w:tmpl w:val="2892B620"/>
    <w:lvl w:ilvl="0" w:tplc="0E924352">
      <w:start w:val="1"/>
      <w:numFmt w:val="decimal"/>
      <w:pStyle w:val="Heading7"/>
      <w:lvlText w:val="D.%1."/>
      <w:lvlJc w:val="left"/>
      <w:pPr>
        <w:ind w:left="1776" w:hanging="360"/>
      </w:pPr>
      <w:rPr>
        <w:rFont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8">
    <w:nsid w:val="4BDD24EB"/>
    <w:multiLevelType w:val="hybridMultilevel"/>
    <w:tmpl w:val="BEE29D6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0">
    <w:nsid w:val="5CE9233A"/>
    <w:multiLevelType w:val="hybridMultilevel"/>
    <w:tmpl w:val="2DBA7D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4402BA7"/>
    <w:multiLevelType w:val="hybridMultilevel"/>
    <w:tmpl w:val="279E4D6A"/>
    <w:lvl w:ilvl="0" w:tplc="6A664822">
      <w:start w:val="1"/>
      <w:numFmt w:val="upperLetter"/>
      <w:pStyle w:val="Heading2"/>
      <w:lvlText w:val="%1."/>
      <w:lvlJc w:val="left"/>
      <w:pPr>
        <w:ind w:left="928" w:hanging="360"/>
      </w:pPr>
      <w:rPr>
        <w:b/>
        <w:i/>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nsid w:val="66342309"/>
    <w:multiLevelType w:val="hybridMultilevel"/>
    <w:tmpl w:val="56DE160C"/>
    <w:lvl w:ilvl="0" w:tplc="95CADDD2">
      <w:start w:val="1"/>
      <w:numFmt w:val="decimal"/>
      <w:pStyle w:val="Heading6"/>
      <w:lvlText w:val="C.3.%1."/>
      <w:lvlJc w:val="left"/>
      <w:pPr>
        <w:ind w:left="2484" w:hanging="360"/>
      </w:pPr>
      <w:rPr>
        <w:rFonts w:hint="default"/>
        <w:b w:val="0"/>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13">
    <w:nsid w:val="6C5B3C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C045C"/>
    <w:multiLevelType w:val="hybridMultilevel"/>
    <w:tmpl w:val="EE689438"/>
    <w:lvl w:ilvl="0" w:tplc="8E4224E8">
      <w:start w:val="1"/>
      <w:numFmt w:val="decimal"/>
      <w:pStyle w:val="Heading4"/>
      <w:lvlText w:val="A.2.%1."/>
      <w:lvlJc w:val="left"/>
      <w:pPr>
        <w:ind w:left="1068"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79354707"/>
    <w:multiLevelType w:val="hybridMultilevel"/>
    <w:tmpl w:val="FE1C3586"/>
    <w:lvl w:ilvl="0" w:tplc="98A461BC">
      <w:start w:val="1"/>
      <w:numFmt w:val="decimal"/>
      <w:lvlText w:val="%1."/>
      <w:lvlJc w:val="left"/>
      <w:pPr>
        <w:ind w:left="1393"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1"/>
  </w:num>
  <w:num w:numId="2">
    <w:abstractNumId w:val="4"/>
  </w:num>
  <w:num w:numId="3">
    <w:abstractNumId w:val="12"/>
  </w:num>
  <w:num w:numId="4">
    <w:abstractNumId w:val="7"/>
  </w:num>
  <w:num w:numId="5">
    <w:abstractNumId w:val="14"/>
  </w:num>
  <w:num w:numId="6">
    <w:abstractNumId w:val="2"/>
  </w:num>
  <w:num w:numId="7">
    <w:abstractNumId w:val="1"/>
  </w:num>
  <w:num w:numId="8">
    <w:abstractNumId w:val="13"/>
  </w:num>
  <w:num w:numId="9">
    <w:abstractNumId w:val="5"/>
  </w:num>
  <w:num w:numId="10">
    <w:abstractNumId w:val="6"/>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0"/>
  </w:num>
  <w:num w:numId="16">
    <w:abstractNumId w:val="3"/>
  </w:num>
  <w:num w:numId="17">
    <w:abstractNumId w:val="11"/>
    <w:lvlOverride w:ilvl="0">
      <w:startOverride w:val="1"/>
    </w:lvlOverride>
  </w:num>
  <w:num w:numId="18">
    <w:abstractNumId w:val="3"/>
    <w:lvlOverride w:ilvl="0">
      <w:startOverride w:val="1"/>
    </w:lvlOverride>
  </w:num>
  <w:num w:numId="19">
    <w:abstractNumId w:val="11"/>
    <w:lvlOverride w:ilvl="0">
      <w:startOverride w:val="1"/>
    </w:lvlOverride>
  </w:num>
  <w:num w:numId="20">
    <w:abstractNumId w:val="3"/>
    <w:lvlOverride w:ilvl="0">
      <w:startOverride w:val="1"/>
    </w:lvlOverride>
  </w:num>
  <w:num w:numId="21">
    <w:abstractNumId w:val="11"/>
    <w:lvlOverride w:ilvl="0">
      <w:startOverride w:val="1"/>
    </w:lvlOverride>
  </w:num>
  <w:num w:numId="22">
    <w:abstractNumId w:val="11"/>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D8"/>
    <w:rsid w:val="00002A1A"/>
    <w:rsid w:val="00005499"/>
    <w:rsid w:val="000065A8"/>
    <w:rsid w:val="00010512"/>
    <w:rsid w:val="000149E0"/>
    <w:rsid w:val="0001711B"/>
    <w:rsid w:val="000233EC"/>
    <w:rsid w:val="00023F97"/>
    <w:rsid w:val="00032FB7"/>
    <w:rsid w:val="0003409F"/>
    <w:rsid w:val="00034E18"/>
    <w:rsid w:val="00052609"/>
    <w:rsid w:val="0006055E"/>
    <w:rsid w:val="0006475E"/>
    <w:rsid w:val="0006508C"/>
    <w:rsid w:val="0006544D"/>
    <w:rsid w:val="00067313"/>
    <w:rsid w:val="00095FC2"/>
    <w:rsid w:val="000965F4"/>
    <w:rsid w:val="000A2A64"/>
    <w:rsid w:val="000B0439"/>
    <w:rsid w:val="000B6357"/>
    <w:rsid w:val="000C088D"/>
    <w:rsid w:val="000C41A8"/>
    <w:rsid w:val="000C585F"/>
    <w:rsid w:val="000C7E04"/>
    <w:rsid w:val="000D0A3E"/>
    <w:rsid w:val="000E3906"/>
    <w:rsid w:val="000E3998"/>
    <w:rsid w:val="000F1113"/>
    <w:rsid w:val="000F5400"/>
    <w:rsid w:val="001200AE"/>
    <w:rsid w:val="0012229F"/>
    <w:rsid w:val="0012316A"/>
    <w:rsid w:val="00130BEF"/>
    <w:rsid w:val="001335CC"/>
    <w:rsid w:val="00133E9D"/>
    <w:rsid w:val="00141A6D"/>
    <w:rsid w:val="00146232"/>
    <w:rsid w:val="00151008"/>
    <w:rsid w:val="00155D18"/>
    <w:rsid w:val="001579B2"/>
    <w:rsid w:val="00165D00"/>
    <w:rsid w:val="00172DD1"/>
    <w:rsid w:val="00173B56"/>
    <w:rsid w:val="00192244"/>
    <w:rsid w:val="00194B91"/>
    <w:rsid w:val="001975B4"/>
    <w:rsid w:val="00197E27"/>
    <w:rsid w:val="001B0711"/>
    <w:rsid w:val="001B77C3"/>
    <w:rsid w:val="001C05D8"/>
    <w:rsid w:val="001C1233"/>
    <w:rsid w:val="001C210E"/>
    <w:rsid w:val="001C3B78"/>
    <w:rsid w:val="001C45D2"/>
    <w:rsid w:val="001E07BF"/>
    <w:rsid w:val="001E3851"/>
    <w:rsid w:val="001F35FA"/>
    <w:rsid w:val="002022BC"/>
    <w:rsid w:val="00202F41"/>
    <w:rsid w:val="0020414E"/>
    <w:rsid w:val="002308E1"/>
    <w:rsid w:val="00232EAD"/>
    <w:rsid w:val="002370A6"/>
    <w:rsid w:val="0024211C"/>
    <w:rsid w:val="00243386"/>
    <w:rsid w:val="00245F2A"/>
    <w:rsid w:val="00251AB4"/>
    <w:rsid w:val="002549B7"/>
    <w:rsid w:val="00255266"/>
    <w:rsid w:val="00257882"/>
    <w:rsid w:val="00265133"/>
    <w:rsid w:val="00274C5B"/>
    <w:rsid w:val="002767A8"/>
    <w:rsid w:val="0028401E"/>
    <w:rsid w:val="0029213B"/>
    <w:rsid w:val="00293C8E"/>
    <w:rsid w:val="002A019E"/>
    <w:rsid w:val="002A13E5"/>
    <w:rsid w:val="002A2F2C"/>
    <w:rsid w:val="002B6281"/>
    <w:rsid w:val="002B648D"/>
    <w:rsid w:val="002B7FC1"/>
    <w:rsid w:val="002C3678"/>
    <w:rsid w:val="002C47FC"/>
    <w:rsid w:val="002C4B85"/>
    <w:rsid w:val="002E4BB4"/>
    <w:rsid w:val="002E5C7E"/>
    <w:rsid w:val="002F20D8"/>
    <w:rsid w:val="00302E1A"/>
    <w:rsid w:val="00312E94"/>
    <w:rsid w:val="003163CE"/>
    <w:rsid w:val="00324D97"/>
    <w:rsid w:val="003256D6"/>
    <w:rsid w:val="00327F03"/>
    <w:rsid w:val="00345E12"/>
    <w:rsid w:val="003523AA"/>
    <w:rsid w:val="003541DB"/>
    <w:rsid w:val="003636FF"/>
    <w:rsid w:val="003646AC"/>
    <w:rsid w:val="0037184D"/>
    <w:rsid w:val="00396986"/>
    <w:rsid w:val="00397A38"/>
    <w:rsid w:val="003A0415"/>
    <w:rsid w:val="003A421C"/>
    <w:rsid w:val="003B7162"/>
    <w:rsid w:val="003C0487"/>
    <w:rsid w:val="003D2E9B"/>
    <w:rsid w:val="003E758F"/>
    <w:rsid w:val="003F33A5"/>
    <w:rsid w:val="003F5991"/>
    <w:rsid w:val="00406718"/>
    <w:rsid w:val="00406957"/>
    <w:rsid w:val="00414121"/>
    <w:rsid w:val="00425643"/>
    <w:rsid w:val="00430C9B"/>
    <w:rsid w:val="00431290"/>
    <w:rsid w:val="00435AF6"/>
    <w:rsid w:val="00442A42"/>
    <w:rsid w:val="00442BF9"/>
    <w:rsid w:val="00444481"/>
    <w:rsid w:val="00474F89"/>
    <w:rsid w:val="0048065B"/>
    <w:rsid w:val="00487B84"/>
    <w:rsid w:val="00491182"/>
    <w:rsid w:val="00492D33"/>
    <w:rsid w:val="0049586E"/>
    <w:rsid w:val="00496510"/>
    <w:rsid w:val="004A3E0F"/>
    <w:rsid w:val="004C22C1"/>
    <w:rsid w:val="004C2796"/>
    <w:rsid w:val="004E00F7"/>
    <w:rsid w:val="004E0B3D"/>
    <w:rsid w:val="00500A60"/>
    <w:rsid w:val="0051368E"/>
    <w:rsid w:val="0052180A"/>
    <w:rsid w:val="0053518E"/>
    <w:rsid w:val="00536467"/>
    <w:rsid w:val="00536736"/>
    <w:rsid w:val="005479FB"/>
    <w:rsid w:val="00552D3C"/>
    <w:rsid w:val="00571012"/>
    <w:rsid w:val="00574DFE"/>
    <w:rsid w:val="00576FE8"/>
    <w:rsid w:val="00590819"/>
    <w:rsid w:val="00592093"/>
    <w:rsid w:val="00595E1A"/>
    <w:rsid w:val="005A137B"/>
    <w:rsid w:val="005B5586"/>
    <w:rsid w:val="005C4357"/>
    <w:rsid w:val="005D1D0B"/>
    <w:rsid w:val="005D50F7"/>
    <w:rsid w:val="005D57F1"/>
    <w:rsid w:val="005D5ED8"/>
    <w:rsid w:val="005E0119"/>
    <w:rsid w:val="005E3160"/>
    <w:rsid w:val="005E51F2"/>
    <w:rsid w:val="005E5302"/>
    <w:rsid w:val="005E6948"/>
    <w:rsid w:val="005F5C55"/>
    <w:rsid w:val="006013A4"/>
    <w:rsid w:val="00604B8A"/>
    <w:rsid w:val="00607E6D"/>
    <w:rsid w:val="00614398"/>
    <w:rsid w:val="006161CF"/>
    <w:rsid w:val="00636561"/>
    <w:rsid w:val="00636809"/>
    <w:rsid w:val="00636AEF"/>
    <w:rsid w:val="0064020F"/>
    <w:rsid w:val="006512B6"/>
    <w:rsid w:val="00655B32"/>
    <w:rsid w:val="00661093"/>
    <w:rsid w:val="00664463"/>
    <w:rsid w:val="0066704A"/>
    <w:rsid w:val="00667115"/>
    <w:rsid w:val="00667CEA"/>
    <w:rsid w:val="00671A0B"/>
    <w:rsid w:val="0067485F"/>
    <w:rsid w:val="00684CCE"/>
    <w:rsid w:val="00694879"/>
    <w:rsid w:val="006A799F"/>
    <w:rsid w:val="006B0067"/>
    <w:rsid w:val="006B4D61"/>
    <w:rsid w:val="006C3E5B"/>
    <w:rsid w:val="006E41A8"/>
    <w:rsid w:val="006E43C9"/>
    <w:rsid w:val="006E489E"/>
    <w:rsid w:val="006E4A9C"/>
    <w:rsid w:val="006E6931"/>
    <w:rsid w:val="006F14DB"/>
    <w:rsid w:val="006F56FD"/>
    <w:rsid w:val="006F5D6E"/>
    <w:rsid w:val="006F60B2"/>
    <w:rsid w:val="00704BE8"/>
    <w:rsid w:val="0070530A"/>
    <w:rsid w:val="00713E16"/>
    <w:rsid w:val="00721329"/>
    <w:rsid w:val="00731B4A"/>
    <w:rsid w:val="00731DB8"/>
    <w:rsid w:val="0073300F"/>
    <w:rsid w:val="00734C23"/>
    <w:rsid w:val="00745BB5"/>
    <w:rsid w:val="00764351"/>
    <w:rsid w:val="00770FF7"/>
    <w:rsid w:val="00775A04"/>
    <w:rsid w:val="00775B23"/>
    <w:rsid w:val="007A2EAC"/>
    <w:rsid w:val="007A5487"/>
    <w:rsid w:val="007B37E0"/>
    <w:rsid w:val="007D227B"/>
    <w:rsid w:val="007F1865"/>
    <w:rsid w:val="00801E19"/>
    <w:rsid w:val="00802B50"/>
    <w:rsid w:val="008120E3"/>
    <w:rsid w:val="00815402"/>
    <w:rsid w:val="0082292F"/>
    <w:rsid w:val="00825C06"/>
    <w:rsid w:val="0082670E"/>
    <w:rsid w:val="0083239C"/>
    <w:rsid w:val="00832C55"/>
    <w:rsid w:val="008379B6"/>
    <w:rsid w:val="008414A4"/>
    <w:rsid w:val="0084247E"/>
    <w:rsid w:val="00843376"/>
    <w:rsid w:val="00851BFC"/>
    <w:rsid w:val="008549CC"/>
    <w:rsid w:val="00854DA8"/>
    <w:rsid w:val="00863505"/>
    <w:rsid w:val="0087526C"/>
    <w:rsid w:val="0088184E"/>
    <w:rsid w:val="00883F51"/>
    <w:rsid w:val="00885563"/>
    <w:rsid w:val="00895E05"/>
    <w:rsid w:val="008A351B"/>
    <w:rsid w:val="008A4331"/>
    <w:rsid w:val="008A76A8"/>
    <w:rsid w:val="008C28DA"/>
    <w:rsid w:val="008D0CC2"/>
    <w:rsid w:val="008D202F"/>
    <w:rsid w:val="008D5C3D"/>
    <w:rsid w:val="008E0EDB"/>
    <w:rsid w:val="008E45D0"/>
    <w:rsid w:val="008F18D9"/>
    <w:rsid w:val="008F5A53"/>
    <w:rsid w:val="008F7AFD"/>
    <w:rsid w:val="00902077"/>
    <w:rsid w:val="00904755"/>
    <w:rsid w:val="00906EE8"/>
    <w:rsid w:val="009109ED"/>
    <w:rsid w:val="009140E3"/>
    <w:rsid w:val="00916B58"/>
    <w:rsid w:val="00917BB0"/>
    <w:rsid w:val="00922848"/>
    <w:rsid w:val="00932941"/>
    <w:rsid w:val="00942DC1"/>
    <w:rsid w:val="00945526"/>
    <w:rsid w:val="009552DF"/>
    <w:rsid w:val="0096005C"/>
    <w:rsid w:val="009642A0"/>
    <w:rsid w:val="009770E7"/>
    <w:rsid w:val="0097754C"/>
    <w:rsid w:val="00977ACB"/>
    <w:rsid w:val="0098189A"/>
    <w:rsid w:val="0098473C"/>
    <w:rsid w:val="00996EEB"/>
    <w:rsid w:val="009A09B7"/>
    <w:rsid w:val="009A1066"/>
    <w:rsid w:val="009A42FD"/>
    <w:rsid w:val="009A787C"/>
    <w:rsid w:val="009B573F"/>
    <w:rsid w:val="009B7062"/>
    <w:rsid w:val="009C600B"/>
    <w:rsid w:val="009D0881"/>
    <w:rsid w:val="009D3559"/>
    <w:rsid w:val="009E3A45"/>
    <w:rsid w:val="009E5158"/>
    <w:rsid w:val="009F2EFD"/>
    <w:rsid w:val="009F55DF"/>
    <w:rsid w:val="00A01D26"/>
    <w:rsid w:val="00A02AC3"/>
    <w:rsid w:val="00A055A7"/>
    <w:rsid w:val="00A4003C"/>
    <w:rsid w:val="00A47665"/>
    <w:rsid w:val="00A524D4"/>
    <w:rsid w:val="00A533E5"/>
    <w:rsid w:val="00A53EEB"/>
    <w:rsid w:val="00A54A1A"/>
    <w:rsid w:val="00A555B9"/>
    <w:rsid w:val="00A6683A"/>
    <w:rsid w:val="00A66F44"/>
    <w:rsid w:val="00A675EC"/>
    <w:rsid w:val="00A7367D"/>
    <w:rsid w:val="00A7522C"/>
    <w:rsid w:val="00A80AC4"/>
    <w:rsid w:val="00A87C71"/>
    <w:rsid w:val="00A90E5F"/>
    <w:rsid w:val="00A93FE5"/>
    <w:rsid w:val="00A97868"/>
    <w:rsid w:val="00AA5948"/>
    <w:rsid w:val="00AA7D38"/>
    <w:rsid w:val="00AB0FF3"/>
    <w:rsid w:val="00AC1C2A"/>
    <w:rsid w:val="00AC3BDC"/>
    <w:rsid w:val="00AD6B72"/>
    <w:rsid w:val="00AE2B44"/>
    <w:rsid w:val="00AF0B74"/>
    <w:rsid w:val="00AF1D36"/>
    <w:rsid w:val="00AF2EBB"/>
    <w:rsid w:val="00B06AD2"/>
    <w:rsid w:val="00B0702A"/>
    <w:rsid w:val="00B075C4"/>
    <w:rsid w:val="00B07750"/>
    <w:rsid w:val="00B10023"/>
    <w:rsid w:val="00B1167A"/>
    <w:rsid w:val="00B134BA"/>
    <w:rsid w:val="00B22D15"/>
    <w:rsid w:val="00B231C1"/>
    <w:rsid w:val="00B53B32"/>
    <w:rsid w:val="00B552FF"/>
    <w:rsid w:val="00B5653E"/>
    <w:rsid w:val="00B56FC1"/>
    <w:rsid w:val="00B61799"/>
    <w:rsid w:val="00B62132"/>
    <w:rsid w:val="00B67C33"/>
    <w:rsid w:val="00B702F4"/>
    <w:rsid w:val="00B7511E"/>
    <w:rsid w:val="00B81C19"/>
    <w:rsid w:val="00B93B17"/>
    <w:rsid w:val="00B96B3B"/>
    <w:rsid w:val="00BB0BC9"/>
    <w:rsid w:val="00BB2501"/>
    <w:rsid w:val="00BB407F"/>
    <w:rsid w:val="00BB5287"/>
    <w:rsid w:val="00BB6280"/>
    <w:rsid w:val="00BC2217"/>
    <w:rsid w:val="00BC239B"/>
    <w:rsid w:val="00BC2760"/>
    <w:rsid w:val="00BC388F"/>
    <w:rsid w:val="00BD08B8"/>
    <w:rsid w:val="00BD1163"/>
    <w:rsid w:val="00BD1786"/>
    <w:rsid w:val="00BE24D0"/>
    <w:rsid w:val="00BE32C0"/>
    <w:rsid w:val="00BE3A86"/>
    <w:rsid w:val="00BE57AA"/>
    <w:rsid w:val="00BE5D95"/>
    <w:rsid w:val="00BF0B14"/>
    <w:rsid w:val="00BF5893"/>
    <w:rsid w:val="00BF5DF9"/>
    <w:rsid w:val="00C006CC"/>
    <w:rsid w:val="00C022DE"/>
    <w:rsid w:val="00C06400"/>
    <w:rsid w:val="00C14F2F"/>
    <w:rsid w:val="00C157A7"/>
    <w:rsid w:val="00C16366"/>
    <w:rsid w:val="00C166ED"/>
    <w:rsid w:val="00C27554"/>
    <w:rsid w:val="00C2779B"/>
    <w:rsid w:val="00C27C71"/>
    <w:rsid w:val="00C41E32"/>
    <w:rsid w:val="00C43012"/>
    <w:rsid w:val="00C50ED9"/>
    <w:rsid w:val="00C643B7"/>
    <w:rsid w:val="00C70633"/>
    <w:rsid w:val="00C71B2D"/>
    <w:rsid w:val="00C77A2E"/>
    <w:rsid w:val="00C90B11"/>
    <w:rsid w:val="00C92253"/>
    <w:rsid w:val="00C962FE"/>
    <w:rsid w:val="00CA7237"/>
    <w:rsid w:val="00CA7586"/>
    <w:rsid w:val="00CB297F"/>
    <w:rsid w:val="00CB5F3B"/>
    <w:rsid w:val="00CC03A1"/>
    <w:rsid w:val="00CC60F6"/>
    <w:rsid w:val="00CC6E22"/>
    <w:rsid w:val="00CD2D3D"/>
    <w:rsid w:val="00CE4CDC"/>
    <w:rsid w:val="00CE4F03"/>
    <w:rsid w:val="00CE7982"/>
    <w:rsid w:val="00CF0F81"/>
    <w:rsid w:val="00CF374A"/>
    <w:rsid w:val="00D101F5"/>
    <w:rsid w:val="00D12C23"/>
    <w:rsid w:val="00D1499D"/>
    <w:rsid w:val="00D247CE"/>
    <w:rsid w:val="00D3501C"/>
    <w:rsid w:val="00D352D0"/>
    <w:rsid w:val="00D45E21"/>
    <w:rsid w:val="00D46BB8"/>
    <w:rsid w:val="00D523D2"/>
    <w:rsid w:val="00D52DFE"/>
    <w:rsid w:val="00D6354B"/>
    <w:rsid w:val="00D64AF7"/>
    <w:rsid w:val="00D66117"/>
    <w:rsid w:val="00D84B9E"/>
    <w:rsid w:val="00D90394"/>
    <w:rsid w:val="00DA1C22"/>
    <w:rsid w:val="00DA5453"/>
    <w:rsid w:val="00DA6263"/>
    <w:rsid w:val="00DB2DE3"/>
    <w:rsid w:val="00DB444A"/>
    <w:rsid w:val="00DB5ABD"/>
    <w:rsid w:val="00DC1341"/>
    <w:rsid w:val="00DC29ED"/>
    <w:rsid w:val="00DD3C33"/>
    <w:rsid w:val="00DD6C38"/>
    <w:rsid w:val="00DD7C51"/>
    <w:rsid w:val="00DE00F1"/>
    <w:rsid w:val="00DE45AC"/>
    <w:rsid w:val="00DF242D"/>
    <w:rsid w:val="00DF60B0"/>
    <w:rsid w:val="00E01829"/>
    <w:rsid w:val="00E04C34"/>
    <w:rsid w:val="00E05FB3"/>
    <w:rsid w:val="00E10008"/>
    <w:rsid w:val="00E112A2"/>
    <w:rsid w:val="00E114B0"/>
    <w:rsid w:val="00E1296F"/>
    <w:rsid w:val="00E21E3E"/>
    <w:rsid w:val="00E23FAD"/>
    <w:rsid w:val="00E30CCF"/>
    <w:rsid w:val="00E327EC"/>
    <w:rsid w:val="00E32879"/>
    <w:rsid w:val="00E33DF4"/>
    <w:rsid w:val="00E448E6"/>
    <w:rsid w:val="00E45D11"/>
    <w:rsid w:val="00E5561D"/>
    <w:rsid w:val="00E62C2B"/>
    <w:rsid w:val="00E746FE"/>
    <w:rsid w:val="00E846EA"/>
    <w:rsid w:val="00E9510C"/>
    <w:rsid w:val="00EA0D57"/>
    <w:rsid w:val="00EA32EE"/>
    <w:rsid w:val="00EE1C37"/>
    <w:rsid w:val="00EE634C"/>
    <w:rsid w:val="00EE69C2"/>
    <w:rsid w:val="00EF2453"/>
    <w:rsid w:val="00EF567E"/>
    <w:rsid w:val="00EF740D"/>
    <w:rsid w:val="00EF7E33"/>
    <w:rsid w:val="00F064D1"/>
    <w:rsid w:val="00F11CC4"/>
    <w:rsid w:val="00F12172"/>
    <w:rsid w:val="00F12E2B"/>
    <w:rsid w:val="00F1306D"/>
    <w:rsid w:val="00F17E77"/>
    <w:rsid w:val="00F22B98"/>
    <w:rsid w:val="00F30992"/>
    <w:rsid w:val="00F3194F"/>
    <w:rsid w:val="00F31BAA"/>
    <w:rsid w:val="00F34A49"/>
    <w:rsid w:val="00F5189F"/>
    <w:rsid w:val="00F559E6"/>
    <w:rsid w:val="00F61EEC"/>
    <w:rsid w:val="00F755DE"/>
    <w:rsid w:val="00F75608"/>
    <w:rsid w:val="00F836EA"/>
    <w:rsid w:val="00F8530D"/>
    <w:rsid w:val="00F96A54"/>
    <w:rsid w:val="00FA1C69"/>
    <w:rsid w:val="00FA301B"/>
    <w:rsid w:val="00FA3F93"/>
    <w:rsid w:val="00FA511D"/>
    <w:rsid w:val="00FC1345"/>
    <w:rsid w:val="00FC49BC"/>
    <w:rsid w:val="00FE372D"/>
    <w:rsid w:val="00FE4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8"/>
    <w:rPr>
      <w:rFonts w:eastAsia="Batang"/>
      <w:lang w:val="es-MX"/>
    </w:rPr>
  </w:style>
  <w:style w:type="paragraph" w:styleId="Heading1">
    <w:name w:val="heading 1"/>
    <w:aliases w:val="Título Verdana"/>
    <w:basedOn w:val="Normal"/>
    <w:next w:val="Normal"/>
    <w:link w:val="Heading1Char"/>
    <w:uiPriority w:val="9"/>
    <w:qFormat/>
    <w:rsid w:val="001C05D8"/>
    <w:pPr>
      <w:spacing w:after="0" w:line="240" w:lineRule="auto"/>
      <w:ind w:right="6"/>
      <w:jc w:val="center"/>
      <w:outlineLvl w:val="0"/>
    </w:pPr>
    <w:rPr>
      <w:rFonts w:ascii="Verdana" w:hAnsi="Verdana"/>
      <w:b/>
      <w:sz w:val="20"/>
      <w:szCs w:val="20"/>
    </w:rPr>
  </w:style>
  <w:style w:type="paragraph" w:styleId="Heading2">
    <w:name w:val="heading 2"/>
    <w:basedOn w:val="Normal"/>
    <w:next w:val="Normal"/>
    <w:link w:val="Heading2Char"/>
    <w:unhideWhenUsed/>
    <w:qFormat/>
    <w:rsid w:val="001C05D8"/>
    <w:pPr>
      <w:keepNext/>
      <w:keepLines/>
      <w:widowControl w:val="0"/>
      <w:numPr>
        <w:numId w:val="1"/>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Heading3">
    <w:name w:val="heading 3"/>
    <w:basedOn w:val="ListParagraph"/>
    <w:next w:val="Normal"/>
    <w:link w:val="Heading3Char"/>
    <w:uiPriority w:val="9"/>
    <w:unhideWhenUsed/>
    <w:qFormat/>
    <w:rsid w:val="001C05D8"/>
    <w:pPr>
      <w:numPr>
        <w:numId w:val="16"/>
      </w:numPr>
      <w:tabs>
        <w:tab w:val="left" w:pos="1276"/>
      </w:tabs>
      <w:spacing w:after="0" w:line="240" w:lineRule="auto"/>
      <w:jc w:val="both"/>
      <w:outlineLvl w:val="2"/>
    </w:pPr>
    <w:rPr>
      <w:rFonts w:ascii="Verdana" w:hAnsi="Verdana"/>
      <w:b/>
      <w:i/>
      <w:sz w:val="20"/>
      <w:szCs w:val="20"/>
    </w:rPr>
  </w:style>
  <w:style w:type="paragraph" w:styleId="Heading4">
    <w:name w:val="heading 4"/>
    <w:basedOn w:val="ListParagraph"/>
    <w:next w:val="Normal"/>
    <w:link w:val="Heading4Char"/>
    <w:uiPriority w:val="9"/>
    <w:unhideWhenUsed/>
    <w:qFormat/>
    <w:rsid w:val="001C05D8"/>
    <w:pPr>
      <w:numPr>
        <w:numId w:val="5"/>
      </w:numPr>
      <w:tabs>
        <w:tab w:val="left" w:pos="1418"/>
      </w:tabs>
      <w:spacing w:after="0" w:line="240" w:lineRule="auto"/>
      <w:jc w:val="both"/>
      <w:outlineLvl w:val="3"/>
    </w:pPr>
    <w:rPr>
      <w:rFonts w:ascii="Verdana" w:hAnsi="Verdana"/>
      <w:i/>
      <w:sz w:val="20"/>
      <w:szCs w:val="20"/>
      <w:u w:val="single"/>
    </w:rPr>
  </w:style>
  <w:style w:type="paragraph" w:styleId="Heading5">
    <w:name w:val="heading 5"/>
    <w:basedOn w:val="ListParagraph"/>
    <w:link w:val="Heading5Char"/>
    <w:uiPriority w:val="9"/>
    <w:qFormat/>
    <w:rsid w:val="001C05D8"/>
    <w:pPr>
      <w:numPr>
        <w:ilvl w:val="1"/>
        <w:numId w:val="2"/>
      </w:numPr>
      <w:tabs>
        <w:tab w:val="left" w:pos="1418"/>
      </w:tabs>
      <w:spacing w:after="0" w:line="240" w:lineRule="auto"/>
      <w:jc w:val="both"/>
      <w:outlineLvl w:val="4"/>
    </w:pPr>
    <w:rPr>
      <w:rFonts w:ascii="Verdana" w:hAnsi="Verdana"/>
      <w:i/>
      <w:sz w:val="20"/>
      <w:szCs w:val="20"/>
    </w:rPr>
  </w:style>
  <w:style w:type="paragraph" w:styleId="Heading6">
    <w:name w:val="heading 6"/>
    <w:basedOn w:val="ListParagraph"/>
    <w:next w:val="Normal"/>
    <w:link w:val="Heading6Char"/>
    <w:uiPriority w:val="9"/>
    <w:unhideWhenUsed/>
    <w:rsid w:val="001C05D8"/>
    <w:pPr>
      <w:numPr>
        <w:numId w:val="3"/>
      </w:numPr>
      <w:jc w:val="both"/>
      <w:outlineLvl w:val="5"/>
    </w:pPr>
    <w:rPr>
      <w:rFonts w:ascii="Verdana" w:hAnsi="Verdana"/>
      <w:i/>
      <w:sz w:val="20"/>
      <w:szCs w:val="20"/>
      <w:lang w:val="es-CR"/>
    </w:rPr>
  </w:style>
  <w:style w:type="paragraph" w:styleId="Heading7">
    <w:name w:val="heading 7"/>
    <w:basedOn w:val="ListParagraph"/>
    <w:next w:val="Normal"/>
    <w:link w:val="Heading7Char"/>
    <w:uiPriority w:val="9"/>
    <w:unhideWhenUsed/>
    <w:rsid w:val="001C05D8"/>
    <w:pPr>
      <w:numPr>
        <w:numId w:val="4"/>
      </w:numPr>
      <w:spacing w:after="0" w:line="240" w:lineRule="auto"/>
      <w:jc w:val="both"/>
      <w:outlineLvl w:val="6"/>
    </w:pPr>
    <w:rPr>
      <w:rFonts w:ascii="Verdana" w:hAnsi="Verdana"/>
      <w:i/>
      <w:sz w:val="20"/>
      <w:szCs w:val="20"/>
      <w:u w:val="single"/>
      <w:lang w:val="es-AR"/>
    </w:rPr>
  </w:style>
  <w:style w:type="paragraph" w:styleId="Heading8">
    <w:name w:val="heading 8"/>
    <w:basedOn w:val="ListParagraph"/>
    <w:next w:val="Normal"/>
    <w:link w:val="Heading8Char"/>
    <w:uiPriority w:val="9"/>
    <w:unhideWhenUsed/>
    <w:rsid w:val="001C05D8"/>
    <w:pPr>
      <w:numPr>
        <w:numId w:val="6"/>
      </w:numPr>
      <w:spacing w:after="0" w:line="240" w:lineRule="auto"/>
      <w:jc w:val="both"/>
      <w:outlineLvl w:val="7"/>
    </w:pPr>
    <w:rPr>
      <w:rFonts w:ascii="Verdana" w:hAnsi="Verdana" w:cs="Cambria"/>
      <w:i/>
      <w:sz w:val="20"/>
      <w:szCs w:val="20"/>
    </w:rPr>
  </w:style>
  <w:style w:type="paragraph" w:styleId="Heading9">
    <w:name w:val="heading 9"/>
    <w:basedOn w:val="ListParagraph"/>
    <w:next w:val="Normal"/>
    <w:link w:val="Heading9Char"/>
    <w:uiPriority w:val="9"/>
    <w:unhideWhenUsed/>
    <w:rsid w:val="001C05D8"/>
    <w:pPr>
      <w:numPr>
        <w:numId w:val="7"/>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1C05D8"/>
    <w:rPr>
      <w:rFonts w:ascii="Verdana" w:eastAsia="Batang" w:hAnsi="Verdana"/>
      <w:b/>
      <w:sz w:val="20"/>
      <w:szCs w:val="20"/>
      <w:lang w:val="es-MX"/>
    </w:rPr>
  </w:style>
  <w:style w:type="character" w:customStyle="1" w:styleId="Heading2Char">
    <w:name w:val="Heading 2 Char"/>
    <w:basedOn w:val="DefaultParagraphFont"/>
    <w:link w:val="Heading2"/>
    <w:rsid w:val="001C05D8"/>
    <w:rPr>
      <w:rFonts w:ascii="Verdana" w:eastAsia="MS Mincho" w:hAnsi="Verdana" w:cs="Times New Roman"/>
      <w:b/>
      <w:i/>
      <w:sz w:val="20"/>
      <w:szCs w:val="20"/>
      <w:lang w:val="es-CR" w:eastAsia="es-CR"/>
    </w:rPr>
  </w:style>
  <w:style w:type="character" w:customStyle="1" w:styleId="Heading3Char">
    <w:name w:val="Heading 3 Char"/>
    <w:basedOn w:val="DefaultParagraphFont"/>
    <w:link w:val="Heading3"/>
    <w:uiPriority w:val="9"/>
    <w:rsid w:val="001C05D8"/>
    <w:rPr>
      <w:rFonts w:ascii="Verdana" w:eastAsia="Batang" w:hAnsi="Verdana"/>
      <w:b/>
      <w:i/>
      <w:sz w:val="20"/>
      <w:szCs w:val="20"/>
      <w:lang w:val="es-MX"/>
    </w:rPr>
  </w:style>
  <w:style w:type="character" w:customStyle="1" w:styleId="Heading4Char">
    <w:name w:val="Heading 4 Char"/>
    <w:basedOn w:val="DefaultParagraphFont"/>
    <w:link w:val="Heading4"/>
    <w:uiPriority w:val="9"/>
    <w:rsid w:val="001C05D8"/>
    <w:rPr>
      <w:rFonts w:ascii="Verdana" w:eastAsia="Batang" w:hAnsi="Verdana"/>
      <w:i/>
      <w:sz w:val="20"/>
      <w:szCs w:val="20"/>
      <w:u w:val="single"/>
      <w:lang w:val="es-MX"/>
    </w:rPr>
  </w:style>
  <w:style w:type="character" w:customStyle="1" w:styleId="Heading5Char">
    <w:name w:val="Heading 5 Char"/>
    <w:basedOn w:val="DefaultParagraphFont"/>
    <w:link w:val="Heading5"/>
    <w:uiPriority w:val="9"/>
    <w:rsid w:val="001C05D8"/>
    <w:rPr>
      <w:rFonts w:ascii="Verdana" w:eastAsia="Batang" w:hAnsi="Verdana"/>
      <w:i/>
      <w:sz w:val="20"/>
      <w:szCs w:val="20"/>
      <w:lang w:val="es-MX"/>
    </w:rPr>
  </w:style>
  <w:style w:type="character" w:customStyle="1" w:styleId="Heading6Char">
    <w:name w:val="Heading 6 Char"/>
    <w:basedOn w:val="DefaultParagraphFont"/>
    <w:link w:val="Heading6"/>
    <w:uiPriority w:val="9"/>
    <w:rsid w:val="001C05D8"/>
    <w:rPr>
      <w:rFonts w:ascii="Verdana" w:eastAsia="Batang" w:hAnsi="Verdana"/>
      <w:i/>
      <w:sz w:val="20"/>
      <w:szCs w:val="20"/>
      <w:lang w:val="es-CR"/>
    </w:rPr>
  </w:style>
  <w:style w:type="character" w:customStyle="1" w:styleId="Heading7Char">
    <w:name w:val="Heading 7 Char"/>
    <w:basedOn w:val="DefaultParagraphFont"/>
    <w:link w:val="Heading7"/>
    <w:uiPriority w:val="9"/>
    <w:rsid w:val="001C05D8"/>
    <w:rPr>
      <w:rFonts w:ascii="Verdana" w:eastAsia="Batang" w:hAnsi="Verdana"/>
      <w:i/>
      <w:sz w:val="20"/>
      <w:szCs w:val="20"/>
      <w:u w:val="single"/>
      <w:lang w:val="es-AR"/>
    </w:rPr>
  </w:style>
  <w:style w:type="character" w:customStyle="1" w:styleId="Heading8Char">
    <w:name w:val="Heading 8 Char"/>
    <w:basedOn w:val="DefaultParagraphFont"/>
    <w:link w:val="Heading8"/>
    <w:uiPriority w:val="9"/>
    <w:rsid w:val="001C05D8"/>
    <w:rPr>
      <w:rFonts w:ascii="Verdana" w:eastAsia="Batang" w:hAnsi="Verdana" w:cs="Cambria"/>
      <w:i/>
      <w:sz w:val="20"/>
      <w:szCs w:val="20"/>
      <w:lang w:val="es-MX"/>
    </w:rPr>
  </w:style>
  <w:style w:type="character" w:customStyle="1" w:styleId="Heading9Char">
    <w:name w:val="Heading 9 Char"/>
    <w:basedOn w:val="DefaultParagraphFont"/>
    <w:link w:val="Heading9"/>
    <w:uiPriority w:val="9"/>
    <w:rsid w:val="001C05D8"/>
    <w:rPr>
      <w:rFonts w:ascii="Verdana" w:hAnsi="Verdana"/>
      <w:i/>
      <w:sz w:val="20"/>
      <w:szCs w:val="20"/>
      <w:lang w:val="es-MX"/>
    </w:rPr>
  </w:style>
  <w:style w:type="paragraph" w:styleId="ListParagraph">
    <w:name w:val="List Paragraph"/>
    <w:aliases w:val="List Paragraph1,Colorful List - Accent 11,Párrafo de lista1,List Paragraph2,Lista vistosa - Énfasis 11,Footnote,Subtle Emphasis1,Footnote1"/>
    <w:basedOn w:val="Normal"/>
    <w:link w:val="ListParagraphChar"/>
    <w:uiPriority w:val="34"/>
    <w:qFormat/>
    <w:rsid w:val="001C05D8"/>
    <w:pPr>
      <w:ind w:left="720"/>
      <w:contextualSpacing/>
    </w:pPr>
  </w:style>
  <w:style w:type="character" w:styleId="CommentReference">
    <w:name w:val="annotation reference"/>
    <w:basedOn w:val="DefaultParagraphFont"/>
    <w:unhideWhenUsed/>
    <w:rsid w:val="001C05D8"/>
    <w:rPr>
      <w:sz w:val="16"/>
      <w:szCs w:val="16"/>
    </w:rPr>
  </w:style>
  <w:style w:type="paragraph" w:styleId="CommentText">
    <w:name w:val="annotation text"/>
    <w:basedOn w:val="Normal"/>
    <w:link w:val="CommentTextChar"/>
    <w:uiPriority w:val="99"/>
    <w:unhideWhenUsed/>
    <w:rsid w:val="001C05D8"/>
    <w:pPr>
      <w:spacing w:line="240" w:lineRule="auto"/>
    </w:pPr>
    <w:rPr>
      <w:sz w:val="20"/>
      <w:szCs w:val="20"/>
    </w:rPr>
  </w:style>
  <w:style w:type="character" w:customStyle="1" w:styleId="CommentTextChar">
    <w:name w:val="Comment Text Char"/>
    <w:basedOn w:val="DefaultParagraphFont"/>
    <w:link w:val="CommentText"/>
    <w:uiPriority w:val="99"/>
    <w:rsid w:val="001C05D8"/>
    <w:rPr>
      <w:rFonts w:eastAsia="Batang"/>
      <w:sz w:val="20"/>
      <w:szCs w:val="20"/>
      <w:lang w:val="es-MX"/>
    </w:rPr>
  </w:style>
  <w:style w:type="paragraph" w:styleId="BalloonText">
    <w:name w:val="Balloon Text"/>
    <w:basedOn w:val="Normal"/>
    <w:link w:val="BalloonTextChar"/>
    <w:uiPriority w:val="99"/>
    <w:semiHidden/>
    <w:unhideWhenUsed/>
    <w:rsid w:val="001C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D8"/>
    <w:rPr>
      <w:rFonts w:ascii="Tahoma" w:eastAsia="Batang" w:hAnsi="Tahoma" w:cs="Tahoma"/>
      <w:sz w:val="16"/>
      <w:szCs w:val="16"/>
      <w:lang w:val="es-MX"/>
    </w:rPr>
  </w:style>
  <w:style w:type="paragraph" w:styleId="FootnoteText">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FootnoteTextChar"/>
    <w:uiPriority w:val="99"/>
    <w:unhideWhenUsed/>
    <w:qFormat/>
    <w:rsid w:val="001C05D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A Fußnotentext Char,FA Fu§notentext Char,FA Fu?notentext Char,?notentext Char,Footnote Text Char Char Char Char1"/>
    <w:basedOn w:val="DefaultParagraphFont"/>
    <w:link w:val="FootnoteText"/>
    <w:uiPriority w:val="99"/>
    <w:qFormat/>
    <w:rsid w:val="001C05D8"/>
    <w:rPr>
      <w:rFonts w:eastAsia="Batang"/>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1C05D8"/>
    <w:rPr>
      <w:vertAlign w:val="superscript"/>
    </w:rPr>
  </w:style>
  <w:style w:type="character" w:styleId="Hyperlink">
    <w:name w:val="Hyperlink"/>
    <w:aliases w:val="Heading 3 caso"/>
    <w:basedOn w:val="DefaultParagraphFont"/>
    <w:uiPriority w:val="99"/>
    <w:unhideWhenUsed/>
    <w:rsid w:val="001C05D8"/>
    <w:rPr>
      <w:color w:val="0000FF"/>
      <w:u w:val="single"/>
    </w:rPr>
  </w:style>
  <w:style w:type="paragraph" w:styleId="CommentSubject">
    <w:name w:val="annotation subject"/>
    <w:basedOn w:val="CommentText"/>
    <w:next w:val="CommentText"/>
    <w:link w:val="CommentSubjectChar"/>
    <w:uiPriority w:val="99"/>
    <w:semiHidden/>
    <w:unhideWhenUsed/>
    <w:rsid w:val="001C05D8"/>
    <w:rPr>
      <w:b/>
      <w:bCs/>
    </w:rPr>
  </w:style>
  <w:style w:type="character" w:customStyle="1" w:styleId="CommentSubjectChar">
    <w:name w:val="Comment Subject Char"/>
    <w:basedOn w:val="CommentTextChar"/>
    <w:link w:val="CommentSubject"/>
    <w:uiPriority w:val="99"/>
    <w:semiHidden/>
    <w:rsid w:val="001C05D8"/>
    <w:rPr>
      <w:rFonts w:eastAsia="Batang"/>
      <w:b/>
      <w:bCs/>
      <w:sz w:val="20"/>
      <w:szCs w:val="20"/>
      <w:lang w:val="es-MX"/>
    </w:rPr>
  </w:style>
  <w:style w:type="paragraph" w:styleId="Header">
    <w:name w:val="header"/>
    <w:basedOn w:val="Normal"/>
    <w:link w:val="HeaderChar"/>
    <w:uiPriority w:val="99"/>
    <w:unhideWhenUsed/>
    <w:rsid w:val="001C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D8"/>
    <w:rPr>
      <w:rFonts w:eastAsia="Batang"/>
      <w:lang w:val="es-MX"/>
    </w:rPr>
  </w:style>
  <w:style w:type="paragraph" w:styleId="Footer">
    <w:name w:val="footer"/>
    <w:basedOn w:val="Normal"/>
    <w:link w:val="FooterChar"/>
    <w:uiPriority w:val="99"/>
    <w:unhideWhenUsed/>
    <w:rsid w:val="001C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D8"/>
    <w:rPr>
      <w:rFonts w:eastAsia="Batang"/>
      <w:lang w:val="es-MX"/>
    </w:rPr>
  </w:style>
  <w:style w:type="character" w:styleId="FollowedHyperlink">
    <w:name w:val="FollowedHyperlink"/>
    <w:basedOn w:val="DefaultParagraphFont"/>
    <w:uiPriority w:val="99"/>
    <w:semiHidden/>
    <w:unhideWhenUsed/>
    <w:rsid w:val="001C05D8"/>
    <w:rPr>
      <w:color w:val="800080" w:themeColor="followedHyperlink"/>
      <w:u w:val="single"/>
    </w:rPr>
  </w:style>
  <w:style w:type="character" w:styleId="Strong">
    <w:name w:val="Strong"/>
    <w:aliases w:val="Heading 2.1"/>
    <w:basedOn w:val="DefaultParagraphFont"/>
    <w:uiPriority w:val="22"/>
    <w:qFormat/>
    <w:rsid w:val="001C05D8"/>
    <w:rPr>
      <w:b/>
      <w:bCs/>
    </w:rPr>
  </w:style>
  <w:style w:type="paragraph" w:styleId="EndnoteText">
    <w:name w:val="endnote text"/>
    <w:basedOn w:val="Normal"/>
    <w:link w:val="EndnoteTextChar"/>
    <w:unhideWhenUsed/>
    <w:rsid w:val="001C05D8"/>
    <w:pPr>
      <w:spacing w:after="0" w:line="240" w:lineRule="auto"/>
    </w:pPr>
    <w:rPr>
      <w:sz w:val="20"/>
      <w:szCs w:val="20"/>
    </w:rPr>
  </w:style>
  <w:style w:type="character" w:customStyle="1" w:styleId="EndnoteTextChar">
    <w:name w:val="Endnote Text Char"/>
    <w:basedOn w:val="DefaultParagraphFont"/>
    <w:link w:val="EndnoteText"/>
    <w:rsid w:val="001C05D8"/>
    <w:rPr>
      <w:rFonts w:eastAsia="Batang"/>
      <w:sz w:val="20"/>
      <w:szCs w:val="20"/>
      <w:lang w:val="es-MX"/>
    </w:rPr>
  </w:style>
  <w:style w:type="character" w:styleId="EndnoteReference">
    <w:name w:val="endnote reference"/>
    <w:basedOn w:val="DefaultParagraphFont"/>
    <w:uiPriority w:val="99"/>
    <w:semiHidden/>
    <w:unhideWhenUsed/>
    <w:rsid w:val="001C05D8"/>
    <w:rPr>
      <w:vertAlign w:val="superscript"/>
    </w:rPr>
  </w:style>
  <w:style w:type="paragraph" w:customStyle="1" w:styleId="Default">
    <w:name w:val="Default"/>
    <w:rsid w:val="001C05D8"/>
    <w:pPr>
      <w:autoSpaceDE w:val="0"/>
      <w:autoSpaceDN w:val="0"/>
      <w:adjustRightInd w:val="0"/>
      <w:spacing w:after="0" w:line="240" w:lineRule="auto"/>
    </w:pPr>
    <w:rPr>
      <w:rFonts w:ascii="Verdana" w:hAnsi="Verdana" w:cs="Verdana"/>
      <w:color w:val="000000"/>
      <w:sz w:val="24"/>
      <w:szCs w:val="24"/>
      <w:lang w:val="es-MX"/>
    </w:rPr>
  </w:style>
  <w:style w:type="paragraph" w:styleId="Revision">
    <w:name w:val="Revision"/>
    <w:hidden/>
    <w:uiPriority w:val="99"/>
    <w:semiHidden/>
    <w:rsid w:val="001C05D8"/>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C05D8"/>
    <w:pPr>
      <w:spacing w:after="0" w:line="240" w:lineRule="auto"/>
      <w:jc w:val="both"/>
    </w:pPr>
    <w:rPr>
      <w:rFonts w:eastAsiaTheme="minorHAnsi"/>
      <w:vertAlign w:val="superscript"/>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C05D8"/>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DefaultParagraphFont"/>
    <w:rsid w:val="001C05D8"/>
  </w:style>
  <w:style w:type="character" w:customStyle="1" w:styleId="ListParagraphChar">
    <w:name w:val="List Paragraph Char"/>
    <w:aliases w:val="List Paragraph1 Char,Colorful List - Accent 11 Char,Párrafo de lista1 Char,List Paragraph2 Char,Lista vistosa - Énfasis 11 Char,Footnote Char,Subtle Emphasis1 Char,Footnote1 Char"/>
    <w:basedOn w:val="DefaultParagraphFont"/>
    <w:link w:val="ListParagraph"/>
    <w:uiPriority w:val="34"/>
    <w:locked/>
    <w:rsid w:val="001C05D8"/>
    <w:rPr>
      <w:rFonts w:eastAsia="Batang"/>
      <w:lang w:val="es-MX"/>
    </w:rPr>
  </w:style>
  <w:style w:type="character" w:customStyle="1" w:styleId="lblnewstitle">
    <w:name w:val="lblnewstitle"/>
    <w:basedOn w:val="DefaultParagraphFont"/>
    <w:rsid w:val="001C05D8"/>
  </w:style>
  <w:style w:type="character" w:customStyle="1" w:styleId="apple-converted-space">
    <w:name w:val="apple-converted-space"/>
    <w:basedOn w:val="DefaultParagraphFont"/>
    <w:rsid w:val="001C05D8"/>
  </w:style>
  <w:style w:type="paragraph" w:customStyle="1" w:styleId="Style1">
    <w:name w:val="Style1"/>
    <w:basedOn w:val="FootnoteText"/>
    <w:rsid w:val="001C05D8"/>
    <w:pPr>
      <w:ind w:left="357" w:right="51" w:hanging="357"/>
      <w:jc w:val="both"/>
    </w:pPr>
    <w:rPr>
      <w:rFonts w:ascii="Times New Roman" w:eastAsia="Times" w:hAnsi="Times New Roman" w:cs="Times New Roman"/>
      <w:position w:val="6"/>
      <w:sz w:val="18"/>
      <w:lang w:val="es-ES_tradnl" w:bidi="en-US"/>
    </w:rPr>
  </w:style>
  <w:style w:type="paragraph" w:styleId="HTMLPreformatted">
    <w:name w:val="HTML Preformatted"/>
    <w:basedOn w:val="Normal"/>
    <w:link w:val="HTMLPreformattedChar"/>
    <w:uiPriority w:val="99"/>
    <w:unhideWhenUsed/>
    <w:rsid w:val="001C05D8"/>
    <w:pPr>
      <w:spacing w:after="0" w:line="240" w:lineRule="auto"/>
    </w:pPr>
    <w:rPr>
      <w:rFonts w:ascii="Consolas" w:eastAsiaTheme="minorHAnsi" w:hAnsi="Consolas" w:cs="Consolas"/>
      <w:sz w:val="20"/>
      <w:szCs w:val="20"/>
      <w:lang w:val="es-CR"/>
    </w:rPr>
  </w:style>
  <w:style w:type="character" w:customStyle="1" w:styleId="HTMLPreformattedChar">
    <w:name w:val="HTML Preformatted Char"/>
    <w:basedOn w:val="DefaultParagraphFont"/>
    <w:link w:val="HTMLPreformatted"/>
    <w:uiPriority w:val="99"/>
    <w:rsid w:val="001C05D8"/>
    <w:rPr>
      <w:rFonts w:ascii="Consolas" w:hAnsi="Consolas" w:cs="Consolas"/>
      <w:sz w:val="20"/>
      <w:szCs w:val="20"/>
      <w:lang w:val="es-CR"/>
    </w:rPr>
  </w:style>
  <w:style w:type="paragraph" w:customStyle="1" w:styleId="style10">
    <w:name w:val="style1"/>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Normal (Web) Char1,Normal (Web) Char Char,Normal (Web) Char1 Char,Normal (Web) Char Char Char"/>
    <w:basedOn w:val="Normal"/>
    <w:uiPriority w:val="99"/>
    <w:unhideWhenUsed/>
    <w:rsid w:val="001C05D8"/>
    <w:rPr>
      <w:rFonts w:ascii="Times New Roman" w:eastAsiaTheme="minorHAnsi" w:hAnsi="Times New Roman" w:cs="Times New Roman"/>
      <w:sz w:val="24"/>
      <w:szCs w:val="24"/>
    </w:rPr>
  </w:style>
  <w:style w:type="paragraph" w:customStyle="1" w:styleId="Footnotes">
    <w:name w:val="**. Footnotes"/>
    <w:basedOn w:val="FootnoteText"/>
    <w:link w:val="FootnotesChar"/>
    <w:autoRedefine/>
    <w:qFormat/>
    <w:rsid w:val="001C05D8"/>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DefaultParagraphFont"/>
    <w:link w:val="Footnotes"/>
    <w:rsid w:val="001C05D8"/>
    <w:rPr>
      <w:rFonts w:ascii="Verdana" w:eastAsia="Batang" w:hAnsi="Verdana" w:cs="Palatino-Italic"/>
      <w:i/>
      <w:iCs/>
      <w:sz w:val="16"/>
      <w:szCs w:val="16"/>
    </w:rPr>
  </w:style>
  <w:style w:type="character" w:customStyle="1" w:styleId="Smbolodenotaalpie">
    <w:name w:val="Símbolo de nota al pie"/>
    <w:rsid w:val="001C05D8"/>
    <w:rPr>
      <w:rFonts w:cs="Times New Roman"/>
      <w:szCs w:val="20"/>
      <w:vertAlign w:val="superscript"/>
    </w:rPr>
  </w:style>
  <w:style w:type="numbering" w:styleId="111111">
    <w:name w:val="Outline List 2"/>
    <w:basedOn w:val="NoList"/>
    <w:uiPriority w:val="99"/>
    <w:semiHidden/>
    <w:unhideWhenUsed/>
    <w:rsid w:val="001C05D8"/>
    <w:pPr>
      <w:numPr>
        <w:numId w:val="8"/>
      </w:numPr>
    </w:pPr>
  </w:style>
  <w:style w:type="character" w:customStyle="1" w:styleId="Estilo1Car">
    <w:name w:val="Estilo1 Car"/>
    <w:link w:val="Estilo1"/>
    <w:locked/>
    <w:rsid w:val="001C05D8"/>
    <w:rPr>
      <w:rFonts w:ascii="Verdana" w:hAnsi="Verdana"/>
    </w:rPr>
  </w:style>
  <w:style w:type="paragraph" w:customStyle="1" w:styleId="Estilo1">
    <w:name w:val="Estilo1"/>
    <w:basedOn w:val="Normal"/>
    <w:link w:val="Estilo1Car"/>
    <w:qFormat/>
    <w:rsid w:val="001C05D8"/>
    <w:pPr>
      <w:tabs>
        <w:tab w:val="left" w:pos="567"/>
        <w:tab w:val="left" w:pos="1134"/>
        <w:tab w:val="num" w:pos="6042"/>
      </w:tabs>
      <w:spacing w:after="120" w:line="240" w:lineRule="auto"/>
      <w:jc w:val="both"/>
    </w:pPr>
    <w:rPr>
      <w:rFonts w:ascii="Verdana" w:eastAsiaTheme="minorHAnsi" w:hAnsi="Verdana"/>
      <w:lang w:val="en-US"/>
    </w:rPr>
  </w:style>
  <w:style w:type="character" w:customStyle="1" w:styleId="Caracteresdenotaalpie">
    <w:name w:val="Caracteres de nota al pie"/>
    <w:rsid w:val="001C05D8"/>
    <w:rPr>
      <w:vertAlign w:val="superscript"/>
    </w:rPr>
  </w:style>
  <w:style w:type="paragraph" w:customStyle="1" w:styleId="Prrafodelista2">
    <w:name w:val="Párrafo de lista2"/>
    <w:basedOn w:val="Normal"/>
    <w:uiPriority w:val="99"/>
    <w:rsid w:val="001C05D8"/>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1C05D8"/>
    <w:rPr>
      <w:vertAlign w:val="superscript"/>
    </w:rPr>
  </w:style>
  <w:style w:type="character" w:styleId="LineNumber">
    <w:name w:val="line number"/>
    <w:basedOn w:val="DefaultParagraphFont"/>
    <w:uiPriority w:val="99"/>
    <w:unhideWhenUsed/>
    <w:rsid w:val="001C05D8"/>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qFormat/>
    <w:locked/>
    <w:rsid w:val="001C05D8"/>
    <w:rPr>
      <w:rFonts w:ascii="Verdana" w:eastAsia="MS Mincho" w:hAnsi="Verdana" w:cs="Times"/>
      <w:sz w:val="16"/>
      <w:szCs w:val="24"/>
      <w:lang w:val="es-ES_tradnl"/>
    </w:rPr>
  </w:style>
  <w:style w:type="paragraph" w:styleId="NoSpacing">
    <w:name w:val="No Spacing"/>
    <w:link w:val="NoSpacingChar"/>
    <w:uiPriority w:val="1"/>
    <w:qFormat/>
    <w:rsid w:val="001C05D8"/>
    <w:pPr>
      <w:spacing w:after="0" w:line="240" w:lineRule="auto"/>
    </w:pPr>
    <w:rPr>
      <w:lang w:val="es-CR"/>
    </w:rPr>
  </w:style>
  <w:style w:type="paragraph" w:styleId="TOCHeading">
    <w:name w:val="TOC Heading"/>
    <w:basedOn w:val="Heading1"/>
    <w:next w:val="Normal"/>
    <w:uiPriority w:val="39"/>
    <w:unhideWhenUsed/>
    <w:qFormat/>
    <w:rsid w:val="001C05D8"/>
    <w:pPr>
      <w:spacing w:line="276" w:lineRule="auto"/>
      <w:outlineLvl w:val="9"/>
    </w:pPr>
    <w:rPr>
      <w:lang w:val="en-US" w:eastAsia="ja-JP"/>
    </w:rPr>
  </w:style>
  <w:style w:type="paragraph" w:styleId="TOC2">
    <w:name w:val="toc 2"/>
    <w:basedOn w:val="Normal"/>
    <w:next w:val="Normal"/>
    <w:autoRedefine/>
    <w:uiPriority w:val="39"/>
    <w:unhideWhenUsed/>
    <w:qFormat/>
    <w:rsid w:val="0006475E"/>
    <w:pPr>
      <w:tabs>
        <w:tab w:val="left" w:pos="880"/>
        <w:tab w:val="right" w:leader="dot" w:pos="9792"/>
      </w:tabs>
      <w:spacing w:after="0" w:line="240" w:lineRule="auto"/>
      <w:ind w:left="220"/>
      <w:jc w:val="both"/>
    </w:pPr>
    <w:rPr>
      <w:rFonts w:ascii="Verdana" w:eastAsia="MS Mincho" w:hAnsi="Verdana" w:cs="Times New Roman"/>
      <w:bCs/>
      <w:i/>
      <w:smallCaps/>
      <w:noProof/>
      <w:sz w:val="18"/>
      <w:szCs w:val="18"/>
      <w:lang w:val="es-AR" w:eastAsia="es-CR"/>
    </w:rPr>
  </w:style>
  <w:style w:type="paragraph" w:styleId="TOC1">
    <w:name w:val="toc 1"/>
    <w:basedOn w:val="Normal"/>
    <w:next w:val="Normal"/>
    <w:autoRedefine/>
    <w:uiPriority w:val="39"/>
    <w:unhideWhenUsed/>
    <w:qFormat/>
    <w:rsid w:val="003B7162"/>
    <w:pPr>
      <w:tabs>
        <w:tab w:val="right" w:leader="dot" w:pos="9792"/>
      </w:tabs>
      <w:spacing w:after="0" w:line="240" w:lineRule="auto"/>
    </w:pPr>
    <w:rPr>
      <w:b/>
      <w:bCs/>
      <w:caps/>
      <w:sz w:val="20"/>
      <w:szCs w:val="20"/>
    </w:rPr>
  </w:style>
  <w:style w:type="paragraph" w:styleId="TOC3">
    <w:name w:val="toc 3"/>
    <w:basedOn w:val="Normal"/>
    <w:next w:val="Normal"/>
    <w:autoRedefine/>
    <w:uiPriority w:val="39"/>
    <w:unhideWhenUsed/>
    <w:qFormat/>
    <w:rsid w:val="001C05D8"/>
    <w:pPr>
      <w:spacing w:after="0"/>
      <w:ind w:left="440"/>
    </w:pPr>
    <w:rPr>
      <w:i/>
      <w:iCs/>
      <w:sz w:val="20"/>
      <w:szCs w:val="20"/>
    </w:rPr>
  </w:style>
  <w:style w:type="paragraph" w:styleId="Title">
    <w:name w:val="Title"/>
    <w:basedOn w:val="ListParagraph"/>
    <w:next w:val="Normal"/>
    <w:link w:val="TitleChar"/>
    <w:uiPriority w:val="10"/>
    <w:qFormat/>
    <w:rsid w:val="001C05D8"/>
    <w:pPr>
      <w:keepNext/>
      <w:keepLines/>
      <w:widowControl w:val="0"/>
      <w:numPr>
        <w:numId w:val="9"/>
      </w:numPr>
      <w:adjustRightInd w:val="0"/>
      <w:spacing w:before="120" w:after="120" w:line="240" w:lineRule="auto"/>
      <w:jc w:val="both"/>
      <w:textAlignment w:val="baseline"/>
      <w:outlineLvl w:val="1"/>
    </w:pPr>
    <w:rPr>
      <w:rFonts w:ascii="Verdana" w:hAnsi="Verdana"/>
      <w:b/>
      <w:i/>
      <w:sz w:val="20"/>
      <w:szCs w:val="20"/>
    </w:rPr>
  </w:style>
  <w:style w:type="character" w:customStyle="1" w:styleId="TitleChar">
    <w:name w:val="Title Char"/>
    <w:basedOn w:val="DefaultParagraphFont"/>
    <w:link w:val="Title"/>
    <w:uiPriority w:val="10"/>
    <w:rsid w:val="001C05D8"/>
    <w:rPr>
      <w:rFonts w:ascii="Verdana" w:eastAsia="Batang" w:hAnsi="Verdana"/>
      <w:b/>
      <w:i/>
      <w:sz w:val="20"/>
      <w:szCs w:val="20"/>
      <w:lang w:val="es-MX"/>
    </w:rPr>
  </w:style>
  <w:style w:type="paragraph" w:styleId="Subtitle">
    <w:name w:val="Subtitle"/>
    <w:basedOn w:val="Title"/>
    <w:next w:val="Normal"/>
    <w:link w:val="SubtitleChar"/>
    <w:uiPriority w:val="11"/>
    <w:qFormat/>
    <w:rsid w:val="001C05D8"/>
    <w:pPr>
      <w:numPr>
        <w:numId w:val="0"/>
      </w:numPr>
    </w:pPr>
  </w:style>
  <w:style w:type="character" w:customStyle="1" w:styleId="SubtitleChar">
    <w:name w:val="Subtitle Char"/>
    <w:basedOn w:val="DefaultParagraphFont"/>
    <w:link w:val="Subtitle"/>
    <w:uiPriority w:val="11"/>
    <w:rsid w:val="001C05D8"/>
    <w:rPr>
      <w:rFonts w:ascii="Verdana" w:eastAsia="Batang" w:hAnsi="Verdana"/>
      <w:b/>
      <w:i/>
      <w:sz w:val="20"/>
      <w:szCs w:val="20"/>
      <w:lang w:val="es-MX"/>
    </w:rPr>
  </w:style>
  <w:style w:type="character" w:styleId="SubtleEmphasis">
    <w:name w:val="Subtle Emphasis"/>
    <w:uiPriority w:val="19"/>
    <w:qFormat/>
    <w:rsid w:val="001C05D8"/>
  </w:style>
  <w:style w:type="character" w:styleId="Emphasis">
    <w:name w:val="Emphasis"/>
    <w:basedOn w:val="SubtleEmphasis"/>
    <w:uiPriority w:val="20"/>
    <w:qFormat/>
    <w:rsid w:val="001C05D8"/>
  </w:style>
  <w:style w:type="paragraph" w:styleId="TOC5">
    <w:name w:val="toc 5"/>
    <w:basedOn w:val="Normal"/>
    <w:next w:val="Normal"/>
    <w:autoRedefine/>
    <w:uiPriority w:val="39"/>
    <w:unhideWhenUsed/>
    <w:rsid w:val="001C05D8"/>
    <w:pPr>
      <w:spacing w:after="0"/>
      <w:ind w:left="880"/>
    </w:pPr>
    <w:rPr>
      <w:sz w:val="18"/>
      <w:szCs w:val="18"/>
    </w:rPr>
  </w:style>
  <w:style w:type="paragraph" w:styleId="TOC6">
    <w:name w:val="toc 6"/>
    <w:basedOn w:val="Normal"/>
    <w:next w:val="Normal"/>
    <w:autoRedefine/>
    <w:uiPriority w:val="39"/>
    <w:unhideWhenUsed/>
    <w:rsid w:val="001C05D8"/>
    <w:pPr>
      <w:spacing w:after="0"/>
      <w:ind w:left="1100"/>
    </w:pPr>
    <w:rPr>
      <w:sz w:val="18"/>
      <w:szCs w:val="18"/>
    </w:rPr>
  </w:style>
  <w:style w:type="paragraph" w:styleId="TOC7">
    <w:name w:val="toc 7"/>
    <w:basedOn w:val="Normal"/>
    <w:next w:val="Normal"/>
    <w:autoRedefine/>
    <w:uiPriority w:val="39"/>
    <w:unhideWhenUsed/>
    <w:rsid w:val="001C05D8"/>
    <w:pPr>
      <w:spacing w:after="0"/>
      <w:ind w:left="1320"/>
    </w:pPr>
    <w:rPr>
      <w:sz w:val="18"/>
      <w:szCs w:val="18"/>
    </w:rPr>
  </w:style>
  <w:style w:type="paragraph" w:styleId="TOC4">
    <w:name w:val="toc 4"/>
    <w:basedOn w:val="Normal"/>
    <w:next w:val="Normal"/>
    <w:autoRedefine/>
    <w:uiPriority w:val="39"/>
    <w:unhideWhenUsed/>
    <w:rsid w:val="001C05D8"/>
    <w:pPr>
      <w:spacing w:after="0"/>
      <w:ind w:left="660"/>
    </w:pPr>
    <w:rPr>
      <w:sz w:val="18"/>
      <w:szCs w:val="18"/>
    </w:rPr>
  </w:style>
  <w:style w:type="paragraph" w:styleId="TOC8">
    <w:name w:val="toc 8"/>
    <w:basedOn w:val="Normal"/>
    <w:next w:val="Normal"/>
    <w:autoRedefine/>
    <w:uiPriority w:val="39"/>
    <w:unhideWhenUsed/>
    <w:rsid w:val="001C05D8"/>
    <w:pPr>
      <w:spacing w:after="0"/>
      <w:ind w:left="1540"/>
    </w:pPr>
    <w:rPr>
      <w:sz w:val="18"/>
      <w:szCs w:val="18"/>
    </w:rPr>
  </w:style>
  <w:style w:type="paragraph" w:styleId="TOC9">
    <w:name w:val="toc 9"/>
    <w:basedOn w:val="Normal"/>
    <w:next w:val="Normal"/>
    <w:autoRedefine/>
    <w:uiPriority w:val="39"/>
    <w:unhideWhenUsed/>
    <w:rsid w:val="001C05D8"/>
    <w:pPr>
      <w:spacing w:after="0"/>
      <w:ind w:left="1760"/>
    </w:pPr>
    <w:rPr>
      <w:sz w:val="18"/>
      <w:szCs w:val="18"/>
    </w:rPr>
  </w:style>
  <w:style w:type="character" w:customStyle="1" w:styleId="PrrafodeSentenciaChar">
    <w:name w:val="*. Párrafo de Sentencia Char"/>
    <w:link w:val="PrrafodeSentencia"/>
    <w:locked/>
    <w:rsid w:val="001C05D8"/>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1C05D8"/>
    <w:pPr>
      <w:tabs>
        <w:tab w:val="left" w:pos="567"/>
      </w:tabs>
      <w:spacing w:after="0" w:line="240" w:lineRule="auto"/>
      <w:jc w:val="both"/>
    </w:pPr>
    <w:rPr>
      <w:rFonts w:ascii="Verdana" w:hAnsi="Verdana"/>
      <w:spacing w:val="-4"/>
      <w:sz w:val="20"/>
      <w:lang w:val="en-US" w:eastAsia="es-MX"/>
    </w:rPr>
  </w:style>
  <w:style w:type="numbering" w:customStyle="1" w:styleId="NoList1">
    <w:name w:val="No List1"/>
    <w:next w:val="NoList"/>
    <w:uiPriority w:val="99"/>
    <w:semiHidden/>
    <w:unhideWhenUsed/>
    <w:rsid w:val="001C05D8"/>
  </w:style>
  <w:style w:type="character" w:customStyle="1" w:styleId="CommentTextChar1">
    <w:name w:val="Comment Text Char1"/>
    <w:basedOn w:val="DefaultParagraphFont"/>
    <w:uiPriority w:val="99"/>
    <w:semiHidden/>
    <w:rsid w:val="001C05D8"/>
    <w:rPr>
      <w:rFonts w:ascii="Times New Roman" w:eastAsia="Calibri" w:hAnsi="Times New Roman" w:cs="Times New Roman"/>
      <w:sz w:val="20"/>
      <w:szCs w:val="20"/>
      <w:lang w:val="es-ES_tradnl"/>
    </w:rPr>
  </w:style>
  <w:style w:type="character" w:customStyle="1" w:styleId="BalloonTextChar1">
    <w:name w:val="Balloon Text Char1"/>
    <w:basedOn w:val="DefaultParagraphFont"/>
    <w:uiPriority w:val="99"/>
    <w:semiHidden/>
    <w:rsid w:val="001C05D8"/>
    <w:rPr>
      <w:rFonts w:ascii="Tahoma" w:eastAsia="Calibri" w:hAnsi="Tahoma" w:cs="Tahoma"/>
      <w:sz w:val="16"/>
      <w:szCs w:val="16"/>
      <w:lang w:val="es-ES_tradnl"/>
    </w:rPr>
  </w:style>
  <w:style w:type="character" w:customStyle="1" w:styleId="apple-style-span">
    <w:name w:val="apple-style-span"/>
    <w:basedOn w:val="DefaultParagraphFont"/>
    <w:rsid w:val="001C05D8"/>
    <w:rPr>
      <w:rFonts w:cs="Times New Roman"/>
    </w:rPr>
  </w:style>
  <w:style w:type="character" w:customStyle="1" w:styleId="Ttulo1">
    <w:name w:val="Título1"/>
    <w:basedOn w:val="DefaultParagraphFont"/>
    <w:rsid w:val="001C05D8"/>
  </w:style>
  <w:style w:type="character" w:customStyle="1" w:styleId="hps">
    <w:name w:val="hps"/>
    <w:basedOn w:val="DefaultParagraphFont"/>
    <w:rsid w:val="001C05D8"/>
  </w:style>
  <w:style w:type="paragraph" w:customStyle="1" w:styleId="2Footnotes">
    <w:name w:val="2. Footnotes"/>
    <w:basedOn w:val="FootnoteText"/>
    <w:link w:val="2FootnotesChar"/>
    <w:autoRedefine/>
    <w:qFormat/>
    <w:rsid w:val="001C05D8"/>
    <w:pPr>
      <w:widowControl w:val="0"/>
      <w:spacing w:before="120" w:after="40"/>
      <w:jc w:val="both"/>
    </w:pPr>
    <w:rPr>
      <w:rFonts w:ascii="Verdana" w:eastAsia="Times New Roman" w:hAnsi="Verdana" w:cs="Palatino-Italic"/>
      <w:iCs/>
      <w:noProof/>
      <w:sz w:val="16"/>
      <w:szCs w:val="18"/>
      <w:lang w:val="en-US"/>
    </w:rPr>
  </w:style>
  <w:style w:type="character" w:customStyle="1" w:styleId="2FootnotesChar">
    <w:name w:val="2. Footnotes Char"/>
    <w:link w:val="2Footnotes"/>
    <w:rsid w:val="001C05D8"/>
    <w:rPr>
      <w:rFonts w:ascii="Verdana" w:eastAsia="Times New Roman" w:hAnsi="Verdana" w:cs="Palatino-Italic"/>
      <w:iCs/>
      <w:noProof/>
      <w:sz w:val="16"/>
      <w:szCs w:val="18"/>
    </w:rPr>
  </w:style>
  <w:style w:type="paragraph" w:customStyle="1" w:styleId="xmsonormal">
    <w:name w:val="x_msonormal"/>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ChG">
    <w:name w:val="_ H _Ch_G"/>
    <w:basedOn w:val="Normal"/>
    <w:next w:val="Normal"/>
    <w:rsid w:val="001C0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rsid w:val="001C05D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paragraph" w:styleId="BodyText">
    <w:name w:val="Body Text"/>
    <w:basedOn w:val="Normal"/>
    <w:link w:val="BodyTextChar"/>
    <w:uiPriority w:val="99"/>
    <w:semiHidden/>
    <w:unhideWhenUsed/>
    <w:rsid w:val="001C05D8"/>
    <w:pPr>
      <w:spacing w:after="0" w:line="240" w:lineRule="auto"/>
      <w:jc w:val="both"/>
    </w:pPr>
    <w:rPr>
      <w:rFonts w:ascii="Garamond" w:eastAsia="Times" w:hAnsi="Garamond" w:cs="Times New Roman"/>
      <w:noProof/>
      <w:szCs w:val="20"/>
      <w:lang w:val="es-ES_tradnl"/>
    </w:rPr>
  </w:style>
  <w:style w:type="character" w:customStyle="1" w:styleId="BodyTextChar">
    <w:name w:val="Body Text Char"/>
    <w:basedOn w:val="DefaultParagraphFont"/>
    <w:link w:val="BodyText"/>
    <w:uiPriority w:val="99"/>
    <w:semiHidden/>
    <w:rsid w:val="001C05D8"/>
    <w:rPr>
      <w:rFonts w:ascii="Garamond" w:eastAsia="Times" w:hAnsi="Garamond" w:cs="Times New Roman"/>
      <w:noProof/>
      <w:szCs w:val="20"/>
      <w:lang w:val="es-ES_tradnl"/>
    </w:rPr>
  </w:style>
  <w:style w:type="character" w:customStyle="1" w:styleId="BodyTextIndentChar">
    <w:name w:val="Body Text Indent Char"/>
    <w:basedOn w:val="DefaultParagraphFont"/>
    <w:link w:val="BodyTextIndent"/>
    <w:uiPriority w:val="99"/>
    <w:semiHidden/>
    <w:rsid w:val="001C05D8"/>
    <w:rPr>
      <w:rFonts w:ascii="Times New Roman" w:eastAsia="Calibri" w:hAnsi="Times New Roman" w:cs="Times New Roman"/>
      <w:sz w:val="24"/>
      <w:szCs w:val="24"/>
      <w:lang w:val="es-ES_tradnl"/>
    </w:rPr>
  </w:style>
  <w:style w:type="paragraph" w:styleId="BodyTextIndent">
    <w:name w:val="Body Text Indent"/>
    <w:basedOn w:val="Normal"/>
    <w:link w:val="BodyTextIndentChar"/>
    <w:uiPriority w:val="99"/>
    <w:semiHidden/>
    <w:unhideWhenUsed/>
    <w:rsid w:val="001C05D8"/>
    <w:pPr>
      <w:spacing w:after="120" w:line="240" w:lineRule="auto"/>
      <w:ind w:left="283"/>
    </w:pPr>
    <w:rPr>
      <w:rFonts w:ascii="Times New Roman" w:eastAsia="Calibri" w:hAnsi="Times New Roman" w:cs="Times New Roman"/>
      <w:sz w:val="24"/>
      <w:szCs w:val="24"/>
      <w:lang w:val="es-ES_tradnl"/>
    </w:rPr>
  </w:style>
  <w:style w:type="character" w:customStyle="1" w:styleId="BodyTextIndentChar1">
    <w:name w:val="Body Text Indent Char1"/>
    <w:basedOn w:val="DefaultParagraphFont"/>
    <w:uiPriority w:val="99"/>
    <w:semiHidden/>
    <w:rsid w:val="001C05D8"/>
    <w:rPr>
      <w:rFonts w:eastAsia="Batang"/>
      <w:lang w:val="es-MX"/>
    </w:rPr>
  </w:style>
  <w:style w:type="character" w:customStyle="1" w:styleId="Estilo1Char">
    <w:name w:val="Estilo1 Char"/>
    <w:rsid w:val="001C05D8"/>
    <w:rPr>
      <w:rFonts w:ascii="Verdana" w:eastAsia="Calibri" w:hAnsi="Verdana" w:cs="Times New Roman"/>
      <w:sz w:val="20"/>
      <w:szCs w:val="20"/>
      <w:lang w:val="es-ES"/>
    </w:rPr>
  </w:style>
  <w:style w:type="paragraph" w:customStyle="1" w:styleId="Estilo2">
    <w:name w:val="Estilo2"/>
    <w:basedOn w:val="Normal"/>
    <w:qFormat/>
    <w:rsid w:val="001C05D8"/>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styleId="BodyTextIndent3">
    <w:name w:val="Body Text Indent 3"/>
    <w:basedOn w:val="Normal"/>
    <w:link w:val="BodyTextIndent3Char"/>
    <w:rsid w:val="001C05D8"/>
    <w:pPr>
      <w:spacing w:after="0" w:line="240" w:lineRule="auto"/>
      <w:ind w:left="720"/>
      <w:jc w:val="both"/>
    </w:pPr>
    <w:rPr>
      <w:rFonts w:ascii="Verdana" w:eastAsia="Times" w:hAnsi="Verdana" w:cs="Times New Roman"/>
      <w:b/>
      <w:szCs w:val="20"/>
      <w:lang w:val="es-ES_tradnl" w:eastAsia="es-ES"/>
    </w:rPr>
  </w:style>
  <w:style w:type="character" w:customStyle="1" w:styleId="BodyTextIndent3Char">
    <w:name w:val="Body Text Indent 3 Char"/>
    <w:basedOn w:val="DefaultParagraphFont"/>
    <w:link w:val="BodyTextIndent3"/>
    <w:rsid w:val="001C05D8"/>
    <w:rPr>
      <w:rFonts w:ascii="Verdana" w:eastAsia="Times" w:hAnsi="Verdana" w:cs="Times New Roman"/>
      <w:b/>
      <w:szCs w:val="20"/>
      <w:lang w:val="es-ES_tradnl" w:eastAsia="es-ES"/>
    </w:rPr>
  </w:style>
  <w:style w:type="paragraph" w:customStyle="1" w:styleId="Estilo7">
    <w:name w:val="Estilo7"/>
    <w:basedOn w:val="Normal"/>
    <w:qFormat/>
    <w:rsid w:val="001C05D8"/>
    <w:pPr>
      <w:tabs>
        <w:tab w:val="left" w:pos="567"/>
        <w:tab w:val="left" w:pos="851"/>
        <w:tab w:val="num" w:pos="2160"/>
      </w:tabs>
      <w:spacing w:before="120" w:after="120" w:line="240" w:lineRule="auto"/>
      <w:ind w:left="2160" w:hanging="180"/>
      <w:jc w:val="both"/>
    </w:pPr>
    <w:rPr>
      <w:rFonts w:ascii="Verdana" w:hAnsi="Verdana" w:cs="Times New Roman"/>
      <w:b/>
      <w:i/>
      <w:sz w:val="20"/>
      <w:szCs w:val="20"/>
      <w:lang w:val="es-ES_tradnl" w:eastAsia="es-MX"/>
    </w:rPr>
  </w:style>
  <w:style w:type="paragraph" w:customStyle="1" w:styleId="Sangradetindependiente">
    <w:name w:val="Sangr’a de t. independiente"/>
    <w:basedOn w:val="Normal"/>
    <w:rsid w:val="001C05D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normalchar1">
    <w:name w:val="normal__char1"/>
    <w:basedOn w:val="DefaultParagraphFont"/>
    <w:rsid w:val="001C05D8"/>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1C05D8"/>
  </w:style>
  <w:style w:type="character" w:customStyle="1" w:styleId="sb8d990e2">
    <w:name w:val="sb8d990e2"/>
    <w:uiPriority w:val="99"/>
    <w:rsid w:val="001C05D8"/>
  </w:style>
  <w:style w:type="character" w:customStyle="1" w:styleId="st1">
    <w:name w:val="st1"/>
    <w:basedOn w:val="DefaultParagraphFont"/>
    <w:rsid w:val="001C05D8"/>
  </w:style>
  <w:style w:type="paragraph" w:customStyle="1" w:styleId="NormalNumbered">
    <w:name w:val="Normal Numbered"/>
    <w:basedOn w:val="Normal"/>
    <w:qFormat/>
    <w:rsid w:val="001C05D8"/>
    <w:pPr>
      <w:numPr>
        <w:numId w:val="10"/>
      </w:numPr>
      <w:spacing w:after="0" w:line="240" w:lineRule="auto"/>
      <w:ind w:left="0" w:firstLine="0"/>
      <w:jc w:val="both"/>
    </w:pPr>
    <w:rPr>
      <w:rFonts w:ascii="Verdana" w:eastAsia="Times New Roman" w:hAnsi="Verdana" w:cs="Times New Roman"/>
      <w:sz w:val="20"/>
      <w:szCs w:val="20"/>
    </w:rPr>
  </w:style>
  <w:style w:type="numbering" w:customStyle="1" w:styleId="NoList11">
    <w:name w:val="No List11"/>
    <w:next w:val="NoList"/>
    <w:uiPriority w:val="99"/>
    <w:semiHidden/>
    <w:unhideWhenUsed/>
    <w:rsid w:val="001C05D8"/>
  </w:style>
  <w:style w:type="paragraph" w:customStyle="1" w:styleId="ju-005fpara-002cleft-002cfirst-0020line-003a-0020-00200-0020cm">
    <w:name w:val="ju-005fpara-002cleft-002cfirst-0020line-003a-0020-00200-0020cm"/>
    <w:basedOn w:val="Normal"/>
    <w:rsid w:val="001C05D8"/>
    <w:pPr>
      <w:spacing w:after="135" w:line="240" w:lineRule="auto"/>
    </w:pPr>
    <w:rPr>
      <w:rFonts w:ascii="Times New Roman" w:eastAsia="Times New Roman" w:hAnsi="Times New Roman" w:cs="Times New Roman"/>
      <w:sz w:val="24"/>
      <w:szCs w:val="24"/>
      <w:lang w:eastAsia="es-MX"/>
    </w:rPr>
  </w:style>
  <w:style w:type="character" w:customStyle="1" w:styleId="ju-005fpara-002cleft-002cfirst-0020line-003a-0020-00200-0020cm--char">
    <w:name w:val="ju-005fpara-002cleft-002cfirst-0020line-003a-0020-00200-0020cm--char"/>
    <w:rsid w:val="001C05D8"/>
  </w:style>
  <w:style w:type="character" w:customStyle="1" w:styleId="PrrafodelistaCar1">
    <w:name w:val="Párrafo de lista Car1"/>
    <w:basedOn w:val="DefaultParagraphFont"/>
    <w:uiPriority w:val="99"/>
    <w:locked/>
    <w:rsid w:val="001C05D8"/>
    <w:rPr>
      <w:rFonts w:ascii="Verdana" w:hAnsi="Verdana" w:cs="Verdana"/>
      <w:lang w:eastAsia="en-US"/>
    </w:rPr>
  </w:style>
  <w:style w:type="character" w:customStyle="1" w:styleId="TextocomentarioCar1">
    <w:name w:val="Texto comentario Car1"/>
    <w:basedOn w:val="DefaultParagraphFont"/>
    <w:uiPriority w:val="99"/>
    <w:semiHidden/>
    <w:rsid w:val="001C05D8"/>
    <w:rPr>
      <w:sz w:val="20"/>
      <w:szCs w:val="20"/>
    </w:rPr>
  </w:style>
  <w:style w:type="paragraph" w:customStyle="1" w:styleId="Body1">
    <w:name w:val="Body 1"/>
    <w:link w:val="Body1Char"/>
    <w:rsid w:val="001C05D8"/>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1C05D8"/>
    <w:rPr>
      <w:rFonts w:ascii="Helvetica" w:eastAsia="ヒラギノ角ゴ Pro W3" w:hAnsi="Helvetica" w:cs="Times New Roman"/>
      <w:color w:val="000000"/>
      <w:szCs w:val="20"/>
      <w:lang w:eastAsia="es-CR"/>
    </w:rPr>
  </w:style>
  <w:style w:type="paragraph" w:customStyle="1" w:styleId="style11">
    <w:name w:val="style11"/>
    <w:basedOn w:val="Normal"/>
    <w:rsid w:val="001C05D8"/>
    <w:pPr>
      <w:spacing w:before="192" w:after="192" w:line="240" w:lineRule="auto"/>
      <w:ind w:left="120" w:right="144"/>
      <w:jc w:val="both"/>
    </w:pPr>
    <w:rPr>
      <w:rFonts w:ascii="Times New Roman" w:eastAsia="Times New Roman" w:hAnsi="Times New Roman" w:cs="Times New Roman"/>
      <w:sz w:val="24"/>
      <w:szCs w:val="24"/>
      <w:lang w:eastAsia="es-MX"/>
    </w:rPr>
  </w:style>
  <w:style w:type="character" w:customStyle="1" w:styleId="NoSpacingChar">
    <w:name w:val="No Spacing Char"/>
    <w:basedOn w:val="DefaultParagraphFont"/>
    <w:link w:val="NoSpacing"/>
    <w:uiPriority w:val="1"/>
    <w:rsid w:val="00574DFE"/>
    <w:rPr>
      <w:lang w:val="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00A60"/>
    <w:pPr>
      <w:spacing w:after="160" w:line="240" w:lineRule="exact"/>
    </w:pPr>
    <w:rPr>
      <w:rFonts w:ascii="Verdana" w:eastAsiaTheme="minorHAnsi" w:hAnsi="Verdana"/>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8"/>
    <w:rPr>
      <w:rFonts w:eastAsia="Batang"/>
      <w:lang w:val="es-MX"/>
    </w:rPr>
  </w:style>
  <w:style w:type="paragraph" w:styleId="Heading1">
    <w:name w:val="heading 1"/>
    <w:aliases w:val="Título Verdana"/>
    <w:basedOn w:val="Normal"/>
    <w:next w:val="Normal"/>
    <w:link w:val="Heading1Char"/>
    <w:uiPriority w:val="9"/>
    <w:qFormat/>
    <w:rsid w:val="001C05D8"/>
    <w:pPr>
      <w:spacing w:after="0" w:line="240" w:lineRule="auto"/>
      <w:ind w:right="6"/>
      <w:jc w:val="center"/>
      <w:outlineLvl w:val="0"/>
    </w:pPr>
    <w:rPr>
      <w:rFonts w:ascii="Verdana" w:hAnsi="Verdana"/>
      <w:b/>
      <w:sz w:val="20"/>
      <w:szCs w:val="20"/>
    </w:rPr>
  </w:style>
  <w:style w:type="paragraph" w:styleId="Heading2">
    <w:name w:val="heading 2"/>
    <w:basedOn w:val="Normal"/>
    <w:next w:val="Normal"/>
    <w:link w:val="Heading2Char"/>
    <w:unhideWhenUsed/>
    <w:qFormat/>
    <w:rsid w:val="001C05D8"/>
    <w:pPr>
      <w:keepNext/>
      <w:keepLines/>
      <w:widowControl w:val="0"/>
      <w:numPr>
        <w:numId w:val="1"/>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Heading3">
    <w:name w:val="heading 3"/>
    <w:basedOn w:val="ListParagraph"/>
    <w:next w:val="Normal"/>
    <w:link w:val="Heading3Char"/>
    <w:uiPriority w:val="9"/>
    <w:unhideWhenUsed/>
    <w:qFormat/>
    <w:rsid w:val="001C05D8"/>
    <w:pPr>
      <w:numPr>
        <w:numId w:val="16"/>
      </w:numPr>
      <w:tabs>
        <w:tab w:val="left" w:pos="1276"/>
      </w:tabs>
      <w:spacing w:after="0" w:line="240" w:lineRule="auto"/>
      <w:jc w:val="both"/>
      <w:outlineLvl w:val="2"/>
    </w:pPr>
    <w:rPr>
      <w:rFonts w:ascii="Verdana" w:hAnsi="Verdana"/>
      <w:b/>
      <w:i/>
      <w:sz w:val="20"/>
      <w:szCs w:val="20"/>
    </w:rPr>
  </w:style>
  <w:style w:type="paragraph" w:styleId="Heading4">
    <w:name w:val="heading 4"/>
    <w:basedOn w:val="ListParagraph"/>
    <w:next w:val="Normal"/>
    <w:link w:val="Heading4Char"/>
    <w:uiPriority w:val="9"/>
    <w:unhideWhenUsed/>
    <w:qFormat/>
    <w:rsid w:val="001C05D8"/>
    <w:pPr>
      <w:numPr>
        <w:numId w:val="5"/>
      </w:numPr>
      <w:tabs>
        <w:tab w:val="left" w:pos="1418"/>
      </w:tabs>
      <w:spacing w:after="0" w:line="240" w:lineRule="auto"/>
      <w:jc w:val="both"/>
      <w:outlineLvl w:val="3"/>
    </w:pPr>
    <w:rPr>
      <w:rFonts w:ascii="Verdana" w:hAnsi="Verdana"/>
      <w:i/>
      <w:sz w:val="20"/>
      <w:szCs w:val="20"/>
      <w:u w:val="single"/>
    </w:rPr>
  </w:style>
  <w:style w:type="paragraph" w:styleId="Heading5">
    <w:name w:val="heading 5"/>
    <w:basedOn w:val="ListParagraph"/>
    <w:link w:val="Heading5Char"/>
    <w:uiPriority w:val="9"/>
    <w:qFormat/>
    <w:rsid w:val="001C05D8"/>
    <w:pPr>
      <w:numPr>
        <w:ilvl w:val="1"/>
        <w:numId w:val="2"/>
      </w:numPr>
      <w:tabs>
        <w:tab w:val="left" w:pos="1418"/>
      </w:tabs>
      <w:spacing w:after="0" w:line="240" w:lineRule="auto"/>
      <w:jc w:val="both"/>
      <w:outlineLvl w:val="4"/>
    </w:pPr>
    <w:rPr>
      <w:rFonts w:ascii="Verdana" w:hAnsi="Verdana"/>
      <w:i/>
      <w:sz w:val="20"/>
      <w:szCs w:val="20"/>
    </w:rPr>
  </w:style>
  <w:style w:type="paragraph" w:styleId="Heading6">
    <w:name w:val="heading 6"/>
    <w:basedOn w:val="ListParagraph"/>
    <w:next w:val="Normal"/>
    <w:link w:val="Heading6Char"/>
    <w:uiPriority w:val="9"/>
    <w:unhideWhenUsed/>
    <w:rsid w:val="001C05D8"/>
    <w:pPr>
      <w:numPr>
        <w:numId w:val="3"/>
      </w:numPr>
      <w:jc w:val="both"/>
      <w:outlineLvl w:val="5"/>
    </w:pPr>
    <w:rPr>
      <w:rFonts w:ascii="Verdana" w:hAnsi="Verdana"/>
      <w:i/>
      <w:sz w:val="20"/>
      <w:szCs w:val="20"/>
      <w:lang w:val="es-CR"/>
    </w:rPr>
  </w:style>
  <w:style w:type="paragraph" w:styleId="Heading7">
    <w:name w:val="heading 7"/>
    <w:basedOn w:val="ListParagraph"/>
    <w:next w:val="Normal"/>
    <w:link w:val="Heading7Char"/>
    <w:uiPriority w:val="9"/>
    <w:unhideWhenUsed/>
    <w:rsid w:val="001C05D8"/>
    <w:pPr>
      <w:numPr>
        <w:numId w:val="4"/>
      </w:numPr>
      <w:spacing w:after="0" w:line="240" w:lineRule="auto"/>
      <w:jc w:val="both"/>
      <w:outlineLvl w:val="6"/>
    </w:pPr>
    <w:rPr>
      <w:rFonts w:ascii="Verdana" w:hAnsi="Verdana"/>
      <w:i/>
      <w:sz w:val="20"/>
      <w:szCs w:val="20"/>
      <w:u w:val="single"/>
      <w:lang w:val="es-AR"/>
    </w:rPr>
  </w:style>
  <w:style w:type="paragraph" w:styleId="Heading8">
    <w:name w:val="heading 8"/>
    <w:basedOn w:val="ListParagraph"/>
    <w:next w:val="Normal"/>
    <w:link w:val="Heading8Char"/>
    <w:uiPriority w:val="9"/>
    <w:unhideWhenUsed/>
    <w:rsid w:val="001C05D8"/>
    <w:pPr>
      <w:numPr>
        <w:numId w:val="6"/>
      </w:numPr>
      <w:spacing w:after="0" w:line="240" w:lineRule="auto"/>
      <w:jc w:val="both"/>
      <w:outlineLvl w:val="7"/>
    </w:pPr>
    <w:rPr>
      <w:rFonts w:ascii="Verdana" w:hAnsi="Verdana" w:cs="Cambria"/>
      <w:i/>
      <w:sz w:val="20"/>
      <w:szCs w:val="20"/>
    </w:rPr>
  </w:style>
  <w:style w:type="paragraph" w:styleId="Heading9">
    <w:name w:val="heading 9"/>
    <w:basedOn w:val="ListParagraph"/>
    <w:next w:val="Normal"/>
    <w:link w:val="Heading9Char"/>
    <w:uiPriority w:val="9"/>
    <w:unhideWhenUsed/>
    <w:rsid w:val="001C05D8"/>
    <w:pPr>
      <w:numPr>
        <w:numId w:val="7"/>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1C05D8"/>
    <w:rPr>
      <w:rFonts w:ascii="Verdana" w:eastAsia="Batang" w:hAnsi="Verdana"/>
      <w:b/>
      <w:sz w:val="20"/>
      <w:szCs w:val="20"/>
      <w:lang w:val="es-MX"/>
    </w:rPr>
  </w:style>
  <w:style w:type="character" w:customStyle="1" w:styleId="Heading2Char">
    <w:name w:val="Heading 2 Char"/>
    <w:basedOn w:val="DefaultParagraphFont"/>
    <w:link w:val="Heading2"/>
    <w:rsid w:val="001C05D8"/>
    <w:rPr>
      <w:rFonts w:ascii="Verdana" w:eastAsia="MS Mincho" w:hAnsi="Verdana" w:cs="Times New Roman"/>
      <w:b/>
      <w:i/>
      <w:sz w:val="20"/>
      <w:szCs w:val="20"/>
      <w:lang w:val="es-CR" w:eastAsia="es-CR"/>
    </w:rPr>
  </w:style>
  <w:style w:type="character" w:customStyle="1" w:styleId="Heading3Char">
    <w:name w:val="Heading 3 Char"/>
    <w:basedOn w:val="DefaultParagraphFont"/>
    <w:link w:val="Heading3"/>
    <w:uiPriority w:val="9"/>
    <w:rsid w:val="001C05D8"/>
    <w:rPr>
      <w:rFonts w:ascii="Verdana" w:eastAsia="Batang" w:hAnsi="Verdana"/>
      <w:b/>
      <w:i/>
      <w:sz w:val="20"/>
      <w:szCs w:val="20"/>
      <w:lang w:val="es-MX"/>
    </w:rPr>
  </w:style>
  <w:style w:type="character" w:customStyle="1" w:styleId="Heading4Char">
    <w:name w:val="Heading 4 Char"/>
    <w:basedOn w:val="DefaultParagraphFont"/>
    <w:link w:val="Heading4"/>
    <w:uiPriority w:val="9"/>
    <w:rsid w:val="001C05D8"/>
    <w:rPr>
      <w:rFonts w:ascii="Verdana" w:eastAsia="Batang" w:hAnsi="Verdana"/>
      <w:i/>
      <w:sz w:val="20"/>
      <w:szCs w:val="20"/>
      <w:u w:val="single"/>
      <w:lang w:val="es-MX"/>
    </w:rPr>
  </w:style>
  <w:style w:type="character" w:customStyle="1" w:styleId="Heading5Char">
    <w:name w:val="Heading 5 Char"/>
    <w:basedOn w:val="DefaultParagraphFont"/>
    <w:link w:val="Heading5"/>
    <w:uiPriority w:val="9"/>
    <w:rsid w:val="001C05D8"/>
    <w:rPr>
      <w:rFonts w:ascii="Verdana" w:eastAsia="Batang" w:hAnsi="Verdana"/>
      <w:i/>
      <w:sz w:val="20"/>
      <w:szCs w:val="20"/>
      <w:lang w:val="es-MX"/>
    </w:rPr>
  </w:style>
  <w:style w:type="character" w:customStyle="1" w:styleId="Heading6Char">
    <w:name w:val="Heading 6 Char"/>
    <w:basedOn w:val="DefaultParagraphFont"/>
    <w:link w:val="Heading6"/>
    <w:uiPriority w:val="9"/>
    <w:rsid w:val="001C05D8"/>
    <w:rPr>
      <w:rFonts w:ascii="Verdana" w:eastAsia="Batang" w:hAnsi="Verdana"/>
      <w:i/>
      <w:sz w:val="20"/>
      <w:szCs w:val="20"/>
      <w:lang w:val="es-CR"/>
    </w:rPr>
  </w:style>
  <w:style w:type="character" w:customStyle="1" w:styleId="Heading7Char">
    <w:name w:val="Heading 7 Char"/>
    <w:basedOn w:val="DefaultParagraphFont"/>
    <w:link w:val="Heading7"/>
    <w:uiPriority w:val="9"/>
    <w:rsid w:val="001C05D8"/>
    <w:rPr>
      <w:rFonts w:ascii="Verdana" w:eastAsia="Batang" w:hAnsi="Verdana"/>
      <w:i/>
      <w:sz w:val="20"/>
      <w:szCs w:val="20"/>
      <w:u w:val="single"/>
      <w:lang w:val="es-AR"/>
    </w:rPr>
  </w:style>
  <w:style w:type="character" w:customStyle="1" w:styleId="Heading8Char">
    <w:name w:val="Heading 8 Char"/>
    <w:basedOn w:val="DefaultParagraphFont"/>
    <w:link w:val="Heading8"/>
    <w:uiPriority w:val="9"/>
    <w:rsid w:val="001C05D8"/>
    <w:rPr>
      <w:rFonts w:ascii="Verdana" w:eastAsia="Batang" w:hAnsi="Verdana" w:cs="Cambria"/>
      <w:i/>
      <w:sz w:val="20"/>
      <w:szCs w:val="20"/>
      <w:lang w:val="es-MX"/>
    </w:rPr>
  </w:style>
  <w:style w:type="character" w:customStyle="1" w:styleId="Heading9Char">
    <w:name w:val="Heading 9 Char"/>
    <w:basedOn w:val="DefaultParagraphFont"/>
    <w:link w:val="Heading9"/>
    <w:uiPriority w:val="9"/>
    <w:rsid w:val="001C05D8"/>
    <w:rPr>
      <w:rFonts w:ascii="Verdana" w:hAnsi="Verdana"/>
      <w:i/>
      <w:sz w:val="20"/>
      <w:szCs w:val="20"/>
      <w:lang w:val="es-MX"/>
    </w:rPr>
  </w:style>
  <w:style w:type="paragraph" w:styleId="ListParagraph">
    <w:name w:val="List Paragraph"/>
    <w:aliases w:val="List Paragraph1,Colorful List - Accent 11,Párrafo de lista1,List Paragraph2,Lista vistosa - Énfasis 11,Footnote,Subtle Emphasis1,Footnote1"/>
    <w:basedOn w:val="Normal"/>
    <w:link w:val="ListParagraphChar"/>
    <w:uiPriority w:val="34"/>
    <w:qFormat/>
    <w:rsid w:val="001C05D8"/>
    <w:pPr>
      <w:ind w:left="720"/>
      <w:contextualSpacing/>
    </w:pPr>
  </w:style>
  <w:style w:type="character" w:styleId="CommentReference">
    <w:name w:val="annotation reference"/>
    <w:basedOn w:val="DefaultParagraphFont"/>
    <w:unhideWhenUsed/>
    <w:rsid w:val="001C05D8"/>
    <w:rPr>
      <w:sz w:val="16"/>
      <w:szCs w:val="16"/>
    </w:rPr>
  </w:style>
  <w:style w:type="paragraph" w:styleId="CommentText">
    <w:name w:val="annotation text"/>
    <w:basedOn w:val="Normal"/>
    <w:link w:val="CommentTextChar"/>
    <w:uiPriority w:val="99"/>
    <w:unhideWhenUsed/>
    <w:rsid w:val="001C05D8"/>
    <w:pPr>
      <w:spacing w:line="240" w:lineRule="auto"/>
    </w:pPr>
    <w:rPr>
      <w:sz w:val="20"/>
      <w:szCs w:val="20"/>
    </w:rPr>
  </w:style>
  <w:style w:type="character" w:customStyle="1" w:styleId="CommentTextChar">
    <w:name w:val="Comment Text Char"/>
    <w:basedOn w:val="DefaultParagraphFont"/>
    <w:link w:val="CommentText"/>
    <w:uiPriority w:val="99"/>
    <w:rsid w:val="001C05D8"/>
    <w:rPr>
      <w:rFonts w:eastAsia="Batang"/>
      <w:sz w:val="20"/>
      <w:szCs w:val="20"/>
      <w:lang w:val="es-MX"/>
    </w:rPr>
  </w:style>
  <w:style w:type="paragraph" w:styleId="BalloonText">
    <w:name w:val="Balloon Text"/>
    <w:basedOn w:val="Normal"/>
    <w:link w:val="BalloonTextChar"/>
    <w:uiPriority w:val="99"/>
    <w:semiHidden/>
    <w:unhideWhenUsed/>
    <w:rsid w:val="001C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D8"/>
    <w:rPr>
      <w:rFonts w:ascii="Tahoma" w:eastAsia="Batang" w:hAnsi="Tahoma" w:cs="Tahoma"/>
      <w:sz w:val="16"/>
      <w:szCs w:val="16"/>
      <w:lang w:val="es-MX"/>
    </w:rPr>
  </w:style>
  <w:style w:type="paragraph" w:styleId="FootnoteText">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FootnoteTextChar"/>
    <w:uiPriority w:val="99"/>
    <w:unhideWhenUsed/>
    <w:qFormat/>
    <w:rsid w:val="001C05D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A Fußnotentext Char,FA Fu§notentext Char,FA Fu?notentext Char,?notentext Char,Footnote Text Char Char Char Char1"/>
    <w:basedOn w:val="DefaultParagraphFont"/>
    <w:link w:val="FootnoteText"/>
    <w:uiPriority w:val="99"/>
    <w:qFormat/>
    <w:rsid w:val="001C05D8"/>
    <w:rPr>
      <w:rFonts w:eastAsia="Batang"/>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1C05D8"/>
    <w:rPr>
      <w:vertAlign w:val="superscript"/>
    </w:rPr>
  </w:style>
  <w:style w:type="character" w:styleId="Hyperlink">
    <w:name w:val="Hyperlink"/>
    <w:aliases w:val="Heading 3 caso"/>
    <w:basedOn w:val="DefaultParagraphFont"/>
    <w:uiPriority w:val="99"/>
    <w:unhideWhenUsed/>
    <w:rsid w:val="001C05D8"/>
    <w:rPr>
      <w:color w:val="0000FF"/>
      <w:u w:val="single"/>
    </w:rPr>
  </w:style>
  <w:style w:type="paragraph" w:styleId="CommentSubject">
    <w:name w:val="annotation subject"/>
    <w:basedOn w:val="CommentText"/>
    <w:next w:val="CommentText"/>
    <w:link w:val="CommentSubjectChar"/>
    <w:uiPriority w:val="99"/>
    <w:semiHidden/>
    <w:unhideWhenUsed/>
    <w:rsid w:val="001C05D8"/>
    <w:rPr>
      <w:b/>
      <w:bCs/>
    </w:rPr>
  </w:style>
  <w:style w:type="character" w:customStyle="1" w:styleId="CommentSubjectChar">
    <w:name w:val="Comment Subject Char"/>
    <w:basedOn w:val="CommentTextChar"/>
    <w:link w:val="CommentSubject"/>
    <w:uiPriority w:val="99"/>
    <w:semiHidden/>
    <w:rsid w:val="001C05D8"/>
    <w:rPr>
      <w:rFonts w:eastAsia="Batang"/>
      <w:b/>
      <w:bCs/>
      <w:sz w:val="20"/>
      <w:szCs w:val="20"/>
      <w:lang w:val="es-MX"/>
    </w:rPr>
  </w:style>
  <w:style w:type="paragraph" w:styleId="Header">
    <w:name w:val="header"/>
    <w:basedOn w:val="Normal"/>
    <w:link w:val="HeaderChar"/>
    <w:uiPriority w:val="99"/>
    <w:unhideWhenUsed/>
    <w:rsid w:val="001C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D8"/>
    <w:rPr>
      <w:rFonts w:eastAsia="Batang"/>
      <w:lang w:val="es-MX"/>
    </w:rPr>
  </w:style>
  <w:style w:type="paragraph" w:styleId="Footer">
    <w:name w:val="footer"/>
    <w:basedOn w:val="Normal"/>
    <w:link w:val="FooterChar"/>
    <w:uiPriority w:val="99"/>
    <w:unhideWhenUsed/>
    <w:rsid w:val="001C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D8"/>
    <w:rPr>
      <w:rFonts w:eastAsia="Batang"/>
      <w:lang w:val="es-MX"/>
    </w:rPr>
  </w:style>
  <w:style w:type="character" w:styleId="FollowedHyperlink">
    <w:name w:val="FollowedHyperlink"/>
    <w:basedOn w:val="DefaultParagraphFont"/>
    <w:uiPriority w:val="99"/>
    <w:semiHidden/>
    <w:unhideWhenUsed/>
    <w:rsid w:val="001C05D8"/>
    <w:rPr>
      <w:color w:val="800080" w:themeColor="followedHyperlink"/>
      <w:u w:val="single"/>
    </w:rPr>
  </w:style>
  <w:style w:type="character" w:styleId="Strong">
    <w:name w:val="Strong"/>
    <w:aliases w:val="Heading 2.1"/>
    <w:basedOn w:val="DefaultParagraphFont"/>
    <w:uiPriority w:val="22"/>
    <w:qFormat/>
    <w:rsid w:val="001C05D8"/>
    <w:rPr>
      <w:b/>
      <w:bCs/>
    </w:rPr>
  </w:style>
  <w:style w:type="paragraph" w:styleId="EndnoteText">
    <w:name w:val="endnote text"/>
    <w:basedOn w:val="Normal"/>
    <w:link w:val="EndnoteTextChar"/>
    <w:unhideWhenUsed/>
    <w:rsid w:val="001C05D8"/>
    <w:pPr>
      <w:spacing w:after="0" w:line="240" w:lineRule="auto"/>
    </w:pPr>
    <w:rPr>
      <w:sz w:val="20"/>
      <w:szCs w:val="20"/>
    </w:rPr>
  </w:style>
  <w:style w:type="character" w:customStyle="1" w:styleId="EndnoteTextChar">
    <w:name w:val="Endnote Text Char"/>
    <w:basedOn w:val="DefaultParagraphFont"/>
    <w:link w:val="EndnoteText"/>
    <w:rsid w:val="001C05D8"/>
    <w:rPr>
      <w:rFonts w:eastAsia="Batang"/>
      <w:sz w:val="20"/>
      <w:szCs w:val="20"/>
      <w:lang w:val="es-MX"/>
    </w:rPr>
  </w:style>
  <w:style w:type="character" w:styleId="EndnoteReference">
    <w:name w:val="endnote reference"/>
    <w:basedOn w:val="DefaultParagraphFont"/>
    <w:uiPriority w:val="99"/>
    <w:semiHidden/>
    <w:unhideWhenUsed/>
    <w:rsid w:val="001C05D8"/>
    <w:rPr>
      <w:vertAlign w:val="superscript"/>
    </w:rPr>
  </w:style>
  <w:style w:type="paragraph" w:customStyle="1" w:styleId="Default">
    <w:name w:val="Default"/>
    <w:rsid w:val="001C05D8"/>
    <w:pPr>
      <w:autoSpaceDE w:val="0"/>
      <w:autoSpaceDN w:val="0"/>
      <w:adjustRightInd w:val="0"/>
      <w:spacing w:after="0" w:line="240" w:lineRule="auto"/>
    </w:pPr>
    <w:rPr>
      <w:rFonts w:ascii="Verdana" w:hAnsi="Verdana" w:cs="Verdana"/>
      <w:color w:val="000000"/>
      <w:sz w:val="24"/>
      <w:szCs w:val="24"/>
      <w:lang w:val="es-MX"/>
    </w:rPr>
  </w:style>
  <w:style w:type="paragraph" w:styleId="Revision">
    <w:name w:val="Revision"/>
    <w:hidden/>
    <w:uiPriority w:val="99"/>
    <w:semiHidden/>
    <w:rsid w:val="001C05D8"/>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C05D8"/>
    <w:pPr>
      <w:spacing w:after="0" w:line="240" w:lineRule="auto"/>
      <w:jc w:val="both"/>
    </w:pPr>
    <w:rPr>
      <w:rFonts w:eastAsiaTheme="minorHAnsi"/>
      <w:vertAlign w:val="superscript"/>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C05D8"/>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DefaultParagraphFont"/>
    <w:rsid w:val="001C05D8"/>
  </w:style>
  <w:style w:type="character" w:customStyle="1" w:styleId="ListParagraphChar">
    <w:name w:val="List Paragraph Char"/>
    <w:aliases w:val="List Paragraph1 Char,Colorful List - Accent 11 Char,Párrafo de lista1 Char,List Paragraph2 Char,Lista vistosa - Énfasis 11 Char,Footnote Char,Subtle Emphasis1 Char,Footnote1 Char"/>
    <w:basedOn w:val="DefaultParagraphFont"/>
    <w:link w:val="ListParagraph"/>
    <w:uiPriority w:val="34"/>
    <w:locked/>
    <w:rsid w:val="001C05D8"/>
    <w:rPr>
      <w:rFonts w:eastAsia="Batang"/>
      <w:lang w:val="es-MX"/>
    </w:rPr>
  </w:style>
  <w:style w:type="character" w:customStyle="1" w:styleId="lblnewstitle">
    <w:name w:val="lblnewstitle"/>
    <w:basedOn w:val="DefaultParagraphFont"/>
    <w:rsid w:val="001C05D8"/>
  </w:style>
  <w:style w:type="character" w:customStyle="1" w:styleId="apple-converted-space">
    <w:name w:val="apple-converted-space"/>
    <w:basedOn w:val="DefaultParagraphFont"/>
    <w:rsid w:val="001C05D8"/>
  </w:style>
  <w:style w:type="paragraph" w:customStyle="1" w:styleId="Style1">
    <w:name w:val="Style1"/>
    <w:basedOn w:val="FootnoteText"/>
    <w:rsid w:val="001C05D8"/>
    <w:pPr>
      <w:ind w:left="357" w:right="51" w:hanging="357"/>
      <w:jc w:val="both"/>
    </w:pPr>
    <w:rPr>
      <w:rFonts w:ascii="Times New Roman" w:eastAsia="Times" w:hAnsi="Times New Roman" w:cs="Times New Roman"/>
      <w:position w:val="6"/>
      <w:sz w:val="18"/>
      <w:lang w:val="es-ES_tradnl" w:bidi="en-US"/>
    </w:rPr>
  </w:style>
  <w:style w:type="paragraph" w:styleId="HTMLPreformatted">
    <w:name w:val="HTML Preformatted"/>
    <w:basedOn w:val="Normal"/>
    <w:link w:val="HTMLPreformattedChar"/>
    <w:uiPriority w:val="99"/>
    <w:unhideWhenUsed/>
    <w:rsid w:val="001C05D8"/>
    <w:pPr>
      <w:spacing w:after="0" w:line="240" w:lineRule="auto"/>
    </w:pPr>
    <w:rPr>
      <w:rFonts w:ascii="Consolas" w:eastAsiaTheme="minorHAnsi" w:hAnsi="Consolas" w:cs="Consolas"/>
      <w:sz w:val="20"/>
      <w:szCs w:val="20"/>
      <w:lang w:val="es-CR"/>
    </w:rPr>
  </w:style>
  <w:style w:type="character" w:customStyle="1" w:styleId="HTMLPreformattedChar">
    <w:name w:val="HTML Preformatted Char"/>
    <w:basedOn w:val="DefaultParagraphFont"/>
    <w:link w:val="HTMLPreformatted"/>
    <w:uiPriority w:val="99"/>
    <w:rsid w:val="001C05D8"/>
    <w:rPr>
      <w:rFonts w:ascii="Consolas" w:hAnsi="Consolas" w:cs="Consolas"/>
      <w:sz w:val="20"/>
      <w:szCs w:val="20"/>
      <w:lang w:val="es-CR"/>
    </w:rPr>
  </w:style>
  <w:style w:type="paragraph" w:customStyle="1" w:styleId="style10">
    <w:name w:val="style1"/>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Normal (Web) Char1,Normal (Web) Char Char,Normal (Web) Char1 Char,Normal (Web) Char Char Char"/>
    <w:basedOn w:val="Normal"/>
    <w:uiPriority w:val="99"/>
    <w:unhideWhenUsed/>
    <w:rsid w:val="001C05D8"/>
    <w:rPr>
      <w:rFonts w:ascii="Times New Roman" w:eastAsiaTheme="minorHAnsi" w:hAnsi="Times New Roman" w:cs="Times New Roman"/>
      <w:sz w:val="24"/>
      <w:szCs w:val="24"/>
    </w:rPr>
  </w:style>
  <w:style w:type="paragraph" w:customStyle="1" w:styleId="Footnotes">
    <w:name w:val="**. Footnotes"/>
    <w:basedOn w:val="FootnoteText"/>
    <w:link w:val="FootnotesChar"/>
    <w:autoRedefine/>
    <w:qFormat/>
    <w:rsid w:val="001C05D8"/>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DefaultParagraphFont"/>
    <w:link w:val="Footnotes"/>
    <w:rsid w:val="001C05D8"/>
    <w:rPr>
      <w:rFonts w:ascii="Verdana" w:eastAsia="Batang" w:hAnsi="Verdana" w:cs="Palatino-Italic"/>
      <w:i/>
      <w:iCs/>
      <w:sz w:val="16"/>
      <w:szCs w:val="16"/>
    </w:rPr>
  </w:style>
  <w:style w:type="character" w:customStyle="1" w:styleId="Smbolodenotaalpie">
    <w:name w:val="Símbolo de nota al pie"/>
    <w:rsid w:val="001C05D8"/>
    <w:rPr>
      <w:rFonts w:cs="Times New Roman"/>
      <w:szCs w:val="20"/>
      <w:vertAlign w:val="superscript"/>
    </w:rPr>
  </w:style>
  <w:style w:type="numbering" w:styleId="111111">
    <w:name w:val="Outline List 2"/>
    <w:basedOn w:val="NoList"/>
    <w:uiPriority w:val="99"/>
    <w:semiHidden/>
    <w:unhideWhenUsed/>
    <w:rsid w:val="001C05D8"/>
    <w:pPr>
      <w:numPr>
        <w:numId w:val="8"/>
      </w:numPr>
    </w:pPr>
  </w:style>
  <w:style w:type="character" w:customStyle="1" w:styleId="Estilo1Car">
    <w:name w:val="Estilo1 Car"/>
    <w:link w:val="Estilo1"/>
    <w:locked/>
    <w:rsid w:val="001C05D8"/>
    <w:rPr>
      <w:rFonts w:ascii="Verdana" w:hAnsi="Verdana"/>
    </w:rPr>
  </w:style>
  <w:style w:type="paragraph" w:customStyle="1" w:styleId="Estilo1">
    <w:name w:val="Estilo1"/>
    <w:basedOn w:val="Normal"/>
    <w:link w:val="Estilo1Car"/>
    <w:qFormat/>
    <w:rsid w:val="001C05D8"/>
    <w:pPr>
      <w:tabs>
        <w:tab w:val="left" w:pos="567"/>
        <w:tab w:val="left" w:pos="1134"/>
        <w:tab w:val="num" w:pos="6042"/>
      </w:tabs>
      <w:spacing w:after="120" w:line="240" w:lineRule="auto"/>
      <w:jc w:val="both"/>
    </w:pPr>
    <w:rPr>
      <w:rFonts w:ascii="Verdana" w:eastAsiaTheme="minorHAnsi" w:hAnsi="Verdana"/>
      <w:lang w:val="en-US"/>
    </w:rPr>
  </w:style>
  <w:style w:type="character" w:customStyle="1" w:styleId="Caracteresdenotaalpie">
    <w:name w:val="Caracteres de nota al pie"/>
    <w:rsid w:val="001C05D8"/>
    <w:rPr>
      <w:vertAlign w:val="superscript"/>
    </w:rPr>
  </w:style>
  <w:style w:type="paragraph" w:customStyle="1" w:styleId="Prrafodelista2">
    <w:name w:val="Párrafo de lista2"/>
    <w:basedOn w:val="Normal"/>
    <w:uiPriority w:val="99"/>
    <w:rsid w:val="001C05D8"/>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1C05D8"/>
    <w:rPr>
      <w:vertAlign w:val="superscript"/>
    </w:rPr>
  </w:style>
  <w:style w:type="character" w:styleId="LineNumber">
    <w:name w:val="line number"/>
    <w:basedOn w:val="DefaultParagraphFont"/>
    <w:uiPriority w:val="99"/>
    <w:unhideWhenUsed/>
    <w:rsid w:val="001C05D8"/>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qFormat/>
    <w:locked/>
    <w:rsid w:val="001C05D8"/>
    <w:rPr>
      <w:rFonts w:ascii="Verdana" w:eastAsia="MS Mincho" w:hAnsi="Verdana" w:cs="Times"/>
      <w:sz w:val="16"/>
      <w:szCs w:val="24"/>
      <w:lang w:val="es-ES_tradnl"/>
    </w:rPr>
  </w:style>
  <w:style w:type="paragraph" w:styleId="NoSpacing">
    <w:name w:val="No Spacing"/>
    <w:link w:val="NoSpacingChar"/>
    <w:uiPriority w:val="1"/>
    <w:qFormat/>
    <w:rsid w:val="001C05D8"/>
    <w:pPr>
      <w:spacing w:after="0" w:line="240" w:lineRule="auto"/>
    </w:pPr>
    <w:rPr>
      <w:lang w:val="es-CR"/>
    </w:rPr>
  </w:style>
  <w:style w:type="paragraph" w:styleId="TOCHeading">
    <w:name w:val="TOC Heading"/>
    <w:basedOn w:val="Heading1"/>
    <w:next w:val="Normal"/>
    <w:uiPriority w:val="39"/>
    <w:unhideWhenUsed/>
    <w:qFormat/>
    <w:rsid w:val="001C05D8"/>
    <w:pPr>
      <w:spacing w:line="276" w:lineRule="auto"/>
      <w:outlineLvl w:val="9"/>
    </w:pPr>
    <w:rPr>
      <w:lang w:val="en-US" w:eastAsia="ja-JP"/>
    </w:rPr>
  </w:style>
  <w:style w:type="paragraph" w:styleId="TOC2">
    <w:name w:val="toc 2"/>
    <w:basedOn w:val="Normal"/>
    <w:next w:val="Normal"/>
    <w:autoRedefine/>
    <w:uiPriority w:val="39"/>
    <w:unhideWhenUsed/>
    <w:qFormat/>
    <w:rsid w:val="0006475E"/>
    <w:pPr>
      <w:tabs>
        <w:tab w:val="left" w:pos="880"/>
        <w:tab w:val="right" w:leader="dot" w:pos="9792"/>
      </w:tabs>
      <w:spacing w:after="0" w:line="240" w:lineRule="auto"/>
      <w:ind w:left="220"/>
      <w:jc w:val="both"/>
    </w:pPr>
    <w:rPr>
      <w:rFonts w:ascii="Verdana" w:eastAsia="MS Mincho" w:hAnsi="Verdana" w:cs="Times New Roman"/>
      <w:bCs/>
      <w:i/>
      <w:smallCaps/>
      <w:noProof/>
      <w:sz w:val="18"/>
      <w:szCs w:val="18"/>
      <w:lang w:val="es-AR" w:eastAsia="es-CR"/>
    </w:rPr>
  </w:style>
  <w:style w:type="paragraph" w:styleId="TOC1">
    <w:name w:val="toc 1"/>
    <w:basedOn w:val="Normal"/>
    <w:next w:val="Normal"/>
    <w:autoRedefine/>
    <w:uiPriority w:val="39"/>
    <w:unhideWhenUsed/>
    <w:qFormat/>
    <w:rsid w:val="003B7162"/>
    <w:pPr>
      <w:tabs>
        <w:tab w:val="right" w:leader="dot" w:pos="9792"/>
      </w:tabs>
      <w:spacing w:after="0" w:line="240" w:lineRule="auto"/>
    </w:pPr>
    <w:rPr>
      <w:b/>
      <w:bCs/>
      <w:caps/>
      <w:sz w:val="20"/>
      <w:szCs w:val="20"/>
    </w:rPr>
  </w:style>
  <w:style w:type="paragraph" w:styleId="TOC3">
    <w:name w:val="toc 3"/>
    <w:basedOn w:val="Normal"/>
    <w:next w:val="Normal"/>
    <w:autoRedefine/>
    <w:uiPriority w:val="39"/>
    <w:unhideWhenUsed/>
    <w:qFormat/>
    <w:rsid w:val="001C05D8"/>
    <w:pPr>
      <w:spacing w:after="0"/>
      <w:ind w:left="440"/>
    </w:pPr>
    <w:rPr>
      <w:i/>
      <w:iCs/>
      <w:sz w:val="20"/>
      <w:szCs w:val="20"/>
    </w:rPr>
  </w:style>
  <w:style w:type="paragraph" w:styleId="Title">
    <w:name w:val="Title"/>
    <w:basedOn w:val="ListParagraph"/>
    <w:next w:val="Normal"/>
    <w:link w:val="TitleChar"/>
    <w:uiPriority w:val="10"/>
    <w:qFormat/>
    <w:rsid w:val="001C05D8"/>
    <w:pPr>
      <w:keepNext/>
      <w:keepLines/>
      <w:widowControl w:val="0"/>
      <w:numPr>
        <w:numId w:val="9"/>
      </w:numPr>
      <w:adjustRightInd w:val="0"/>
      <w:spacing w:before="120" w:after="120" w:line="240" w:lineRule="auto"/>
      <w:jc w:val="both"/>
      <w:textAlignment w:val="baseline"/>
      <w:outlineLvl w:val="1"/>
    </w:pPr>
    <w:rPr>
      <w:rFonts w:ascii="Verdana" w:hAnsi="Verdana"/>
      <w:b/>
      <w:i/>
      <w:sz w:val="20"/>
      <w:szCs w:val="20"/>
    </w:rPr>
  </w:style>
  <w:style w:type="character" w:customStyle="1" w:styleId="TitleChar">
    <w:name w:val="Title Char"/>
    <w:basedOn w:val="DefaultParagraphFont"/>
    <w:link w:val="Title"/>
    <w:uiPriority w:val="10"/>
    <w:rsid w:val="001C05D8"/>
    <w:rPr>
      <w:rFonts w:ascii="Verdana" w:eastAsia="Batang" w:hAnsi="Verdana"/>
      <w:b/>
      <w:i/>
      <w:sz w:val="20"/>
      <w:szCs w:val="20"/>
      <w:lang w:val="es-MX"/>
    </w:rPr>
  </w:style>
  <w:style w:type="paragraph" w:styleId="Subtitle">
    <w:name w:val="Subtitle"/>
    <w:basedOn w:val="Title"/>
    <w:next w:val="Normal"/>
    <w:link w:val="SubtitleChar"/>
    <w:uiPriority w:val="11"/>
    <w:qFormat/>
    <w:rsid w:val="001C05D8"/>
    <w:pPr>
      <w:numPr>
        <w:numId w:val="0"/>
      </w:numPr>
    </w:pPr>
  </w:style>
  <w:style w:type="character" w:customStyle="1" w:styleId="SubtitleChar">
    <w:name w:val="Subtitle Char"/>
    <w:basedOn w:val="DefaultParagraphFont"/>
    <w:link w:val="Subtitle"/>
    <w:uiPriority w:val="11"/>
    <w:rsid w:val="001C05D8"/>
    <w:rPr>
      <w:rFonts w:ascii="Verdana" w:eastAsia="Batang" w:hAnsi="Verdana"/>
      <w:b/>
      <w:i/>
      <w:sz w:val="20"/>
      <w:szCs w:val="20"/>
      <w:lang w:val="es-MX"/>
    </w:rPr>
  </w:style>
  <w:style w:type="character" w:styleId="SubtleEmphasis">
    <w:name w:val="Subtle Emphasis"/>
    <w:uiPriority w:val="19"/>
    <w:qFormat/>
    <w:rsid w:val="001C05D8"/>
  </w:style>
  <w:style w:type="character" w:styleId="Emphasis">
    <w:name w:val="Emphasis"/>
    <w:basedOn w:val="SubtleEmphasis"/>
    <w:uiPriority w:val="20"/>
    <w:qFormat/>
    <w:rsid w:val="001C05D8"/>
  </w:style>
  <w:style w:type="paragraph" w:styleId="TOC5">
    <w:name w:val="toc 5"/>
    <w:basedOn w:val="Normal"/>
    <w:next w:val="Normal"/>
    <w:autoRedefine/>
    <w:uiPriority w:val="39"/>
    <w:unhideWhenUsed/>
    <w:rsid w:val="001C05D8"/>
    <w:pPr>
      <w:spacing w:after="0"/>
      <w:ind w:left="880"/>
    </w:pPr>
    <w:rPr>
      <w:sz w:val="18"/>
      <w:szCs w:val="18"/>
    </w:rPr>
  </w:style>
  <w:style w:type="paragraph" w:styleId="TOC6">
    <w:name w:val="toc 6"/>
    <w:basedOn w:val="Normal"/>
    <w:next w:val="Normal"/>
    <w:autoRedefine/>
    <w:uiPriority w:val="39"/>
    <w:unhideWhenUsed/>
    <w:rsid w:val="001C05D8"/>
    <w:pPr>
      <w:spacing w:after="0"/>
      <w:ind w:left="1100"/>
    </w:pPr>
    <w:rPr>
      <w:sz w:val="18"/>
      <w:szCs w:val="18"/>
    </w:rPr>
  </w:style>
  <w:style w:type="paragraph" w:styleId="TOC7">
    <w:name w:val="toc 7"/>
    <w:basedOn w:val="Normal"/>
    <w:next w:val="Normal"/>
    <w:autoRedefine/>
    <w:uiPriority w:val="39"/>
    <w:unhideWhenUsed/>
    <w:rsid w:val="001C05D8"/>
    <w:pPr>
      <w:spacing w:after="0"/>
      <w:ind w:left="1320"/>
    </w:pPr>
    <w:rPr>
      <w:sz w:val="18"/>
      <w:szCs w:val="18"/>
    </w:rPr>
  </w:style>
  <w:style w:type="paragraph" w:styleId="TOC4">
    <w:name w:val="toc 4"/>
    <w:basedOn w:val="Normal"/>
    <w:next w:val="Normal"/>
    <w:autoRedefine/>
    <w:uiPriority w:val="39"/>
    <w:unhideWhenUsed/>
    <w:rsid w:val="001C05D8"/>
    <w:pPr>
      <w:spacing w:after="0"/>
      <w:ind w:left="660"/>
    </w:pPr>
    <w:rPr>
      <w:sz w:val="18"/>
      <w:szCs w:val="18"/>
    </w:rPr>
  </w:style>
  <w:style w:type="paragraph" w:styleId="TOC8">
    <w:name w:val="toc 8"/>
    <w:basedOn w:val="Normal"/>
    <w:next w:val="Normal"/>
    <w:autoRedefine/>
    <w:uiPriority w:val="39"/>
    <w:unhideWhenUsed/>
    <w:rsid w:val="001C05D8"/>
    <w:pPr>
      <w:spacing w:after="0"/>
      <w:ind w:left="1540"/>
    </w:pPr>
    <w:rPr>
      <w:sz w:val="18"/>
      <w:szCs w:val="18"/>
    </w:rPr>
  </w:style>
  <w:style w:type="paragraph" w:styleId="TOC9">
    <w:name w:val="toc 9"/>
    <w:basedOn w:val="Normal"/>
    <w:next w:val="Normal"/>
    <w:autoRedefine/>
    <w:uiPriority w:val="39"/>
    <w:unhideWhenUsed/>
    <w:rsid w:val="001C05D8"/>
    <w:pPr>
      <w:spacing w:after="0"/>
      <w:ind w:left="1760"/>
    </w:pPr>
    <w:rPr>
      <w:sz w:val="18"/>
      <w:szCs w:val="18"/>
    </w:rPr>
  </w:style>
  <w:style w:type="character" w:customStyle="1" w:styleId="PrrafodeSentenciaChar">
    <w:name w:val="*. Párrafo de Sentencia Char"/>
    <w:link w:val="PrrafodeSentencia"/>
    <w:locked/>
    <w:rsid w:val="001C05D8"/>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1C05D8"/>
    <w:pPr>
      <w:tabs>
        <w:tab w:val="left" w:pos="567"/>
      </w:tabs>
      <w:spacing w:after="0" w:line="240" w:lineRule="auto"/>
      <w:jc w:val="both"/>
    </w:pPr>
    <w:rPr>
      <w:rFonts w:ascii="Verdana" w:hAnsi="Verdana"/>
      <w:spacing w:val="-4"/>
      <w:sz w:val="20"/>
      <w:lang w:val="en-US" w:eastAsia="es-MX"/>
    </w:rPr>
  </w:style>
  <w:style w:type="numbering" w:customStyle="1" w:styleId="NoList1">
    <w:name w:val="No List1"/>
    <w:next w:val="NoList"/>
    <w:uiPriority w:val="99"/>
    <w:semiHidden/>
    <w:unhideWhenUsed/>
    <w:rsid w:val="001C05D8"/>
  </w:style>
  <w:style w:type="character" w:customStyle="1" w:styleId="CommentTextChar1">
    <w:name w:val="Comment Text Char1"/>
    <w:basedOn w:val="DefaultParagraphFont"/>
    <w:uiPriority w:val="99"/>
    <w:semiHidden/>
    <w:rsid w:val="001C05D8"/>
    <w:rPr>
      <w:rFonts w:ascii="Times New Roman" w:eastAsia="Calibri" w:hAnsi="Times New Roman" w:cs="Times New Roman"/>
      <w:sz w:val="20"/>
      <w:szCs w:val="20"/>
      <w:lang w:val="es-ES_tradnl"/>
    </w:rPr>
  </w:style>
  <w:style w:type="character" w:customStyle="1" w:styleId="BalloonTextChar1">
    <w:name w:val="Balloon Text Char1"/>
    <w:basedOn w:val="DefaultParagraphFont"/>
    <w:uiPriority w:val="99"/>
    <w:semiHidden/>
    <w:rsid w:val="001C05D8"/>
    <w:rPr>
      <w:rFonts w:ascii="Tahoma" w:eastAsia="Calibri" w:hAnsi="Tahoma" w:cs="Tahoma"/>
      <w:sz w:val="16"/>
      <w:szCs w:val="16"/>
      <w:lang w:val="es-ES_tradnl"/>
    </w:rPr>
  </w:style>
  <w:style w:type="character" w:customStyle="1" w:styleId="apple-style-span">
    <w:name w:val="apple-style-span"/>
    <w:basedOn w:val="DefaultParagraphFont"/>
    <w:rsid w:val="001C05D8"/>
    <w:rPr>
      <w:rFonts w:cs="Times New Roman"/>
    </w:rPr>
  </w:style>
  <w:style w:type="character" w:customStyle="1" w:styleId="Ttulo1">
    <w:name w:val="Título1"/>
    <w:basedOn w:val="DefaultParagraphFont"/>
    <w:rsid w:val="001C05D8"/>
  </w:style>
  <w:style w:type="character" w:customStyle="1" w:styleId="hps">
    <w:name w:val="hps"/>
    <w:basedOn w:val="DefaultParagraphFont"/>
    <w:rsid w:val="001C05D8"/>
  </w:style>
  <w:style w:type="paragraph" w:customStyle="1" w:styleId="2Footnotes">
    <w:name w:val="2. Footnotes"/>
    <w:basedOn w:val="FootnoteText"/>
    <w:link w:val="2FootnotesChar"/>
    <w:autoRedefine/>
    <w:qFormat/>
    <w:rsid w:val="001C05D8"/>
    <w:pPr>
      <w:widowControl w:val="0"/>
      <w:spacing w:before="120" w:after="40"/>
      <w:jc w:val="both"/>
    </w:pPr>
    <w:rPr>
      <w:rFonts w:ascii="Verdana" w:eastAsia="Times New Roman" w:hAnsi="Verdana" w:cs="Palatino-Italic"/>
      <w:iCs/>
      <w:noProof/>
      <w:sz w:val="16"/>
      <w:szCs w:val="18"/>
      <w:lang w:val="en-US"/>
    </w:rPr>
  </w:style>
  <w:style w:type="character" w:customStyle="1" w:styleId="2FootnotesChar">
    <w:name w:val="2. Footnotes Char"/>
    <w:link w:val="2Footnotes"/>
    <w:rsid w:val="001C05D8"/>
    <w:rPr>
      <w:rFonts w:ascii="Verdana" w:eastAsia="Times New Roman" w:hAnsi="Verdana" w:cs="Palatino-Italic"/>
      <w:iCs/>
      <w:noProof/>
      <w:sz w:val="16"/>
      <w:szCs w:val="18"/>
    </w:rPr>
  </w:style>
  <w:style w:type="paragraph" w:customStyle="1" w:styleId="xmsonormal">
    <w:name w:val="x_msonormal"/>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ChG">
    <w:name w:val="_ H _Ch_G"/>
    <w:basedOn w:val="Normal"/>
    <w:next w:val="Normal"/>
    <w:rsid w:val="001C0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rsid w:val="001C05D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paragraph" w:styleId="BodyText">
    <w:name w:val="Body Text"/>
    <w:basedOn w:val="Normal"/>
    <w:link w:val="BodyTextChar"/>
    <w:uiPriority w:val="99"/>
    <w:semiHidden/>
    <w:unhideWhenUsed/>
    <w:rsid w:val="001C05D8"/>
    <w:pPr>
      <w:spacing w:after="0" w:line="240" w:lineRule="auto"/>
      <w:jc w:val="both"/>
    </w:pPr>
    <w:rPr>
      <w:rFonts w:ascii="Garamond" w:eastAsia="Times" w:hAnsi="Garamond" w:cs="Times New Roman"/>
      <w:noProof/>
      <w:szCs w:val="20"/>
      <w:lang w:val="es-ES_tradnl"/>
    </w:rPr>
  </w:style>
  <w:style w:type="character" w:customStyle="1" w:styleId="BodyTextChar">
    <w:name w:val="Body Text Char"/>
    <w:basedOn w:val="DefaultParagraphFont"/>
    <w:link w:val="BodyText"/>
    <w:uiPriority w:val="99"/>
    <w:semiHidden/>
    <w:rsid w:val="001C05D8"/>
    <w:rPr>
      <w:rFonts w:ascii="Garamond" w:eastAsia="Times" w:hAnsi="Garamond" w:cs="Times New Roman"/>
      <w:noProof/>
      <w:szCs w:val="20"/>
      <w:lang w:val="es-ES_tradnl"/>
    </w:rPr>
  </w:style>
  <w:style w:type="character" w:customStyle="1" w:styleId="BodyTextIndentChar">
    <w:name w:val="Body Text Indent Char"/>
    <w:basedOn w:val="DefaultParagraphFont"/>
    <w:link w:val="BodyTextIndent"/>
    <w:uiPriority w:val="99"/>
    <w:semiHidden/>
    <w:rsid w:val="001C05D8"/>
    <w:rPr>
      <w:rFonts w:ascii="Times New Roman" w:eastAsia="Calibri" w:hAnsi="Times New Roman" w:cs="Times New Roman"/>
      <w:sz w:val="24"/>
      <w:szCs w:val="24"/>
      <w:lang w:val="es-ES_tradnl"/>
    </w:rPr>
  </w:style>
  <w:style w:type="paragraph" w:styleId="BodyTextIndent">
    <w:name w:val="Body Text Indent"/>
    <w:basedOn w:val="Normal"/>
    <w:link w:val="BodyTextIndentChar"/>
    <w:uiPriority w:val="99"/>
    <w:semiHidden/>
    <w:unhideWhenUsed/>
    <w:rsid w:val="001C05D8"/>
    <w:pPr>
      <w:spacing w:after="120" w:line="240" w:lineRule="auto"/>
      <w:ind w:left="283"/>
    </w:pPr>
    <w:rPr>
      <w:rFonts w:ascii="Times New Roman" w:eastAsia="Calibri" w:hAnsi="Times New Roman" w:cs="Times New Roman"/>
      <w:sz w:val="24"/>
      <w:szCs w:val="24"/>
      <w:lang w:val="es-ES_tradnl"/>
    </w:rPr>
  </w:style>
  <w:style w:type="character" w:customStyle="1" w:styleId="BodyTextIndentChar1">
    <w:name w:val="Body Text Indent Char1"/>
    <w:basedOn w:val="DefaultParagraphFont"/>
    <w:uiPriority w:val="99"/>
    <w:semiHidden/>
    <w:rsid w:val="001C05D8"/>
    <w:rPr>
      <w:rFonts w:eastAsia="Batang"/>
      <w:lang w:val="es-MX"/>
    </w:rPr>
  </w:style>
  <w:style w:type="character" w:customStyle="1" w:styleId="Estilo1Char">
    <w:name w:val="Estilo1 Char"/>
    <w:rsid w:val="001C05D8"/>
    <w:rPr>
      <w:rFonts w:ascii="Verdana" w:eastAsia="Calibri" w:hAnsi="Verdana" w:cs="Times New Roman"/>
      <w:sz w:val="20"/>
      <w:szCs w:val="20"/>
      <w:lang w:val="es-ES"/>
    </w:rPr>
  </w:style>
  <w:style w:type="paragraph" w:customStyle="1" w:styleId="Estilo2">
    <w:name w:val="Estilo2"/>
    <w:basedOn w:val="Normal"/>
    <w:qFormat/>
    <w:rsid w:val="001C05D8"/>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styleId="BodyTextIndent3">
    <w:name w:val="Body Text Indent 3"/>
    <w:basedOn w:val="Normal"/>
    <w:link w:val="BodyTextIndent3Char"/>
    <w:rsid w:val="001C05D8"/>
    <w:pPr>
      <w:spacing w:after="0" w:line="240" w:lineRule="auto"/>
      <w:ind w:left="720"/>
      <w:jc w:val="both"/>
    </w:pPr>
    <w:rPr>
      <w:rFonts w:ascii="Verdana" w:eastAsia="Times" w:hAnsi="Verdana" w:cs="Times New Roman"/>
      <w:b/>
      <w:szCs w:val="20"/>
      <w:lang w:val="es-ES_tradnl" w:eastAsia="es-ES"/>
    </w:rPr>
  </w:style>
  <w:style w:type="character" w:customStyle="1" w:styleId="BodyTextIndent3Char">
    <w:name w:val="Body Text Indent 3 Char"/>
    <w:basedOn w:val="DefaultParagraphFont"/>
    <w:link w:val="BodyTextIndent3"/>
    <w:rsid w:val="001C05D8"/>
    <w:rPr>
      <w:rFonts w:ascii="Verdana" w:eastAsia="Times" w:hAnsi="Verdana" w:cs="Times New Roman"/>
      <w:b/>
      <w:szCs w:val="20"/>
      <w:lang w:val="es-ES_tradnl" w:eastAsia="es-ES"/>
    </w:rPr>
  </w:style>
  <w:style w:type="paragraph" w:customStyle="1" w:styleId="Estilo7">
    <w:name w:val="Estilo7"/>
    <w:basedOn w:val="Normal"/>
    <w:qFormat/>
    <w:rsid w:val="001C05D8"/>
    <w:pPr>
      <w:tabs>
        <w:tab w:val="left" w:pos="567"/>
        <w:tab w:val="left" w:pos="851"/>
        <w:tab w:val="num" w:pos="2160"/>
      </w:tabs>
      <w:spacing w:before="120" w:after="120" w:line="240" w:lineRule="auto"/>
      <w:ind w:left="2160" w:hanging="180"/>
      <w:jc w:val="both"/>
    </w:pPr>
    <w:rPr>
      <w:rFonts w:ascii="Verdana" w:hAnsi="Verdana" w:cs="Times New Roman"/>
      <w:b/>
      <w:i/>
      <w:sz w:val="20"/>
      <w:szCs w:val="20"/>
      <w:lang w:val="es-ES_tradnl" w:eastAsia="es-MX"/>
    </w:rPr>
  </w:style>
  <w:style w:type="paragraph" w:customStyle="1" w:styleId="Sangradetindependiente">
    <w:name w:val="Sangr’a de t. independiente"/>
    <w:basedOn w:val="Normal"/>
    <w:rsid w:val="001C05D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normalchar1">
    <w:name w:val="normal__char1"/>
    <w:basedOn w:val="DefaultParagraphFont"/>
    <w:rsid w:val="001C05D8"/>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1C05D8"/>
  </w:style>
  <w:style w:type="character" w:customStyle="1" w:styleId="sb8d990e2">
    <w:name w:val="sb8d990e2"/>
    <w:uiPriority w:val="99"/>
    <w:rsid w:val="001C05D8"/>
  </w:style>
  <w:style w:type="character" w:customStyle="1" w:styleId="st1">
    <w:name w:val="st1"/>
    <w:basedOn w:val="DefaultParagraphFont"/>
    <w:rsid w:val="001C05D8"/>
  </w:style>
  <w:style w:type="paragraph" w:customStyle="1" w:styleId="NormalNumbered">
    <w:name w:val="Normal Numbered"/>
    <w:basedOn w:val="Normal"/>
    <w:qFormat/>
    <w:rsid w:val="001C05D8"/>
    <w:pPr>
      <w:numPr>
        <w:numId w:val="10"/>
      </w:numPr>
      <w:spacing w:after="0" w:line="240" w:lineRule="auto"/>
      <w:ind w:left="0" w:firstLine="0"/>
      <w:jc w:val="both"/>
    </w:pPr>
    <w:rPr>
      <w:rFonts w:ascii="Verdana" w:eastAsia="Times New Roman" w:hAnsi="Verdana" w:cs="Times New Roman"/>
      <w:sz w:val="20"/>
      <w:szCs w:val="20"/>
    </w:rPr>
  </w:style>
  <w:style w:type="numbering" w:customStyle="1" w:styleId="NoList11">
    <w:name w:val="No List11"/>
    <w:next w:val="NoList"/>
    <w:uiPriority w:val="99"/>
    <w:semiHidden/>
    <w:unhideWhenUsed/>
    <w:rsid w:val="001C05D8"/>
  </w:style>
  <w:style w:type="paragraph" w:customStyle="1" w:styleId="ju-005fpara-002cleft-002cfirst-0020line-003a-0020-00200-0020cm">
    <w:name w:val="ju-005fpara-002cleft-002cfirst-0020line-003a-0020-00200-0020cm"/>
    <w:basedOn w:val="Normal"/>
    <w:rsid w:val="001C05D8"/>
    <w:pPr>
      <w:spacing w:after="135" w:line="240" w:lineRule="auto"/>
    </w:pPr>
    <w:rPr>
      <w:rFonts w:ascii="Times New Roman" w:eastAsia="Times New Roman" w:hAnsi="Times New Roman" w:cs="Times New Roman"/>
      <w:sz w:val="24"/>
      <w:szCs w:val="24"/>
      <w:lang w:eastAsia="es-MX"/>
    </w:rPr>
  </w:style>
  <w:style w:type="character" w:customStyle="1" w:styleId="ju-005fpara-002cleft-002cfirst-0020line-003a-0020-00200-0020cm--char">
    <w:name w:val="ju-005fpara-002cleft-002cfirst-0020line-003a-0020-00200-0020cm--char"/>
    <w:rsid w:val="001C05D8"/>
  </w:style>
  <w:style w:type="character" w:customStyle="1" w:styleId="PrrafodelistaCar1">
    <w:name w:val="Párrafo de lista Car1"/>
    <w:basedOn w:val="DefaultParagraphFont"/>
    <w:uiPriority w:val="99"/>
    <w:locked/>
    <w:rsid w:val="001C05D8"/>
    <w:rPr>
      <w:rFonts w:ascii="Verdana" w:hAnsi="Verdana" w:cs="Verdana"/>
      <w:lang w:eastAsia="en-US"/>
    </w:rPr>
  </w:style>
  <w:style w:type="character" w:customStyle="1" w:styleId="TextocomentarioCar1">
    <w:name w:val="Texto comentario Car1"/>
    <w:basedOn w:val="DefaultParagraphFont"/>
    <w:uiPriority w:val="99"/>
    <w:semiHidden/>
    <w:rsid w:val="001C05D8"/>
    <w:rPr>
      <w:sz w:val="20"/>
      <w:szCs w:val="20"/>
    </w:rPr>
  </w:style>
  <w:style w:type="paragraph" w:customStyle="1" w:styleId="Body1">
    <w:name w:val="Body 1"/>
    <w:link w:val="Body1Char"/>
    <w:rsid w:val="001C05D8"/>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1C05D8"/>
    <w:rPr>
      <w:rFonts w:ascii="Helvetica" w:eastAsia="ヒラギノ角ゴ Pro W3" w:hAnsi="Helvetica" w:cs="Times New Roman"/>
      <w:color w:val="000000"/>
      <w:szCs w:val="20"/>
      <w:lang w:eastAsia="es-CR"/>
    </w:rPr>
  </w:style>
  <w:style w:type="paragraph" w:customStyle="1" w:styleId="style11">
    <w:name w:val="style11"/>
    <w:basedOn w:val="Normal"/>
    <w:rsid w:val="001C05D8"/>
    <w:pPr>
      <w:spacing w:before="192" w:after="192" w:line="240" w:lineRule="auto"/>
      <w:ind w:left="120" w:right="144"/>
      <w:jc w:val="both"/>
    </w:pPr>
    <w:rPr>
      <w:rFonts w:ascii="Times New Roman" w:eastAsia="Times New Roman" w:hAnsi="Times New Roman" w:cs="Times New Roman"/>
      <w:sz w:val="24"/>
      <w:szCs w:val="24"/>
      <w:lang w:eastAsia="es-MX"/>
    </w:rPr>
  </w:style>
  <w:style w:type="character" w:customStyle="1" w:styleId="NoSpacingChar">
    <w:name w:val="No Spacing Char"/>
    <w:basedOn w:val="DefaultParagraphFont"/>
    <w:link w:val="NoSpacing"/>
    <w:uiPriority w:val="1"/>
    <w:rsid w:val="00574DFE"/>
    <w:rPr>
      <w:lang w:val="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00A60"/>
    <w:pPr>
      <w:spacing w:after="160" w:line="240" w:lineRule="exact"/>
    </w:pPr>
    <w:rPr>
      <w:rFonts w:ascii="Verdana" w:eastAsiaTheme="minorHAnsi" w:hAnsi="Verdana"/>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9877">
      <w:bodyDiv w:val="1"/>
      <w:marLeft w:val="0"/>
      <w:marRight w:val="0"/>
      <w:marTop w:val="0"/>
      <w:marBottom w:val="0"/>
      <w:divBdr>
        <w:top w:val="none" w:sz="0" w:space="0" w:color="auto"/>
        <w:left w:val="none" w:sz="0" w:space="0" w:color="auto"/>
        <w:bottom w:val="none" w:sz="0" w:space="0" w:color="auto"/>
        <w:right w:val="none" w:sz="0" w:space="0" w:color="auto"/>
      </w:divBdr>
    </w:div>
    <w:div w:id="59980975">
      <w:bodyDiv w:val="1"/>
      <w:marLeft w:val="0"/>
      <w:marRight w:val="0"/>
      <w:marTop w:val="0"/>
      <w:marBottom w:val="0"/>
      <w:divBdr>
        <w:top w:val="none" w:sz="0" w:space="0" w:color="auto"/>
        <w:left w:val="none" w:sz="0" w:space="0" w:color="auto"/>
        <w:bottom w:val="none" w:sz="0" w:space="0" w:color="auto"/>
        <w:right w:val="none" w:sz="0" w:space="0" w:color="auto"/>
      </w:divBdr>
    </w:div>
    <w:div w:id="71054178">
      <w:bodyDiv w:val="1"/>
      <w:marLeft w:val="0"/>
      <w:marRight w:val="0"/>
      <w:marTop w:val="0"/>
      <w:marBottom w:val="0"/>
      <w:divBdr>
        <w:top w:val="none" w:sz="0" w:space="0" w:color="auto"/>
        <w:left w:val="none" w:sz="0" w:space="0" w:color="auto"/>
        <w:bottom w:val="none" w:sz="0" w:space="0" w:color="auto"/>
        <w:right w:val="none" w:sz="0" w:space="0" w:color="auto"/>
      </w:divBdr>
    </w:div>
    <w:div w:id="329989529">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533276630">
      <w:bodyDiv w:val="1"/>
      <w:marLeft w:val="0"/>
      <w:marRight w:val="0"/>
      <w:marTop w:val="0"/>
      <w:marBottom w:val="0"/>
      <w:divBdr>
        <w:top w:val="none" w:sz="0" w:space="0" w:color="auto"/>
        <w:left w:val="none" w:sz="0" w:space="0" w:color="auto"/>
        <w:bottom w:val="none" w:sz="0" w:space="0" w:color="auto"/>
        <w:right w:val="none" w:sz="0" w:space="0" w:color="auto"/>
      </w:divBdr>
    </w:div>
    <w:div w:id="720398249">
      <w:bodyDiv w:val="1"/>
      <w:marLeft w:val="0"/>
      <w:marRight w:val="0"/>
      <w:marTop w:val="0"/>
      <w:marBottom w:val="0"/>
      <w:divBdr>
        <w:top w:val="none" w:sz="0" w:space="0" w:color="auto"/>
        <w:left w:val="none" w:sz="0" w:space="0" w:color="auto"/>
        <w:bottom w:val="none" w:sz="0" w:space="0" w:color="auto"/>
        <w:right w:val="none" w:sz="0" w:space="0" w:color="auto"/>
      </w:divBdr>
    </w:div>
    <w:div w:id="757866255">
      <w:bodyDiv w:val="1"/>
      <w:marLeft w:val="0"/>
      <w:marRight w:val="0"/>
      <w:marTop w:val="0"/>
      <w:marBottom w:val="0"/>
      <w:divBdr>
        <w:top w:val="none" w:sz="0" w:space="0" w:color="auto"/>
        <w:left w:val="none" w:sz="0" w:space="0" w:color="auto"/>
        <w:bottom w:val="none" w:sz="0" w:space="0" w:color="auto"/>
        <w:right w:val="none" w:sz="0" w:space="0" w:color="auto"/>
      </w:divBdr>
    </w:div>
    <w:div w:id="780028280">
      <w:bodyDiv w:val="1"/>
      <w:marLeft w:val="0"/>
      <w:marRight w:val="0"/>
      <w:marTop w:val="0"/>
      <w:marBottom w:val="0"/>
      <w:divBdr>
        <w:top w:val="none" w:sz="0" w:space="0" w:color="auto"/>
        <w:left w:val="none" w:sz="0" w:space="0" w:color="auto"/>
        <w:bottom w:val="none" w:sz="0" w:space="0" w:color="auto"/>
        <w:right w:val="none" w:sz="0" w:space="0" w:color="auto"/>
      </w:divBdr>
    </w:div>
    <w:div w:id="797260138">
      <w:bodyDiv w:val="1"/>
      <w:marLeft w:val="0"/>
      <w:marRight w:val="0"/>
      <w:marTop w:val="0"/>
      <w:marBottom w:val="0"/>
      <w:divBdr>
        <w:top w:val="none" w:sz="0" w:space="0" w:color="auto"/>
        <w:left w:val="none" w:sz="0" w:space="0" w:color="auto"/>
        <w:bottom w:val="none" w:sz="0" w:space="0" w:color="auto"/>
        <w:right w:val="none" w:sz="0" w:space="0" w:color="auto"/>
      </w:divBdr>
    </w:div>
    <w:div w:id="927345337">
      <w:bodyDiv w:val="1"/>
      <w:marLeft w:val="0"/>
      <w:marRight w:val="0"/>
      <w:marTop w:val="0"/>
      <w:marBottom w:val="0"/>
      <w:divBdr>
        <w:top w:val="none" w:sz="0" w:space="0" w:color="auto"/>
        <w:left w:val="none" w:sz="0" w:space="0" w:color="auto"/>
        <w:bottom w:val="none" w:sz="0" w:space="0" w:color="auto"/>
        <w:right w:val="none" w:sz="0" w:space="0" w:color="auto"/>
      </w:divBdr>
      <w:divsChild>
        <w:div w:id="1579514917">
          <w:marLeft w:val="0"/>
          <w:marRight w:val="0"/>
          <w:marTop w:val="0"/>
          <w:marBottom w:val="0"/>
          <w:divBdr>
            <w:top w:val="none" w:sz="0" w:space="0" w:color="auto"/>
            <w:left w:val="none" w:sz="0" w:space="0" w:color="auto"/>
            <w:bottom w:val="none" w:sz="0" w:space="0" w:color="auto"/>
            <w:right w:val="none" w:sz="0" w:space="0" w:color="auto"/>
          </w:divBdr>
          <w:divsChild>
            <w:div w:id="2022392809">
              <w:marLeft w:val="0"/>
              <w:marRight w:val="0"/>
              <w:marTop w:val="0"/>
              <w:marBottom w:val="0"/>
              <w:divBdr>
                <w:top w:val="none" w:sz="0" w:space="0" w:color="auto"/>
                <w:left w:val="none" w:sz="0" w:space="0" w:color="auto"/>
                <w:bottom w:val="none" w:sz="0" w:space="0" w:color="auto"/>
                <w:right w:val="none" w:sz="0" w:space="0" w:color="auto"/>
              </w:divBdr>
              <w:divsChild>
                <w:div w:id="1066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61632">
      <w:bodyDiv w:val="1"/>
      <w:marLeft w:val="0"/>
      <w:marRight w:val="0"/>
      <w:marTop w:val="0"/>
      <w:marBottom w:val="0"/>
      <w:divBdr>
        <w:top w:val="none" w:sz="0" w:space="0" w:color="auto"/>
        <w:left w:val="none" w:sz="0" w:space="0" w:color="auto"/>
        <w:bottom w:val="none" w:sz="0" w:space="0" w:color="auto"/>
        <w:right w:val="none" w:sz="0" w:space="0" w:color="auto"/>
      </w:divBdr>
    </w:div>
    <w:div w:id="1152718611">
      <w:bodyDiv w:val="1"/>
      <w:marLeft w:val="0"/>
      <w:marRight w:val="0"/>
      <w:marTop w:val="0"/>
      <w:marBottom w:val="0"/>
      <w:divBdr>
        <w:top w:val="none" w:sz="0" w:space="0" w:color="auto"/>
        <w:left w:val="none" w:sz="0" w:space="0" w:color="auto"/>
        <w:bottom w:val="none" w:sz="0" w:space="0" w:color="auto"/>
        <w:right w:val="none" w:sz="0" w:space="0" w:color="auto"/>
      </w:divBdr>
    </w:div>
    <w:div w:id="1251231783">
      <w:bodyDiv w:val="1"/>
      <w:marLeft w:val="0"/>
      <w:marRight w:val="0"/>
      <w:marTop w:val="0"/>
      <w:marBottom w:val="0"/>
      <w:divBdr>
        <w:top w:val="none" w:sz="0" w:space="0" w:color="auto"/>
        <w:left w:val="none" w:sz="0" w:space="0" w:color="auto"/>
        <w:bottom w:val="none" w:sz="0" w:space="0" w:color="auto"/>
        <w:right w:val="none" w:sz="0" w:space="0" w:color="auto"/>
      </w:divBdr>
    </w:div>
    <w:div w:id="1320234791">
      <w:bodyDiv w:val="1"/>
      <w:marLeft w:val="0"/>
      <w:marRight w:val="0"/>
      <w:marTop w:val="0"/>
      <w:marBottom w:val="0"/>
      <w:divBdr>
        <w:top w:val="none" w:sz="0" w:space="0" w:color="auto"/>
        <w:left w:val="none" w:sz="0" w:space="0" w:color="auto"/>
        <w:bottom w:val="none" w:sz="0" w:space="0" w:color="auto"/>
        <w:right w:val="none" w:sz="0" w:space="0" w:color="auto"/>
      </w:divBdr>
    </w:div>
    <w:div w:id="1423136902">
      <w:bodyDiv w:val="1"/>
      <w:marLeft w:val="0"/>
      <w:marRight w:val="0"/>
      <w:marTop w:val="0"/>
      <w:marBottom w:val="0"/>
      <w:divBdr>
        <w:top w:val="none" w:sz="0" w:space="0" w:color="auto"/>
        <w:left w:val="none" w:sz="0" w:space="0" w:color="auto"/>
        <w:bottom w:val="none" w:sz="0" w:space="0" w:color="auto"/>
        <w:right w:val="none" w:sz="0" w:space="0" w:color="auto"/>
      </w:divBdr>
    </w:div>
    <w:div w:id="1940986051">
      <w:bodyDiv w:val="1"/>
      <w:marLeft w:val="0"/>
      <w:marRight w:val="0"/>
      <w:marTop w:val="0"/>
      <w:marBottom w:val="0"/>
      <w:divBdr>
        <w:top w:val="none" w:sz="0" w:space="0" w:color="auto"/>
        <w:left w:val="none" w:sz="0" w:space="0" w:color="auto"/>
        <w:bottom w:val="none" w:sz="0" w:space="0" w:color="auto"/>
        <w:right w:val="none" w:sz="0" w:space="0" w:color="auto"/>
      </w:divBdr>
    </w:div>
    <w:div w:id="20912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gorigoitia_20_03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8408-19C7-40FC-8770-CA62BBD0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E56079-6B69-4AB3-87FF-DFB4CE62FE03}">
  <ds:schemaRefs>
    <ds:schemaRef ds:uri="http://schemas.microsoft.com/office/2006/metadata/properties"/>
  </ds:schemaRefs>
</ds:datastoreItem>
</file>

<file path=customXml/itemProps3.xml><?xml version="1.0" encoding="utf-8"?>
<ds:datastoreItem xmlns:ds="http://schemas.openxmlformats.org/officeDocument/2006/customXml" ds:itemID="{83F0BB85-7482-48C8-BADC-80C002D9A8B1}">
  <ds:schemaRefs>
    <ds:schemaRef ds:uri="http://schemas.microsoft.com/sharepoint/v3/contenttype/forms"/>
  </ds:schemaRefs>
</ds:datastoreItem>
</file>

<file path=customXml/itemProps4.xml><?xml version="1.0" encoding="utf-8"?>
<ds:datastoreItem xmlns:ds="http://schemas.openxmlformats.org/officeDocument/2006/customXml" ds:itemID="{9AB9315D-F726-44FA-B526-2BE36A4D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13397</Words>
  <Characters>73684</Characters>
  <Application>Microsoft Office Word</Application>
  <DocSecurity>0</DocSecurity>
  <Lines>614</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Scan Biblioteca</cp:lastModifiedBy>
  <cp:revision>2</cp:revision>
  <cp:lastPrinted>2020-09-07T21:48:00Z</cp:lastPrinted>
  <dcterms:created xsi:type="dcterms:W3CDTF">2020-09-07T22:40:00Z</dcterms:created>
  <dcterms:modified xsi:type="dcterms:W3CDTF">2020-09-07T22:40:00Z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